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DEB167" w14:textId="39D69EDA" w:rsid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8"/>
          <w:szCs w:val="20"/>
        </w:rPr>
      </w:pPr>
      <w:r w:rsidRPr="003A3F19">
        <w:rPr>
          <w:rFonts w:ascii="Calibri" w:hAnsi="Calibri" w:cs="Calibri"/>
          <w:b/>
          <w:bCs/>
          <w:color w:val="000000"/>
          <w:sz w:val="28"/>
          <w:szCs w:val="20"/>
        </w:rPr>
        <w:t xml:space="preserve">Empirically derived cut-points for sedentary behaviour for weekdays and weekends: are we sitting differently? </w:t>
      </w:r>
    </w:p>
    <w:p w14:paraId="7998DE25" w14:textId="77777777" w:rsidR="003A3F19" w:rsidRP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8"/>
          <w:szCs w:val="20"/>
        </w:rPr>
      </w:pPr>
    </w:p>
    <w:p w14:paraId="4148A53E" w14:textId="77777777" w:rsidR="003A3F19" w:rsidRP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16"/>
        </w:rPr>
      </w:pPr>
      <w:r w:rsidRPr="003A3F19">
        <w:rPr>
          <w:rFonts w:ascii="Calibri" w:hAnsi="Calibri" w:cs="Calibri"/>
          <w:color w:val="000000"/>
          <w:szCs w:val="16"/>
        </w:rPr>
        <w:t xml:space="preserve">Alexandra Clarke-Cornwell¹, Tracey Farragher², Penny Cook¹, Lindsey Dugdill¹, Malcolm Granat¹ </w:t>
      </w:r>
    </w:p>
    <w:p w14:paraId="1AF819DC" w14:textId="788F202F" w:rsid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  <w:iCs/>
          <w:color w:val="000000"/>
          <w:szCs w:val="16"/>
        </w:rPr>
      </w:pPr>
      <w:r w:rsidRPr="003A3F19">
        <w:rPr>
          <w:rFonts w:ascii="Calibri" w:hAnsi="Calibri" w:cs="Calibri"/>
          <w:i/>
          <w:iCs/>
          <w:color w:val="000000"/>
          <w:sz w:val="16"/>
          <w:szCs w:val="10"/>
        </w:rPr>
        <w:t>1</w:t>
      </w:r>
      <w:r w:rsidRPr="003A3F19">
        <w:rPr>
          <w:rFonts w:ascii="Calibri" w:hAnsi="Calibri" w:cs="Calibri"/>
          <w:i/>
          <w:iCs/>
          <w:color w:val="000000"/>
          <w:szCs w:val="16"/>
        </w:rPr>
        <w:t xml:space="preserve">School of Health Sciences, University of Salford, Manchester, UK, ²The University of Leeds, Leeds, UK. </w:t>
      </w:r>
    </w:p>
    <w:p w14:paraId="25D296E6" w14:textId="77777777" w:rsidR="003A3F19" w:rsidRP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16"/>
        </w:rPr>
      </w:pPr>
    </w:p>
    <w:p w14:paraId="3B04DAB3" w14:textId="77777777" w:rsidR="003A3F19" w:rsidRP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16"/>
        </w:rPr>
      </w:pPr>
      <w:r w:rsidRPr="003A3F19">
        <w:rPr>
          <w:rFonts w:ascii="Calibri" w:hAnsi="Calibri" w:cs="Calibri"/>
          <w:i/>
          <w:iCs/>
          <w:color w:val="000000"/>
          <w:szCs w:val="16"/>
        </w:rPr>
        <w:t xml:space="preserve">Introduction </w:t>
      </w:r>
    </w:p>
    <w:p w14:paraId="4446CD55" w14:textId="1AF3B7B8" w:rsid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16"/>
        </w:rPr>
      </w:pPr>
      <w:r w:rsidRPr="003A3F19">
        <w:rPr>
          <w:rFonts w:ascii="Calibri" w:hAnsi="Calibri" w:cs="Calibri"/>
          <w:color w:val="000000"/>
          <w:szCs w:val="16"/>
        </w:rPr>
        <w:t>Sedentary behaviour (SB) is associated with many adverse health outcomes. Studies that have used accelerometers to define sedentary time usually adopt a &lt;100 counts per minute (</w:t>
      </w:r>
      <w:proofErr w:type="spellStart"/>
      <w:r w:rsidRPr="003A3F19">
        <w:rPr>
          <w:rFonts w:ascii="Calibri" w:hAnsi="Calibri" w:cs="Calibri"/>
          <w:color w:val="000000"/>
          <w:szCs w:val="16"/>
        </w:rPr>
        <w:t>cpm</w:t>
      </w:r>
      <w:proofErr w:type="spellEnd"/>
      <w:r w:rsidRPr="003A3F19">
        <w:rPr>
          <w:rFonts w:ascii="Calibri" w:hAnsi="Calibri" w:cs="Calibri"/>
          <w:color w:val="000000"/>
          <w:szCs w:val="16"/>
        </w:rPr>
        <w:t xml:space="preserve">) threshold for classifying SB; however, this cut-point was not empirically derived for adults. We aimed to 1: empirically derive an optimal threshold for correctly classifying SB, using the </w:t>
      </w:r>
      <w:proofErr w:type="spellStart"/>
      <w:r w:rsidRPr="003A3F19">
        <w:rPr>
          <w:rFonts w:ascii="Calibri" w:hAnsi="Calibri" w:cs="Calibri"/>
          <w:color w:val="000000"/>
          <w:szCs w:val="16"/>
        </w:rPr>
        <w:t>cpm</w:t>
      </w:r>
      <w:proofErr w:type="spellEnd"/>
      <w:r w:rsidRPr="003A3F19">
        <w:rPr>
          <w:rFonts w:ascii="Calibri" w:hAnsi="Calibri" w:cs="Calibri"/>
          <w:color w:val="000000"/>
          <w:szCs w:val="16"/>
        </w:rPr>
        <w:t xml:space="preserve"> output from the </w:t>
      </w:r>
      <w:proofErr w:type="spellStart"/>
      <w:r w:rsidRPr="003A3F19">
        <w:rPr>
          <w:rFonts w:ascii="Calibri" w:hAnsi="Calibri" w:cs="Calibri"/>
          <w:color w:val="000000"/>
          <w:szCs w:val="16"/>
        </w:rPr>
        <w:t>ActiGraph</w:t>
      </w:r>
      <w:proofErr w:type="spellEnd"/>
      <w:r w:rsidRPr="003A3F19">
        <w:rPr>
          <w:rFonts w:ascii="Calibri" w:hAnsi="Calibri" w:cs="Calibri"/>
          <w:color w:val="000000"/>
          <w:szCs w:val="16"/>
        </w:rPr>
        <w:t xml:space="preserve"> GT3X%2B (AG), when compared to the sedentary classification from the </w:t>
      </w:r>
      <w:proofErr w:type="spellStart"/>
      <w:r w:rsidRPr="003A3F19">
        <w:rPr>
          <w:rFonts w:ascii="Calibri" w:hAnsi="Calibri" w:cs="Calibri"/>
          <w:color w:val="000000"/>
          <w:szCs w:val="16"/>
        </w:rPr>
        <w:t>activPAL</w:t>
      </w:r>
      <w:proofErr w:type="spellEnd"/>
      <w:r w:rsidRPr="003A3F19">
        <w:rPr>
          <w:rFonts w:ascii="Calibri" w:hAnsi="Calibri" w:cs="Calibri"/>
          <w:color w:val="000000"/>
          <w:szCs w:val="16"/>
        </w:rPr>
        <w:t xml:space="preserve"> (AP); and 2: determine whether this changed depending on type of day. </w:t>
      </w:r>
    </w:p>
    <w:p w14:paraId="12DBD03C" w14:textId="77777777" w:rsidR="003A3F19" w:rsidRP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16"/>
        </w:rPr>
      </w:pPr>
    </w:p>
    <w:p w14:paraId="6B401A95" w14:textId="77777777" w:rsidR="003A3F19" w:rsidRP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16"/>
        </w:rPr>
      </w:pPr>
      <w:r w:rsidRPr="003A3F19">
        <w:rPr>
          <w:rFonts w:ascii="Calibri" w:hAnsi="Calibri" w:cs="Calibri"/>
          <w:i/>
          <w:iCs/>
          <w:color w:val="000000"/>
          <w:szCs w:val="16"/>
        </w:rPr>
        <w:t xml:space="preserve">Methods </w:t>
      </w:r>
    </w:p>
    <w:p w14:paraId="1548A4C4" w14:textId="15D03EBA" w:rsid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16"/>
        </w:rPr>
      </w:pPr>
      <w:r w:rsidRPr="003A3F19">
        <w:rPr>
          <w:rFonts w:ascii="Calibri" w:hAnsi="Calibri" w:cs="Calibri"/>
          <w:color w:val="000000"/>
          <w:szCs w:val="16"/>
        </w:rPr>
        <w:t xml:space="preserve">A sample of 30 university employees (10 males and 30 females, 40.5±11.0 years old) wore the AG and AP devices simultaneously for 7 days. An activity diary was used to record non-wear time (sleeping hours, work time, removal of devices). Data were downloaded in 60s epochs; non-wear time was removed and the Choi¹ algorithm applied. Multivariable fractional polynomial models with generalised estimating equations were used to make minute by minute comparisons of sedentary time from the 2 devices (each day), allowing for both the change in </w:t>
      </w:r>
      <w:proofErr w:type="spellStart"/>
      <w:r w:rsidRPr="003A3F19">
        <w:rPr>
          <w:rFonts w:ascii="Calibri" w:hAnsi="Calibri" w:cs="Calibri"/>
          <w:color w:val="000000"/>
          <w:szCs w:val="16"/>
        </w:rPr>
        <w:t>cpm</w:t>
      </w:r>
      <w:proofErr w:type="spellEnd"/>
      <w:r w:rsidRPr="003A3F19">
        <w:rPr>
          <w:rFonts w:ascii="Calibri" w:hAnsi="Calibri" w:cs="Calibri"/>
          <w:color w:val="000000"/>
          <w:szCs w:val="16"/>
        </w:rPr>
        <w:t xml:space="preserve"> over time and the correlation of </w:t>
      </w:r>
      <w:proofErr w:type="spellStart"/>
      <w:r w:rsidRPr="003A3F19">
        <w:rPr>
          <w:rFonts w:ascii="Calibri" w:hAnsi="Calibri" w:cs="Calibri"/>
          <w:color w:val="000000"/>
          <w:szCs w:val="16"/>
        </w:rPr>
        <w:t>cpm</w:t>
      </w:r>
      <w:proofErr w:type="spellEnd"/>
      <w:r w:rsidRPr="003A3F19">
        <w:rPr>
          <w:rFonts w:ascii="Calibri" w:hAnsi="Calibri" w:cs="Calibri"/>
          <w:color w:val="000000"/>
          <w:szCs w:val="16"/>
        </w:rPr>
        <w:t xml:space="preserve"> with adjacent minutes. The cut-points derived from these regression models were tested using the split-sample method compared to the 100 </w:t>
      </w:r>
      <w:proofErr w:type="spellStart"/>
      <w:r w:rsidRPr="003A3F19">
        <w:rPr>
          <w:rFonts w:ascii="Calibri" w:hAnsi="Calibri" w:cs="Calibri"/>
          <w:color w:val="000000"/>
          <w:szCs w:val="16"/>
        </w:rPr>
        <w:t>cpm</w:t>
      </w:r>
      <w:proofErr w:type="spellEnd"/>
      <w:r w:rsidRPr="003A3F19">
        <w:rPr>
          <w:rFonts w:ascii="Calibri" w:hAnsi="Calibri" w:cs="Calibri"/>
          <w:color w:val="000000"/>
          <w:szCs w:val="16"/>
        </w:rPr>
        <w:t xml:space="preserve"> cut-point. </w:t>
      </w:r>
    </w:p>
    <w:p w14:paraId="7103307F" w14:textId="77777777" w:rsidR="003A3F19" w:rsidRP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16"/>
        </w:rPr>
      </w:pPr>
    </w:p>
    <w:p w14:paraId="1EE5B691" w14:textId="77777777" w:rsidR="003A3F19" w:rsidRP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16"/>
        </w:rPr>
      </w:pPr>
      <w:r w:rsidRPr="003A3F19">
        <w:rPr>
          <w:rFonts w:ascii="Calibri" w:hAnsi="Calibri" w:cs="Calibri"/>
          <w:i/>
          <w:iCs/>
          <w:color w:val="000000"/>
          <w:szCs w:val="16"/>
        </w:rPr>
        <w:t xml:space="preserve">Results </w:t>
      </w:r>
    </w:p>
    <w:p w14:paraId="6D999777" w14:textId="22686A8E" w:rsid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16"/>
        </w:rPr>
      </w:pPr>
      <w:r w:rsidRPr="003A3F19">
        <w:rPr>
          <w:rFonts w:ascii="Calibri" w:hAnsi="Calibri" w:cs="Calibri"/>
          <w:color w:val="000000"/>
          <w:szCs w:val="16"/>
        </w:rPr>
        <w:t xml:space="preserve">After data reduction, participants provided on average 12 hours 6 minutes of data per day (SD=2 hours 4 minutes, 82% of awake hours). The model-derived cut-points ranged from 70-96 </w:t>
      </w:r>
      <w:proofErr w:type="spellStart"/>
      <w:r w:rsidRPr="003A3F19">
        <w:rPr>
          <w:rFonts w:ascii="Calibri" w:hAnsi="Calibri" w:cs="Calibri"/>
          <w:color w:val="000000"/>
          <w:szCs w:val="16"/>
        </w:rPr>
        <w:t>cpm</w:t>
      </w:r>
      <w:proofErr w:type="spellEnd"/>
      <w:r w:rsidRPr="003A3F19">
        <w:rPr>
          <w:rFonts w:ascii="Calibri" w:hAnsi="Calibri" w:cs="Calibri"/>
          <w:color w:val="000000"/>
          <w:szCs w:val="16"/>
        </w:rPr>
        <w:t xml:space="preserve"> for </w:t>
      </w:r>
      <w:proofErr w:type="gramStart"/>
      <w:r w:rsidRPr="003A3F19">
        <w:rPr>
          <w:rFonts w:ascii="Calibri" w:hAnsi="Calibri" w:cs="Calibri"/>
          <w:color w:val="000000"/>
          <w:szCs w:val="16"/>
        </w:rPr>
        <w:t>weekdays, and</w:t>
      </w:r>
      <w:proofErr w:type="gramEnd"/>
      <w:r w:rsidRPr="003A3F19">
        <w:rPr>
          <w:rFonts w:ascii="Calibri" w:hAnsi="Calibri" w:cs="Calibri"/>
          <w:color w:val="000000"/>
          <w:szCs w:val="16"/>
        </w:rPr>
        <w:t xml:space="preserve"> were significantly higher at the weekend (118 </w:t>
      </w:r>
      <w:proofErr w:type="spellStart"/>
      <w:r w:rsidRPr="003A3F19">
        <w:rPr>
          <w:rFonts w:ascii="Calibri" w:hAnsi="Calibri" w:cs="Calibri"/>
          <w:color w:val="000000"/>
          <w:szCs w:val="16"/>
        </w:rPr>
        <w:t>cpm</w:t>
      </w:r>
      <w:proofErr w:type="spellEnd"/>
      <w:r w:rsidRPr="003A3F19">
        <w:rPr>
          <w:rFonts w:ascii="Calibri" w:hAnsi="Calibri" w:cs="Calibri"/>
          <w:color w:val="000000"/>
          <w:szCs w:val="16"/>
        </w:rPr>
        <w:t xml:space="preserve">). These cut-points performed better than the 100 cut-point (area under the curve analysis). </w:t>
      </w:r>
    </w:p>
    <w:p w14:paraId="1ACC8B27" w14:textId="77777777" w:rsidR="003A3F19" w:rsidRP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16"/>
        </w:rPr>
      </w:pPr>
      <w:bookmarkStart w:id="0" w:name="_GoBack"/>
      <w:bookmarkEnd w:id="0"/>
    </w:p>
    <w:p w14:paraId="38549250" w14:textId="77777777" w:rsidR="003A3F19" w:rsidRPr="003A3F19" w:rsidRDefault="003A3F19" w:rsidP="003A3F1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16"/>
        </w:rPr>
      </w:pPr>
      <w:r w:rsidRPr="003A3F19">
        <w:rPr>
          <w:rFonts w:ascii="Calibri" w:hAnsi="Calibri" w:cs="Calibri"/>
          <w:i/>
          <w:iCs/>
          <w:color w:val="000000"/>
          <w:szCs w:val="16"/>
        </w:rPr>
        <w:t xml:space="preserve">Discussion &amp; Conclusion </w:t>
      </w:r>
    </w:p>
    <w:p w14:paraId="613F0380" w14:textId="1F7DD810" w:rsidR="00F72C3F" w:rsidRPr="003A3F19" w:rsidRDefault="003A3F19" w:rsidP="003A3F19">
      <w:pPr>
        <w:rPr>
          <w:sz w:val="32"/>
        </w:rPr>
      </w:pPr>
      <w:r w:rsidRPr="003A3F19">
        <w:rPr>
          <w:rFonts w:ascii="Calibri" w:hAnsi="Calibri" w:cs="Calibri"/>
          <w:color w:val="000000"/>
          <w:szCs w:val="16"/>
        </w:rPr>
        <w:t>Different cut-points for SB classification were found for weekdays and the weekend. This is the first study to show that cut-points can depend on day; with independent links to health outcomes, it is imperative to have accurate and reliable measures of SB.</w:t>
      </w:r>
    </w:p>
    <w:sectPr w:rsidR="00F72C3F" w:rsidRPr="003A3F1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F65"/>
    <w:rsid w:val="001769A3"/>
    <w:rsid w:val="001C5DC6"/>
    <w:rsid w:val="003A3F19"/>
    <w:rsid w:val="00464940"/>
    <w:rsid w:val="004D286F"/>
    <w:rsid w:val="004E13B2"/>
    <w:rsid w:val="0051752A"/>
    <w:rsid w:val="005E1D1A"/>
    <w:rsid w:val="00685203"/>
    <w:rsid w:val="006D4685"/>
    <w:rsid w:val="00702F65"/>
    <w:rsid w:val="008A552A"/>
    <w:rsid w:val="00A021F1"/>
    <w:rsid w:val="00AC2258"/>
    <w:rsid w:val="00AE5154"/>
    <w:rsid w:val="00E710AF"/>
    <w:rsid w:val="00F63EFA"/>
    <w:rsid w:val="00F72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E4AE58"/>
  <w15:chartTrackingRefBased/>
  <w15:docId w15:val="{19E4CAEE-7732-46DA-8D67-B7EE7E6CF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6494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Clarke-Cornwell Alexandra</dc:creator>
  <cp:keywords/>
  <dc:description/>
  <cp:lastModifiedBy>Clarke-Cornwell Alexandra</cp:lastModifiedBy>
  <cp:revision>17</cp:revision>
  <dcterms:created xsi:type="dcterms:W3CDTF">2019-04-06T19:57:00Z</dcterms:created>
  <dcterms:modified xsi:type="dcterms:W3CDTF">2019-04-06T21:11:00Z</dcterms:modified>
</cp:coreProperties>
</file>