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DAC6B" w14:textId="5BB1AFF6" w:rsidR="00221D87" w:rsidRPr="00221D87" w:rsidRDefault="00DF3F91" w:rsidP="00221D87">
      <w:pPr>
        <w:spacing w:line="480" w:lineRule="auto"/>
        <w:jc w:val="both"/>
        <w:rPr>
          <w:rFonts w:ascii="Times New Roman" w:hAnsi="Times New Roman" w:cs="Times New Roman"/>
          <w:b/>
          <w:sz w:val="36"/>
          <w:szCs w:val="36"/>
          <w:lang w:val="en-GB"/>
        </w:rPr>
      </w:pPr>
      <w:r>
        <w:rPr>
          <w:rFonts w:ascii="Times New Roman" w:hAnsi="Times New Roman" w:cs="Times New Roman"/>
          <w:b/>
          <w:sz w:val="36"/>
          <w:szCs w:val="36"/>
          <w:lang w:val="en-GB"/>
        </w:rPr>
        <w:t>Tuna Species Identification</w:t>
      </w:r>
      <w:r w:rsidRPr="00221D87">
        <w:rPr>
          <w:rFonts w:ascii="Times New Roman" w:hAnsi="Times New Roman" w:cs="Times New Roman"/>
          <w:b/>
          <w:sz w:val="36"/>
          <w:szCs w:val="36"/>
          <w:lang w:val="en-GB"/>
        </w:rPr>
        <w:t xml:space="preserve"> Ring Trials</w:t>
      </w:r>
    </w:p>
    <w:p w14:paraId="307C5921" w14:textId="77777777" w:rsidR="00DF3F91" w:rsidRDefault="00DF3F91" w:rsidP="00221D87">
      <w:pPr>
        <w:spacing w:line="480" w:lineRule="auto"/>
        <w:jc w:val="both"/>
        <w:rPr>
          <w:rFonts w:ascii="Times New Roman" w:hAnsi="Times New Roman" w:cs="Times New Roman"/>
          <w:lang w:val="en-GB"/>
        </w:rPr>
      </w:pPr>
      <w:r>
        <w:rPr>
          <w:rFonts w:ascii="Times New Roman" w:hAnsi="Times New Roman" w:cs="Times New Roman"/>
          <w:lang w:val="en-GB"/>
        </w:rPr>
        <w:t>The laboratories participating in the present study performed a series of ring trials to show that the methods employed by each of them were producing the same results.</w:t>
      </w:r>
    </w:p>
    <w:p w14:paraId="4AB859A4" w14:textId="2A802ED0" w:rsidR="00DF3F91" w:rsidRDefault="009119CA" w:rsidP="00221D87">
      <w:pPr>
        <w:spacing w:line="480" w:lineRule="auto"/>
        <w:jc w:val="both"/>
        <w:rPr>
          <w:rFonts w:ascii="Times New Roman" w:hAnsi="Times New Roman" w:cs="Times New Roman"/>
          <w:lang w:val="en-GB"/>
        </w:rPr>
      </w:pPr>
      <w:r>
        <w:rPr>
          <w:rFonts w:ascii="Times New Roman" w:hAnsi="Times New Roman" w:cs="Times New Roman"/>
          <w:lang w:val="en-GB"/>
        </w:rPr>
        <w:t>R</w:t>
      </w:r>
      <w:r w:rsidRPr="00685767">
        <w:rPr>
          <w:rFonts w:ascii="Times New Roman" w:hAnsi="Times New Roman" w:cs="Times New Roman"/>
          <w:lang w:val="en-GB"/>
        </w:rPr>
        <w:t xml:space="preserve">eference tissues belonging to the eight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lang w:val="en-GB"/>
        </w:rPr>
        <w:t xml:space="preserve"> species were analysed with different DNA markers and sequencing which afterwards were employed for the analysis of the commercial samples. Essentially two approaches were used, homology analysis and distance genetic measurement with phylogenetic tree construction (Forensically Informative Nucleotide Sequencing, FINS). The methods tested were COI sequencing (barcoding with homology search) (UK), Cytochrome b FINS (Spain and Germany) and Control Region FINS (France) with the primers and protocols described in S3 Table. The species were identified as those with the highest match in the corresponding reference database, or those forming a monophyletic group upon phylogenetic analysis.  In situations where different species presented the same percent homology match or the phylogenetic tree was ambiguous this result was recorded.</w:t>
      </w:r>
    </w:p>
    <w:p w14:paraId="1C2C6A67" w14:textId="55C9245A" w:rsidR="00221D87" w:rsidRDefault="00221D87" w:rsidP="00221D87">
      <w:pPr>
        <w:spacing w:line="480" w:lineRule="auto"/>
        <w:jc w:val="both"/>
        <w:rPr>
          <w:rFonts w:ascii="Times New Roman" w:hAnsi="Times New Roman" w:cs="Times New Roman"/>
          <w:lang w:val="en-GB"/>
        </w:rPr>
      </w:pPr>
      <w:r w:rsidRPr="00CC2BBE">
        <w:rPr>
          <w:rFonts w:ascii="Times New Roman" w:hAnsi="Times New Roman" w:cs="Times New Roman"/>
          <w:lang w:val="en-GB"/>
        </w:rPr>
        <w:t>All tuna samples were unequivocally differentiated whether the homology approach or the phylogenetic tree were used (</w:t>
      </w:r>
      <w:r w:rsidR="00F027A4">
        <w:rPr>
          <w:rFonts w:ascii="Times New Roman" w:hAnsi="Times New Roman" w:cs="Times New Roman"/>
          <w:lang w:val="en-GB"/>
        </w:rPr>
        <w:t>see t</w:t>
      </w:r>
      <w:r w:rsidRPr="00CC2BBE">
        <w:rPr>
          <w:rFonts w:ascii="Times New Roman" w:hAnsi="Times New Roman" w:cs="Times New Roman"/>
          <w:lang w:val="en-GB"/>
        </w:rPr>
        <w:t>able</w:t>
      </w:r>
      <w:r w:rsidR="009119CA">
        <w:rPr>
          <w:rFonts w:ascii="Times New Roman" w:hAnsi="Times New Roman" w:cs="Times New Roman"/>
          <w:lang w:val="en-GB"/>
        </w:rPr>
        <w:t xml:space="preserve"> below</w:t>
      </w:r>
      <w:r w:rsidRPr="00CC2BBE">
        <w:rPr>
          <w:rFonts w:ascii="Times New Roman" w:hAnsi="Times New Roman" w:cs="Times New Roman"/>
          <w:lang w:val="en-GB"/>
        </w:rPr>
        <w:t xml:space="preserve">), with the exception of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i/>
          <w:lang w:val="en-GB"/>
        </w:rPr>
        <w:t xml:space="preserve"> </w:t>
      </w:r>
      <w:proofErr w:type="spellStart"/>
      <w:r w:rsidRPr="00685767">
        <w:rPr>
          <w:rFonts w:ascii="Times New Roman" w:hAnsi="Times New Roman" w:cs="Times New Roman"/>
          <w:i/>
          <w:lang w:val="en-GB"/>
        </w:rPr>
        <w:t>albacares</w:t>
      </w:r>
      <w:proofErr w:type="spellEnd"/>
      <w:r w:rsidRPr="00CC2BBE">
        <w:rPr>
          <w:rFonts w:ascii="Times New Roman" w:hAnsi="Times New Roman" w:cs="Times New Roman"/>
          <w:lang w:val="en-GB"/>
        </w:rPr>
        <w:t xml:space="preserve"> which resulted undistinguishable from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i/>
          <w:lang w:val="en-GB"/>
        </w:rPr>
        <w:t xml:space="preserve"> </w:t>
      </w:r>
      <w:proofErr w:type="spellStart"/>
      <w:r w:rsidRPr="00685767">
        <w:rPr>
          <w:rFonts w:ascii="Times New Roman" w:hAnsi="Times New Roman" w:cs="Times New Roman"/>
          <w:i/>
          <w:lang w:val="en-GB"/>
        </w:rPr>
        <w:t>obesus</w:t>
      </w:r>
      <w:proofErr w:type="spellEnd"/>
      <w:r w:rsidRPr="00CC2BBE">
        <w:rPr>
          <w:rFonts w:ascii="Times New Roman" w:hAnsi="Times New Roman" w:cs="Times New Roman"/>
          <w:lang w:val="en-GB"/>
        </w:rPr>
        <w:t xml:space="preserve"> with the COI method. The problems to correctly identify the species level of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i/>
          <w:lang w:val="en-GB"/>
        </w:rPr>
        <w:t xml:space="preserve"> </w:t>
      </w:r>
      <w:proofErr w:type="spellStart"/>
      <w:r w:rsidRPr="00685767">
        <w:rPr>
          <w:rFonts w:ascii="Times New Roman" w:hAnsi="Times New Roman" w:cs="Times New Roman"/>
          <w:i/>
          <w:lang w:val="en-GB"/>
        </w:rPr>
        <w:t>albacares</w:t>
      </w:r>
      <w:proofErr w:type="spellEnd"/>
      <w:r w:rsidRPr="00CC2BBE">
        <w:rPr>
          <w:rFonts w:ascii="Times New Roman" w:hAnsi="Times New Roman" w:cs="Times New Roman"/>
          <w:lang w:val="en-GB"/>
        </w:rPr>
        <w:t xml:space="preserve">, were expected beforehand, since phylogenetic studies have shown that due to recent divergence of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i/>
          <w:lang w:val="en-GB"/>
        </w:rPr>
        <w:t xml:space="preserve"> </w:t>
      </w:r>
      <w:proofErr w:type="spellStart"/>
      <w:r w:rsidRPr="00685767">
        <w:rPr>
          <w:rFonts w:ascii="Times New Roman" w:hAnsi="Times New Roman" w:cs="Times New Roman"/>
          <w:i/>
          <w:lang w:val="en-GB"/>
        </w:rPr>
        <w:t>albacares</w:t>
      </w:r>
      <w:proofErr w:type="spellEnd"/>
      <w:r w:rsidRPr="00CC2BBE">
        <w:rPr>
          <w:rFonts w:ascii="Times New Roman" w:hAnsi="Times New Roman" w:cs="Times New Roman"/>
          <w:lang w:val="en-GB"/>
        </w:rPr>
        <w:t xml:space="preserve"> and </w:t>
      </w:r>
      <w:proofErr w:type="spellStart"/>
      <w:r w:rsidRPr="00685767">
        <w:rPr>
          <w:rFonts w:ascii="Times New Roman" w:hAnsi="Times New Roman" w:cs="Times New Roman"/>
          <w:i/>
          <w:lang w:val="en-GB"/>
        </w:rPr>
        <w:t>Thunnus</w:t>
      </w:r>
      <w:proofErr w:type="spellEnd"/>
      <w:r w:rsidRPr="00685767">
        <w:rPr>
          <w:rFonts w:ascii="Times New Roman" w:hAnsi="Times New Roman" w:cs="Times New Roman"/>
          <w:i/>
          <w:lang w:val="en-GB"/>
        </w:rPr>
        <w:t xml:space="preserve"> </w:t>
      </w:r>
      <w:proofErr w:type="spellStart"/>
      <w:r w:rsidRPr="00685767">
        <w:rPr>
          <w:rFonts w:ascii="Times New Roman" w:hAnsi="Times New Roman" w:cs="Times New Roman"/>
          <w:i/>
          <w:lang w:val="en-GB"/>
        </w:rPr>
        <w:t>obesus</w:t>
      </w:r>
      <w:proofErr w:type="spellEnd"/>
      <w:r w:rsidRPr="00CC2BBE">
        <w:rPr>
          <w:rFonts w:ascii="Times New Roman" w:hAnsi="Times New Roman" w:cs="Times New Roman"/>
          <w:lang w:val="en-GB"/>
        </w:rPr>
        <w:t xml:space="preserve"> differentiation with mitochondrial markers is not possible using COI marker </w:t>
      </w:r>
      <w:r w:rsidR="00F027A4">
        <w:rPr>
          <w:rFonts w:ascii="Times New Roman" w:hAnsi="Times New Roman" w:cs="Times New Roman"/>
          <w:lang w:val="en-GB"/>
        </w:rPr>
        <w:t>(</w:t>
      </w:r>
      <w:r>
        <w:rPr>
          <w:rFonts w:ascii="Times New Roman" w:hAnsi="Times New Roman" w:cs="Times New Roman"/>
          <w:lang w:val="en-GB"/>
        </w:rPr>
        <w:t>Hanner et al., 2011</w:t>
      </w:r>
      <w:r w:rsidRPr="00CC2BBE">
        <w:rPr>
          <w:rFonts w:ascii="Times New Roman" w:hAnsi="Times New Roman" w:cs="Times New Roman"/>
          <w:lang w:val="en-GB"/>
        </w:rPr>
        <w:t xml:space="preserve">, </w:t>
      </w:r>
      <w:proofErr w:type="spellStart"/>
      <w:r w:rsidRPr="00CC2BBE">
        <w:rPr>
          <w:rFonts w:ascii="Times New Roman" w:hAnsi="Times New Roman" w:cs="Times New Roman"/>
          <w:lang w:val="en-GB"/>
        </w:rPr>
        <w:t>Pedrosa-Gerasmio</w:t>
      </w:r>
      <w:proofErr w:type="spellEnd"/>
      <w:r w:rsidRPr="00CC2BBE">
        <w:rPr>
          <w:rFonts w:ascii="Times New Roman" w:hAnsi="Times New Roman" w:cs="Times New Roman"/>
          <w:lang w:val="en-GB"/>
        </w:rPr>
        <w:t xml:space="preserve"> et al. 2012</w:t>
      </w:r>
      <w:r w:rsidR="009119CA">
        <w:rPr>
          <w:rFonts w:ascii="Times New Roman" w:hAnsi="Times New Roman" w:cs="Times New Roman"/>
          <w:lang w:val="en-GB"/>
        </w:rPr>
        <w:t>)</w:t>
      </w:r>
      <w:r w:rsidRPr="00CC2BBE">
        <w:rPr>
          <w:rFonts w:ascii="Times New Roman" w:hAnsi="Times New Roman" w:cs="Times New Roman"/>
          <w:lang w:val="en-GB"/>
        </w:rPr>
        <w:t xml:space="preserve">. Hence, the COI gen is unable to fully resolve these two species (Lowenstein et al. 2009). Consequently, it was decided not to consider the substitution between these two species as </w:t>
      </w:r>
      <w:r w:rsidR="009B3236">
        <w:rPr>
          <w:rFonts w:ascii="Times New Roman" w:hAnsi="Times New Roman" w:cs="Times New Roman"/>
          <w:lang w:val="en-GB"/>
        </w:rPr>
        <w:t>mislabelling when the homology percent obtained was lower than 100%</w:t>
      </w:r>
      <w:r w:rsidRPr="00CC2BBE">
        <w:rPr>
          <w:rFonts w:ascii="Times New Roman" w:hAnsi="Times New Roman" w:cs="Times New Roman"/>
          <w:lang w:val="en-GB"/>
        </w:rPr>
        <w:t xml:space="preserve">, and the same criterion was applied to the samples analysed with the rest of methods. </w:t>
      </w:r>
    </w:p>
    <w:p w14:paraId="03437A9E" w14:textId="77777777" w:rsidR="009119CA" w:rsidRDefault="00221D87" w:rsidP="00221D87">
      <w:pPr>
        <w:spacing w:line="480" w:lineRule="auto"/>
        <w:jc w:val="both"/>
        <w:rPr>
          <w:rFonts w:ascii="Times New Roman" w:hAnsi="Times New Roman" w:cs="Times New Roman"/>
          <w:lang w:val="en-GB"/>
        </w:rPr>
      </w:pPr>
      <w:r w:rsidRPr="00CC2BBE">
        <w:rPr>
          <w:rFonts w:ascii="Times New Roman" w:hAnsi="Times New Roman" w:cs="Times New Roman"/>
          <w:lang w:val="en-GB"/>
        </w:rPr>
        <w:lastRenderedPageBreak/>
        <w:t xml:space="preserve">In </w:t>
      </w:r>
      <w:r w:rsidR="00F027A4">
        <w:rPr>
          <w:rFonts w:ascii="Times New Roman" w:hAnsi="Times New Roman" w:cs="Times New Roman"/>
          <w:lang w:val="en-GB"/>
        </w:rPr>
        <w:t>the table below</w:t>
      </w:r>
      <w:r w:rsidRPr="00CC2BBE">
        <w:rPr>
          <w:rFonts w:ascii="Times New Roman" w:hAnsi="Times New Roman" w:cs="Times New Roman"/>
          <w:lang w:val="en-GB"/>
        </w:rPr>
        <w:t xml:space="preserve"> we can observe some differences between homology and genetic distance method results., whereas with genetic distance methods identification was always successful and coherent with the reference sample, homology results were not always reliable. The ability of a database to identify a sample depends on the size and accuracy of the database, among other reasons. In the case of </w:t>
      </w:r>
      <w:proofErr w:type="spellStart"/>
      <w:r w:rsidRPr="00CC2BBE">
        <w:rPr>
          <w:rFonts w:ascii="Times New Roman" w:hAnsi="Times New Roman" w:cs="Times New Roman"/>
          <w:lang w:val="en-GB"/>
        </w:rPr>
        <w:t>Genbank</w:t>
      </w:r>
      <w:proofErr w:type="spellEnd"/>
      <w:r w:rsidRPr="00CC2BBE">
        <w:rPr>
          <w:rFonts w:ascii="Times New Roman" w:hAnsi="Times New Roman" w:cs="Times New Roman"/>
          <w:lang w:val="en-GB"/>
        </w:rPr>
        <w:t>, which is by far the largest DNA sequence data base in the world, it has to be considered that it has not been designed for species identification and therefore some inconsistencies may be found regarding terminology for particular species, besides it does not guarantee the absence of errors due to lack of voucher specimens (</w:t>
      </w:r>
      <w:proofErr w:type="spellStart"/>
      <w:r w:rsidRPr="00CC2BBE">
        <w:rPr>
          <w:rFonts w:ascii="Times New Roman" w:hAnsi="Times New Roman" w:cs="Times New Roman"/>
          <w:lang w:val="en-GB"/>
        </w:rPr>
        <w:t>Hellberg</w:t>
      </w:r>
      <w:proofErr w:type="spellEnd"/>
      <w:r w:rsidRPr="00CC2BBE">
        <w:rPr>
          <w:rFonts w:ascii="Times New Roman" w:hAnsi="Times New Roman" w:cs="Times New Roman"/>
          <w:lang w:val="en-GB"/>
        </w:rPr>
        <w:t xml:space="preserve"> et al., 2016). </w:t>
      </w:r>
    </w:p>
    <w:p w14:paraId="278C24DD" w14:textId="4401E33B" w:rsidR="00221D87" w:rsidRPr="009119CA" w:rsidRDefault="009119CA" w:rsidP="009119CA">
      <w:pPr>
        <w:spacing w:line="480" w:lineRule="auto"/>
        <w:jc w:val="both"/>
        <w:rPr>
          <w:rFonts w:ascii="Times New Roman" w:hAnsi="Times New Roman" w:cs="Times New Roman"/>
          <w:lang w:val="en-GB"/>
        </w:rPr>
      </w:pPr>
      <w:r>
        <w:rPr>
          <w:rFonts w:ascii="Times New Roman" w:hAnsi="Times New Roman" w:cs="Times New Roman"/>
          <w:lang w:val="en-GB"/>
        </w:rPr>
        <w:t>T</w:t>
      </w:r>
      <w:r w:rsidR="00221D87" w:rsidRPr="00CC2BBE">
        <w:rPr>
          <w:rFonts w:ascii="Times New Roman" w:hAnsi="Times New Roman" w:cs="Times New Roman"/>
          <w:lang w:val="en-GB"/>
        </w:rPr>
        <w:t xml:space="preserve">his </w:t>
      </w:r>
      <w:r>
        <w:rPr>
          <w:rFonts w:ascii="Times New Roman" w:hAnsi="Times New Roman" w:cs="Times New Roman"/>
          <w:lang w:val="en-GB"/>
        </w:rPr>
        <w:t>ring trial</w:t>
      </w:r>
      <w:r w:rsidR="00221D87" w:rsidRPr="00CC2BBE">
        <w:rPr>
          <w:rFonts w:ascii="Times New Roman" w:hAnsi="Times New Roman" w:cs="Times New Roman"/>
          <w:lang w:val="en-GB"/>
        </w:rPr>
        <w:t xml:space="preserve"> revealed the higher reliability of FINS, which solve</w:t>
      </w:r>
      <w:r>
        <w:rPr>
          <w:rFonts w:ascii="Times New Roman" w:hAnsi="Times New Roman" w:cs="Times New Roman"/>
          <w:lang w:val="en-GB"/>
        </w:rPr>
        <w:t>s</w:t>
      </w:r>
      <w:r w:rsidR="00221D87" w:rsidRPr="00CC2BBE">
        <w:rPr>
          <w:rFonts w:ascii="Times New Roman" w:hAnsi="Times New Roman" w:cs="Times New Roman"/>
          <w:lang w:val="en-GB"/>
        </w:rPr>
        <w:t xml:space="preserve"> the identification problems of homology-based methods by using genetic distances and </w:t>
      </w:r>
      <w:r>
        <w:rPr>
          <w:rFonts w:ascii="Times New Roman" w:hAnsi="Times New Roman" w:cs="Times New Roman"/>
          <w:lang w:val="en-GB"/>
        </w:rPr>
        <w:t>phylogenetic</w:t>
      </w:r>
      <w:r w:rsidR="00221D87" w:rsidRPr="00CC2BBE">
        <w:rPr>
          <w:rFonts w:ascii="Times New Roman" w:hAnsi="Times New Roman" w:cs="Times New Roman"/>
          <w:lang w:val="en-GB"/>
        </w:rPr>
        <w:t xml:space="preserve"> tree. </w:t>
      </w:r>
      <w:r>
        <w:rPr>
          <w:rFonts w:ascii="Times New Roman" w:hAnsi="Times New Roman" w:cs="Times New Roman"/>
          <w:lang w:val="en-GB"/>
        </w:rPr>
        <w:t>Therefore</w:t>
      </w:r>
      <w:r w:rsidR="00221D87" w:rsidRPr="00CC2BBE">
        <w:rPr>
          <w:rFonts w:ascii="Times New Roman" w:hAnsi="Times New Roman" w:cs="Times New Roman"/>
          <w:lang w:val="en-GB"/>
        </w:rPr>
        <w:t>, in light of these results, all three tested methods appeared to be applicable for the objectives of the study and led authors to be confident in cross-lab consistency and reproducibility of the data obtained.</w:t>
      </w:r>
    </w:p>
    <w:p w14:paraId="466EF8B8" w14:textId="52CA266E" w:rsidR="00BD14B2" w:rsidRPr="009119CA" w:rsidRDefault="00F027A4" w:rsidP="00BD14B2">
      <w:pPr>
        <w:jc w:val="both"/>
        <w:rPr>
          <w:rFonts w:ascii="Times New Roman" w:hAnsi="Times New Roman" w:cs="Times New Roman"/>
          <w:sz w:val="18"/>
          <w:lang w:val="en-US"/>
        </w:rPr>
      </w:pPr>
      <w:r w:rsidRPr="009119CA">
        <w:rPr>
          <w:rFonts w:ascii="Times New Roman" w:hAnsi="Times New Roman" w:cs="Times New Roman"/>
          <w:b/>
          <w:sz w:val="18"/>
          <w:lang w:val="en-US"/>
        </w:rPr>
        <w:t xml:space="preserve">Comparison of </w:t>
      </w:r>
      <w:r w:rsidR="00BD14B2" w:rsidRPr="009119CA">
        <w:rPr>
          <w:rFonts w:ascii="Times New Roman" w:hAnsi="Times New Roman" w:cs="Times New Roman"/>
          <w:b/>
          <w:sz w:val="18"/>
          <w:lang w:val="en-US"/>
        </w:rPr>
        <w:t>methodologies for species identification.</w:t>
      </w:r>
      <w:r w:rsidR="00BD14B2" w:rsidRPr="009119CA">
        <w:rPr>
          <w:rFonts w:ascii="Times New Roman" w:hAnsi="Times New Roman" w:cs="Times New Roman"/>
          <w:sz w:val="18"/>
          <w:lang w:val="en-US"/>
        </w:rPr>
        <w:t xml:space="preserve"> For each sample the percentage of species match is presented. In case the method could not unambiguously distinguish between two or more species, the other alternative match is also given.</w:t>
      </w:r>
    </w:p>
    <w:tbl>
      <w:tblPr>
        <w:tblW w:w="497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170"/>
        <w:gridCol w:w="1026"/>
        <w:gridCol w:w="840"/>
        <w:gridCol w:w="867"/>
        <w:gridCol w:w="946"/>
        <w:gridCol w:w="749"/>
        <w:gridCol w:w="774"/>
        <w:gridCol w:w="945"/>
        <w:gridCol w:w="1287"/>
      </w:tblGrid>
      <w:tr w:rsidR="00BD14B2" w:rsidRPr="00445CC0" w14:paraId="0D26CF5F" w14:textId="77777777" w:rsidTr="0016613A">
        <w:trPr>
          <w:trHeight w:val="284"/>
        </w:trPr>
        <w:tc>
          <w:tcPr>
            <w:tcW w:w="680" w:type="pct"/>
            <w:vMerge w:val="restart"/>
            <w:shd w:val="clear" w:color="auto" w:fill="auto"/>
            <w:noWrap/>
            <w:vAlign w:val="center"/>
            <w:hideMark/>
          </w:tcPr>
          <w:p w14:paraId="2A487ACB"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Species</w:t>
            </w:r>
          </w:p>
        </w:tc>
        <w:tc>
          <w:tcPr>
            <w:tcW w:w="1084" w:type="pct"/>
            <w:gridSpan w:val="2"/>
            <w:shd w:val="clear" w:color="auto" w:fill="auto"/>
            <w:noWrap/>
            <w:vAlign w:val="center"/>
            <w:hideMark/>
          </w:tcPr>
          <w:p w14:paraId="399B9051"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COI sequencing (UK)</w:t>
            </w:r>
          </w:p>
        </w:tc>
        <w:tc>
          <w:tcPr>
            <w:tcW w:w="1054" w:type="pct"/>
            <w:gridSpan w:val="2"/>
            <w:shd w:val="clear" w:color="auto" w:fill="auto"/>
            <w:noWrap/>
            <w:vAlign w:val="center"/>
            <w:hideMark/>
          </w:tcPr>
          <w:p w14:paraId="1FFC53B6"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proofErr w:type="spellStart"/>
            <w:r w:rsidRPr="00445CC0">
              <w:rPr>
                <w:rFonts w:ascii="Times New Roman" w:eastAsia="Times New Roman" w:hAnsi="Times New Roman" w:cs="Times New Roman"/>
                <w:b/>
                <w:bCs/>
                <w:iCs/>
                <w:sz w:val="14"/>
                <w:szCs w:val="20"/>
                <w:lang w:val="en-GB" w:eastAsia="es-ES"/>
              </w:rPr>
              <w:t>Cyt</w:t>
            </w:r>
            <w:proofErr w:type="spellEnd"/>
            <w:r w:rsidRPr="00445CC0">
              <w:rPr>
                <w:rFonts w:ascii="Times New Roman" w:eastAsia="Times New Roman" w:hAnsi="Times New Roman" w:cs="Times New Roman"/>
                <w:b/>
                <w:bCs/>
                <w:iCs/>
                <w:sz w:val="14"/>
                <w:szCs w:val="20"/>
                <w:lang w:val="en-GB" w:eastAsia="es-ES"/>
              </w:rPr>
              <w:t xml:space="preserve"> b FINS (Spain)</w:t>
            </w:r>
          </w:p>
        </w:tc>
        <w:tc>
          <w:tcPr>
            <w:tcW w:w="885" w:type="pct"/>
            <w:gridSpan w:val="2"/>
            <w:shd w:val="clear" w:color="auto" w:fill="auto"/>
            <w:noWrap/>
            <w:vAlign w:val="center"/>
            <w:hideMark/>
          </w:tcPr>
          <w:p w14:paraId="2E243041"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Control Region FINS (France)</w:t>
            </w:r>
          </w:p>
        </w:tc>
        <w:tc>
          <w:tcPr>
            <w:tcW w:w="1296" w:type="pct"/>
            <w:gridSpan w:val="2"/>
          </w:tcPr>
          <w:p w14:paraId="3D5BFDDD"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proofErr w:type="spellStart"/>
            <w:r w:rsidRPr="00445CC0">
              <w:rPr>
                <w:rFonts w:ascii="Times New Roman" w:eastAsia="Times New Roman" w:hAnsi="Times New Roman" w:cs="Times New Roman"/>
                <w:b/>
                <w:bCs/>
                <w:iCs/>
                <w:sz w:val="14"/>
                <w:szCs w:val="20"/>
                <w:lang w:val="en-GB" w:eastAsia="es-ES"/>
              </w:rPr>
              <w:t>Cyt</w:t>
            </w:r>
            <w:proofErr w:type="spellEnd"/>
            <w:r w:rsidRPr="00445CC0">
              <w:rPr>
                <w:rFonts w:ascii="Times New Roman" w:eastAsia="Times New Roman" w:hAnsi="Times New Roman" w:cs="Times New Roman"/>
                <w:b/>
                <w:bCs/>
                <w:iCs/>
                <w:sz w:val="14"/>
                <w:szCs w:val="20"/>
                <w:lang w:val="en-GB" w:eastAsia="es-ES"/>
              </w:rPr>
              <w:t xml:space="preserve"> b FINS (Germany)</w:t>
            </w:r>
          </w:p>
        </w:tc>
      </w:tr>
      <w:tr w:rsidR="00BD14B2" w:rsidRPr="00445CC0" w14:paraId="7A8A2051" w14:textId="77777777" w:rsidTr="0016613A">
        <w:trPr>
          <w:trHeight w:val="284"/>
        </w:trPr>
        <w:tc>
          <w:tcPr>
            <w:tcW w:w="680" w:type="pct"/>
            <w:vMerge/>
            <w:shd w:val="clear" w:color="auto" w:fill="auto"/>
            <w:noWrap/>
            <w:vAlign w:val="center"/>
          </w:tcPr>
          <w:p w14:paraId="24EE18F3"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p>
        </w:tc>
        <w:tc>
          <w:tcPr>
            <w:tcW w:w="596" w:type="pct"/>
            <w:shd w:val="clear" w:color="auto" w:fill="auto"/>
            <w:noWrap/>
            <w:vAlign w:val="center"/>
            <w:hideMark/>
          </w:tcPr>
          <w:p w14:paraId="5D3FE6E9"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eastAsia="es-ES"/>
              </w:rPr>
              <w:t xml:space="preserve">BOLD </w:t>
            </w:r>
            <w:proofErr w:type="spellStart"/>
            <w:r w:rsidRPr="00445CC0">
              <w:rPr>
                <w:rFonts w:ascii="Times New Roman" w:eastAsia="Times New Roman" w:hAnsi="Times New Roman" w:cs="Times New Roman"/>
                <w:b/>
                <w:bCs/>
                <w:iCs/>
                <w:sz w:val="14"/>
                <w:szCs w:val="20"/>
                <w:lang w:eastAsia="es-ES"/>
              </w:rPr>
              <w:t>Tree</w:t>
            </w:r>
            <w:proofErr w:type="spellEnd"/>
            <w:r w:rsidRPr="00445CC0">
              <w:rPr>
                <w:rFonts w:ascii="Times New Roman" w:eastAsia="Times New Roman" w:hAnsi="Times New Roman" w:cs="Times New Roman"/>
                <w:b/>
                <w:bCs/>
                <w:iCs/>
                <w:sz w:val="14"/>
                <w:szCs w:val="20"/>
                <w:lang w:eastAsia="es-ES"/>
              </w:rPr>
              <w:t xml:space="preserve"> ID</w:t>
            </w:r>
          </w:p>
        </w:tc>
        <w:tc>
          <w:tcPr>
            <w:tcW w:w="488" w:type="pct"/>
            <w:shd w:val="clear" w:color="auto" w:fill="auto"/>
            <w:noWrap/>
            <w:vAlign w:val="center"/>
            <w:hideMark/>
          </w:tcPr>
          <w:p w14:paraId="778A612B"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BOLD Match</w:t>
            </w:r>
          </w:p>
        </w:tc>
        <w:tc>
          <w:tcPr>
            <w:tcW w:w="504" w:type="pct"/>
            <w:shd w:val="clear" w:color="auto" w:fill="auto"/>
            <w:noWrap/>
            <w:vAlign w:val="center"/>
            <w:hideMark/>
          </w:tcPr>
          <w:p w14:paraId="12BE9760"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eastAsia="es-ES"/>
              </w:rPr>
              <w:t xml:space="preserve">NJ </w:t>
            </w:r>
            <w:proofErr w:type="spellStart"/>
            <w:r w:rsidRPr="00445CC0">
              <w:rPr>
                <w:rFonts w:ascii="Times New Roman" w:eastAsia="Times New Roman" w:hAnsi="Times New Roman" w:cs="Times New Roman"/>
                <w:b/>
                <w:bCs/>
                <w:iCs/>
                <w:sz w:val="14"/>
                <w:szCs w:val="20"/>
                <w:lang w:eastAsia="es-ES"/>
              </w:rPr>
              <w:t>Tree</w:t>
            </w:r>
            <w:proofErr w:type="spellEnd"/>
            <w:r w:rsidRPr="00445CC0">
              <w:rPr>
                <w:rFonts w:ascii="Times New Roman" w:eastAsia="Times New Roman" w:hAnsi="Times New Roman" w:cs="Times New Roman"/>
                <w:b/>
                <w:bCs/>
                <w:iCs/>
                <w:sz w:val="14"/>
                <w:szCs w:val="20"/>
                <w:lang w:eastAsia="es-ES"/>
              </w:rPr>
              <w:t xml:space="preserve"> ID</w:t>
            </w:r>
          </w:p>
        </w:tc>
        <w:tc>
          <w:tcPr>
            <w:tcW w:w="550" w:type="pct"/>
            <w:shd w:val="clear" w:color="auto" w:fill="auto"/>
            <w:noWrap/>
            <w:vAlign w:val="center"/>
            <w:hideMark/>
          </w:tcPr>
          <w:p w14:paraId="34C1EEF4"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NCBI Match</w:t>
            </w:r>
          </w:p>
        </w:tc>
        <w:tc>
          <w:tcPr>
            <w:tcW w:w="435" w:type="pct"/>
            <w:shd w:val="clear" w:color="auto" w:fill="auto"/>
            <w:noWrap/>
            <w:vAlign w:val="center"/>
            <w:hideMark/>
          </w:tcPr>
          <w:p w14:paraId="0EF8DF82"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eastAsia="es-ES"/>
              </w:rPr>
              <w:t xml:space="preserve">NJ </w:t>
            </w:r>
            <w:proofErr w:type="spellStart"/>
            <w:r w:rsidRPr="00445CC0">
              <w:rPr>
                <w:rFonts w:ascii="Times New Roman" w:eastAsia="Times New Roman" w:hAnsi="Times New Roman" w:cs="Times New Roman"/>
                <w:b/>
                <w:bCs/>
                <w:iCs/>
                <w:sz w:val="14"/>
                <w:szCs w:val="20"/>
                <w:lang w:eastAsia="es-ES"/>
              </w:rPr>
              <w:t>Tree</w:t>
            </w:r>
            <w:proofErr w:type="spellEnd"/>
            <w:r w:rsidRPr="00445CC0">
              <w:rPr>
                <w:rFonts w:ascii="Times New Roman" w:eastAsia="Times New Roman" w:hAnsi="Times New Roman" w:cs="Times New Roman"/>
                <w:b/>
                <w:bCs/>
                <w:iCs/>
                <w:sz w:val="14"/>
                <w:szCs w:val="20"/>
                <w:lang w:eastAsia="es-ES"/>
              </w:rPr>
              <w:t xml:space="preserve"> ID</w:t>
            </w:r>
          </w:p>
        </w:tc>
        <w:tc>
          <w:tcPr>
            <w:tcW w:w="450" w:type="pct"/>
            <w:shd w:val="clear" w:color="auto" w:fill="auto"/>
            <w:noWrap/>
            <w:vAlign w:val="center"/>
            <w:hideMark/>
          </w:tcPr>
          <w:p w14:paraId="7CA34209"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NCBI Match</w:t>
            </w:r>
          </w:p>
        </w:tc>
        <w:tc>
          <w:tcPr>
            <w:tcW w:w="549" w:type="pct"/>
            <w:shd w:val="clear" w:color="auto" w:fill="auto"/>
            <w:noWrap/>
            <w:vAlign w:val="center"/>
            <w:hideMark/>
          </w:tcPr>
          <w:p w14:paraId="1E293BDF"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eastAsia="es-ES"/>
              </w:rPr>
              <w:t xml:space="preserve">NJ </w:t>
            </w:r>
            <w:proofErr w:type="spellStart"/>
            <w:r w:rsidRPr="00445CC0">
              <w:rPr>
                <w:rFonts w:ascii="Times New Roman" w:eastAsia="Times New Roman" w:hAnsi="Times New Roman" w:cs="Times New Roman"/>
                <w:b/>
                <w:bCs/>
                <w:iCs/>
                <w:sz w:val="14"/>
                <w:szCs w:val="20"/>
                <w:lang w:eastAsia="es-ES"/>
              </w:rPr>
              <w:t>Tree</w:t>
            </w:r>
            <w:proofErr w:type="spellEnd"/>
            <w:r w:rsidRPr="00445CC0">
              <w:rPr>
                <w:rFonts w:ascii="Times New Roman" w:eastAsia="Times New Roman" w:hAnsi="Times New Roman" w:cs="Times New Roman"/>
                <w:b/>
                <w:bCs/>
                <w:iCs/>
                <w:sz w:val="14"/>
                <w:szCs w:val="20"/>
                <w:lang w:eastAsia="es-ES"/>
              </w:rPr>
              <w:t xml:space="preserve"> ID</w:t>
            </w:r>
          </w:p>
        </w:tc>
        <w:tc>
          <w:tcPr>
            <w:tcW w:w="748" w:type="pct"/>
          </w:tcPr>
          <w:p w14:paraId="2EEAA35E" w14:textId="77777777" w:rsidR="00BD14B2" w:rsidRPr="00445CC0" w:rsidRDefault="00BD14B2" w:rsidP="0016613A">
            <w:pPr>
              <w:spacing w:after="0" w:line="240" w:lineRule="auto"/>
              <w:jc w:val="both"/>
              <w:rPr>
                <w:rFonts w:ascii="Times New Roman" w:eastAsia="Times New Roman" w:hAnsi="Times New Roman" w:cs="Times New Roman"/>
                <w:b/>
                <w:bCs/>
                <w:iCs/>
                <w:sz w:val="14"/>
                <w:szCs w:val="20"/>
                <w:lang w:eastAsia="es-ES"/>
              </w:rPr>
            </w:pPr>
            <w:r w:rsidRPr="00445CC0">
              <w:rPr>
                <w:rFonts w:ascii="Times New Roman" w:eastAsia="Times New Roman" w:hAnsi="Times New Roman" w:cs="Times New Roman"/>
                <w:b/>
                <w:bCs/>
                <w:iCs/>
                <w:sz w:val="14"/>
                <w:szCs w:val="20"/>
                <w:lang w:val="en-GB" w:eastAsia="es-ES"/>
              </w:rPr>
              <w:t>NCBI Match</w:t>
            </w:r>
          </w:p>
        </w:tc>
      </w:tr>
      <w:tr w:rsidR="00BD14B2" w:rsidRPr="00445CC0" w14:paraId="348D81A9" w14:textId="77777777" w:rsidTr="0016613A">
        <w:trPr>
          <w:trHeight w:val="284"/>
        </w:trPr>
        <w:tc>
          <w:tcPr>
            <w:tcW w:w="680" w:type="pct"/>
            <w:shd w:val="clear" w:color="auto" w:fill="auto"/>
            <w:noWrap/>
            <w:vAlign w:val="center"/>
            <w:hideMark/>
          </w:tcPr>
          <w:p w14:paraId="2006B518"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maccoyii</w:t>
            </w:r>
            <w:proofErr w:type="spellEnd"/>
          </w:p>
        </w:tc>
        <w:tc>
          <w:tcPr>
            <w:tcW w:w="596" w:type="pct"/>
            <w:shd w:val="clear" w:color="auto" w:fill="auto"/>
            <w:noWrap/>
            <w:vAlign w:val="center"/>
            <w:hideMark/>
          </w:tcPr>
          <w:p w14:paraId="3C5E2253"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maccoyii</w:t>
            </w:r>
            <w:proofErr w:type="spellEnd"/>
          </w:p>
        </w:tc>
        <w:tc>
          <w:tcPr>
            <w:tcW w:w="488" w:type="pct"/>
            <w:shd w:val="clear" w:color="auto" w:fill="auto"/>
            <w:noWrap/>
            <w:vAlign w:val="center"/>
            <w:hideMark/>
          </w:tcPr>
          <w:p w14:paraId="0257A45F"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maccoyii</w:t>
            </w:r>
            <w:proofErr w:type="spellEnd"/>
            <w:r w:rsidRPr="00445CC0">
              <w:rPr>
                <w:rFonts w:ascii="Times New Roman" w:eastAsia="Times New Roman" w:hAnsi="Times New Roman" w:cs="Times New Roman"/>
                <w:i/>
                <w:sz w:val="14"/>
                <w:szCs w:val="20"/>
                <w:lang w:val="en-GB" w:eastAsia="es-ES"/>
              </w:rPr>
              <w:t xml:space="preserve"> 99.84%</w:t>
            </w:r>
          </w:p>
        </w:tc>
        <w:tc>
          <w:tcPr>
            <w:tcW w:w="504" w:type="pct"/>
            <w:shd w:val="clear" w:color="auto" w:fill="auto"/>
            <w:noWrap/>
            <w:vAlign w:val="center"/>
            <w:hideMark/>
          </w:tcPr>
          <w:p w14:paraId="7749784C"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maccoyii</w:t>
            </w:r>
            <w:proofErr w:type="spellEnd"/>
          </w:p>
        </w:tc>
        <w:tc>
          <w:tcPr>
            <w:tcW w:w="550" w:type="pct"/>
            <w:shd w:val="clear" w:color="auto" w:fill="auto"/>
            <w:noWrap/>
            <w:vAlign w:val="center"/>
            <w:hideMark/>
          </w:tcPr>
          <w:p w14:paraId="5898E6C2"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Thunnus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maccoyii</w:t>
            </w:r>
            <w:proofErr w:type="spellEnd"/>
            <w:r w:rsidRPr="00445CC0">
              <w:rPr>
                <w:rFonts w:ascii="Times New Roman" w:eastAsia="Times New Roman" w:hAnsi="Times New Roman" w:cs="Times New Roman"/>
                <w:i/>
                <w:sz w:val="14"/>
                <w:szCs w:val="20"/>
                <w:lang w:val="en-GB" w:eastAsia="es-ES"/>
              </w:rPr>
              <w:t xml:space="preserve"> 100%</w:t>
            </w:r>
          </w:p>
        </w:tc>
        <w:tc>
          <w:tcPr>
            <w:tcW w:w="435" w:type="pct"/>
            <w:shd w:val="clear" w:color="auto" w:fill="auto"/>
            <w:noWrap/>
            <w:vAlign w:val="center"/>
            <w:hideMark/>
          </w:tcPr>
          <w:p w14:paraId="7CD987A6" w14:textId="77777777" w:rsidR="00BD14B2" w:rsidRPr="00445CC0" w:rsidRDefault="00BD14B2" w:rsidP="0016613A">
            <w:pPr>
              <w:spacing w:after="0" w:line="240" w:lineRule="auto"/>
              <w:jc w:val="both"/>
              <w:rPr>
                <w:rFonts w:ascii="Times New Roman" w:eastAsia="Times New Roman" w:hAnsi="Times New Roman" w:cs="Times New Roman"/>
                <w:sz w:val="14"/>
                <w:szCs w:val="20"/>
                <w:lang w:val="en-US" w:eastAsia="es-ES"/>
              </w:rPr>
            </w:pPr>
            <w:r w:rsidRPr="00445CC0">
              <w:rPr>
                <w:rFonts w:ascii="Times New Roman" w:eastAsia="Times New Roman" w:hAnsi="Times New Roman" w:cs="Times New Roman"/>
                <w:sz w:val="14"/>
                <w:szCs w:val="20"/>
                <w:lang w:val="en-GB" w:eastAsia="es-ES"/>
              </w:rPr>
              <w:t>No reference</w:t>
            </w:r>
          </w:p>
        </w:tc>
        <w:tc>
          <w:tcPr>
            <w:tcW w:w="450" w:type="pct"/>
            <w:shd w:val="clear" w:color="auto" w:fill="auto"/>
            <w:noWrap/>
            <w:vAlign w:val="center"/>
            <w:hideMark/>
          </w:tcPr>
          <w:p w14:paraId="4035F014"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maccoyii</w:t>
            </w:r>
            <w:proofErr w:type="spellEnd"/>
            <w:r w:rsidRPr="00445CC0">
              <w:rPr>
                <w:rFonts w:ascii="Times New Roman" w:eastAsia="Times New Roman" w:hAnsi="Times New Roman" w:cs="Times New Roman"/>
                <w:i/>
                <w:sz w:val="14"/>
                <w:szCs w:val="20"/>
                <w:lang w:val="en-GB" w:eastAsia="es-ES"/>
              </w:rPr>
              <w:t xml:space="preserve"> 87%</w:t>
            </w:r>
          </w:p>
        </w:tc>
        <w:tc>
          <w:tcPr>
            <w:tcW w:w="549" w:type="pct"/>
            <w:shd w:val="clear" w:color="auto" w:fill="auto"/>
            <w:noWrap/>
            <w:vAlign w:val="center"/>
            <w:hideMark/>
          </w:tcPr>
          <w:p w14:paraId="70480402"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maccoyii</w:t>
            </w:r>
            <w:proofErr w:type="spellEnd"/>
          </w:p>
        </w:tc>
        <w:tc>
          <w:tcPr>
            <w:tcW w:w="748" w:type="pct"/>
          </w:tcPr>
          <w:p w14:paraId="15CEAB47"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GB" w:eastAsia="es-ES"/>
              </w:rPr>
            </w:pPr>
            <w:r w:rsidRPr="00445CC0">
              <w:rPr>
                <w:rFonts w:ascii="Times New Roman" w:eastAsia="Times New Roman" w:hAnsi="Times New Roman" w:cs="Times New Roman"/>
                <w:i/>
                <w:iCs/>
                <w:sz w:val="14"/>
                <w:szCs w:val="20"/>
                <w:lang w:val="en-GB" w:eastAsia="es-ES"/>
              </w:rPr>
              <w:t xml:space="preserve">T. </w:t>
            </w:r>
            <w:proofErr w:type="spellStart"/>
            <w:r w:rsidRPr="00445CC0">
              <w:rPr>
                <w:rFonts w:ascii="Times New Roman" w:eastAsia="Times New Roman" w:hAnsi="Times New Roman" w:cs="Times New Roman"/>
                <w:i/>
                <w:iCs/>
                <w:sz w:val="14"/>
                <w:szCs w:val="20"/>
                <w:lang w:val="en-GB" w:eastAsia="es-ES"/>
              </w:rPr>
              <w:t>maccoyii</w:t>
            </w:r>
            <w:proofErr w:type="spellEnd"/>
            <w:r w:rsidRPr="00445CC0">
              <w:rPr>
                <w:rFonts w:ascii="Times New Roman" w:eastAsia="Times New Roman" w:hAnsi="Times New Roman" w:cs="Times New Roman"/>
                <w:i/>
                <w:iCs/>
                <w:sz w:val="14"/>
                <w:szCs w:val="20"/>
                <w:lang w:val="en-GB" w:eastAsia="es-ES"/>
              </w:rPr>
              <w:t xml:space="preserve"> 100 %</w:t>
            </w:r>
          </w:p>
        </w:tc>
      </w:tr>
      <w:tr w:rsidR="00BD14B2" w:rsidRPr="00445CC0" w14:paraId="04612513" w14:textId="77777777" w:rsidTr="0016613A">
        <w:trPr>
          <w:trHeight w:val="284"/>
        </w:trPr>
        <w:tc>
          <w:tcPr>
            <w:tcW w:w="680" w:type="pct"/>
            <w:shd w:val="clear" w:color="auto" w:fill="auto"/>
            <w:noWrap/>
            <w:vAlign w:val="center"/>
            <w:hideMark/>
          </w:tcPr>
          <w:p w14:paraId="33B3F315"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orientalis</w:t>
            </w:r>
            <w:proofErr w:type="spellEnd"/>
          </w:p>
        </w:tc>
        <w:tc>
          <w:tcPr>
            <w:tcW w:w="596" w:type="pct"/>
            <w:shd w:val="clear" w:color="auto" w:fill="auto"/>
            <w:noWrap/>
            <w:vAlign w:val="center"/>
            <w:hideMark/>
          </w:tcPr>
          <w:p w14:paraId="1981396F"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orientalis</w:t>
            </w:r>
            <w:proofErr w:type="spellEnd"/>
          </w:p>
        </w:tc>
        <w:tc>
          <w:tcPr>
            <w:tcW w:w="488" w:type="pct"/>
            <w:shd w:val="clear" w:color="auto" w:fill="auto"/>
            <w:noWrap/>
            <w:vAlign w:val="center"/>
            <w:hideMark/>
          </w:tcPr>
          <w:p w14:paraId="0D8511C6"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orientalis</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4507801E"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orientalis</w:t>
            </w:r>
            <w:proofErr w:type="spellEnd"/>
          </w:p>
        </w:tc>
        <w:tc>
          <w:tcPr>
            <w:tcW w:w="550" w:type="pct"/>
            <w:shd w:val="clear" w:color="auto" w:fill="auto"/>
            <w:noWrap/>
            <w:vAlign w:val="center"/>
            <w:hideMark/>
          </w:tcPr>
          <w:p w14:paraId="4BCAD8AA"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Thunnus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orientalis</w:t>
            </w:r>
            <w:proofErr w:type="spellEnd"/>
            <w:r w:rsidRPr="00445CC0">
              <w:rPr>
                <w:rFonts w:ascii="Times New Roman" w:eastAsia="Times New Roman" w:hAnsi="Times New Roman" w:cs="Times New Roman"/>
                <w:i/>
                <w:sz w:val="14"/>
                <w:szCs w:val="20"/>
                <w:lang w:val="en-GB" w:eastAsia="es-ES"/>
              </w:rPr>
              <w:t>/</w:t>
            </w:r>
            <w:proofErr w:type="spellStart"/>
            <w:r w:rsidRPr="00445CC0">
              <w:rPr>
                <w:rFonts w:ascii="Times New Roman" w:eastAsia="Times New Roman" w:hAnsi="Times New Roman" w:cs="Times New Roman"/>
                <w:i/>
                <w:sz w:val="14"/>
                <w:szCs w:val="20"/>
                <w:lang w:val="en-GB" w:eastAsia="es-ES"/>
              </w:rPr>
              <w:t>T.alalunga</w:t>
            </w:r>
            <w:proofErr w:type="spellEnd"/>
            <w:r w:rsidRPr="00445CC0">
              <w:rPr>
                <w:rFonts w:ascii="Times New Roman" w:eastAsia="Times New Roman" w:hAnsi="Times New Roman" w:cs="Times New Roman"/>
                <w:i/>
                <w:sz w:val="14"/>
                <w:szCs w:val="20"/>
                <w:lang w:val="en-GB" w:eastAsia="es-ES"/>
              </w:rPr>
              <w:t xml:space="preserve"> 99%</w:t>
            </w:r>
          </w:p>
        </w:tc>
        <w:tc>
          <w:tcPr>
            <w:tcW w:w="435" w:type="pct"/>
            <w:shd w:val="clear" w:color="auto" w:fill="auto"/>
            <w:noWrap/>
            <w:vAlign w:val="center"/>
            <w:hideMark/>
          </w:tcPr>
          <w:p w14:paraId="3FE6BC76" w14:textId="77777777" w:rsidR="00BD14B2" w:rsidRPr="00445CC0" w:rsidRDefault="00BD14B2" w:rsidP="0016613A">
            <w:pPr>
              <w:spacing w:after="0" w:line="240" w:lineRule="auto"/>
              <w:jc w:val="both"/>
              <w:rPr>
                <w:rFonts w:ascii="Times New Roman" w:eastAsia="Times New Roman" w:hAnsi="Times New Roman" w:cs="Times New Roman"/>
                <w:sz w:val="14"/>
                <w:szCs w:val="20"/>
                <w:lang w:val="en-US" w:eastAsia="es-ES"/>
              </w:rPr>
            </w:pPr>
            <w:r w:rsidRPr="00445CC0">
              <w:rPr>
                <w:rFonts w:ascii="Times New Roman" w:eastAsia="Times New Roman" w:hAnsi="Times New Roman" w:cs="Times New Roman"/>
                <w:sz w:val="14"/>
                <w:szCs w:val="20"/>
                <w:lang w:val="en-GB" w:eastAsia="es-ES"/>
              </w:rPr>
              <w:t>No reference</w:t>
            </w:r>
          </w:p>
        </w:tc>
        <w:tc>
          <w:tcPr>
            <w:tcW w:w="450" w:type="pct"/>
            <w:shd w:val="clear" w:color="auto" w:fill="auto"/>
            <w:noWrap/>
            <w:vAlign w:val="center"/>
            <w:hideMark/>
          </w:tcPr>
          <w:p w14:paraId="11D8D861" w14:textId="6AEFA51B"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orientalis</w:t>
            </w:r>
            <w:proofErr w:type="spellEnd"/>
            <w:r w:rsidR="00912969">
              <w:rPr>
                <w:rFonts w:ascii="Times New Roman" w:eastAsia="Times New Roman" w:hAnsi="Times New Roman" w:cs="Times New Roman"/>
                <w:i/>
                <w:sz w:val="14"/>
                <w:szCs w:val="20"/>
                <w:lang w:val="en-GB" w:eastAsia="es-ES"/>
              </w:rPr>
              <w:t xml:space="preserve"> </w:t>
            </w:r>
            <w:bookmarkStart w:id="0" w:name="_GoBack"/>
            <w:bookmarkEnd w:id="0"/>
            <w:r w:rsidRPr="00445CC0">
              <w:rPr>
                <w:rFonts w:ascii="Times New Roman" w:eastAsia="Times New Roman" w:hAnsi="Times New Roman" w:cs="Times New Roman"/>
                <w:i/>
                <w:sz w:val="14"/>
                <w:szCs w:val="20"/>
                <w:lang w:val="en-GB" w:eastAsia="es-ES"/>
              </w:rPr>
              <w:t>97%</w:t>
            </w:r>
          </w:p>
        </w:tc>
        <w:tc>
          <w:tcPr>
            <w:tcW w:w="549" w:type="pct"/>
            <w:shd w:val="clear" w:color="auto" w:fill="auto"/>
            <w:noWrap/>
            <w:vAlign w:val="center"/>
            <w:hideMark/>
          </w:tcPr>
          <w:p w14:paraId="46F1CF17"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orientalis</w:t>
            </w:r>
            <w:proofErr w:type="spellEnd"/>
          </w:p>
        </w:tc>
        <w:tc>
          <w:tcPr>
            <w:tcW w:w="748" w:type="pct"/>
          </w:tcPr>
          <w:p w14:paraId="45A274A1"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orientalus</w:t>
            </w:r>
            <w:proofErr w:type="spellEnd"/>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thynnus</w:t>
            </w:r>
            <w:proofErr w:type="spellEnd"/>
            <w:r w:rsidRPr="00445CC0">
              <w:rPr>
                <w:rFonts w:ascii="Times New Roman" w:eastAsia="Times New Roman" w:hAnsi="Times New Roman" w:cs="Times New Roman"/>
                <w:i/>
                <w:sz w:val="14"/>
                <w:szCs w:val="20"/>
                <w:lang w:val="en-GB" w:eastAsia="es-ES"/>
              </w:rPr>
              <w:t xml:space="preserve"> 100 %)</w:t>
            </w:r>
          </w:p>
        </w:tc>
      </w:tr>
      <w:tr w:rsidR="00BD14B2" w:rsidRPr="00445CC0" w14:paraId="64028924" w14:textId="77777777" w:rsidTr="0016613A">
        <w:trPr>
          <w:trHeight w:val="284"/>
        </w:trPr>
        <w:tc>
          <w:tcPr>
            <w:tcW w:w="680" w:type="pct"/>
            <w:shd w:val="clear" w:color="auto" w:fill="auto"/>
            <w:noWrap/>
            <w:vAlign w:val="center"/>
            <w:hideMark/>
          </w:tcPr>
          <w:p w14:paraId="1DD8028D"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val="en-US"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alalunga</w:t>
            </w:r>
            <w:proofErr w:type="spellEnd"/>
          </w:p>
        </w:tc>
        <w:tc>
          <w:tcPr>
            <w:tcW w:w="596" w:type="pct"/>
            <w:shd w:val="clear" w:color="auto" w:fill="auto"/>
            <w:noWrap/>
            <w:vAlign w:val="center"/>
            <w:hideMark/>
          </w:tcPr>
          <w:p w14:paraId="02E69AFE"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alalunga</w:t>
            </w:r>
            <w:proofErr w:type="spellEnd"/>
          </w:p>
        </w:tc>
        <w:tc>
          <w:tcPr>
            <w:tcW w:w="488" w:type="pct"/>
            <w:shd w:val="clear" w:color="auto" w:fill="auto"/>
            <w:noWrap/>
            <w:vAlign w:val="center"/>
            <w:hideMark/>
          </w:tcPr>
          <w:p w14:paraId="63D4A57D"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T.alalunga</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6FDD947C"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alalunga</w:t>
            </w:r>
            <w:proofErr w:type="spellEnd"/>
          </w:p>
        </w:tc>
        <w:tc>
          <w:tcPr>
            <w:tcW w:w="550" w:type="pct"/>
            <w:shd w:val="clear" w:color="auto" w:fill="auto"/>
            <w:noWrap/>
            <w:vAlign w:val="center"/>
            <w:hideMark/>
          </w:tcPr>
          <w:p w14:paraId="2296555B"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US" w:eastAsia="es-ES"/>
              </w:rPr>
              <w:t xml:space="preserve">T. </w:t>
            </w:r>
            <w:proofErr w:type="spellStart"/>
            <w:r w:rsidRPr="00445CC0">
              <w:rPr>
                <w:rFonts w:ascii="Times New Roman" w:eastAsia="Times New Roman" w:hAnsi="Times New Roman" w:cs="Times New Roman"/>
                <w:i/>
                <w:sz w:val="14"/>
                <w:szCs w:val="20"/>
                <w:lang w:val="en-US" w:eastAsia="es-ES"/>
              </w:rPr>
              <w:t>alalunga</w:t>
            </w:r>
            <w:proofErr w:type="spellEnd"/>
            <w:r w:rsidRPr="00445CC0">
              <w:rPr>
                <w:rFonts w:ascii="Times New Roman" w:eastAsia="Times New Roman" w:hAnsi="Times New Roman" w:cs="Times New Roman"/>
                <w:i/>
                <w:sz w:val="14"/>
                <w:szCs w:val="20"/>
                <w:lang w:val="en-US" w:eastAsia="es-ES"/>
              </w:rPr>
              <w:t xml:space="preserve"> 100%</w:t>
            </w:r>
          </w:p>
        </w:tc>
        <w:tc>
          <w:tcPr>
            <w:tcW w:w="435" w:type="pct"/>
            <w:shd w:val="clear" w:color="auto" w:fill="auto"/>
            <w:noWrap/>
            <w:vAlign w:val="center"/>
            <w:hideMark/>
          </w:tcPr>
          <w:p w14:paraId="7C5544B8"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US" w:eastAsia="es-ES"/>
              </w:rPr>
              <w:t>Thunnus</w:t>
            </w:r>
            <w:proofErr w:type="spellEnd"/>
            <w:r w:rsidRPr="00445CC0">
              <w:rPr>
                <w:rFonts w:ascii="Times New Roman" w:eastAsia="Times New Roman" w:hAnsi="Times New Roman" w:cs="Times New Roman"/>
                <w:i/>
                <w:sz w:val="14"/>
                <w:szCs w:val="20"/>
                <w:lang w:val="en-US" w:eastAsia="es-ES"/>
              </w:rPr>
              <w:t xml:space="preserve"> </w:t>
            </w:r>
            <w:proofErr w:type="spellStart"/>
            <w:r w:rsidRPr="00445CC0">
              <w:rPr>
                <w:rFonts w:ascii="Times New Roman" w:eastAsia="Times New Roman" w:hAnsi="Times New Roman" w:cs="Times New Roman"/>
                <w:i/>
                <w:sz w:val="14"/>
                <w:szCs w:val="20"/>
                <w:lang w:val="en-US" w:eastAsia="es-ES"/>
              </w:rPr>
              <w:t>alalunga</w:t>
            </w:r>
            <w:proofErr w:type="spellEnd"/>
          </w:p>
        </w:tc>
        <w:tc>
          <w:tcPr>
            <w:tcW w:w="450" w:type="pct"/>
            <w:shd w:val="clear" w:color="auto" w:fill="auto"/>
            <w:noWrap/>
            <w:vAlign w:val="center"/>
            <w:hideMark/>
          </w:tcPr>
          <w:p w14:paraId="6E3A3DAD"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US" w:eastAsia="es-ES"/>
              </w:rPr>
              <w:t xml:space="preserve">T. </w:t>
            </w:r>
            <w:proofErr w:type="spellStart"/>
            <w:r w:rsidRPr="00445CC0">
              <w:rPr>
                <w:rFonts w:ascii="Times New Roman" w:eastAsia="Times New Roman" w:hAnsi="Times New Roman" w:cs="Times New Roman"/>
                <w:i/>
                <w:sz w:val="14"/>
                <w:szCs w:val="20"/>
                <w:lang w:val="en-US" w:eastAsia="es-ES"/>
              </w:rPr>
              <w:t>alalunga</w:t>
            </w:r>
            <w:proofErr w:type="spellEnd"/>
            <w:r w:rsidRPr="00445CC0">
              <w:rPr>
                <w:rFonts w:ascii="Times New Roman" w:eastAsia="Times New Roman" w:hAnsi="Times New Roman" w:cs="Times New Roman"/>
                <w:i/>
                <w:sz w:val="14"/>
                <w:szCs w:val="20"/>
                <w:lang w:val="en-US" w:eastAsia="es-ES"/>
              </w:rPr>
              <w:t xml:space="preserve"> 97%</w:t>
            </w:r>
          </w:p>
        </w:tc>
        <w:tc>
          <w:tcPr>
            <w:tcW w:w="549" w:type="pct"/>
            <w:shd w:val="clear" w:color="auto" w:fill="auto"/>
            <w:noWrap/>
            <w:vAlign w:val="center"/>
            <w:hideMark/>
          </w:tcPr>
          <w:p w14:paraId="4B5D1959"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US" w:eastAsia="es-ES"/>
              </w:rPr>
              <w:t>Thunnus</w:t>
            </w:r>
            <w:proofErr w:type="spellEnd"/>
            <w:r w:rsidRPr="00445CC0">
              <w:rPr>
                <w:rFonts w:ascii="Times New Roman" w:eastAsia="Times New Roman" w:hAnsi="Times New Roman" w:cs="Times New Roman"/>
                <w:i/>
                <w:iCs/>
                <w:sz w:val="14"/>
                <w:szCs w:val="20"/>
                <w:lang w:val="en-US" w:eastAsia="es-ES"/>
              </w:rPr>
              <w:t xml:space="preserve"> </w:t>
            </w:r>
            <w:proofErr w:type="spellStart"/>
            <w:r w:rsidRPr="00445CC0">
              <w:rPr>
                <w:rFonts w:ascii="Times New Roman" w:eastAsia="Times New Roman" w:hAnsi="Times New Roman" w:cs="Times New Roman"/>
                <w:i/>
                <w:iCs/>
                <w:sz w:val="14"/>
                <w:szCs w:val="20"/>
                <w:lang w:eastAsia="es-ES"/>
              </w:rPr>
              <w:t>alalunga</w:t>
            </w:r>
            <w:proofErr w:type="spellEnd"/>
          </w:p>
        </w:tc>
        <w:tc>
          <w:tcPr>
            <w:tcW w:w="748" w:type="pct"/>
          </w:tcPr>
          <w:p w14:paraId="4DA23CC7"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US" w:eastAsia="es-ES"/>
              </w:rPr>
              <w:t xml:space="preserve">T. </w:t>
            </w:r>
            <w:proofErr w:type="spellStart"/>
            <w:r w:rsidRPr="00445CC0">
              <w:rPr>
                <w:rFonts w:ascii="Times New Roman" w:eastAsia="Times New Roman" w:hAnsi="Times New Roman" w:cs="Times New Roman"/>
                <w:i/>
                <w:sz w:val="14"/>
                <w:szCs w:val="20"/>
                <w:lang w:val="en-US" w:eastAsia="es-ES"/>
              </w:rPr>
              <w:t>alalunga</w:t>
            </w:r>
            <w:proofErr w:type="spellEnd"/>
            <w:r w:rsidRPr="00445CC0">
              <w:rPr>
                <w:rFonts w:ascii="Times New Roman" w:eastAsia="Times New Roman" w:hAnsi="Times New Roman" w:cs="Times New Roman"/>
                <w:i/>
                <w:sz w:val="14"/>
                <w:szCs w:val="20"/>
                <w:lang w:val="en-US" w:eastAsia="es-ES"/>
              </w:rPr>
              <w:t xml:space="preserve">/T. </w:t>
            </w:r>
            <w:proofErr w:type="spellStart"/>
            <w:r w:rsidRPr="00445CC0">
              <w:rPr>
                <w:rFonts w:ascii="Times New Roman" w:eastAsia="Times New Roman" w:hAnsi="Times New Roman" w:cs="Times New Roman"/>
                <w:i/>
                <w:sz w:val="14"/>
                <w:szCs w:val="20"/>
                <w:lang w:val="en-US" w:eastAsia="es-ES"/>
              </w:rPr>
              <w:t>thynnus</w:t>
            </w:r>
            <w:proofErr w:type="spellEnd"/>
            <w:r w:rsidRPr="00445CC0">
              <w:rPr>
                <w:rFonts w:ascii="Times New Roman" w:eastAsia="Times New Roman" w:hAnsi="Times New Roman" w:cs="Times New Roman"/>
                <w:i/>
                <w:sz w:val="14"/>
                <w:szCs w:val="20"/>
                <w:lang w:val="en-US" w:eastAsia="es-ES"/>
              </w:rPr>
              <w:t xml:space="preserve"> 100 </w:t>
            </w:r>
          </w:p>
        </w:tc>
      </w:tr>
      <w:tr w:rsidR="00BD14B2" w:rsidRPr="00445CC0" w14:paraId="1E66C32E" w14:textId="77777777" w:rsidTr="0016613A">
        <w:trPr>
          <w:trHeight w:val="284"/>
        </w:trPr>
        <w:tc>
          <w:tcPr>
            <w:tcW w:w="680" w:type="pct"/>
            <w:shd w:val="clear" w:color="auto" w:fill="auto"/>
            <w:noWrap/>
            <w:vAlign w:val="center"/>
            <w:hideMark/>
          </w:tcPr>
          <w:p w14:paraId="505404AA"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albacares</w:t>
            </w:r>
            <w:proofErr w:type="spellEnd"/>
          </w:p>
        </w:tc>
        <w:tc>
          <w:tcPr>
            <w:tcW w:w="596" w:type="pct"/>
            <w:shd w:val="clear" w:color="auto" w:fill="auto"/>
            <w:noWrap/>
            <w:vAlign w:val="center"/>
            <w:hideMark/>
          </w:tcPr>
          <w:p w14:paraId="4243DEC0"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albacares</w:t>
            </w:r>
            <w:proofErr w:type="spellEnd"/>
            <w:r w:rsidRPr="00445CC0">
              <w:rPr>
                <w:rFonts w:ascii="Times New Roman" w:eastAsia="Times New Roman" w:hAnsi="Times New Roman" w:cs="Times New Roman"/>
                <w:i/>
                <w:iCs/>
                <w:sz w:val="14"/>
                <w:szCs w:val="20"/>
                <w:lang w:val="en-GB" w:eastAsia="es-ES"/>
              </w:rPr>
              <w:t xml:space="preserve">/T. </w:t>
            </w:r>
            <w:proofErr w:type="spellStart"/>
            <w:r w:rsidRPr="00445CC0">
              <w:rPr>
                <w:rFonts w:ascii="Times New Roman" w:eastAsia="Times New Roman" w:hAnsi="Times New Roman" w:cs="Times New Roman"/>
                <w:i/>
                <w:iCs/>
                <w:sz w:val="14"/>
                <w:szCs w:val="20"/>
                <w:lang w:val="en-GB" w:eastAsia="es-ES"/>
              </w:rPr>
              <w:t>obesus</w:t>
            </w:r>
            <w:proofErr w:type="spellEnd"/>
          </w:p>
        </w:tc>
        <w:tc>
          <w:tcPr>
            <w:tcW w:w="488" w:type="pct"/>
            <w:shd w:val="clear" w:color="auto" w:fill="auto"/>
            <w:noWrap/>
            <w:vAlign w:val="center"/>
            <w:hideMark/>
          </w:tcPr>
          <w:p w14:paraId="40C5424B"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eastAsia="es-ES"/>
              </w:rPr>
            </w:pPr>
            <w:proofErr w:type="spellStart"/>
            <w:r w:rsidRPr="00445CC0">
              <w:rPr>
                <w:rFonts w:ascii="Times New Roman" w:eastAsia="Times New Roman" w:hAnsi="Times New Roman" w:cs="Times New Roman"/>
                <w:i/>
                <w:sz w:val="14"/>
                <w:szCs w:val="20"/>
                <w:lang w:val="en-GB" w:eastAsia="es-ES"/>
              </w:rPr>
              <w:t>T.albacares</w:t>
            </w:r>
            <w:proofErr w:type="spellEnd"/>
            <w:r w:rsidRPr="00445CC0">
              <w:rPr>
                <w:rFonts w:ascii="Times New Roman" w:eastAsia="Times New Roman" w:hAnsi="Times New Roman" w:cs="Times New Roman"/>
                <w:i/>
                <w:sz w:val="14"/>
                <w:szCs w:val="20"/>
                <w:lang w:val="en-GB" w:eastAsia="es-ES"/>
              </w:rPr>
              <w:t>/</w:t>
            </w:r>
            <w:r w:rsidRPr="00445CC0">
              <w:rPr>
                <w:rFonts w:ascii="Times New Roman" w:eastAsia="Times New Roman" w:hAnsi="Times New Roman" w:cs="Times New Roman"/>
                <w:i/>
                <w:iCs/>
                <w:sz w:val="14"/>
                <w:szCs w:val="20"/>
                <w:lang w:val="en-GB" w:eastAsia="es-ES"/>
              </w:rPr>
              <w:t xml:space="preserve">T. </w:t>
            </w:r>
            <w:proofErr w:type="spellStart"/>
            <w:r w:rsidRPr="00445CC0">
              <w:rPr>
                <w:rFonts w:ascii="Times New Roman" w:eastAsia="Times New Roman" w:hAnsi="Times New Roman" w:cs="Times New Roman"/>
                <w:i/>
                <w:iCs/>
                <w:sz w:val="14"/>
                <w:szCs w:val="20"/>
                <w:lang w:val="en-GB" w:eastAsia="es-ES"/>
              </w:rPr>
              <w:t>obesus</w:t>
            </w:r>
            <w:proofErr w:type="spellEnd"/>
            <w:r w:rsidRPr="00445CC0">
              <w:rPr>
                <w:rFonts w:ascii="Times New Roman" w:eastAsia="Times New Roman" w:hAnsi="Times New Roman" w:cs="Times New Roman"/>
                <w:i/>
                <w:iCs/>
                <w:sz w:val="14"/>
                <w:szCs w:val="20"/>
                <w:lang w:val="en-GB" w:eastAsia="es-ES"/>
              </w:rPr>
              <w:t xml:space="preserve"> 100%</w:t>
            </w:r>
          </w:p>
        </w:tc>
        <w:tc>
          <w:tcPr>
            <w:tcW w:w="504" w:type="pct"/>
            <w:shd w:val="clear" w:color="auto" w:fill="auto"/>
            <w:noWrap/>
            <w:vAlign w:val="center"/>
            <w:hideMark/>
          </w:tcPr>
          <w:p w14:paraId="6A8D0937"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albacares</w:t>
            </w:r>
            <w:proofErr w:type="spellEnd"/>
          </w:p>
        </w:tc>
        <w:tc>
          <w:tcPr>
            <w:tcW w:w="550" w:type="pct"/>
            <w:shd w:val="clear" w:color="auto" w:fill="auto"/>
            <w:noWrap/>
            <w:vAlign w:val="center"/>
            <w:hideMark/>
          </w:tcPr>
          <w:p w14:paraId="3FA7783E"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albacares</w:t>
            </w:r>
            <w:proofErr w:type="spellEnd"/>
            <w:r w:rsidRPr="00445CC0">
              <w:rPr>
                <w:rFonts w:ascii="Times New Roman" w:eastAsia="Times New Roman" w:hAnsi="Times New Roman" w:cs="Times New Roman"/>
                <w:i/>
                <w:sz w:val="14"/>
                <w:szCs w:val="20"/>
                <w:lang w:val="en-GB" w:eastAsia="es-ES"/>
              </w:rPr>
              <w:t xml:space="preserve"> 100%</w:t>
            </w:r>
          </w:p>
        </w:tc>
        <w:tc>
          <w:tcPr>
            <w:tcW w:w="435" w:type="pct"/>
            <w:shd w:val="clear" w:color="auto" w:fill="auto"/>
            <w:noWrap/>
            <w:vAlign w:val="center"/>
            <w:hideMark/>
          </w:tcPr>
          <w:p w14:paraId="16BCC6A1"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Thunnus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albacares</w:t>
            </w:r>
            <w:proofErr w:type="spellEnd"/>
          </w:p>
        </w:tc>
        <w:tc>
          <w:tcPr>
            <w:tcW w:w="450" w:type="pct"/>
            <w:shd w:val="clear" w:color="auto" w:fill="auto"/>
            <w:noWrap/>
            <w:vAlign w:val="center"/>
            <w:hideMark/>
          </w:tcPr>
          <w:p w14:paraId="631CDBBD"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albacares</w:t>
            </w:r>
            <w:proofErr w:type="spellEnd"/>
            <w:r w:rsidRPr="00445CC0">
              <w:rPr>
                <w:rFonts w:ascii="Times New Roman" w:eastAsia="Times New Roman" w:hAnsi="Times New Roman" w:cs="Times New Roman"/>
                <w:i/>
                <w:sz w:val="14"/>
                <w:szCs w:val="20"/>
                <w:lang w:val="en-GB" w:eastAsia="es-ES"/>
              </w:rPr>
              <w:t xml:space="preserve"> 99%</w:t>
            </w:r>
          </w:p>
        </w:tc>
        <w:tc>
          <w:tcPr>
            <w:tcW w:w="549" w:type="pct"/>
            <w:shd w:val="clear" w:color="auto" w:fill="auto"/>
            <w:noWrap/>
            <w:vAlign w:val="center"/>
            <w:hideMark/>
          </w:tcPr>
          <w:p w14:paraId="6526C5EA"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albacares</w:t>
            </w:r>
            <w:proofErr w:type="spellEnd"/>
          </w:p>
        </w:tc>
        <w:tc>
          <w:tcPr>
            <w:tcW w:w="748" w:type="pct"/>
          </w:tcPr>
          <w:p w14:paraId="1B837D33"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albacares</w:t>
            </w:r>
            <w:proofErr w:type="spellEnd"/>
            <w:r w:rsidRPr="00445CC0">
              <w:rPr>
                <w:rFonts w:ascii="Times New Roman" w:eastAsia="Times New Roman" w:hAnsi="Times New Roman" w:cs="Times New Roman"/>
                <w:i/>
                <w:sz w:val="14"/>
                <w:szCs w:val="20"/>
                <w:lang w:val="en-GB" w:eastAsia="es-ES"/>
              </w:rPr>
              <w:t>/</w:t>
            </w:r>
            <w:proofErr w:type="spellStart"/>
            <w:r w:rsidRPr="00445CC0">
              <w:rPr>
                <w:rFonts w:ascii="Times New Roman" w:eastAsia="Times New Roman" w:hAnsi="Times New Roman" w:cs="Times New Roman"/>
                <w:i/>
                <w:sz w:val="14"/>
                <w:szCs w:val="20"/>
                <w:lang w:val="en-GB" w:eastAsia="es-ES"/>
              </w:rPr>
              <w:t>obesus</w:t>
            </w:r>
            <w:proofErr w:type="spellEnd"/>
            <w:r w:rsidRPr="00445CC0">
              <w:rPr>
                <w:rFonts w:ascii="Times New Roman" w:eastAsia="Times New Roman" w:hAnsi="Times New Roman" w:cs="Times New Roman"/>
                <w:i/>
                <w:sz w:val="14"/>
                <w:szCs w:val="20"/>
                <w:lang w:val="en-GB" w:eastAsia="es-ES"/>
              </w:rPr>
              <w:t xml:space="preserve"> 100 %</w:t>
            </w:r>
          </w:p>
        </w:tc>
      </w:tr>
      <w:tr w:rsidR="00BD14B2" w:rsidRPr="00445CC0" w14:paraId="1E657C6D" w14:textId="77777777" w:rsidTr="0016613A">
        <w:trPr>
          <w:trHeight w:val="284"/>
        </w:trPr>
        <w:tc>
          <w:tcPr>
            <w:tcW w:w="680" w:type="pct"/>
            <w:shd w:val="clear" w:color="auto" w:fill="auto"/>
            <w:noWrap/>
            <w:vAlign w:val="center"/>
            <w:hideMark/>
          </w:tcPr>
          <w:p w14:paraId="675A7148"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obesus</w:t>
            </w:r>
            <w:proofErr w:type="spellEnd"/>
          </w:p>
        </w:tc>
        <w:tc>
          <w:tcPr>
            <w:tcW w:w="596" w:type="pct"/>
            <w:shd w:val="clear" w:color="auto" w:fill="auto"/>
            <w:noWrap/>
            <w:vAlign w:val="center"/>
            <w:hideMark/>
          </w:tcPr>
          <w:p w14:paraId="13B8D27E"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obesus</w:t>
            </w:r>
            <w:proofErr w:type="spellEnd"/>
          </w:p>
        </w:tc>
        <w:tc>
          <w:tcPr>
            <w:tcW w:w="488" w:type="pct"/>
            <w:shd w:val="clear" w:color="auto" w:fill="auto"/>
            <w:noWrap/>
            <w:vAlign w:val="center"/>
            <w:hideMark/>
          </w:tcPr>
          <w:p w14:paraId="346FDE80"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obesus</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42B7AD37"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obesus</w:t>
            </w:r>
            <w:proofErr w:type="spellEnd"/>
          </w:p>
        </w:tc>
        <w:tc>
          <w:tcPr>
            <w:tcW w:w="550" w:type="pct"/>
            <w:shd w:val="clear" w:color="auto" w:fill="auto"/>
            <w:noWrap/>
            <w:vAlign w:val="center"/>
            <w:hideMark/>
          </w:tcPr>
          <w:p w14:paraId="1B7CF338"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T. obesus100%</w:t>
            </w:r>
          </w:p>
        </w:tc>
        <w:tc>
          <w:tcPr>
            <w:tcW w:w="435" w:type="pct"/>
            <w:shd w:val="clear" w:color="auto" w:fill="auto"/>
            <w:noWrap/>
            <w:vAlign w:val="center"/>
            <w:hideMark/>
          </w:tcPr>
          <w:p w14:paraId="238B75D3"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Thunnus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obesus</w:t>
            </w:r>
            <w:proofErr w:type="spellEnd"/>
          </w:p>
        </w:tc>
        <w:tc>
          <w:tcPr>
            <w:tcW w:w="450" w:type="pct"/>
            <w:shd w:val="clear" w:color="auto" w:fill="auto"/>
            <w:noWrap/>
            <w:vAlign w:val="center"/>
            <w:hideMark/>
          </w:tcPr>
          <w:p w14:paraId="3833E842"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obesus</w:t>
            </w:r>
            <w:proofErr w:type="spellEnd"/>
            <w:r w:rsidRPr="00445CC0">
              <w:rPr>
                <w:rFonts w:ascii="Times New Roman" w:eastAsia="Times New Roman" w:hAnsi="Times New Roman" w:cs="Times New Roman"/>
                <w:i/>
                <w:sz w:val="14"/>
                <w:szCs w:val="20"/>
                <w:lang w:val="en-GB" w:eastAsia="es-ES"/>
              </w:rPr>
              <w:t xml:space="preserve"> 99%</w:t>
            </w:r>
          </w:p>
        </w:tc>
        <w:tc>
          <w:tcPr>
            <w:tcW w:w="549" w:type="pct"/>
            <w:shd w:val="clear" w:color="auto" w:fill="auto"/>
            <w:noWrap/>
            <w:vAlign w:val="center"/>
            <w:hideMark/>
          </w:tcPr>
          <w:p w14:paraId="3A620631"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obesus</w:t>
            </w:r>
            <w:proofErr w:type="spellEnd"/>
          </w:p>
        </w:tc>
        <w:tc>
          <w:tcPr>
            <w:tcW w:w="748" w:type="pct"/>
          </w:tcPr>
          <w:p w14:paraId="5D9453F3"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obesus</w:t>
            </w:r>
            <w:proofErr w:type="spellEnd"/>
            <w:r w:rsidRPr="00445CC0">
              <w:rPr>
                <w:rFonts w:ascii="Times New Roman" w:eastAsia="Times New Roman" w:hAnsi="Times New Roman" w:cs="Times New Roman"/>
                <w:i/>
                <w:sz w:val="14"/>
                <w:szCs w:val="20"/>
                <w:lang w:val="en-GB" w:eastAsia="es-ES"/>
              </w:rPr>
              <w:t xml:space="preserve"> 100 %</w:t>
            </w:r>
          </w:p>
        </w:tc>
      </w:tr>
      <w:tr w:rsidR="00BD14B2" w:rsidRPr="00445CC0" w14:paraId="0AAFDBEF" w14:textId="77777777" w:rsidTr="0016613A">
        <w:trPr>
          <w:trHeight w:val="284"/>
        </w:trPr>
        <w:tc>
          <w:tcPr>
            <w:tcW w:w="680" w:type="pct"/>
            <w:shd w:val="clear" w:color="auto" w:fill="auto"/>
            <w:noWrap/>
            <w:vAlign w:val="center"/>
            <w:hideMark/>
          </w:tcPr>
          <w:p w14:paraId="366331B2"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val="en-US"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thynnus</w:t>
            </w:r>
            <w:proofErr w:type="spellEnd"/>
          </w:p>
        </w:tc>
        <w:tc>
          <w:tcPr>
            <w:tcW w:w="596" w:type="pct"/>
            <w:shd w:val="clear" w:color="auto" w:fill="auto"/>
            <w:noWrap/>
            <w:vAlign w:val="center"/>
            <w:hideMark/>
          </w:tcPr>
          <w:p w14:paraId="16765A2D"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thynnus</w:t>
            </w:r>
            <w:proofErr w:type="spellEnd"/>
          </w:p>
        </w:tc>
        <w:tc>
          <w:tcPr>
            <w:tcW w:w="488" w:type="pct"/>
            <w:shd w:val="clear" w:color="auto" w:fill="auto"/>
            <w:noWrap/>
            <w:vAlign w:val="center"/>
            <w:hideMark/>
          </w:tcPr>
          <w:p w14:paraId="556E2206"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thynnus</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7D1C2A6D"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thynnus</w:t>
            </w:r>
            <w:proofErr w:type="spellEnd"/>
          </w:p>
        </w:tc>
        <w:tc>
          <w:tcPr>
            <w:tcW w:w="550" w:type="pct"/>
            <w:shd w:val="clear" w:color="auto" w:fill="auto"/>
            <w:noWrap/>
            <w:vAlign w:val="center"/>
            <w:hideMark/>
          </w:tcPr>
          <w:p w14:paraId="3C94872B"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thynnus</w:t>
            </w:r>
            <w:proofErr w:type="spellEnd"/>
            <w:r w:rsidRPr="00445CC0">
              <w:rPr>
                <w:rFonts w:ascii="Times New Roman" w:eastAsia="Times New Roman" w:hAnsi="Times New Roman" w:cs="Times New Roman"/>
                <w:i/>
                <w:sz w:val="14"/>
                <w:szCs w:val="20"/>
                <w:lang w:val="en-GB" w:eastAsia="es-ES"/>
              </w:rPr>
              <w:t xml:space="preserve"> 100%</w:t>
            </w:r>
          </w:p>
        </w:tc>
        <w:tc>
          <w:tcPr>
            <w:tcW w:w="435" w:type="pct"/>
            <w:shd w:val="clear" w:color="auto" w:fill="auto"/>
            <w:noWrap/>
            <w:vAlign w:val="center"/>
            <w:hideMark/>
          </w:tcPr>
          <w:p w14:paraId="291241EE"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Thunnus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thynnus</w:t>
            </w:r>
            <w:proofErr w:type="spellEnd"/>
          </w:p>
        </w:tc>
        <w:tc>
          <w:tcPr>
            <w:tcW w:w="450" w:type="pct"/>
            <w:shd w:val="clear" w:color="auto" w:fill="auto"/>
            <w:noWrap/>
            <w:vAlign w:val="center"/>
            <w:hideMark/>
          </w:tcPr>
          <w:p w14:paraId="3C7821FA"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thynnus</w:t>
            </w:r>
            <w:proofErr w:type="spellEnd"/>
            <w:r w:rsidRPr="00445CC0">
              <w:rPr>
                <w:rFonts w:ascii="Times New Roman" w:eastAsia="Times New Roman" w:hAnsi="Times New Roman" w:cs="Times New Roman"/>
                <w:i/>
                <w:sz w:val="14"/>
                <w:szCs w:val="20"/>
                <w:lang w:val="en-GB" w:eastAsia="es-ES"/>
              </w:rPr>
              <w:t xml:space="preserve"> 99%</w:t>
            </w:r>
          </w:p>
        </w:tc>
        <w:tc>
          <w:tcPr>
            <w:tcW w:w="549" w:type="pct"/>
            <w:shd w:val="clear" w:color="auto" w:fill="auto"/>
            <w:noWrap/>
            <w:vAlign w:val="center"/>
            <w:hideMark/>
          </w:tcPr>
          <w:p w14:paraId="67BC377A"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thynnus</w:t>
            </w:r>
            <w:proofErr w:type="spellEnd"/>
          </w:p>
        </w:tc>
        <w:tc>
          <w:tcPr>
            <w:tcW w:w="748" w:type="pct"/>
          </w:tcPr>
          <w:p w14:paraId="3AA94459"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thynnus</w:t>
            </w:r>
            <w:proofErr w:type="spellEnd"/>
            <w:r w:rsidRPr="00445CC0">
              <w:rPr>
                <w:rFonts w:ascii="Times New Roman" w:eastAsia="Times New Roman" w:hAnsi="Times New Roman" w:cs="Times New Roman"/>
                <w:i/>
                <w:sz w:val="14"/>
                <w:szCs w:val="20"/>
                <w:lang w:val="en-GB" w:eastAsia="es-ES"/>
              </w:rPr>
              <w:t xml:space="preserve"> 100 %</w:t>
            </w:r>
          </w:p>
        </w:tc>
      </w:tr>
      <w:tr w:rsidR="00BD14B2" w:rsidRPr="00445CC0" w14:paraId="4D8C4863" w14:textId="77777777" w:rsidTr="0016613A">
        <w:trPr>
          <w:trHeight w:val="284"/>
        </w:trPr>
        <w:tc>
          <w:tcPr>
            <w:tcW w:w="680" w:type="pct"/>
            <w:shd w:val="clear" w:color="auto" w:fill="auto"/>
            <w:noWrap/>
            <w:vAlign w:val="center"/>
            <w:hideMark/>
          </w:tcPr>
          <w:p w14:paraId="17950BE3"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val="en-US" w:eastAsia="es-ES"/>
              </w:rPr>
            </w:pPr>
            <w:proofErr w:type="spellStart"/>
            <w:r w:rsidRPr="00445CC0">
              <w:rPr>
                <w:rFonts w:ascii="Times New Roman" w:eastAsia="Times New Roman" w:hAnsi="Times New Roman" w:cs="Times New Roman"/>
                <w:b/>
                <w:bCs/>
                <w:i/>
                <w:iCs/>
                <w:sz w:val="14"/>
                <w:szCs w:val="20"/>
                <w:lang w:val="en-GB" w:eastAsia="es-ES"/>
              </w:rPr>
              <w:t>Thunnus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tonggol</w:t>
            </w:r>
            <w:proofErr w:type="spellEnd"/>
          </w:p>
        </w:tc>
        <w:tc>
          <w:tcPr>
            <w:tcW w:w="596" w:type="pct"/>
            <w:shd w:val="clear" w:color="auto" w:fill="auto"/>
            <w:noWrap/>
            <w:vAlign w:val="center"/>
            <w:hideMark/>
          </w:tcPr>
          <w:p w14:paraId="4BF5AF73"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tonggol</w:t>
            </w:r>
            <w:proofErr w:type="spellEnd"/>
          </w:p>
        </w:tc>
        <w:tc>
          <w:tcPr>
            <w:tcW w:w="488" w:type="pct"/>
            <w:shd w:val="clear" w:color="auto" w:fill="auto"/>
            <w:noWrap/>
            <w:vAlign w:val="center"/>
            <w:hideMark/>
          </w:tcPr>
          <w:p w14:paraId="2B589A28"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tonggol</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011EC009"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tonggol</w:t>
            </w:r>
            <w:proofErr w:type="spellEnd"/>
          </w:p>
        </w:tc>
        <w:tc>
          <w:tcPr>
            <w:tcW w:w="550" w:type="pct"/>
            <w:shd w:val="clear" w:color="auto" w:fill="auto"/>
            <w:noWrap/>
            <w:vAlign w:val="center"/>
            <w:hideMark/>
          </w:tcPr>
          <w:p w14:paraId="13B9C209"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tonggol</w:t>
            </w:r>
            <w:proofErr w:type="spellEnd"/>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atlanticus</w:t>
            </w:r>
            <w:proofErr w:type="spellEnd"/>
            <w:r w:rsidRPr="00445CC0">
              <w:rPr>
                <w:rFonts w:ascii="Times New Roman" w:eastAsia="Times New Roman" w:hAnsi="Times New Roman" w:cs="Times New Roman"/>
                <w:i/>
                <w:sz w:val="14"/>
                <w:szCs w:val="20"/>
                <w:lang w:val="en-GB" w:eastAsia="es-ES"/>
              </w:rPr>
              <w:t>/</w:t>
            </w:r>
            <w:proofErr w:type="spellStart"/>
            <w:r w:rsidRPr="00445CC0">
              <w:rPr>
                <w:rFonts w:ascii="Times New Roman" w:eastAsia="Times New Roman" w:hAnsi="Times New Roman" w:cs="Times New Roman"/>
                <w:i/>
                <w:sz w:val="14"/>
                <w:szCs w:val="20"/>
                <w:lang w:val="en-GB" w:eastAsia="es-ES"/>
              </w:rPr>
              <w:t>T.albacares</w:t>
            </w:r>
            <w:proofErr w:type="spellEnd"/>
            <w:r w:rsidRPr="00445CC0">
              <w:rPr>
                <w:rFonts w:ascii="Times New Roman" w:eastAsia="Times New Roman" w:hAnsi="Times New Roman" w:cs="Times New Roman"/>
                <w:i/>
                <w:sz w:val="14"/>
                <w:szCs w:val="20"/>
                <w:lang w:val="en-GB" w:eastAsia="es-ES"/>
              </w:rPr>
              <w:t xml:space="preserve"> 99%</w:t>
            </w:r>
          </w:p>
        </w:tc>
        <w:tc>
          <w:tcPr>
            <w:tcW w:w="435" w:type="pct"/>
            <w:shd w:val="clear" w:color="auto" w:fill="auto"/>
            <w:noWrap/>
            <w:vAlign w:val="center"/>
            <w:hideMark/>
          </w:tcPr>
          <w:p w14:paraId="58557F8D" w14:textId="77777777" w:rsidR="00BD14B2" w:rsidRPr="00445CC0" w:rsidRDefault="00BD14B2" w:rsidP="0016613A">
            <w:pPr>
              <w:spacing w:after="0" w:line="240" w:lineRule="auto"/>
              <w:jc w:val="both"/>
              <w:rPr>
                <w:rFonts w:ascii="Times New Roman" w:eastAsia="Times New Roman" w:hAnsi="Times New Roman" w:cs="Times New Roman"/>
                <w:sz w:val="14"/>
                <w:szCs w:val="20"/>
                <w:lang w:val="en-US" w:eastAsia="es-ES"/>
              </w:rPr>
            </w:pPr>
            <w:r w:rsidRPr="00445CC0">
              <w:rPr>
                <w:rFonts w:ascii="Times New Roman" w:eastAsia="Times New Roman" w:hAnsi="Times New Roman" w:cs="Times New Roman"/>
                <w:sz w:val="14"/>
                <w:szCs w:val="20"/>
                <w:lang w:val="en-GB" w:eastAsia="es-ES"/>
              </w:rPr>
              <w:t>No reference</w:t>
            </w:r>
          </w:p>
        </w:tc>
        <w:tc>
          <w:tcPr>
            <w:tcW w:w="450" w:type="pct"/>
            <w:shd w:val="clear" w:color="auto" w:fill="auto"/>
            <w:noWrap/>
            <w:vAlign w:val="center"/>
            <w:hideMark/>
          </w:tcPr>
          <w:p w14:paraId="630B36F9"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tonggol</w:t>
            </w:r>
            <w:proofErr w:type="spellEnd"/>
            <w:r w:rsidRPr="00445CC0">
              <w:rPr>
                <w:rFonts w:ascii="Times New Roman" w:eastAsia="Times New Roman" w:hAnsi="Times New Roman" w:cs="Times New Roman"/>
                <w:i/>
                <w:sz w:val="14"/>
                <w:szCs w:val="20"/>
                <w:lang w:val="en-GB" w:eastAsia="es-ES"/>
              </w:rPr>
              <w:t xml:space="preserve"> 98%</w:t>
            </w:r>
          </w:p>
        </w:tc>
        <w:tc>
          <w:tcPr>
            <w:tcW w:w="549" w:type="pct"/>
            <w:shd w:val="clear" w:color="auto" w:fill="auto"/>
            <w:noWrap/>
            <w:vAlign w:val="center"/>
            <w:hideMark/>
          </w:tcPr>
          <w:p w14:paraId="4048E272"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Thunnus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tonggol</w:t>
            </w:r>
            <w:proofErr w:type="spellEnd"/>
          </w:p>
        </w:tc>
        <w:tc>
          <w:tcPr>
            <w:tcW w:w="748" w:type="pct"/>
          </w:tcPr>
          <w:p w14:paraId="47241025"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T. </w:t>
            </w:r>
            <w:proofErr w:type="spellStart"/>
            <w:r w:rsidRPr="00445CC0">
              <w:rPr>
                <w:rFonts w:ascii="Times New Roman" w:eastAsia="Times New Roman" w:hAnsi="Times New Roman" w:cs="Times New Roman"/>
                <w:i/>
                <w:sz w:val="14"/>
                <w:szCs w:val="20"/>
                <w:lang w:val="en-GB" w:eastAsia="es-ES"/>
              </w:rPr>
              <w:t>tonggol</w:t>
            </w:r>
            <w:proofErr w:type="spellEnd"/>
            <w:r w:rsidRPr="00445CC0">
              <w:rPr>
                <w:rFonts w:ascii="Times New Roman" w:eastAsia="Times New Roman" w:hAnsi="Times New Roman" w:cs="Times New Roman"/>
                <w:i/>
                <w:sz w:val="14"/>
                <w:szCs w:val="20"/>
                <w:lang w:val="en-GB" w:eastAsia="es-ES"/>
              </w:rPr>
              <w:t xml:space="preserve"> 99 %</w:t>
            </w:r>
          </w:p>
        </w:tc>
      </w:tr>
      <w:tr w:rsidR="00BD14B2" w:rsidRPr="00445CC0" w14:paraId="72069AC4" w14:textId="77777777" w:rsidTr="0016613A">
        <w:trPr>
          <w:trHeight w:val="284"/>
        </w:trPr>
        <w:tc>
          <w:tcPr>
            <w:tcW w:w="680" w:type="pct"/>
            <w:shd w:val="clear" w:color="auto" w:fill="auto"/>
            <w:noWrap/>
            <w:vAlign w:val="center"/>
            <w:hideMark/>
          </w:tcPr>
          <w:p w14:paraId="19C1DBDA" w14:textId="77777777" w:rsidR="00BD14B2" w:rsidRPr="00445CC0" w:rsidRDefault="00BD14B2" w:rsidP="0016613A">
            <w:pPr>
              <w:spacing w:after="0" w:line="240" w:lineRule="auto"/>
              <w:jc w:val="both"/>
              <w:rPr>
                <w:rFonts w:ascii="Times New Roman" w:eastAsia="Times New Roman" w:hAnsi="Times New Roman" w:cs="Times New Roman"/>
                <w:b/>
                <w:bCs/>
                <w:i/>
                <w:iCs/>
                <w:sz w:val="14"/>
                <w:szCs w:val="20"/>
                <w:lang w:val="en-US" w:eastAsia="es-ES"/>
              </w:rPr>
            </w:pPr>
            <w:proofErr w:type="spellStart"/>
            <w:r w:rsidRPr="00445CC0">
              <w:rPr>
                <w:rFonts w:ascii="Times New Roman" w:eastAsia="Times New Roman" w:hAnsi="Times New Roman" w:cs="Times New Roman"/>
                <w:b/>
                <w:bCs/>
                <w:i/>
                <w:iCs/>
                <w:sz w:val="14"/>
                <w:szCs w:val="20"/>
                <w:lang w:val="en-GB" w:eastAsia="es-ES"/>
              </w:rPr>
              <w:t>Katsuwonus</w:t>
            </w:r>
            <w:proofErr w:type="spellEnd"/>
            <w:r w:rsidRPr="00445CC0">
              <w:rPr>
                <w:rFonts w:ascii="Times New Roman" w:eastAsia="Times New Roman" w:hAnsi="Times New Roman" w:cs="Times New Roman"/>
                <w:b/>
                <w:bCs/>
                <w:i/>
                <w:iCs/>
                <w:sz w:val="14"/>
                <w:szCs w:val="20"/>
                <w:lang w:val="en-GB" w:eastAsia="es-ES"/>
              </w:rPr>
              <w:t xml:space="preserve"> </w:t>
            </w:r>
            <w:proofErr w:type="spellStart"/>
            <w:r w:rsidRPr="00445CC0">
              <w:rPr>
                <w:rFonts w:ascii="Times New Roman" w:eastAsia="Times New Roman" w:hAnsi="Times New Roman" w:cs="Times New Roman"/>
                <w:b/>
                <w:bCs/>
                <w:i/>
                <w:iCs/>
                <w:sz w:val="14"/>
                <w:szCs w:val="20"/>
                <w:lang w:val="en-GB" w:eastAsia="es-ES"/>
              </w:rPr>
              <w:t>pelamis</w:t>
            </w:r>
            <w:proofErr w:type="spellEnd"/>
          </w:p>
        </w:tc>
        <w:tc>
          <w:tcPr>
            <w:tcW w:w="596" w:type="pct"/>
            <w:shd w:val="clear" w:color="auto" w:fill="auto"/>
            <w:noWrap/>
            <w:vAlign w:val="center"/>
            <w:hideMark/>
          </w:tcPr>
          <w:p w14:paraId="3D1C0486"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Katsuwonus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pelamis</w:t>
            </w:r>
            <w:proofErr w:type="spellEnd"/>
          </w:p>
        </w:tc>
        <w:tc>
          <w:tcPr>
            <w:tcW w:w="488" w:type="pct"/>
            <w:shd w:val="clear" w:color="auto" w:fill="auto"/>
            <w:noWrap/>
            <w:vAlign w:val="center"/>
            <w:hideMark/>
          </w:tcPr>
          <w:p w14:paraId="76E669B5"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K. </w:t>
            </w:r>
            <w:proofErr w:type="spellStart"/>
            <w:r w:rsidRPr="00445CC0">
              <w:rPr>
                <w:rFonts w:ascii="Times New Roman" w:eastAsia="Times New Roman" w:hAnsi="Times New Roman" w:cs="Times New Roman"/>
                <w:i/>
                <w:sz w:val="14"/>
                <w:szCs w:val="20"/>
                <w:lang w:val="en-GB" w:eastAsia="es-ES"/>
              </w:rPr>
              <w:t>pelamis</w:t>
            </w:r>
            <w:proofErr w:type="spellEnd"/>
            <w:r w:rsidRPr="00445CC0">
              <w:rPr>
                <w:rFonts w:ascii="Times New Roman" w:eastAsia="Times New Roman" w:hAnsi="Times New Roman" w:cs="Times New Roman"/>
                <w:i/>
                <w:sz w:val="14"/>
                <w:szCs w:val="20"/>
                <w:lang w:val="en-GB" w:eastAsia="es-ES"/>
              </w:rPr>
              <w:t xml:space="preserve"> 100%</w:t>
            </w:r>
          </w:p>
        </w:tc>
        <w:tc>
          <w:tcPr>
            <w:tcW w:w="504" w:type="pct"/>
            <w:shd w:val="clear" w:color="auto" w:fill="auto"/>
            <w:noWrap/>
            <w:vAlign w:val="center"/>
            <w:hideMark/>
          </w:tcPr>
          <w:p w14:paraId="00724D94"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Katsuwonus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pelamis</w:t>
            </w:r>
            <w:proofErr w:type="spellEnd"/>
          </w:p>
        </w:tc>
        <w:tc>
          <w:tcPr>
            <w:tcW w:w="550" w:type="pct"/>
            <w:shd w:val="clear" w:color="auto" w:fill="auto"/>
            <w:noWrap/>
            <w:vAlign w:val="center"/>
            <w:hideMark/>
          </w:tcPr>
          <w:p w14:paraId="3C16CDF4"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Katsuwonus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pelamis</w:t>
            </w:r>
            <w:proofErr w:type="spellEnd"/>
            <w:r w:rsidRPr="00445CC0">
              <w:rPr>
                <w:rFonts w:ascii="Times New Roman" w:eastAsia="Times New Roman" w:hAnsi="Times New Roman" w:cs="Times New Roman"/>
                <w:i/>
                <w:sz w:val="14"/>
                <w:szCs w:val="20"/>
                <w:lang w:val="en-GB" w:eastAsia="es-ES"/>
              </w:rPr>
              <w:t xml:space="preserve"> 99%</w:t>
            </w:r>
          </w:p>
        </w:tc>
        <w:tc>
          <w:tcPr>
            <w:tcW w:w="435" w:type="pct"/>
            <w:shd w:val="clear" w:color="auto" w:fill="auto"/>
            <w:noWrap/>
            <w:vAlign w:val="center"/>
            <w:hideMark/>
          </w:tcPr>
          <w:p w14:paraId="51E7E368"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proofErr w:type="spellStart"/>
            <w:r w:rsidRPr="00445CC0">
              <w:rPr>
                <w:rFonts w:ascii="Times New Roman" w:eastAsia="Times New Roman" w:hAnsi="Times New Roman" w:cs="Times New Roman"/>
                <w:i/>
                <w:sz w:val="14"/>
                <w:szCs w:val="20"/>
                <w:lang w:val="en-GB" w:eastAsia="es-ES"/>
              </w:rPr>
              <w:t>Katsuwonus</w:t>
            </w:r>
            <w:proofErr w:type="spellEnd"/>
            <w:r w:rsidRPr="00445CC0">
              <w:rPr>
                <w:rFonts w:ascii="Times New Roman" w:eastAsia="Times New Roman" w:hAnsi="Times New Roman" w:cs="Times New Roman"/>
                <w:i/>
                <w:sz w:val="14"/>
                <w:szCs w:val="20"/>
                <w:lang w:val="en-GB" w:eastAsia="es-ES"/>
              </w:rPr>
              <w:t xml:space="preserve"> </w:t>
            </w:r>
            <w:proofErr w:type="spellStart"/>
            <w:r w:rsidRPr="00445CC0">
              <w:rPr>
                <w:rFonts w:ascii="Times New Roman" w:eastAsia="Times New Roman" w:hAnsi="Times New Roman" w:cs="Times New Roman"/>
                <w:i/>
                <w:sz w:val="14"/>
                <w:szCs w:val="20"/>
                <w:lang w:val="en-GB" w:eastAsia="es-ES"/>
              </w:rPr>
              <w:t>pelamis</w:t>
            </w:r>
            <w:proofErr w:type="spellEnd"/>
          </w:p>
        </w:tc>
        <w:tc>
          <w:tcPr>
            <w:tcW w:w="450" w:type="pct"/>
            <w:shd w:val="clear" w:color="auto" w:fill="auto"/>
            <w:noWrap/>
            <w:vAlign w:val="center"/>
            <w:hideMark/>
          </w:tcPr>
          <w:p w14:paraId="480BE2F3"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US" w:eastAsia="es-ES"/>
              </w:rPr>
            </w:pPr>
            <w:r w:rsidRPr="00445CC0">
              <w:rPr>
                <w:rFonts w:ascii="Times New Roman" w:eastAsia="Times New Roman" w:hAnsi="Times New Roman" w:cs="Times New Roman"/>
                <w:i/>
                <w:sz w:val="14"/>
                <w:szCs w:val="20"/>
                <w:lang w:val="en-GB" w:eastAsia="es-ES"/>
              </w:rPr>
              <w:t xml:space="preserve">K. </w:t>
            </w:r>
            <w:proofErr w:type="spellStart"/>
            <w:r w:rsidRPr="00445CC0">
              <w:rPr>
                <w:rFonts w:ascii="Times New Roman" w:eastAsia="Times New Roman" w:hAnsi="Times New Roman" w:cs="Times New Roman"/>
                <w:i/>
                <w:sz w:val="14"/>
                <w:szCs w:val="20"/>
                <w:lang w:val="en-GB" w:eastAsia="es-ES"/>
              </w:rPr>
              <w:t>pelamis</w:t>
            </w:r>
            <w:proofErr w:type="spellEnd"/>
            <w:r w:rsidRPr="00445CC0">
              <w:rPr>
                <w:rFonts w:ascii="Times New Roman" w:eastAsia="Times New Roman" w:hAnsi="Times New Roman" w:cs="Times New Roman"/>
                <w:i/>
                <w:sz w:val="14"/>
                <w:szCs w:val="20"/>
                <w:lang w:val="en-GB" w:eastAsia="es-ES"/>
              </w:rPr>
              <w:t xml:space="preserve"> 99%</w:t>
            </w:r>
          </w:p>
        </w:tc>
        <w:tc>
          <w:tcPr>
            <w:tcW w:w="549" w:type="pct"/>
            <w:shd w:val="clear" w:color="auto" w:fill="auto"/>
            <w:noWrap/>
            <w:vAlign w:val="center"/>
            <w:hideMark/>
          </w:tcPr>
          <w:p w14:paraId="0B0E59C6" w14:textId="77777777" w:rsidR="00BD14B2" w:rsidRPr="00445CC0" w:rsidRDefault="00BD14B2" w:rsidP="0016613A">
            <w:pPr>
              <w:spacing w:after="0" w:line="240" w:lineRule="auto"/>
              <w:jc w:val="both"/>
              <w:rPr>
                <w:rFonts w:ascii="Times New Roman" w:eastAsia="Times New Roman" w:hAnsi="Times New Roman" w:cs="Times New Roman"/>
                <w:i/>
                <w:iCs/>
                <w:sz w:val="14"/>
                <w:szCs w:val="20"/>
                <w:lang w:val="en-US" w:eastAsia="es-ES"/>
              </w:rPr>
            </w:pPr>
            <w:proofErr w:type="spellStart"/>
            <w:r w:rsidRPr="00445CC0">
              <w:rPr>
                <w:rFonts w:ascii="Times New Roman" w:eastAsia="Times New Roman" w:hAnsi="Times New Roman" w:cs="Times New Roman"/>
                <w:i/>
                <w:iCs/>
                <w:sz w:val="14"/>
                <w:szCs w:val="20"/>
                <w:lang w:val="en-GB" w:eastAsia="es-ES"/>
              </w:rPr>
              <w:t>Katsuwonus</w:t>
            </w:r>
            <w:proofErr w:type="spellEnd"/>
            <w:r w:rsidRPr="00445CC0">
              <w:rPr>
                <w:rFonts w:ascii="Times New Roman" w:eastAsia="Times New Roman" w:hAnsi="Times New Roman" w:cs="Times New Roman"/>
                <w:i/>
                <w:iCs/>
                <w:sz w:val="14"/>
                <w:szCs w:val="20"/>
                <w:lang w:val="en-GB" w:eastAsia="es-ES"/>
              </w:rPr>
              <w:t xml:space="preserve"> </w:t>
            </w:r>
            <w:proofErr w:type="spellStart"/>
            <w:r w:rsidRPr="00445CC0">
              <w:rPr>
                <w:rFonts w:ascii="Times New Roman" w:eastAsia="Times New Roman" w:hAnsi="Times New Roman" w:cs="Times New Roman"/>
                <w:i/>
                <w:iCs/>
                <w:sz w:val="14"/>
                <w:szCs w:val="20"/>
                <w:lang w:val="en-GB" w:eastAsia="es-ES"/>
              </w:rPr>
              <w:t>pelamis</w:t>
            </w:r>
            <w:proofErr w:type="spellEnd"/>
          </w:p>
        </w:tc>
        <w:tc>
          <w:tcPr>
            <w:tcW w:w="748" w:type="pct"/>
          </w:tcPr>
          <w:p w14:paraId="4096BE12" w14:textId="77777777" w:rsidR="00BD14B2" w:rsidRPr="00445CC0" w:rsidRDefault="00BD14B2" w:rsidP="0016613A">
            <w:pPr>
              <w:spacing w:after="0" w:line="240" w:lineRule="auto"/>
              <w:jc w:val="both"/>
              <w:rPr>
                <w:rFonts w:ascii="Times New Roman" w:eastAsia="Times New Roman" w:hAnsi="Times New Roman" w:cs="Times New Roman"/>
                <w:i/>
                <w:sz w:val="14"/>
                <w:szCs w:val="20"/>
                <w:lang w:val="en-GB" w:eastAsia="es-ES"/>
              </w:rPr>
            </w:pPr>
            <w:r w:rsidRPr="00445CC0">
              <w:rPr>
                <w:rFonts w:ascii="Times New Roman" w:eastAsia="Times New Roman" w:hAnsi="Times New Roman" w:cs="Times New Roman"/>
                <w:i/>
                <w:sz w:val="14"/>
                <w:szCs w:val="20"/>
                <w:lang w:val="en-GB" w:eastAsia="es-ES"/>
              </w:rPr>
              <w:t xml:space="preserve">K. </w:t>
            </w:r>
            <w:proofErr w:type="spellStart"/>
            <w:r w:rsidRPr="00445CC0">
              <w:rPr>
                <w:rFonts w:ascii="Times New Roman" w:eastAsia="Times New Roman" w:hAnsi="Times New Roman" w:cs="Times New Roman"/>
                <w:i/>
                <w:sz w:val="14"/>
                <w:szCs w:val="20"/>
                <w:lang w:val="en-GB" w:eastAsia="es-ES"/>
              </w:rPr>
              <w:t>pelamis</w:t>
            </w:r>
            <w:proofErr w:type="spellEnd"/>
            <w:r w:rsidRPr="00445CC0">
              <w:rPr>
                <w:rFonts w:ascii="Times New Roman" w:eastAsia="Times New Roman" w:hAnsi="Times New Roman" w:cs="Times New Roman"/>
                <w:i/>
                <w:sz w:val="14"/>
                <w:szCs w:val="20"/>
                <w:lang w:val="en-GB" w:eastAsia="es-ES"/>
              </w:rPr>
              <w:t xml:space="preserve"> 100 %</w:t>
            </w:r>
          </w:p>
        </w:tc>
      </w:tr>
    </w:tbl>
    <w:p w14:paraId="026C566E" w14:textId="77777777" w:rsidR="00BD14B2" w:rsidRDefault="00BD14B2" w:rsidP="00BD14B2">
      <w:pPr>
        <w:jc w:val="both"/>
        <w:rPr>
          <w:lang w:val="en-US"/>
        </w:rPr>
      </w:pPr>
    </w:p>
    <w:p w14:paraId="113C6BF1" w14:textId="61DE7675" w:rsidR="00F9501E" w:rsidRPr="00FC19AA" w:rsidRDefault="004F4287">
      <w:pPr>
        <w:rPr>
          <w:rFonts w:ascii="Times New Roman" w:hAnsi="Times New Roman" w:cs="Times New Roman"/>
        </w:rPr>
      </w:pPr>
      <w:proofErr w:type="spellStart"/>
      <w:r w:rsidRPr="00FC19AA">
        <w:rPr>
          <w:rFonts w:ascii="Times New Roman" w:hAnsi="Times New Roman" w:cs="Times New Roman"/>
        </w:rPr>
        <w:t>References</w:t>
      </w:r>
      <w:proofErr w:type="spellEnd"/>
      <w:r w:rsidRPr="00FC19AA">
        <w:rPr>
          <w:rFonts w:ascii="Times New Roman" w:hAnsi="Times New Roman" w:cs="Times New Roman"/>
        </w:rPr>
        <w:t>:</w:t>
      </w:r>
    </w:p>
    <w:p w14:paraId="4461163C" w14:textId="77777777" w:rsidR="00936260" w:rsidRPr="00FC19AA" w:rsidRDefault="00936260" w:rsidP="00936260">
      <w:pPr>
        <w:pStyle w:val="Prrafodelista"/>
        <w:numPr>
          <w:ilvl w:val="0"/>
          <w:numId w:val="1"/>
        </w:numPr>
        <w:rPr>
          <w:rFonts w:ascii="Times New Roman" w:hAnsi="Times New Roman" w:cs="Times New Roman"/>
          <w:lang w:val="en-US"/>
        </w:rPr>
      </w:pPr>
      <w:r w:rsidRPr="00FC19AA">
        <w:rPr>
          <w:rFonts w:ascii="Times New Roman" w:hAnsi="Times New Roman" w:cs="Times New Roman"/>
          <w:lang w:val="en-US"/>
        </w:rPr>
        <w:lastRenderedPageBreak/>
        <w:t xml:space="preserve">Hanner R, Becker S, </w:t>
      </w:r>
      <w:proofErr w:type="spellStart"/>
      <w:r w:rsidRPr="00FC19AA">
        <w:rPr>
          <w:rFonts w:ascii="Times New Roman" w:hAnsi="Times New Roman" w:cs="Times New Roman"/>
          <w:lang w:val="en-US"/>
        </w:rPr>
        <w:t>Ivanova</w:t>
      </w:r>
      <w:proofErr w:type="spellEnd"/>
      <w:r w:rsidRPr="00FC19AA">
        <w:rPr>
          <w:rFonts w:ascii="Times New Roman" w:hAnsi="Times New Roman" w:cs="Times New Roman"/>
          <w:lang w:val="en-US"/>
        </w:rPr>
        <w:t xml:space="preserve"> N V., Steinke D. FISH-BOL and seafood identification: Geographically dispersed case studies reveal systemic market substitution across Canada. Mitochondrial DNA. 2011;22: 106–122.</w:t>
      </w:r>
    </w:p>
    <w:p w14:paraId="51FAFBCB" w14:textId="5B9ECC1E" w:rsidR="004F4287" w:rsidRPr="00FC19AA" w:rsidRDefault="004F4287" w:rsidP="00936260">
      <w:pPr>
        <w:pStyle w:val="Prrafodelista"/>
        <w:numPr>
          <w:ilvl w:val="0"/>
          <w:numId w:val="1"/>
        </w:numPr>
        <w:rPr>
          <w:rFonts w:ascii="Times New Roman" w:hAnsi="Times New Roman" w:cs="Times New Roman"/>
          <w:lang w:val="en-US"/>
        </w:rPr>
      </w:pPr>
      <w:proofErr w:type="spellStart"/>
      <w:r w:rsidRPr="00FC19AA">
        <w:rPr>
          <w:rFonts w:ascii="Times New Roman" w:hAnsi="Times New Roman" w:cs="Times New Roman"/>
          <w:lang w:val="en-US"/>
        </w:rPr>
        <w:t>Pedrosa-Gerasmio</w:t>
      </w:r>
      <w:proofErr w:type="spellEnd"/>
      <w:r w:rsidRPr="00FC19AA">
        <w:rPr>
          <w:rFonts w:ascii="Times New Roman" w:hAnsi="Times New Roman" w:cs="Times New Roman"/>
          <w:lang w:val="en-US"/>
        </w:rPr>
        <w:t xml:space="preserve"> IR, </w:t>
      </w:r>
      <w:proofErr w:type="spellStart"/>
      <w:r w:rsidRPr="00FC19AA">
        <w:rPr>
          <w:rFonts w:ascii="Times New Roman" w:hAnsi="Times New Roman" w:cs="Times New Roman"/>
          <w:lang w:val="en-US"/>
        </w:rPr>
        <w:t>Babaran</w:t>
      </w:r>
      <w:proofErr w:type="spellEnd"/>
      <w:r w:rsidRPr="00FC19AA">
        <w:rPr>
          <w:rFonts w:ascii="Times New Roman" w:hAnsi="Times New Roman" w:cs="Times New Roman"/>
          <w:lang w:val="en-US"/>
        </w:rPr>
        <w:t xml:space="preserve"> RP, Santos MD (2012) Correction: Discrimination of Juvenile Yellowfin (</w:t>
      </w:r>
      <w:proofErr w:type="spellStart"/>
      <w:r w:rsidRPr="00FC19AA">
        <w:rPr>
          <w:rFonts w:ascii="Times New Roman" w:hAnsi="Times New Roman" w:cs="Times New Roman"/>
          <w:lang w:val="en-US"/>
        </w:rPr>
        <w:t>Thunnus</w:t>
      </w:r>
      <w:proofErr w:type="spellEnd"/>
      <w:r w:rsidRPr="00FC19AA">
        <w:rPr>
          <w:rFonts w:ascii="Times New Roman" w:hAnsi="Times New Roman" w:cs="Times New Roman"/>
          <w:lang w:val="en-US"/>
        </w:rPr>
        <w:t xml:space="preserve"> </w:t>
      </w:r>
      <w:proofErr w:type="spellStart"/>
      <w:r w:rsidRPr="00FC19AA">
        <w:rPr>
          <w:rFonts w:ascii="Times New Roman" w:hAnsi="Times New Roman" w:cs="Times New Roman"/>
          <w:lang w:val="en-US"/>
        </w:rPr>
        <w:t>albacares</w:t>
      </w:r>
      <w:proofErr w:type="spellEnd"/>
      <w:r w:rsidRPr="00FC19AA">
        <w:rPr>
          <w:rFonts w:ascii="Times New Roman" w:hAnsi="Times New Roman" w:cs="Times New Roman"/>
          <w:lang w:val="en-US"/>
        </w:rPr>
        <w:t xml:space="preserve">) and Bigeye (T. </w:t>
      </w:r>
      <w:proofErr w:type="spellStart"/>
      <w:r w:rsidRPr="00FC19AA">
        <w:rPr>
          <w:rFonts w:ascii="Times New Roman" w:hAnsi="Times New Roman" w:cs="Times New Roman"/>
          <w:lang w:val="en-US"/>
        </w:rPr>
        <w:t>obesus</w:t>
      </w:r>
      <w:proofErr w:type="spellEnd"/>
      <w:r w:rsidRPr="00FC19AA">
        <w:rPr>
          <w:rFonts w:ascii="Times New Roman" w:hAnsi="Times New Roman" w:cs="Times New Roman"/>
          <w:lang w:val="en-US"/>
        </w:rPr>
        <w:t xml:space="preserve">) Tunas using Mitochondrial DNA Control Region and Liver Morphology. </w:t>
      </w:r>
      <w:proofErr w:type="spellStart"/>
      <w:r w:rsidRPr="00FC19AA">
        <w:rPr>
          <w:rFonts w:ascii="Times New Roman" w:hAnsi="Times New Roman" w:cs="Times New Roman"/>
          <w:lang w:val="en-US"/>
        </w:rPr>
        <w:t>Plos</w:t>
      </w:r>
      <w:proofErr w:type="spellEnd"/>
      <w:r w:rsidRPr="00FC19AA">
        <w:rPr>
          <w:rFonts w:ascii="Times New Roman" w:hAnsi="Times New Roman" w:cs="Times New Roman"/>
          <w:lang w:val="en-US"/>
        </w:rPr>
        <w:t xml:space="preserve"> One e35604</w:t>
      </w:r>
    </w:p>
    <w:p w14:paraId="249A70D7" w14:textId="1EFA8A24" w:rsidR="004F4287" w:rsidRPr="00FC19AA" w:rsidRDefault="004F4287" w:rsidP="004F4287">
      <w:pPr>
        <w:pStyle w:val="Prrafodelista"/>
        <w:numPr>
          <w:ilvl w:val="0"/>
          <w:numId w:val="1"/>
        </w:numPr>
        <w:rPr>
          <w:rFonts w:ascii="Times New Roman" w:hAnsi="Times New Roman" w:cs="Times New Roman"/>
          <w:lang w:val="en-US"/>
        </w:rPr>
      </w:pPr>
      <w:r w:rsidRPr="00FC19AA">
        <w:rPr>
          <w:rFonts w:ascii="Times New Roman" w:hAnsi="Times New Roman" w:cs="Times New Roman"/>
          <w:lang w:val="en-US"/>
        </w:rPr>
        <w:t xml:space="preserve">Lowenstein </w:t>
      </w:r>
      <w:proofErr w:type="gramStart"/>
      <w:r w:rsidRPr="00FC19AA">
        <w:rPr>
          <w:rFonts w:ascii="Times New Roman" w:hAnsi="Times New Roman" w:cs="Times New Roman"/>
          <w:lang w:val="en-US"/>
        </w:rPr>
        <w:t>JH,  Amato</w:t>
      </w:r>
      <w:proofErr w:type="gramEnd"/>
      <w:r w:rsidRPr="00FC19AA">
        <w:rPr>
          <w:rFonts w:ascii="Times New Roman" w:hAnsi="Times New Roman" w:cs="Times New Roman"/>
          <w:lang w:val="en-US"/>
        </w:rPr>
        <w:t xml:space="preserve"> G, </w:t>
      </w:r>
      <w:proofErr w:type="spellStart"/>
      <w:r w:rsidRPr="00FC19AA">
        <w:rPr>
          <w:rFonts w:ascii="Times New Roman" w:hAnsi="Times New Roman" w:cs="Times New Roman"/>
          <w:lang w:val="en-US"/>
        </w:rPr>
        <w:t>Kolokotronis</w:t>
      </w:r>
      <w:proofErr w:type="spellEnd"/>
      <w:r w:rsidRPr="00FC19AA">
        <w:rPr>
          <w:rFonts w:ascii="Times New Roman" w:hAnsi="Times New Roman" w:cs="Times New Roman"/>
          <w:lang w:val="en-US"/>
        </w:rPr>
        <w:t xml:space="preserve"> S. The real </w:t>
      </w:r>
      <w:proofErr w:type="spellStart"/>
      <w:r w:rsidRPr="00FC19AA">
        <w:rPr>
          <w:rFonts w:ascii="Times New Roman" w:hAnsi="Times New Roman" w:cs="Times New Roman"/>
          <w:lang w:val="en-US"/>
        </w:rPr>
        <w:t>maccoyii</w:t>
      </w:r>
      <w:proofErr w:type="spellEnd"/>
      <w:r w:rsidRPr="00FC19AA">
        <w:rPr>
          <w:rFonts w:ascii="Times New Roman" w:hAnsi="Times New Roman" w:cs="Times New Roman"/>
          <w:lang w:val="en-US"/>
        </w:rPr>
        <w:t xml:space="preserve">: identifying tuna sushi with DNA barcodes – contrasting characteristic attributes and genetic distances (2009). </w:t>
      </w:r>
      <w:proofErr w:type="spellStart"/>
      <w:r w:rsidRPr="00FC19AA">
        <w:rPr>
          <w:rFonts w:ascii="Times New Roman" w:hAnsi="Times New Roman" w:cs="Times New Roman"/>
          <w:lang w:val="en-US"/>
        </w:rPr>
        <w:t>PlosOne</w:t>
      </w:r>
      <w:proofErr w:type="spellEnd"/>
      <w:r w:rsidRPr="00FC19AA">
        <w:rPr>
          <w:rFonts w:ascii="Times New Roman" w:hAnsi="Times New Roman" w:cs="Times New Roman"/>
          <w:lang w:val="en-US"/>
        </w:rPr>
        <w:t xml:space="preserve"> e7866.</w:t>
      </w:r>
    </w:p>
    <w:p w14:paraId="34B6BF87" w14:textId="123B6114" w:rsidR="004F4287" w:rsidRPr="00FC19AA" w:rsidRDefault="00936260" w:rsidP="004F4287">
      <w:pPr>
        <w:pStyle w:val="Prrafodelista"/>
        <w:numPr>
          <w:ilvl w:val="0"/>
          <w:numId w:val="1"/>
        </w:numPr>
        <w:rPr>
          <w:rFonts w:ascii="Times New Roman" w:hAnsi="Times New Roman" w:cs="Times New Roman"/>
          <w:lang w:val="en-US"/>
        </w:rPr>
      </w:pPr>
      <w:proofErr w:type="spellStart"/>
      <w:r w:rsidRPr="00FC19AA">
        <w:rPr>
          <w:rFonts w:ascii="Times New Roman" w:hAnsi="Times New Roman" w:cs="Times New Roman"/>
          <w:lang w:val="en-US"/>
        </w:rPr>
        <w:t>Hellberg</w:t>
      </w:r>
      <w:proofErr w:type="spellEnd"/>
      <w:r w:rsidRPr="00FC19AA">
        <w:rPr>
          <w:rFonts w:ascii="Times New Roman" w:hAnsi="Times New Roman" w:cs="Times New Roman"/>
          <w:lang w:val="en-US"/>
        </w:rPr>
        <w:t xml:space="preserve"> RS, Pollack S, Hanner R</w:t>
      </w:r>
      <w:r w:rsidR="004F4287" w:rsidRPr="00FC19AA">
        <w:rPr>
          <w:rFonts w:ascii="Times New Roman" w:hAnsi="Times New Roman" w:cs="Times New Roman"/>
          <w:lang w:val="en-US"/>
        </w:rPr>
        <w:t>H. 2016. Seafood species identification using DNA sequencing. In “Seafood authenticity and traceability: A DNA perspecti</w:t>
      </w:r>
      <w:r w:rsidRPr="00FC19AA">
        <w:rPr>
          <w:rFonts w:ascii="Times New Roman" w:hAnsi="Times New Roman" w:cs="Times New Roman"/>
          <w:lang w:val="en-US"/>
        </w:rPr>
        <w:t xml:space="preserve">ve”. </w:t>
      </w:r>
      <w:proofErr w:type="spellStart"/>
      <w:r w:rsidRPr="00FC19AA">
        <w:rPr>
          <w:rFonts w:ascii="Times New Roman" w:hAnsi="Times New Roman" w:cs="Times New Roman"/>
          <w:lang w:val="en-US"/>
        </w:rPr>
        <w:t>Naaum</w:t>
      </w:r>
      <w:proofErr w:type="spellEnd"/>
      <w:r w:rsidRPr="00FC19AA">
        <w:rPr>
          <w:rFonts w:ascii="Times New Roman" w:hAnsi="Times New Roman" w:cs="Times New Roman"/>
          <w:lang w:val="en-US"/>
        </w:rPr>
        <w:t xml:space="preserve"> A.M., Hanner R.H. Aca</w:t>
      </w:r>
      <w:r w:rsidR="004F4287" w:rsidRPr="00FC19AA">
        <w:rPr>
          <w:rFonts w:ascii="Times New Roman" w:hAnsi="Times New Roman" w:cs="Times New Roman"/>
          <w:lang w:val="en-US"/>
        </w:rPr>
        <w:t>demic Press</w:t>
      </w:r>
    </w:p>
    <w:sectPr w:rsidR="004F4287" w:rsidRPr="00FC19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5358D"/>
    <w:multiLevelType w:val="hybridMultilevel"/>
    <w:tmpl w:val="EDB869F8"/>
    <w:lvl w:ilvl="0" w:tplc="9460ADA4">
      <w:start w:val="1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4B2"/>
    <w:rsid w:val="00221D87"/>
    <w:rsid w:val="0041650C"/>
    <w:rsid w:val="004F4287"/>
    <w:rsid w:val="009119CA"/>
    <w:rsid w:val="00912969"/>
    <w:rsid w:val="00936260"/>
    <w:rsid w:val="009B3236"/>
    <w:rsid w:val="00BD14B2"/>
    <w:rsid w:val="00BF70FE"/>
    <w:rsid w:val="00D8228C"/>
    <w:rsid w:val="00DF3F91"/>
    <w:rsid w:val="00F027A4"/>
    <w:rsid w:val="00F9501E"/>
    <w:rsid w:val="00FC19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C08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14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21D87"/>
    <w:rPr>
      <w:sz w:val="18"/>
      <w:szCs w:val="18"/>
    </w:rPr>
  </w:style>
  <w:style w:type="paragraph" w:styleId="Textocomentario">
    <w:name w:val="annotation text"/>
    <w:basedOn w:val="Normal"/>
    <w:link w:val="TextocomentarioCar"/>
    <w:uiPriority w:val="99"/>
    <w:semiHidden/>
    <w:unhideWhenUsed/>
    <w:rsid w:val="00221D87"/>
    <w:pPr>
      <w:spacing w:after="0" w:line="240" w:lineRule="auto"/>
    </w:pPr>
    <w:rPr>
      <w:sz w:val="24"/>
      <w:szCs w:val="24"/>
      <w:lang w:val="es-ES_tradnl"/>
    </w:rPr>
  </w:style>
  <w:style w:type="character" w:customStyle="1" w:styleId="TextocomentarioCar">
    <w:name w:val="Texto comentario Car"/>
    <w:basedOn w:val="Fuentedeprrafopredeter"/>
    <w:link w:val="Textocomentario"/>
    <w:uiPriority w:val="99"/>
    <w:semiHidden/>
    <w:rsid w:val="00221D87"/>
    <w:rPr>
      <w:sz w:val="24"/>
      <w:szCs w:val="24"/>
      <w:lang w:val="es-ES_tradnl"/>
    </w:rPr>
  </w:style>
  <w:style w:type="paragraph" w:styleId="Textodeglobo">
    <w:name w:val="Balloon Text"/>
    <w:basedOn w:val="Normal"/>
    <w:link w:val="TextodegloboCar"/>
    <w:uiPriority w:val="99"/>
    <w:semiHidden/>
    <w:unhideWhenUsed/>
    <w:rsid w:val="00221D87"/>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221D87"/>
    <w:rPr>
      <w:rFonts w:ascii="Times New Roman" w:hAnsi="Times New Roman" w:cs="Times New Roman"/>
      <w:sz w:val="18"/>
      <w:szCs w:val="18"/>
    </w:rPr>
  </w:style>
  <w:style w:type="paragraph" w:styleId="Prrafodelista">
    <w:name w:val="List Paragraph"/>
    <w:basedOn w:val="Normal"/>
    <w:uiPriority w:val="34"/>
    <w:qFormat/>
    <w:rsid w:val="004F4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82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884</Words>
  <Characters>4862</Characters>
  <Application>Microsoft Macintosh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Amaya</dc:creator>
  <cp:lastModifiedBy>carmen gonzalez sotelo</cp:lastModifiedBy>
  <cp:revision>5</cp:revision>
  <dcterms:created xsi:type="dcterms:W3CDTF">2018-01-19T08:16:00Z</dcterms:created>
  <dcterms:modified xsi:type="dcterms:W3CDTF">2018-01-30T18:02:00Z</dcterms:modified>
</cp:coreProperties>
</file>