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6AEE" w:rsidRPr="00A46AEE" w:rsidRDefault="00A46AEE" w:rsidP="00A46AEE">
      <w:pPr>
        <w:spacing w:after="0" w:line="384" w:lineRule="atLeast"/>
        <w:rPr>
          <w:rFonts w:ascii="Arial" w:eastAsia="Times New Roman" w:hAnsi="Arial" w:cs="Arial"/>
          <w:b/>
          <w:bCs/>
          <w:sz w:val="20"/>
          <w:szCs w:val="20"/>
          <w:lang w:val="en" w:eastAsia="en-GB"/>
        </w:rPr>
      </w:pPr>
      <w:hyperlink r:id="rId8" w:history="1">
        <w:r w:rsidRPr="00A46AEE">
          <w:rPr>
            <w:rFonts w:ascii="Arial" w:eastAsia="Times New Roman" w:hAnsi="Arial" w:cs="Arial"/>
            <w:b/>
            <w:bCs/>
            <w:sz w:val="20"/>
            <w:szCs w:val="20"/>
            <w:lang w:val="en" w:eastAsia="en-GB"/>
          </w:rPr>
          <w:t>E. Tonga</w:t>
        </w:r>
      </w:hyperlink>
      <w:hyperlink r:id="rId9" w:anchor="aff-1" w:history="1">
        <w:r w:rsidRPr="00A46AEE">
          <w:rPr>
            <w:rFonts w:ascii="Arial" w:eastAsia="Times New Roman" w:hAnsi="Arial" w:cs="Arial"/>
            <w:b/>
            <w:sz w:val="20"/>
            <w:szCs w:val="20"/>
            <w:vertAlign w:val="superscript"/>
            <w:lang w:val="en" w:eastAsia="en-GB"/>
          </w:rPr>
          <w:t>1</w:t>
        </w:r>
      </w:hyperlink>
      <w:r w:rsidRPr="00A46AEE">
        <w:rPr>
          <w:rFonts w:ascii="Arial" w:eastAsia="Times New Roman" w:hAnsi="Arial" w:cs="Arial"/>
          <w:b/>
          <w:bCs/>
          <w:sz w:val="20"/>
          <w:szCs w:val="20"/>
          <w:lang w:val="en" w:eastAsia="en-GB"/>
        </w:rPr>
        <w:t xml:space="preserve">, </w:t>
      </w:r>
      <w:hyperlink r:id="rId10" w:history="1">
        <w:r w:rsidRPr="00A46AEE">
          <w:rPr>
            <w:rFonts w:ascii="Arial" w:eastAsia="Times New Roman" w:hAnsi="Arial" w:cs="Arial"/>
            <w:b/>
            <w:bCs/>
            <w:sz w:val="20"/>
            <w:szCs w:val="20"/>
            <w:lang w:val="en" w:eastAsia="en-GB"/>
          </w:rPr>
          <w:t>A. Hammond</w:t>
        </w:r>
      </w:hyperlink>
      <w:hyperlink r:id="rId11" w:anchor="aff-2" w:history="1">
        <w:r w:rsidRPr="00A46AEE">
          <w:rPr>
            <w:rFonts w:ascii="Arial" w:eastAsia="Times New Roman" w:hAnsi="Arial" w:cs="Arial"/>
            <w:b/>
            <w:sz w:val="20"/>
            <w:szCs w:val="20"/>
            <w:vertAlign w:val="superscript"/>
            <w:lang w:val="en" w:eastAsia="en-GB"/>
          </w:rPr>
          <w:t>2</w:t>
        </w:r>
      </w:hyperlink>
      <w:r w:rsidRPr="00A46AEE">
        <w:rPr>
          <w:rFonts w:ascii="Arial" w:eastAsia="Times New Roman" w:hAnsi="Arial" w:cs="Arial"/>
          <w:b/>
          <w:bCs/>
          <w:sz w:val="20"/>
          <w:szCs w:val="20"/>
          <w:lang w:val="en" w:eastAsia="en-GB"/>
        </w:rPr>
        <w:t xml:space="preserve">, </w:t>
      </w:r>
      <w:hyperlink r:id="rId12" w:history="1">
        <w:r w:rsidRPr="00A46AEE">
          <w:rPr>
            <w:rFonts w:ascii="Arial" w:eastAsia="Times New Roman" w:hAnsi="Arial" w:cs="Arial"/>
            <w:b/>
            <w:bCs/>
            <w:sz w:val="20"/>
            <w:szCs w:val="20"/>
            <w:lang w:val="en" w:eastAsia="en-GB"/>
          </w:rPr>
          <w:t>Y. Prior</w:t>
        </w:r>
      </w:hyperlink>
      <w:r w:rsidRPr="00A46AEE">
        <w:rPr>
          <w:rFonts w:ascii="Arial" w:eastAsia="Times New Roman" w:hAnsi="Arial" w:cs="Arial"/>
          <w:b/>
          <w:bCs/>
          <w:sz w:val="20"/>
          <w:szCs w:val="20"/>
          <w:lang w:val="en" w:eastAsia="en-GB"/>
        </w:rPr>
        <w:t xml:space="preserve"> (2015). </w:t>
      </w:r>
      <w:r w:rsidRPr="00A46AEE">
        <w:rPr>
          <w:rFonts w:ascii="Arial" w:hAnsi="Arial" w:cs="Arial"/>
          <w:b/>
          <w:bCs/>
          <w:kern w:val="36"/>
          <w:sz w:val="20"/>
          <w:szCs w:val="20"/>
          <w:lang w:val="en"/>
        </w:rPr>
        <w:t>Linguistic Validation and Cultural Adaptation of the Valued Life Activities Scale in Turkey In People with Rheumatoid Arthritis</w:t>
      </w:r>
      <w:r w:rsidRPr="00A46AEE">
        <w:rPr>
          <w:rFonts w:ascii="Arial" w:hAnsi="Arial" w:cs="Arial"/>
          <w:b/>
          <w:bCs/>
          <w:kern w:val="36"/>
          <w:sz w:val="20"/>
          <w:szCs w:val="20"/>
          <w:lang w:val="en"/>
        </w:rPr>
        <w:t xml:space="preserve">. Annals of the Rheumatic Diseases 74 (Suppl 2): </w:t>
      </w:r>
      <w:r w:rsidRPr="00A46AEE">
        <w:rPr>
          <w:rStyle w:val="slug-pages3"/>
          <w:rFonts w:ascii="Arial" w:hAnsi="Arial" w:cs="Arial"/>
          <w:b/>
          <w:sz w:val="20"/>
          <w:szCs w:val="20"/>
          <w:lang w:val="en"/>
        </w:rPr>
        <w:t xml:space="preserve">1333-1334 </w:t>
      </w:r>
      <w:r w:rsidRPr="00A46AEE">
        <w:rPr>
          <w:rStyle w:val="slug-doi2"/>
          <w:rFonts w:ascii="Arial" w:hAnsi="Arial" w:cs="Arial"/>
          <w:b/>
          <w:sz w:val="20"/>
          <w:szCs w:val="20"/>
          <w:lang w:val="en"/>
        </w:rPr>
        <w:t>doi:10.1136/annrheumdis-2015-eular.2418</w:t>
      </w:r>
    </w:p>
    <w:p w:rsidR="00A46AEE" w:rsidRDefault="00A46AEE" w:rsidP="00A46AEE">
      <w:pPr>
        <w:spacing w:before="225" w:after="30" w:line="308" w:lineRule="atLeast"/>
        <w:outlineLvl w:val="2"/>
        <w:rPr>
          <w:rFonts w:ascii="Arial" w:eastAsia="Times New Roman" w:hAnsi="Arial" w:cs="Arial"/>
          <w:b/>
          <w:bCs/>
          <w:color w:val="333333"/>
          <w:sz w:val="27"/>
          <w:szCs w:val="27"/>
          <w:lang w:val="en" w:eastAsia="en-GB"/>
        </w:rPr>
      </w:pPr>
    </w:p>
    <w:p w:rsidR="00A46AEE" w:rsidRPr="00A46AEE" w:rsidRDefault="00A46AEE" w:rsidP="00A46AEE">
      <w:pPr>
        <w:spacing w:before="225" w:after="30" w:line="308" w:lineRule="atLeast"/>
        <w:jc w:val="both"/>
        <w:outlineLvl w:val="2"/>
        <w:rPr>
          <w:rFonts w:ascii="Arial" w:eastAsia="Times New Roman" w:hAnsi="Arial" w:cs="Arial"/>
          <w:b/>
          <w:bCs/>
          <w:color w:val="333333"/>
          <w:sz w:val="27"/>
          <w:szCs w:val="27"/>
          <w:lang w:val="en" w:eastAsia="en-GB"/>
        </w:rPr>
      </w:pPr>
      <w:r w:rsidRPr="00A46AEE">
        <w:rPr>
          <w:rFonts w:ascii="Arial" w:eastAsia="Times New Roman" w:hAnsi="Arial" w:cs="Arial"/>
          <w:b/>
          <w:bCs/>
          <w:color w:val="333333"/>
          <w:sz w:val="27"/>
          <w:szCs w:val="27"/>
          <w:lang w:val="en" w:eastAsia="en-GB"/>
        </w:rPr>
        <w:t>Abstract</w:t>
      </w:r>
    </w:p>
    <w:p w:rsidR="00A46AEE" w:rsidRPr="00A46AEE" w:rsidRDefault="00A46AEE" w:rsidP="00A46AEE">
      <w:pPr>
        <w:spacing w:before="30" w:after="225" w:line="336" w:lineRule="atLeast"/>
        <w:jc w:val="both"/>
        <w:rPr>
          <w:rFonts w:ascii="Arial" w:eastAsia="Times New Roman" w:hAnsi="Arial" w:cs="Arial"/>
          <w:color w:val="333333"/>
          <w:sz w:val="18"/>
          <w:szCs w:val="18"/>
          <w:lang w:val="en" w:eastAsia="en-GB"/>
        </w:rPr>
      </w:pPr>
      <w:r w:rsidRPr="00A46AEE">
        <w:rPr>
          <w:rFonts w:ascii="Arial" w:eastAsia="Times New Roman" w:hAnsi="Arial" w:cs="Arial"/>
          <w:b/>
          <w:bCs/>
          <w:color w:val="333333"/>
          <w:sz w:val="18"/>
          <w:szCs w:val="18"/>
          <w:lang w:val="en" w:eastAsia="en-GB"/>
        </w:rPr>
        <w:t>Background</w:t>
      </w:r>
      <w:r w:rsidRPr="00A46AEE">
        <w:rPr>
          <w:rFonts w:ascii="Arial" w:eastAsia="Times New Roman" w:hAnsi="Arial" w:cs="Arial"/>
          <w:color w:val="333333"/>
          <w:sz w:val="18"/>
          <w:szCs w:val="18"/>
          <w:lang w:val="en" w:eastAsia="en-GB"/>
        </w:rPr>
        <w:t xml:space="preserve"> The Valued Life Acti</w:t>
      </w:r>
      <w:bookmarkStart w:id="0" w:name="_GoBack"/>
      <w:bookmarkEnd w:id="0"/>
      <w:r w:rsidRPr="00A46AEE">
        <w:rPr>
          <w:rFonts w:ascii="Arial" w:eastAsia="Times New Roman" w:hAnsi="Arial" w:cs="Arial"/>
          <w:color w:val="333333"/>
          <w:sz w:val="18"/>
          <w:szCs w:val="18"/>
          <w:lang w:val="en" w:eastAsia="en-GB"/>
        </w:rPr>
        <w:t>vities Scale (VLAs) was specifically developed for people with rheumatoid arthritis (RA)</w:t>
      </w:r>
      <w:r w:rsidRPr="00A46AEE">
        <w:rPr>
          <w:rFonts w:ascii="Arial" w:eastAsia="Times New Roman" w:hAnsi="Arial" w:cs="Arial"/>
          <w:color w:val="333333"/>
          <w:sz w:val="15"/>
          <w:szCs w:val="15"/>
          <w:vertAlign w:val="superscript"/>
          <w:lang w:val="en" w:eastAsia="en-GB"/>
        </w:rPr>
        <w:t>1</w:t>
      </w:r>
      <w:r w:rsidRPr="00A46AEE">
        <w:rPr>
          <w:rFonts w:ascii="Arial" w:eastAsia="Times New Roman" w:hAnsi="Arial" w:cs="Arial"/>
          <w:color w:val="333333"/>
          <w:sz w:val="18"/>
          <w:szCs w:val="18"/>
          <w:lang w:val="en" w:eastAsia="en-GB"/>
        </w:rPr>
        <w:t xml:space="preserve"> to measure daily activities and participatory roles. The original VLAs items (75) were derived from content analysis of diaries completed by patients with RA or osteoarthritis. Revisions have been made to the scoring, items grouped into domains using factor analysis and the items were revised (and reduced to 33) based on participants' responses as to which items are most important to them</w:t>
      </w:r>
      <w:r w:rsidRPr="00A46AEE">
        <w:rPr>
          <w:rFonts w:ascii="Arial" w:eastAsia="Times New Roman" w:hAnsi="Arial" w:cs="Arial"/>
          <w:color w:val="333333"/>
          <w:sz w:val="15"/>
          <w:szCs w:val="15"/>
          <w:vertAlign w:val="superscript"/>
          <w:lang w:val="en" w:eastAsia="en-GB"/>
        </w:rPr>
        <w:t>2-5</w:t>
      </w:r>
      <w:r w:rsidRPr="00A46AEE">
        <w:rPr>
          <w:rFonts w:ascii="Arial" w:eastAsia="Times New Roman" w:hAnsi="Arial" w:cs="Arial"/>
          <w:color w:val="333333"/>
          <w:sz w:val="18"/>
          <w:szCs w:val="18"/>
          <w:lang w:val="en" w:eastAsia="en-GB"/>
        </w:rPr>
        <w:t xml:space="preserve">. </w:t>
      </w:r>
    </w:p>
    <w:p w:rsidR="00A46AEE" w:rsidRPr="00A46AEE" w:rsidRDefault="00A46AEE" w:rsidP="00A46AEE">
      <w:pPr>
        <w:spacing w:before="30" w:after="225" w:line="336" w:lineRule="atLeast"/>
        <w:jc w:val="both"/>
        <w:rPr>
          <w:rFonts w:ascii="Arial" w:eastAsia="Times New Roman" w:hAnsi="Arial" w:cs="Arial"/>
          <w:color w:val="333333"/>
          <w:sz w:val="18"/>
          <w:szCs w:val="18"/>
          <w:lang w:val="en" w:eastAsia="en-GB"/>
        </w:rPr>
      </w:pPr>
      <w:r w:rsidRPr="00A46AEE">
        <w:rPr>
          <w:rFonts w:ascii="Arial" w:eastAsia="Times New Roman" w:hAnsi="Arial" w:cs="Arial"/>
          <w:b/>
          <w:bCs/>
          <w:color w:val="333333"/>
          <w:sz w:val="18"/>
          <w:szCs w:val="18"/>
          <w:lang w:val="en" w:eastAsia="en-GB"/>
        </w:rPr>
        <w:t>Objectives</w:t>
      </w:r>
      <w:r w:rsidRPr="00A46AEE">
        <w:rPr>
          <w:rFonts w:ascii="Arial" w:eastAsia="Times New Roman" w:hAnsi="Arial" w:cs="Arial"/>
          <w:color w:val="333333"/>
          <w:sz w:val="18"/>
          <w:szCs w:val="18"/>
          <w:lang w:val="en" w:eastAsia="en-GB"/>
        </w:rPr>
        <w:t xml:space="preserve"> To conduct the linguistic and cultural adaptation of the VLAs to Turkish prior to psychometric testing to validate the use of this questionnaire in Turkish people with RA. </w:t>
      </w:r>
    </w:p>
    <w:p w:rsidR="00A46AEE" w:rsidRPr="00A46AEE" w:rsidRDefault="00A46AEE" w:rsidP="00A46AEE">
      <w:pPr>
        <w:spacing w:before="30" w:after="225" w:line="336" w:lineRule="atLeast"/>
        <w:jc w:val="both"/>
        <w:rPr>
          <w:rFonts w:ascii="Arial" w:eastAsia="Times New Roman" w:hAnsi="Arial" w:cs="Arial"/>
          <w:color w:val="333333"/>
          <w:sz w:val="18"/>
          <w:szCs w:val="18"/>
          <w:lang w:val="en" w:eastAsia="en-GB"/>
        </w:rPr>
      </w:pPr>
      <w:r w:rsidRPr="00A46AEE">
        <w:rPr>
          <w:rFonts w:ascii="Arial" w:eastAsia="Times New Roman" w:hAnsi="Arial" w:cs="Arial"/>
          <w:b/>
          <w:bCs/>
          <w:color w:val="333333"/>
          <w:sz w:val="18"/>
          <w:szCs w:val="18"/>
          <w:lang w:val="en" w:eastAsia="en-GB"/>
        </w:rPr>
        <w:t>Methods</w:t>
      </w:r>
      <w:r w:rsidRPr="00A46AEE">
        <w:rPr>
          <w:rFonts w:ascii="Arial" w:eastAsia="Times New Roman" w:hAnsi="Arial" w:cs="Arial"/>
          <w:color w:val="333333"/>
          <w:sz w:val="18"/>
          <w:szCs w:val="18"/>
          <w:lang w:val="en" w:eastAsia="en-GB"/>
        </w:rPr>
        <w:t xml:space="preserve"> The linguistic and cultural adaptation of the VLAs was conducted following guidelines for the process of cross-cultural adaptation of self-reported measures</w:t>
      </w:r>
      <w:r w:rsidRPr="00A46AEE">
        <w:rPr>
          <w:rFonts w:ascii="Arial" w:eastAsia="Times New Roman" w:hAnsi="Arial" w:cs="Arial"/>
          <w:color w:val="333333"/>
          <w:sz w:val="15"/>
          <w:szCs w:val="15"/>
          <w:vertAlign w:val="superscript"/>
          <w:lang w:val="en" w:eastAsia="en-GB"/>
        </w:rPr>
        <w:t>4</w:t>
      </w:r>
      <w:r w:rsidRPr="00A46AEE">
        <w:rPr>
          <w:rFonts w:ascii="Arial" w:eastAsia="Times New Roman" w:hAnsi="Arial" w:cs="Arial"/>
          <w:color w:val="333333"/>
          <w:sz w:val="18"/>
          <w:szCs w:val="18"/>
          <w:lang w:val="en" w:eastAsia="en-GB"/>
        </w:rPr>
        <w:t xml:space="preserve">. This involved the (i) initial forward translation of the British-English version of VLAs by two (informed and uninformed) native Turkish speakers; (ii) synthesis through consensus; (iii) back translation by two native English speakers who were blinded to the content of the questionnaire, and did not have medical backgrounds; and (iv) a final review conducted by an expert panel which consolidated all the versions and developed a pre-final Turkish VLAs (TUR-VLAs). Following this, to ensure the TUR-VLAs content is understandable and relevant to Turkish people with RA, face-to-face cognitive de-briefing interviews were conducted. Participants were recruited from rheumatology clinics ensuring a broad range of demographics such as participants' age, employment status and functional abilities. </w:t>
      </w:r>
    </w:p>
    <w:p w:rsidR="00A46AEE" w:rsidRPr="00A46AEE" w:rsidRDefault="00A46AEE" w:rsidP="00A46AEE">
      <w:pPr>
        <w:spacing w:before="30" w:after="225" w:line="336" w:lineRule="atLeast"/>
        <w:jc w:val="both"/>
        <w:rPr>
          <w:rFonts w:ascii="Arial" w:eastAsia="Times New Roman" w:hAnsi="Arial" w:cs="Arial"/>
          <w:color w:val="333333"/>
          <w:sz w:val="18"/>
          <w:szCs w:val="18"/>
          <w:lang w:val="en" w:eastAsia="en-GB"/>
        </w:rPr>
      </w:pPr>
      <w:r w:rsidRPr="00A46AEE">
        <w:rPr>
          <w:rFonts w:ascii="Arial" w:eastAsia="Times New Roman" w:hAnsi="Arial" w:cs="Arial"/>
          <w:b/>
          <w:bCs/>
          <w:color w:val="333333"/>
          <w:sz w:val="18"/>
          <w:szCs w:val="18"/>
          <w:lang w:val="en" w:eastAsia="en-GB"/>
        </w:rPr>
        <w:t>Results</w:t>
      </w:r>
      <w:r w:rsidRPr="00A46AEE">
        <w:rPr>
          <w:rFonts w:ascii="Arial" w:eastAsia="Times New Roman" w:hAnsi="Arial" w:cs="Arial"/>
          <w:color w:val="333333"/>
          <w:sz w:val="18"/>
          <w:szCs w:val="18"/>
          <w:lang w:val="en" w:eastAsia="en-GB"/>
        </w:rPr>
        <w:t xml:space="preserve"> At the end of a four staged translation and cross-cultural adaptation process only minimal changes (e.g. “going to café” were used instead of going to the pub) were made to the questionnaire. Following this, cognitive de-briefing interviews were conducted with six participants (age: 45.16 (SD11.30) years; female:5 (83%); disease duration:13.83 (SD6.46) years; HAQ:9 (SD 2.76). Of these three people were employed, two were home-makers and one was retired. Participants found the TUR-VLAs content easily understandable, and relevant to Turkish people. As a result, no items were removed and no new items were added to TUR-VLAs. </w:t>
      </w:r>
    </w:p>
    <w:p w:rsidR="00A46AEE" w:rsidRPr="00A46AEE" w:rsidRDefault="00A46AEE" w:rsidP="00A46AEE">
      <w:pPr>
        <w:spacing w:before="30" w:after="225" w:line="336" w:lineRule="atLeast"/>
        <w:jc w:val="both"/>
        <w:rPr>
          <w:rFonts w:ascii="Arial" w:eastAsia="Times New Roman" w:hAnsi="Arial" w:cs="Arial"/>
          <w:color w:val="333333"/>
          <w:sz w:val="18"/>
          <w:szCs w:val="18"/>
          <w:lang w:val="en" w:eastAsia="en-GB"/>
        </w:rPr>
      </w:pPr>
      <w:r w:rsidRPr="00A46AEE">
        <w:rPr>
          <w:rFonts w:ascii="Arial" w:eastAsia="Times New Roman" w:hAnsi="Arial" w:cs="Arial"/>
          <w:b/>
          <w:bCs/>
          <w:color w:val="333333"/>
          <w:sz w:val="18"/>
          <w:szCs w:val="18"/>
          <w:lang w:val="en" w:eastAsia="en-GB"/>
        </w:rPr>
        <w:t>Conclusions</w:t>
      </w:r>
      <w:r w:rsidRPr="00A46AEE">
        <w:rPr>
          <w:rFonts w:ascii="Arial" w:eastAsia="Times New Roman" w:hAnsi="Arial" w:cs="Arial"/>
          <w:color w:val="333333"/>
          <w:sz w:val="18"/>
          <w:szCs w:val="18"/>
          <w:lang w:val="en" w:eastAsia="en-GB"/>
        </w:rPr>
        <w:t xml:space="preserve"> The linguistic and cross-cultural adaptation of the VLAs to Turkish provides a basis for the first rheumatology occupational therapy assessment in Turkey. Following the psychometric testing of TUR-VLAs this instrument will be freely accessible for Turkish health professionals working in rheumatology for both clinical assessment and research purposes. </w:t>
      </w:r>
    </w:p>
    <w:p w:rsidR="00A46AEE" w:rsidRPr="00A46AEE" w:rsidRDefault="00A46AEE" w:rsidP="00A46AEE">
      <w:pPr>
        <w:spacing w:before="30" w:after="225" w:line="336" w:lineRule="atLeast"/>
        <w:jc w:val="both"/>
        <w:rPr>
          <w:rFonts w:ascii="Arial" w:eastAsia="Times New Roman" w:hAnsi="Arial" w:cs="Arial"/>
          <w:color w:val="333333"/>
          <w:sz w:val="18"/>
          <w:szCs w:val="18"/>
          <w:lang w:val="en" w:eastAsia="en-GB"/>
        </w:rPr>
      </w:pPr>
      <w:r w:rsidRPr="00A46AEE">
        <w:rPr>
          <w:rFonts w:ascii="Arial" w:eastAsia="Times New Roman" w:hAnsi="Arial" w:cs="Arial"/>
          <w:b/>
          <w:bCs/>
          <w:color w:val="333333"/>
          <w:sz w:val="18"/>
          <w:szCs w:val="18"/>
          <w:lang w:val="en" w:eastAsia="en-GB"/>
        </w:rPr>
        <w:t>References</w:t>
      </w:r>
    </w:p>
    <w:p w:rsidR="00A46AEE" w:rsidRPr="00A46AEE" w:rsidRDefault="00A46AEE" w:rsidP="00A46AEE">
      <w:pPr>
        <w:numPr>
          <w:ilvl w:val="0"/>
          <w:numId w:val="1"/>
        </w:numPr>
        <w:spacing w:before="30" w:after="225" w:line="336" w:lineRule="atLeast"/>
        <w:ind w:left="1482"/>
        <w:jc w:val="both"/>
        <w:rPr>
          <w:rFonts w:ascii="Arial" w:eastAsia="Times New Roman" w:hAnsi="Arial" w:cs="Arial"/>
          <w:color w:val="333333"/>
          <w:sz w:val="18"/>
          <w:szCs w:val="18"/>
          <w:lang w:val="en" w:eastAsia="en-GB"/>
        </w:rPr>
      </w:pPr>
      <w:r w:rsidRPr="00A46AEE">
        <w:rPr>
          <w:rFonts w:ascii="Arial" w:eastAsia="Times New Roman" w:hAnsi="Arial" w:cs="Arial"/>
          <w:color w:val="333333"/>
          <w:sz w:val="18"/>
          <w:szCs w:val="18"/>
          <w:lang w:val="en" w:eastAsia="en-GB"/>
        </w:rPr>
        <w:t>Katz P, Yelin E (1994) Arthritis Care and Research 7(2):69-77.</w:t>
      </w:r>
    </w:p>
    <w:p w:rsidR="00A46AEE" w:rsidRPr="00A46AEE" w:rsidRDefault="00A46AEE" w:rsidP="00A46AEE">
      <w:pPr>
        <w:numPr>
          <w:ilvl w:val="0"/>
          <w:numId w:val="1"/>
        </w:numPr>
        <w:spacing w:before="30" w:after="225" w:line="336" w:lineRule="atLeast"/>
        <w:ind w:left="1482"/>
        <w:jc w:val="both"/>
        <w:rPr>
          <w:rFonts w:ascii="Arial" w:eastAsia="Times New Roman" w:hAnsi="Arial" w:cs="Arial"/>
          <w:color w:val="333333"/>
          <w:sz w:val="18"/>
          <w:szCs w:val="18"/>
          <w:lang w:val="en" w:eastAsia="en-GB"/>
        </w:rPr>
      </w:pPr>
      <w:r w:rsidRPr="00A46AEE">
        <w:rPr>
          <w:rFonts w:ascii="Arial" w:eastAsia="Times New Roman" w:hAnsi="Arial" w:cs="Arial"/>
          <w:color w:val="333333"/>
          <w:sz w:val="18"/>
          <w:szCs w:val="18"/>
          <w:lang w:val="en" w:eastAsia="en-GB"/>
        </w:rPr>
        <w:t>Katz P, Yelin E (1995) Arthritis and Rheumatism 38(1):49-56</w:t>
      </w:r>
    </w:p>
    <w:p w:rsidR="00A46AEE" w:rsidRPr="00A46AEE" w:rsidRDefault="00A46AEE" w:rsidP="00A46AEE">
      <w:pPr>
        <w:numPr>
          <w:ilvl w:val="0"/>
          <w:numId w:val="1"/>
        </w:numPr>
        <w:spacing w:before="30" w:after="225" w:line="336" w:lineRule="atLeast"/>
        <w:ind w:left="1482"/>
        <w:jc w:val="both"/>
        <w:rPr>
          <w:rFonts w:ascii="Arial" w:eastAsia="Times New Roman" w:hAnsi="Arial" w:cs="Arial"/>
          <w:color w:val="333333"/>
          <w:sz w:val="18"/>
          <w:szCs w:val="18"/>
          <w:lang w:val="en" w:eastAsia="en-GB"/>
        </w:rPr>
      </w:pPr>
      <w:r w:rsidRPr="00A46AEE">
        <w:rPr>
          <w:rFonts w:ascii="Arial" w:eastAsia="Times New Roman" w:hAnsi="Arial" w:cs="Arial"/>
          <w:color w:val="333333"/>
          <w:sz w:val="18"/>
          <w:szCs w:val="18"/>
          <w:lang w:val="en" w:eastAsia="en-GB"/>
        </w:rPr>
        <w:lastRenderedPageBreak/>
        <w:t>Katz P (1995) Arthritis Care and Research 8(4):272-278.</w:t>
      </w:r>
    </w:p>
    <w:p w:rsidR="00A46AEE" w:rsidRPr="00A46AEE" w:rsidRDefault="00A46AEE" w:rsidP="00A46AEE">
      <w:pPr>
        <w:numPr>
          <w:ilvl w:val="0"/>
          <w:numId w:val="1"/>
        </w:numPr>
        <w:spacing w:before="30" w:after="225" w:line="336" w:lineRule="atLeast"/>
        <w:ind w:left="1482"/>
        <w:jc w:val="both"/>
        <w:rPr>
          <w:rFonts w:ascii="Arial" w:eastAsia="Times New Roman" w:hAnsi="Arial" w:cs="Arial"/>
          <w:color w:val="333333"/>
          <w:sz w:val="18"/>
          <w:szCs w:val="18"/>
          <w:lang w:val="en" w:eastAsia="en-GB"/>
        </w:rPr>
      </w:pPr>
      <w:r w:rsidRPr="00A46AEE">
        <w:rPr>
          <w:rFonts w:ascii="Arial" w:eastAsia="Times New Roman" w:hAnsi="Arial" w:cs="Arial"/>
          <w:color w:val="333333"/>
          <w:sz w:val="18"/>
          <w:szCs w:val="18"/>
          <w:lang w:val="en" w:eastAsia="en-GB"/>
        </w:rPr>
        <w:t>Katz P et al. (2006) Annals of the Rheumatic Diseases 65:763-769.</w:t>
      </w:r>
    </w:p>
    <w:p w:rsidR="00A46AEE" w:rsidRPr="00A46AEE" w:rsidRDefault="00A46AEE" w:rsidP="00A46AEE">
      <w:pPr>
        <w:numPr>
          <w:ilvl w:val="0"/>
          <w:numId w:val="1"/>
        </w:numPr>
        <w:spacing w:before="30" w:after="225" w:line="336" w:lineRule="atLeast"/>
        <w:ind w:left="1482"/>
        <w:jc w:val="both"/>
        <w:rPr>
          <w:rFonts w:ascii="Arial" w:eastAsia="Times New Roman" w:hAnsi="Arial" w:cs="Arial"/>
          <w:color w:val="333333"/>
          <w:sz w:val="18"/>
          <w:szCs w:val="18"/>
          <w:lang w:val="en" w:eastAsia="en-GB"/>
        </w:rPr>
      </w:pPr>
      <w:r w:rsidRPr="00A46AEE">
        <w:rPr>
          <w:rFonts w:ascii="Arial" w:eastAsia="Times New Roman" w:hAnsi="Arial" w:cs="Arial"/>
          <w:color w:val="333333"/>
          <w:sz w:val="18"/>
          <w:szCs w:val="18"/>
          <w:lang w:val="en" w:eastAsia="en-GB"/>
        </w:rPr>
        <w:t>Katz P et.al. (2008) Arthritis Rheum (Arthritis Care Res) 59:1416–1423.</w:t>
      </w:r>
    </w:p>
    <w:p w:rsidR="00A46AEE" w:rsidRPr="00A46AEE" w:rsidRDefault="00A46AEE" w:rsidP="00A46AEE">
      <w:pPr>
        <w:numPr>
          <w:ilvl w:val="0"/>
          <w:numId w:val="1"/>
        </w:numPr>
        <w:spacing w:before="30" w:after="225" w:line="336" w:lineRule="atLeast"/>
        <w:ind w:left="1482"/>
        <w:jc w:val="both"/>
        <w:rPr>
          <w:rFonts w:ascii="Arial" w:eastAsia="Times New Roman" w:hAnsi="Arial" w:cs="Arial"/>
          <w:color w:val="333333"/>
          <w:sz w:val="18"/>
          <w:szCs w:val="18"/>
          <w:lang w:val="en" w:eastAsia="en-GB"/>
        </w:rPr>
      </w:pPr>
      <w:r w:rsidRPr="00A46AEE">
        <w:rPr>
          <w:rFonts w:ascii="Arial" w:eastAsia="Times New Roman" w:hAnsi="Arial" w:cs="Arial"/>
          <w:color w:val="333333"/>
          <w:sz w:val="18"/>
          <w:szCs w:val="18"/>
          <w:lang w:val="en" w:eastAsia="en-GB"/>
        </w:rPr>
        <w:t>Beaton et.al. (2000) Spine (Phila Pa 1976). 15;25(24):3186-91.</w:t>
      </w:r>
    </w:p>
    <w:p w:rsidR="00A46AEE" w:rsidRPr="00A46AEE" w:rsidRDefault="00A46AEE" w:rsidP="00A46AEE">
      <w:pPr>
        <w:spacing w:before="30" w:after="225" w:line="336" w:lineRule="atLeast"/>
        <w:jc w:val="both"/>
        <w:rPr>
          <w:rFonts w:ascii="Arial" w:eastAsia="Times New Roman" w:hAnsi="Arial" w:cs="Arial"/>
          <w:color w:val="333333"/>
          <w:sz w:val="18"/>
          <w:szCs w:val="18"/>
          <w:lang w:val="en" w:eastAsia="en-GB"/>
        </w:rPr>
      </w:pPr>
      <w:r w:rsidRPr="00A46AEE">
        <w:rPr>
          <w:rFonts w:ascii="Arial" w:eastAsia="Times New Roman" w:hAnsi="Arial" w:cs="Arial"/>
          <w:b/>
          <w:bCs/>
          <w:color w:val="333333"/>
          <w:sz w:val="18"/>
          <w:szCs w:val="18"/>
          <w:lang w:val="en" w:eastAsia="en-GB"/>
        </w:rPr>
        <w:t>Acknowledgements</w:t>
      </w:r>
      <w:r w:rsidRPr="00A46AEE">
        <w:rPr>
          <w:rFonts w:ascii="Arial" w:eastAsia="Times New Roman" w:hAnsi="Arial" w:cs="Arial"/>
          <w:color w:val="333333"/>
          <w:sz w:val="18"/>
          <w:szCs w:val="18"/>
          <w:lang w:val="en" w:eastAsia="en-GB"/>
        </w:rPr>
        <w:t xml:space="preserve"> We would like to extend our thanks to participating patients and the administrative staff from the Marmara University Hospital. Also many thanks to the EULAR Health Professionals Grant for funding this study. </w:t>
      </w:r>
    </w:p>
    <w:p w:rsidR="00A46AEE" w:rsidRDefault="00A46AEE"/>
    <w:sectPr w:rsidR="00A46AEE">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42F3" w:rsidRDefault="00CD42F3" w:rsidP="00A46AEE">
      <w:pPr>
        <w:spacing w:after="0" w:line="240" w:lineRule="auto"/>
      </w:pPr>
      <w:r>
        <w:separator/>
      </w:r>
    </w:p>
  </w:endnote>
  <w:endnote w:type="continuationSeparator" w:id="0">
    <w:p w:rsidR="00CD42F3" w:rsidRDefault="00CD42F3" w:rsidP="00A46A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19136687"/>
      <w:docPartObj>
        <w:docPartGallery w:val="Page Numbers (Bottom of Page)"/>
        <w:docPartUnique/>
      </w:docPartObj>
    </w:sdtPr>
    <w:sdtEndPr>
      <w:rPr>
        <w:noProof/>
      </w:rPr>
    </w:sdtEndPr>
    <w:sdtContent>
      <w:p w:rsidR="00A46AEE" w:rsidRDefault="00A46AEE">
        <w:pPr>
          <w:pStyle w:val="Footer"/>
          <w:jc w:val="center"/>
        </w:pPr>
        <w:r>
          <w:fldChar w:fldCharType="begin"/>
        </w:r>
        <w:r>
          <w:instrText xml:space="preserve"> PAGE   \* MERGEFORMAT </w:instrText>
        </w:r>
        <w:r>
          <w:fldChar w:fldCharType="separate"/>
        </w:r>
        <w:r w:rsidR="00CD42F3">
          <w:rPr>
            <w:noProof/>
          </w:rPr>
          <w:t>1</w:t>
        </w:r>
        <w:r>
          <w:rPr>
            <w:noProof/>
          </w:rPr>
          <w:fldChar w:fldCharType="end"/>
        </w:r>
      </w:p>
    </w:sdtContent>
  </w:sdt>
  <w:p w:rsidR="00A46AEE" w:rsidRDefault="00A46AE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42F3" w:rsidRDefault="00CD42F3" w:rsidP="00A46AEE">
      <w:pPr>
        <w:spacing w:after="0" w:line="240" w:lineRule="auto"/>
      </w:pPr>
      <w:r>
        <w:separator/>
      </w:r>
    </w:p>
  </w:footnote>
  <w:footnote w:type="continuationSeparator" w:id="0">
    <w:p w:rsidR="00CD42F3" w:rsidRDefault="00CD42F3" w:rsidP="00A46AE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1B2F78"/>
    <w:multiLevelType w:val="multilevel"/>
    <w:tmpl w:val="B110410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7D2A04F9"/>
    <w:multiLevelType w:val="multilevel"/>
    <w:tmpl w:val="DAF203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6AEE"/>
    <w:rsid w:val="001D1692"/>
    <w:rsid w:val="00A46AEE"/>
    <w:rsid w:val="00CD42F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A46AEE"/>
    <w:rPr>
      <w:b/>
      <w:bCs/>
    </w:rPr>
  </w:style>
  <w:style w:type="character" w:customStyle="1" w:styleId="name">
    <w:name w:val="name"/>
    <w:basedOn w:val="DefaultParagraphFont"/>
    <w:rsid w:val="00A46AEE"/>
  </w:style>
  <w:style w:type="character" w:customStyle="1" w:styleId="search-term-highlight1">
    <w:name w:val="search-term-highlight1"/>
    <w:basedOn w:val="DefaultParagraphFont"/>
    <w:rsid w:val="00A46AEE"/>
    <w:rPr>
      <w:b/>
      <w:bCs/>
      <w:color w:val="CC0000"/>
    </w:rPr>
  </w:style>
  <w:style w:type="character" w:customStyle="1" w:styleId="slug-pages3">
    <w:name w:val="slug-pages3"/>
    <w:basedOn w:val="DefaultParagraphFont"/>
    <w:rsid w:val="00A46AEE"/>
    <w:rPr>
      <w:b w:val="0"/>
      <w:bCs w:val="0"/>
    </w:rPr>
  </w:style>
  <w:style w:type="character" w:customStyle="1" w:styleId="slug-doi2">
    <w:name w:val="slug-doi2"/>
    <w:basedOn w:val="DefaultParagraphFont"/>
    <w:rsid w:val="00A46AEE"/>
  </w:style>
  <w:style w:type="paragraph" w:styleId="Header">
    <w:name w:val="header"/>
    <w:basedOn w:val="Normal"/>
    <w:link w:val="HeaderChar"/>
    <w:uiPriority w:val="99"/>
    <w:unhideWhenUsed/>
    <w:rsid w:val="00A46A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A46AEE"/>
  </w:style>
  <w:style w:type="paragraph" w:styleId="Footer">
    <w:name w:val="footer"/>
    <w:basedOn w:val="Normal"/>
    <w:link w:val="FooterChar"/>
    <w:uiPriority w:val="99"/>
    <w:unhideWhenUsed/>
    <w:rsid w:val="00A46A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A46AE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A46AEE"/>
    <w:rPr>
      <w:b/>
      <w:bCs/>
    </w:rPr>
  </w:style>
  <w:style w:type="character" w:customStyle="1" w:styleId="name">
    <w:name w:val="name"/>
    <w:basedOn w:val="DefaultParagraphFont"/>
    <w:rsid w:val="00A46AEE"/>
  </w:style>
  <w:style w:type="character" w:customStyle="1" w:styleId="search-term-highlight1">
    <w:name w:val="search-term-highlight1"/>
    <w:basedOn w:val="DefaultParagraphFont"/>
    <w:rsid w:val="00A46AEE"/>
    <w:rPr>
      <w:b/>
      <w:bCs/>
      <w:color w:val="CC0000"/>
    </w:rPr>
  </w:style>
  <w:style w:type="character" w:customStyle="1" w:styleId="slug-pages3">
    <w:name w:val="slug-pages3"/>
    <w:basedOn w:val="DefaultParagraphFont"/>
    <w:rsid w:val="00A46AEE"/>
    <w:rPr>
      <w:b w:val="0"/>
      <w:bCs w:val="0"/>
    </w:rPr>
  </w:style>
  <w:style w:type="character" w:customStyle="1" w:styleId="slug-doi2">
    <w:name w:val="slug-doi2"/>
    <w:basedOn w:val="DefaultParagraphFont"/>
    <w:rsid w:val="00A46AEE"/>
  </w:style>
  <w:style w:type="paragraph" w:styleId="Header">
    <w:name w:val="header"/>
    <w:basedOn w:val="Normal"/>
    <w:link w:val="HeaderChar"/>
    <w:uiPriority w:val="99"/>
    <w:unhideWhenUsed/>
    <w:rsid w:val="00A46AEE"/>
    <w:pPr>
      <w:tabs>
        <w:tab w:val="center" w:pos="4513"/>
        <w:tab w:val="right" w:pos="9026"/>
      </w:tabs>
      <w:spacing w:after="0" w:line="240" w:lineRule="auto"/>
    </w:pPr>
  </w:style>
  <w:style w:type="character" w:customStyle="1" w:styleId="HeaderChar">
    <w:name w:val="Header Char"/>
    <w:basedOn w:val="DefaultParagraphFont"/>
    <w:link w:val="Header"/>
    <w:uiPriority w:val="99"/>
    <w:rsid w:val="00A46AEE"/>
  </w:style>
  <w:style w:type="paragraph" w:styleId="Footer">
    <w:name w:val="footer"/>
    <w:basedOn w:val="Normal"/>
    <w:link w:val="FooterChar"/>
    <w:uiPriority w:val="99"/>
    <w:unhideWhenUsed/>
    <w:rsid w:val="00A46AEE"/>
    <w:pPr>
      <w:tabs>
        <w:tab w:val="center" w:pos="4513"/>
        <w:tab w:val="right" w:pos="9026"/>
      </w:tabs>
      <w:spacing w:after="0" w:line="240" w:lineRule="auto"/>
    </w:pPr>
  </w:style>
  <w:style w:type="character" w:customStyle="1" w:styleId="FooterChar">
    <w:name w:val="Footer Char"/>
    <w:basedOn w:val="DefaultParagraphFont"/>
    <w:link w:val="Footer"/>
    <w:uiPriority w:val="99"/>
    <w:rsid w:val="00A46AE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3241557">
      <w:bodyDiv w:val="1"/>
      <w:marLeft w:val="0"/>
      <w:marRight w:val="0"/>
      <w:marTop w:val="0"/>
      <w:marBottom w:val="0"/>
      <w:divBdr>
        <w:top w:val="none" w:sz="0" w:space="0" w:color="auto"/>
        <w:left w:val="none" w:sz="0" w:space="0" w:color="auto"/>
        <w:bottom w:val="none" w:sz="0" w:space="0" w:color="auto"/>
        <w:right w:val="none" w:sz="0" w:space="0" w:color="auto"/>
      </w:divBdr>
      <w:divsChild>
        <w:div w:id="661664587">
          <w:marLeft w:val="0"/>
          <w:marRight w:val="0"/>
          <w:marTop w:val="0"/>
          <w:marBottom w:val="0"/>
          <w:divBdr>
            <w:top w:val="none" w:sz="0" w:space="0" w:color="auto"/>
            <w:left w:val="none" w:sz="0" w:space="0" w:color="auto"/>
            <w:bottom w:val="none" w:sz="0" w:space="0" w:color="auto"/>
            <w:right w:val="none" w:sz="0" w:space="0" w:color="auto"/>
          </w:divBdr>
          <w:divsChild>
            <w:div w:id="1833787660">
              <w:marLeft w:val="0"/>
              <w:marRight w:val="0"/>
              <w:marTop w:val="0"/>
              <w:marBottom w:val="0"/>
              <w:divBdr>
                <w:top w:val="none" w:sz="0" w:space="0" w:color="auto"/>
                <w:left w:val="none" w:sz="0" w:space="0" w:color="auto"/>
                <w:bottom w:val="none" w:sz="0" w:space="0" w:color="auto"/>
                <w:right w:val="none" w:sz="0" w:space="0" w:color="auto"/>
              </w:divBdr>
              <w:divsChild>
                <w:div w:id="1365405480">
                  <w:marLeft w:val="0"/>
                  <w:marRight w:val="0"/>
                  <w:marTop w:val="0"/>
                  <w:marBottom w:val="0"/>
                  <w:divBdr>
                    <w:top w:val="none" w:sz="0" w:space="0" w:color="auto"/>
                    <w:left w:val="none" w:sz="0" w:space="0" w:color="auto"/>
                    <w:bottom w:val="none" w:sz="0" w:space="0" w:color="auto"/>
                    <w:right w:val="none" w:sz="0" w:space="0" w:color="auto"/>
                  </w:divBdr>
                  <w:divsChild>
                    <w:div w:id="1573928089">
                      <w:marLeft w:val="0"/>
                      <w:marRight w:val="0"/>
                      <w:marTop w:val="0"/>
                      <w:marBottom w:val="0"/>
                      <w:divBdr>
                        <w:top w:val="none" w:sz="0" w:space="0" w:color="auto"/>
                        <w:left w:val="none" w:sz="0" w:space="0" w:color="auto"/>
                        <w:bottom w:val="none" w:sz="0" w:space="0" w:color="auto"/>
                        <w:right w:val="none" w:sz="0" w:space="0" w:color="auto"/>
                      </w:divBdr>
                      <w:divsChild>
                        <w:div w:id="1831562407">
                          <w:marLeft w:val="150"/>
                          <w:marRight w:val="0"/>
                          <w:marTop w:val="150"/>
                          <w:marBottom w:val="150"/>
                          <w:divBdr>
                            <w:top w:val="none" w:sz="0" w:space="0" w:color="auto"/>
                            <w:left w:val="none" w:sz="0" w:space="0" w:color="auto"/>
                            <w:bottom w:val="none" w:sz="0" w:space="0" w:color="auto"/>
                            <w:right w:val="none" w:sz="0" w:space="0" w:color="auto"/>
                          </w:divBdr>
                          <w:divsChild>
                            <w:div w:id="1057700981">
                              <w:marLeft w:val="0"/>
                              <w:marRight w:val="0"/>
                              <w:marTop w:val="0"/>
                              <w:marBottom w:val="0"/>
                              <w:divBdr>
                                <w:top w:val="none" w:sz="0" w:space="0" w:color="auto"/>
                                <w:left w:val="none" w:sz="0" w:space="0" w:color="auto"/>
                                <w:bottom w:val="none" w:sz="0" w:space="0" w:color="auto"/>
                                <w:right w:val="none" w:sz="0" w:space="0" w:color="auto"/>
                              </w:divBdr>
                              <w:divsChild>
                                <w:div w:id="65274779">
                                  <w:marLeft w:val="0"/>
                                  <w:marRight w:val="0"/>
                                  <w:marTop w:val="0"/>
                                  <w:marBottom w:val="0"/>
                                  <w:divBdr>
                                    <w:top w:val="none" w:sz="0" w:space="0" w:color="auto"/>
                                    <w:left w:val="none" w:sz="0" w:space="0" w:color="auto"/>
                                    <w:bottom w:val="none" w:sz="0" w:space="0" w:color="auto"/>
                                    <w:right w:val="none" w:sz="0" w:space="0" w:color="auto"/>
                                  </w:divBdr>
                                </w:div>
                                <w:div w:id="1406803966">
                                  <w:marLeft w:val="0"/>
                                  <w:marRight w:val="0"/>
                                  <w:marTop w:val="0"/>
                                  <w:marBottom w:val="0"/>
                                  <w:divBdr>
                                    <w:top w:val="none" w:sz="0" w:space="0" w:color="auto"/>
                                    <w:left w:val="none" w:sz="0" w:space="0" w:color="auto"/>
                                    <w:bottom w:val="none" w:sz="0" w:space="0" w:color="auto"/>
                                    <w:right w:val="none" w:sz="0" w:space="0" w:color="auto"/>
                                  </w:divBdr>
                                </w:div>
                                <w:div w:id="1512642539">
                                  <w:marLeft w:val="0"/>
                                  <w:marRight w:val="0"/>
                                  <w:marTop w:val="0"/>
                                  <w:marBottom w:val="0"/>
                                  <w:divBdr>
                                    <w:top w:val="none" w:sz="0" w:space="0" w:color="auto"/>
                                    <w:left w:val="none" w:sz="0" w:space="0" w:color="auto"/>
                                    <w:bottom w:val="none" w:sz="0" w:space="0" w:color="auto"/>
                                    <w:right w:val="none" w:sz="0" w:space="0" w:color="auto"/>
                                  </w:divBdr>
                                </w:div>
                                <w:div w:id="435294039">
                                  <w:marLeft w:val="0"/>
                                  <w:marRight w:val="0"/>
                                  <w:marTop w:val="0"/>
                                  <w:marBottom w:val="0"/>
                                  <w:divBdr>
                                    <w:top w:val="none" w:sz="0" w:space="0" w:color="auto"/>
                                    <w:left w:val="none" w:sz="0" w:space="0" w:color="auto"/>
                                    <w:bottom w:val="none" w:sz="0" w:space="0" w:color="auto"/>
                                    <w:right w:val="none" w:sz="0" w:space="0" w:color="auto"/>
                                  </w:divBdr>
                                </w:div>
                                <w:div w:id="360783050">
                                  <w:marLeft w:val="0"/>
                                  <w:marRight w:val="0"/>
                                  <w:marTop w:val="0"/>
                                  <w:marBottom w:val="0"/>
                                  <w:divBdr>
                                    <w:top w:val="none" w:sz="0" w:space="0" w:color="auto"/>
                                    <w:left w:val="none" w:sz="0" w:space="0" w:color="auto"/>
                                    <w:bottom w:val="none" w:sz="0" w:space="0" w:color="auto"/>
                                    <w:right w:val="none" w:sz="0" w:space="0" w:color="auto"/>
                                  </w:divBdr>
                                </w:div>
                                <w:div w:id="775564445">
                                  <w:marLeft w:val="0"/>
                                  <w:marRight w:val="0"/>
                                  <w:marTop w:val="0"/>
                                  <w:marBottom w:val="0"/>
                                  <w:divBdr>
                                    <w:top w:val="none" w:sz="0" w:space="0" w:color="auto"/>
                                    <w:left w:val="none" w:sz="0" w:space="0" w:color="auto"/>
                                    <w:bottom w:val="none" w:sz="0" w:space="0" w:color="auto"/>
                                    <w:right w:val="none" w:sz="0" w:space="0" w:color="auto"/>
                                  </w:divBdr>
                                </w:div>
                                <w:div w:id="107821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9446136">
      <w:bodyDiv w:val="1"/>
      <w:marLeft w:val="0"/>
      <w:marRight w:val="0"/>
      <w:marTop w:val="0"/>
      <w:marBottom w:val="0"/>
      <w:divBdr>
        <w:top w:val="none" w:sz="0" w:space="0" w:color="auto"/>
        <w:left w:val="none" w:sz="0" w:space="0" w:color="auto"/>
        <w:bottom w:val="none" w:sz="0" w:space="0" w:color="auto"/>
        <w:right w:val="none" w:sz="0" w:space="0" w:color="auto"/>
      </w:divBdr>
      <w:divsChild>
        <w:div w:id="790321288">
          <w:marLeft w:val="0"/>
          <w:marRight w:val="0"/>
          <w:marTop w:val="0"/>
          <w:marBottom w:val="0"/>
          <w:divBdr>
            <w:top w:val="none" w:sz="0" w:space="0" w:color="auto"/>
            <w:left w:val="none" w:sz="0" w:space="0" w:color="auto"/>
            <w:bottom w:val="none" w:sz="0" w:space="0" w:color="auto"/>
            <w:right w:val="none" w:sz="0" w:space="0" w:color="auto"/>
          </w:divBdr>
          <w:divsChild>
            <w:div w:id="891623620">
              <w:marLeft w:val="0"/>
              <w:marRight w:val="0"/>
              <w:marTop w:val="0"/>
              <w:marBottom w:val="0"/>
              <w:divBdr>
                <w:top w:val="none" w:sz="0" w:space="0" w:color="auto"/>
                <w:left w:val="none" w:sz="0" w:space="0" w:color="auto"/>
                <w:bottom w:val="none" w:sz="0" w:space="0" w:color="auto"/>
                <w:right w:val="none" w:sz="0" w:space="0" w:color="auto"/>
              </w:divBdr>
              <w:divsChild>
                <w:div w:id="1761441968">
                  <w:marLeft w:val="0"/>
                  <w:marRight w:val="0"/>
                  <w:marTop w:val="0"/>
                  <w:marBottom w:val="0"/>
                  <w:divBdr>
                    <w:top w:val="none" w:sz="0" w:space="0" w:color="auto"/>
                    <w:left w:val="none" w:sz="0" w:space="0" w:color="auto"/>
                    <w:bottom w:val="none" w:sz="0" w:space="0" w:color="auto"/>
                    <w:right w:val="none" w:sz="0" w:space="0" w:color="auto"/>
                  </w:divBdr>
                  <w:divsChild>
                    <w:div w:id="1130594259">
                      <w:marLeft w:val="0"/>
                      <w:marRight w:val="0"/>
                      <w:marTop w:val="0"/>
                      <w:marBottom w:val="0"/>
                      <w:divBdr>
                        <w:top w:val="none" w:sz="0" w:space="0" w:color="auto"/>
                        <w:left w:val="none" w:sz="0" w:space="0" w:color="auto"/>
                        <w:bottom w:val="none" w:sz="0" w:space="0" w:color="auto"/>
                        <w:right w:val="none" w:sz="0" w:space="0" w:color="auto"/>
                      </w:divBdr>
                      <w:divsChild>
                        <w:div w:id="112138463">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ard.bmj.com/search?author1=E.+Tonga&amp;sortspec=date&amp;submit=Submit" TargetMode="External"/><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ard.bmj.com/search?author1=Y.+Prior&amp;sortspec=date&amp;submit=Subm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ard.bmj.com/content/74/Suppl_2/1333.3.abstract?sid=5587125f-2aad-469d-9548-8f3e227e4e65"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ard.bmj.com/search?author1=A.+Hammond&amp;sortspec=date&amp;submit=Submit" TargetMode="External"/><Relationship Id="rId4" Type="http://schemas.openxmlformats.org/officeDocument/2006/relationships/settings" Target="settings.xml"/><Relationship Id="rId9" Type="http://schemas.openxmlformats.org/officeDocument/2006/relationships/hyperlink" Target="http://ard.bmj.com/content/74/Suppl_2/1333.3.abstract?sid=5587125f-2aad-469d-9548-8f3e227e4e65"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608</Words>
  <Characters>3467</Characters>
  <Application>Microsoft Office Word</Application>
  <DocSecurity>0</DocSecurity>
  <Lines>28</Lines>
  <Paragraphs>8</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
      <vt:lpstr>        </vt:lpstr>
      <vt:lpstr>        Abstract</vt:lpstr>
    </vt:vector>
  </TitlesOfParts>
  <Company/>
  <LinksUpToDate>false</LinksUpToDate>
  <CharactersWithSpaces>4067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2016-03-21T12:49:00Z</dcterms:created>
  <dcterms:modified xsi:type="dcterms:W3CDTF">2016-03-21T12:52:00Z</dcterms:modified>
</cp:coreProperties>
</file>