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D1692" w:rsidRDefault="001D1692"/>
    <w:p w:rsidR="00A9437B" w:rsidRDefault="00A9437B"/>
    <w:p w:rsidR="00A9437B" w:rsidRDefault="00A9437B" w:rsidP="00A9437B">
      <w:pPr>
        <w:autoSpaceDE w:val="0"/>
        <w:autoSpaceDN w:val="0"/>
        <w:adjustRightInd w:val="0"/>
        <w:jc w:val="both"/>
        <w:rPr>
          <w:rFonts w:ascii="Arial" w:hAnsi="Arial" w:cs="Arial"/>
          <w:sz w:val="20"/>
          <w:szCs w:val="20"/>
        </w:rPr>
      </w:pPr>
      <w:proofErr w:type="spellStart"/>
      <w:r w:rsidRPr="00A71CFD">
        <w:rPr>
          <w:rFonts w:ascii="Arial" w:hAnsi="Arial" w:cs="Arial"/>
          <w:sz w:val="20"/>
          <w:szCs w:val="20"/>
          <w:lang w:val="en-US"/>
        </w:rPr>
        <w:t>Cuperus</w:t>
      </w:r>
      <w:proofErr w:type="spellEnd"/>
      <w:r w:rsidRPr="00A71CFD">
        <w:rPr>
          <w:rFonts w:ascii="Arial" w:hAnsi="Arial" w:cs="Arial"/>
          <w:sz w:val="20"/>
          <w:szCs w:val="20"/>
          <w:lang w:val="en-US"/>
        </w:rPr>
        <w:t xml:space="preserve"> N, Vliet </w:t>
      </w:r>
      <w:proofErr w:type="spellStart"/>
      <w:r w:rsidRPr="00A71CFD">
        <w:rPr>
          <w:rFonts w:ascii="Arial" w:hAnsi="Arial" w:cs="Arial"/>
          <w:sz w:val="20"/>
          <w:szCs w:val="20"/>
          <w:lang w:val="en-US"/>
        </w:rPr>
        <w:t>Vlieland</w:t>
      </w:r>
      <w:proofErr w:type="spellEnd"/>
      <w:r w:rsidRPr="00A71CFD">
        <w:rPr>
          <w:rFonts w:ascii="Arial" w:hAnsi="Arial" w:cs="Arial"/>
          <w:sz w:val="20"/>
          <w:szCs w:val="20"/>
          <w:lang w:val="en-US"/>
        </w:rPr>
        <w:t xml:space="preserve"> T.P.M, </w:t>
      </w:r>
      <w:proofErr w:type="spellStart"/>
      <w:r w:rsidRPr="00A71CFD">
        <w:rPr>
          <w:rFonts w:ascii="Arial" w:hAnsi="Arial" w:cs="Arial"/>
          <w:sz w:val="20"/>
          <w:szCs w:val="20"/>
          <w:lang w:val="en-US"/>
        </w:rPr>
        <w:t>Brodin</w:t>
      </w:r>
      <w:proofErr w:type="spellEnd"/>
      <w:r w:rsidRPr="00A71CFD">
        <w:rPr>
          <w:rFonts w:ascii="Arial" w:hAnsi="Arial" w:cs="Arial"/>
          <w:sz w:val="20"/>
          <w:szCs w:val="20"/>
          <w:lang w:val="en-US"/>
        </w:rPr>
        <w:t xml:space="preserve"> N, Hammond A,  </w:t>
      </w:r>
      <w:proofErr w:type="spellStart"/>
      <w:r w:rsidRPr="00A71CFD">
        <w:rPr>
          <w:rFonts w:ascii="Arial" w:hAnsi="Arial" w:cs="Arial"/>
          <w:sz w:val="20"/>
          <w:szCs w:val="20"/>
          <w:lang w:val="en-US"/>
        </w:rPr>
        <w:t>Kjeken</w:t>
      </w:r>
      <w:proofErr w:type="spellEnd"/>
      <w:r w:rsidRPr="00A71CFD">
        <w:rPr>
          <w:rFonts w:ascii="Arial" w:hAnsi="Arial" w:cs="Arial"/>
          <w:sz w:val="20"/>
          <w:szCs w:val="20"/>
          <w:lang w:val="en-US"/>
        </w:rPr>
        <w:t xml:space="preserve"> I, Lund H, Murphy S,  </w:t>
      </w:r>
      <w:proofErr w:type="spellStart"/>
      <w:r w:rsidRPr="00A71CFD">
        <w:rPr>
          <w:rFonts w:ascii="Arial" w:hAnsi="Arial" w:cs="Arial"/>
          <w:sz w:val="20"/>
          <w:szCs w:val="20"/>
          <w:lang w:val="en-US"/>
        </w:rPr>
        <w:t>Neijland</w:t>
      </w:r>
      <w:proofErr w:type="spellEnd"/>
      <w:r w:rsidRPr="00A71CFD">
        <w:rPr>
          <w:rFonts w:ascii="Arial" w:hAnsi="Arial" w:cs="Arial"/>
          <w:sz w:val="20"/>
          <w:szCs w:val="20"/>
          <w:lang w:val="en-US"/>
        </w:rPr>
        <w:t xml:space="preserve"> Y, </w:t>
      </w:r>
      <w:proofErr w:type="spellStart"/>
      <w:r w:rsidRPr="00A71CFD">
        <w:rPr>
          <w:rFonts w:ascii="Arial" w:hAnsi="Arial" w:cs="Arial"/>
          <w:sz w:val="20"/>
          <w:szCs w:val="20"/>
          <w:lang w:val="en-US"/>
        </w:rPr>
        <w:t>Opava</w:t>
      </w:r>
      <w:proofErr w:type="spellEnd"/>
      <w:r w:rsidRPr="00A71CFD">
        <w:rPr>
          <w:rFonts w:ascii="Arial" w:hAnsi="Arial" w:cs="Arial"/>
          <w:sz w:val="20"/>
          <w:szCs w:val="20"/>
          <w:lang w:val="en-US"/>
        </w:rPr>
        <w:t xml:space="preserve"> CH, </w:t>
      </w:r>
      <w:proofErr w:type="spellStart"/>
      <w:r w:rsidRPr="00A71CFD">
        <w:rPr>
          <w:rFonts w:ascii="Arial" w:hAnsi="Arial" w:cs="Arial"/>
          <w:sz w:val="20"/>
          <w:szCs w:val="20"/>
          <w:lang w:val="en-US" w:eastAsia="nl-NL"/>
        </w:rPr>
        <w:t>Roškar</w:t>
      </w:r>
      <w:proofErr w:type="spellEnd"/>
      <w:r w:rsidRPr="00A71CFD">
        <w:rPr>
          <w:rFonts w:ascii="Arial" w:hAnsi="Arial" w:cs="Arial"/>
          <w:sz w:val="20"/>
          <w:szCs w:val="20"/>
          <w:lang w:val="en-US" w:eastAsia="nl-NL"/>
        </w:rPr>
        <w:t xml:space="preserve"> S, </w:t>
      </w:r>
      <w:proofErr w:type="spellStart"/>
      <w:r w:rsidRPr="00A71CFD">
        <w:rPr>
          <w:rFonts w:ascii="Arial" w:hAnsi="Arial" w:cs="Arial"/>
          <w:sz w:val="20"/>
          <w:szCs w:val="20"/>
          <w:lang w:val="en-US" w:eastAsia="nl-NL"/>
        </w:rPr>
        <w:t>Sargautyte</w:t>
      </w:r>
      <w:proofErr w:type="spellEnd"/>
      <w:r w:rsidRPr="00A71CFD">
        <w:rPr>
          <w:rFonts w:ascii="Arial" w:hAnsi="Arial" w:cs="Arial"/>
          <w:sz w:val="20"/>
          <w:szCs w:val="20"/>
          <w:lang w:val="en-US" w:eastAsia="nl-NL"/>
        </w:rPr>
        <w:t xml:space="preserve"> R, </w:t>
      </w:r>
      <w:proofErr w:type="spellStart"/>
      <w:r w:rsidRPr="00A71CFD">
        <w:rPr>
          <w:rFonts w:ascii="Arial" w:hAnsi="Arial" w:cs="Arial"/>
          <w:sz w:val="20"/>
          <w:szCs w:val="20"/>
          <w:lang w:val="en-US" w:eastAsia="nl-NL"/>
        </w:rPr>
        <w:t>Stamm</w:t>
      </w:r>
      <w:proofErr w:type="spellEnd"/>
      <w:r w:rsidRPr="00A71CFD">
        <w:rPr>
          <w:rFonts w:ascii="Arial" w:hAnsi="Arial" w:cs="Arial"/>
          <w:sz w:val="20"/>
          <w:szCs w:val="20"/>
          <w:lang w:val="en-US" w:eastAsia="nl-NL"/>
        </w:rPr>
        <w:t xml:space="preserve"> T, Torres Mata X, </w:t>
      </w:r>
      <w:proofErr w:type="spellStart"/>
      <w:r w:rsidRPr="00A71CFD">
        <w:rPr>
          <w:rFonts w:ascii="Arial" w:hAnsi="Arial" w:cs="Arial"/>
          <w:sz w:val="20"/>
          <w:szCs w:val="20"/>
          <w:lang w:val="en-US" w:eastAsia="nl-NL"/>
        </w:rPr>
        <w:t>Uhlig</w:t>
      </w:r>
      <w:proofErr w:type="spellEnd"/>
      <w:r w:rsidRPr="00A71CFD">
        <w:rPr>
          <w:rFonts w:ascii="Arial" w:hAnsi="Arial" w:cs="Arial"/>
          <w:sz w:val="20"/>
          <w:szCs w:val="20"/>
          <w:lang w:val="en-US" w:eastAsia="nl-NL"/>
        </w:rPr>
        <w:t xml:space="preserve"> T, </w:t>
      </w:r>
      <w:proofErr w:type="spellStart"/>
      <w:r w:rsidRPr="00A71CFD">
        <w:rPr>
          <w:rFonts w:ascii="Arial" w:hAnsi="Arial" w:cs="Arial"/>
          <w:sz w:val="20"/>
          <w:szCs w:val="20"/>
          <w:lang w:val="en-US" w:eastAsia="nl-NL"/>
        </w:rPr>
        <w:t>Zangi</w:t>
      </w:r>
      <w:proofErr w:type="spellEnd"/>
      <w:r w:rsidRPr="00A71CFD">
        <w:rPr>
          <w:rFonts w:ascii="Arial" w:hAnsi="Arial" w:cs="Arial"/>
          <w:sz w:val="20"/>
          <w:szCs w:val="20"/>
          <w:lang w:val="en-US" w:eastAsia="nl-NL"/>
        </w:rPr>
        <w:t xml:space="preserve"> H, </w:t>
      </w:r>
      <w:r w:rsidRPr="00A71CFD">
        <w:rPr>
          <w:rFonts w:ascii="Arial" w:hAnsi="Arial" w:cs="Arial"/>
          <w:sz w:val="20"/>
          <w:szCs w:val="20"/>
          <w:lang w:val="en-US"/>
        </w:rPr>
        <w:t xml:space="preserve"> van den </w:t>
      </w:r>
      <w:proofErr w:type="spellStart"/>
      <w:r w:rsidRPr="00A71CFD">
        <w:rPr>
          <w:rFonts w:ascii="Arial" w:hAnsi="Arial" w:cs="Arial"/>
          <w:sz w:val="20"/>
          <w:szCs w:val="20"/>
          <w:lang w:val="en-US"/>
        </w:rPr>
        <w:t>Ende</w:t>
      </w:r>
      <w:proofErr w:type="spellEnd"/>
      <w:r w:rsidRPr="00A71CFD">
        <w:rPr>
          <w:rFonts w:ascii="Arial" w:hAnsi="Arial" w:cs="Arial"/>
          <w:sz w:val="20"/>
          <w:szCs w:val="20"/>
          <w:lang w:val="en-US"/>
        </w:rPr>
        <w:t xml:space="preserve"> CH. </w:t>
      </w:r>
      <w:r>
        <w:rPr>
          <w:rFonts w:ascii="Arial" w:hAnsi="Arial" w:cs="Arial"/>
          <w:sz w:val="20"/>
          <w:szCs w:val="20"/>
        </w:rPr>
        <w:t xml:space="preserve"> (2015). </w:t>
      </w:r>
      <w:r w:rsidRPr="00A9437B">
        <w:rPr>
          <w:rFonts w:ascii="Arial" w:hAnsi="Arial" w:cs="Arial"/>
          <w:b/>
          <w:sz w:val="20"/>
          <w:szCs w:val="20"/>
        </w:rPr>
        <w:t xml:space="preserve">How do we perceive activity pacing in Rheumatology care? </w:t>
      </w:r>
      <w:proofErr w:type="gramStart"/>
      <w:r w:rsidRPr="00A9437B">
        <w:rPr>
          <w:rFonts w:ascii="Arial" w:hAnsi="Arial" w:cs="Arial"/>
          <w:b/>
          <w:sz w:val="20"/>
          <w:szCs w:val="20"/>
        </w:rPr>
        <w:t>An international Delphi survey.</w:t>
      </w:r>
      <w:proofErr w:type="gramEnd"/>
      <w:r>
        <w:rPr>
          <w:rFonts w:ascii="Arial" w:hAnsi="Arial" w:cs="Arial"/>
          <w:sz w:val="20"/>
          <w:szCs w:val="20"/>
        </w:rPr>
        <w:t xml:space="preserve"> </w:t>
      </w:r>
      <w:r w:rsidRPr="00A9437B">
        <w:rPr>
          <w:rFonts w:ascii="Arial" w:hAnsi="Arial" w:cs="Arial"/>
          <w:b/>
          <w:sz w:val="20"/>
          <w:szCs w:val="20"/>
        </w:rPr>
        <w:t>Annals of the Rheumatic Diseases 74 (</w:t>
      </w:r>
      <w:proofErr w:type="spellStart"/>
      <w:r w:rsidRPr="00A9437B">
        <w:rPr>
          <w:rFonts w:ascii="Arial" w:hAnsi="Arial" w:cs="Arial"/>
          <w:b/>
          <w:sz w:val="20"/>
          <w:szCs w:val="20"/>
        </w:rPr>
        <w:t>Suppl</w:t>
      </w:r>
      <w:proofErr w:type="spellEnd"/>
      <w:r w:rsidRPr="00A9437B">
        <w:rPr>
          <w:rFonts w:ascii="Arial" w:hAnsi="Arial" w:cs="Arial"/>
          <w:b/>
          <w:sz w:val="20"/>
          <w:szCs w:val="20"/>
        </w:rPr>
        <w:t xml:space="preserve"> 2):</w:t>
      </w:r>
      <w:r w:rsidRPr="00A9437B">
        <w:rPr>
          <w:rStyle w:val="cit-first-page"/>
          <w:rFonts w:ascii="Arial" w:hAnsi="Arial" w:cs="Arial"/>
          <w:b/>
          <w:iCs/>
          <w:sz w:val="20"/>
          <w:szCs w:val="20"/>
          <w:lang w:val="en"/>
        </w:rPr>
        <w:t xml:space="preserve"> 159</w:t>
      </w:r>
      <w:r w:rsidRPr="003064FE">
        <w:rPr>
          <w:rStyle w:val="cit-sep1"/>
          <w:rFonts w:ascii="Arial" w:hAnsi="Arial" w:cs="Arial"/>
          <w:iCs/>
          <w:sz w:val="20"/>
          <w:szCs w:val="20"/>
          <w:lang w:val="en"/>
        </w:rPr>
        <w:t xml:space="preserve"> doi:</w:t>
      </w:r>
      <w:r w:rsidRPr="003064FE">
        <w:rPr>
          <w:rStyle w:val="cit-doi3"/>
          <w:rFonts w:ascii="Arial" w:hAnsi="Arial" w:cs="Arial"/>
          <w:iCs/>
          <w:sz w:val="20"/>
          <w:szCs w:val="20"/>
          <w:lang w:val="en"/>
        </w:rPr>
        <w:t>10.1136/annrheumdis-2015-eular.2556</w:t>
      </w:r>
    </w:p>
    <w:p w:rsidR="00A9437B" w:rsidRDefault="00A9437B" w:rsidP="00A9437B">
      <w:pPr>
        <w:spacing w:before="225" w:after="30" w:line="308" w:lineRule="atLeast"/>
        <w:outlineLvl w:val="2"/>
        <w:rPr>
          <w:rFonts w:ascii="Arial" w:eastAsia="Times New Roman" w:hAnsi="Arial" w:cs="Arial"/>
          <w:b/>
          <w:bCs/>
          <w:color w:val="333333"/>
          <w:sz w:val="27"/>
          <w:szCs w:val="27"/>
          <w:lang w:val="en" w:eastAsia="en-GB"/>
        </w:rPr>
      </w:pPr>
    </w:p>
    <w:p w:rsidR="00A9437B" w:rsidRDefault="00A9437B" w:rsidP="00A9437B">
      <w:pPr>
        <w:spacing w:before="225" w:after="30" w:line="308" w:lineRule="atLeast"/>
        <w:outlineLvl w:val="2"/>
        <w:rPr>
          <w:rFonts w:ascii="Arial" w:eastAsia="Times New Roman" w:hAnsi="Arial" w:cs="Arial"/>
          <w:b/>
          <w:bCs/>
          <w:color w:val="333333"/>
          <w:sz w:val="27"/>
          <w:szCs w:val="27"/>
          <w:lang w:val="en" w:eastAsia="en-GB"/>
        </w:rPr>
      </w:pPr>
    </w:p>
    <w:p w:rsidR="00A9437B" w:rsidRPr="00A9437B" w:rsidRDefault="00A9437B" w:rsidP="00A9437B">
      <w:pPr>
        <w:spacing w:before="225" w:after="30" w:line="308" w:lineRule="atLeast"/>
        <w:outlineLvl w:val="2"/>
        <w:rPr>
          <w:rFonts w:ascii="Arial" w:eastAsia="Times New Roman" w:hAnsi="Arial" w:cs="Arial"/>
          <w:b/>
          <w:bCs/>
          <w:color w:val="333333"/>
          <w:sz w:val="27"/>
          <w:szCs w:val="27"/>
          <w:lang w:val="en" w:eastAsia="en-GB"/>
        </w:rPr>
      </w:pPr>
      <w:r w:rsidRPr="00A9437B">
        <w:rPr>
          <w:rFonts w:ascii="Arial" w:eastAsia="Times New Roman" w:hAnsi="Arial" w:cs="Arial"/>
          <w:b/>
          <w:bCs/>
          <w:color w:val="333333"/>
          <w:sz w:val="27"/>
          <w:szCs w:val="27"/>
          <w:lang w:val="en" w:eastAsia="en-GB"/>
        </w:rPr>
        <w:t>Abstract</w:t>
      </w:r>
    </w:p>
    <w:p w:rsidR="00A9437B" w:rsidRPr="00A9437B" w:rsidRDefault="00A9437B" w:rsidP="00A9437B">
      <w:pPr>
        <w:spacing w:before="30" w:after="225" w:line="336" w:lineRule="atLeast"/>
        <w:rPr>
          <w:rFonts w:ascii="Arial" w:eastAsia="Times New Roman" w:hAnsi="Arial" w:cs="Arial"/>
          <w:color w:val="333333"/>
          <w:sz w:val="18"/>
          <w:szCs w:val="18"/>
          <w:lang w:val="en" w:eastAsia="en-GB"/>
        </w:rPr>
      </w:pPr>
      <w:r w:rsidRPr="00A9437B">
        <w:rPr>
          <w:rFonts w:ascii="Arial" w:eastAsia="Times New Roman" w:hAnsi="Arial" w:cs="Arial"/>
          <w:b/>
          <w:bCs/>
          <w:color w:val="333333"/>
          <w:sz w:val="18"/>
          <w:szCs w:val="18"/>
          <w:lang w:val="en" w:eastAsia="en-GB"/>
        </w:rPr>
        <w:t>Background</w:t>
      </w:r>
      <w:r w:rsidRPr="00A9437B">
        <w:rPr>
          <w:rFonts w:ascii="Arial" w:eastAsia="Times New Roman" w:hAnsi="Arial" w:cs="Arial"/>
          <w:color w:val="333333"/>
          <w:sz w:val="18"/>
          <w:szCs w:val="18"/>
          <w:lang w:val="en" w:eastAsia="en-GB"/>
        </w:rPr>
        <w:t xml:space="preserve"> Activity pacing is a recommended non-pharmacological intervention for the management of rheumatic and musculoskeletal diseases in international clinical guidelines. In clinical practice, activity pacing aims at adapting daily activities, and is often an important component of self-management programs. However, despite its wide endorsement in clinical practice, to date activity pacing is still a poorly understood concept. </w:t>
      </w:r>
    </w:p>
    <w:p w:rsidR="00A9437B" w:rsidRPr="00A9437B" w:rsidRDefault="00A9437B" w:rsidP="00A9437B">
      <w:pPr>
        <w:spacing w:before="30" w:after="225" w:line="336" w:lineRule="atLeast"/>
        <w:rPr>
          <w:rFonts w:ascii="Arial" w:eastAsia="Times New Roman" w:hAnsi="Arial" w:cs="Arial"/>
          <w:color w:val="333333"/>
          <w:sz w:val="18"/>
          <w:szCs w:val="18"/>
          <w:lang w:val="en" w:eastAsia="en-GB"/>
        </w:rPr>
      </w:pPr>
      <w:r w:rsidRPr="00A9437B">
        <w:rPr>
          <w:rFonts w:ascii="Arial" w:eastAsia="Times New Roman" w:hAnsi="Arial" w:cs="Arial"/>
          <w:b/>
          <w:bCs/>
          <w:color w:val="333333"/>
          <w:sz w:val="18"/>
          <w:szCs w:val="18"/>
          <w:lang w:val="en" w:eastAsia="en-GB"/>
        </w:rPr>
        <w:t>Objectives</w:t>
      </w:r>
      <w:r w:rsidRPr="00A9437B">
        <w:rPr>
          <w:rFonts w:ascii="Arial" w:eastAsia="Times New Roman" w:hAnsi="Arial" w:cs="Arial"/>
          <w:color w:val="333333"/>
          <w:sz w:val="18"/>
          <w:szCs w:val="18"/>
          <w:lang w:val="en" w:eastAsia="en-GB"/>
        </w:rPr>
        <w:t xml:space="preserve"> To achieve consensus by means of an international Delphi exercise on the most important aspects of activity pacing as an intervention within non-pharmacological rheumatology care. </w:t>
      </w:r>
    </w:p>
    <w:p w:rsidR="00A9437B" w:rsidRPr="00A9437B" w:rsidRDefault="00A9437B" w:rsidP="00A9437B">
      <w:pPr>
        <w:spacing w:before="30" w:after="225" w:line="336" w:lineRule="atLeast"/>
        <w:rPr>
          <w:rFonts w:ascii="Arial" w:eastAsia="Times New Roman" w:hAnsi="Arial" w:cs="Arial"/>
          <w:color w:val="333333"/>
          <w:sz w:val="18"/>
          <w:szCs w:val="18"/>
          <w:lang w:val="en" w:eastAsia="en-GB"/>
        </w:rPr>
      </w:pPr>
      <w:r w:rsidRPr="00A9437B">
        <w:rPr>
          <w:rFonts w:ascii="Arial" w:eastAsia="Times New Roman" w:hAnsi="Arial" w:cs="Arial"/>
          <w:b/>
          <w:bCs/>
          <w:color w:val="333333"/>
          <w:sz w:val="18"/>
          <w:szCs w:val="18"/>
          <w:lang w:val="en" w:eastAsia="en-GB"/>
        </w:rPr>
        <w:t>Methods</w:t>
      </w:r>
      <w:r w:rsidRPr="00A9437B">
        <w:rPr>
          <w:rFonts w:ascii="Arial" w:eastAsia="Times New Roman" w:hAnsi="Arial" w:cs="Arial"/>
          <w:color w:val="333333"/>
          <w:sz w:val="18"/>
          <w:szCs w:val="18"/>
          <w:lang w:val="en" w:eastAsia="en-GB"/>
        </w:rPr>
        <w:t xml:space="preserve"> An international, multidisciplinary expert panel comprising 60 clinicians and/or healthcare providers experienced with activity pacing across 12 different countries participated in a Delphi survey. Over four Delphi rounds, the panelists identified and ranked the most important goals of activity pacing, behaviours of activity pacing (the actions people take to meet the goal of activity pacing), strategies to change behaviour in activity pacing (for example goal setting) and contextual factors that should be acknowledged when instructing activity pacing. Besides, topics for future research on activity pacing were formulated and prioritized. </w:t>
      </w:r>
    </w:p>
    <w:p w:rsidR="00A9437B" w:rsidRPr="00A9437B" w:rsidRDefault="00A9437B" w:rsidP="00A9437B">
      <w:pPr>
        <w:spacing w:before="30" w:after="225" w:line="336" w:lineRule="atLeast"/>
        <w:rPr>
          <w:rFonts w:ascii="Arial" w:eastAsia="Times New Roman" w:hAnsi="Arial" w:cs="Arial"/>
          <w:color w:val="333333"/>
          <w:sz w:val="18"/>
          <w:szCs w:val="18"/>
          <w:lang w:val="en" w:eastAsia="en-GB"/>
        </w:rPr>
      </w:pPr>
      <w:r w:rsidRPr="00A9437B">
        <w:rPr>
          <w:rFonts w:ascii="Arial" w:eastAsia="Times New Roman" w:hAnsi="Arial" w:cs="Arial"/>
          <w:b/>
          <w:bCs/>
          <w:color w:val="333333"/>
          <w:sz w:val="18"/>
          <w:szCs w:val="18"/>
          <w:lang w:val="en" w:eastAsia="en-GB"/>
        </w:rPr>
        <w:t>Results</w:t>
      </w:r>
      <w:r w:rsidRPr="00A9437B">
        <w:rPr>
          <w:rFonts w:ascii="Arial" w:eastAsia="Times New Roman" w:hAnsi="Arial" w:cs="Arial"/>
          <w:color w:val="333333"/>
          <w:sz w:val="18"/>
          <w:szCs w:val="18"/>
          <w:lang w:val="en" w:eastAsia="en-GB"/>
        </w:rPr>
        <w:t xml:space="preserve"> Of the 60 panelists, nearly two third (63%) completed all four Delphi rounds. The panel prioritized 9 goals, 11 behaviours, 9 strategies to change behaviour and 10 contextual factors of activity pacing. These items were integrated into a consensual list containing the most important aspects of activity pacing interventions in non-pharmacological rheumatology care. Furthermore, the Delphi panel prioritized 9 topics for future research on activity pacing which were included in a research agenda. This agenda highlights that future research should focus on the effectiveness of activity pacing interventions and on appropriate outcome measures to assess its effectiveness, as selected by 64% and 82% of the panelists</w:t>
      </w:r>
      <w:bookmarkStart w:id="0" w:name="_GoBack"/>
      <w:bookmarkEnd w:id="0"/>
      <w:r w:rsidRPr="00A9437B">
        <w:rPr>
          <w:rFonts w:ascii="Arial" w:eastAsia="Times New Roman" w:hAnsi="Arial" w:cs="Arial"/>
          <w:color w:val="333333"/>
          <w:sz w:val="18"/>
          <w:szCs w:val="18"/>
          <w:lang w:val="en" w:eastAsia="en-GB"/>
        </w:rPr>
        <w:t xml:space="preserve">, respectively. </w:t>
      </w:r>
    </w:p>
    <w:p w:rsidR="00A9437B" w:rsidRPr="00A9437B" w:rsidRDefault="00A9437B" w:rsidP="00A9437B">
      <w:pPr>
        <w:spacing w:before="30" w:after="225" w:line="336" w:lineRule="atLeast"/>
        <w:rPr>
          <w:rFonts w:ascii="Arial" w:eastAsia="Times New Roman" w:hAnsi="Arial" w:cs="Arial"/>
          <w:color w:val="333333"/>
          <w:sz w:val="18"/>
          <w:szCs w:val="18"/>
          <w:lang w:val="en" w:eastAsia="en-GB"/>
        </w:rPr>
      </w:pPr>
      <w:r w:rsidRPr="00A9437B">
        <w:rPr>
          <w:rFonts w:ascii="Arial" w:eastAsia="Times New Roman" w:hAnsi="Arial" w:cs="Arial"/>
          <w:b/>
          <w:bCs/>
          <w:color w:val="333333"/>
          <w:sz w:val="18"/>
          <w:szCs w:val="18"/>
          <w:lang w:val="en" w:eastAsia="en-GB"/>
        </w:rPr>
        <w:t>Conclusions</w:t>
      </w:r>
      <w:r w:rsidRPr="00A9437B">
        <w:rPr>
          <w:rFonts w:ascii="Arial" w:eastAsia="Times New Roman" w:hAnsi="Arial" w:cs="Arial"/>
          <w:color w:val="333333"/>
          <w:sz w:val="18"/>
          <w:szCs w:val="18"/>
          <w:lang w:val="en" w:eastAsia="en-GB"/>
        </w:rPr>
        <w:t xml:space="preserve"> The diversity and number of items included in the consensual list developed in the current study reflect the heterogeneity of the concept of activity pacing. This study is an important first step to achieve better transparency and homogeneity within the concept of activity pacing for clinical practice and research. </w:t>
      </w:r>
    </w:p>
    <w:p w:rsidR="00A9437B" w:rsidRDefault="00A9437B"/>
    <w:sectPr w:rsidR="00A9437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2F09E6"/>
    <w:multiLevelType w:val="multilevel"/>
    <w:tmpl w:val="C1CC39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26787396"/>
    <w:multiLevelType w:val="multilevel"/>
    <w:tmpl w:val="339C77E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oNotDisplayPageBoundaries/>
  <w:proofState w:spelling="clean" w:grammar="clean"/>
  <w:defaultTabStop w:val="720"/>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9437B"/>
    <w:rsid w:val="001D1692"/>
    <w:rsid w:val="00A9437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A9437B"/>
    <w:rPr>
      <w:strike w:val="0"/>
      <w:dstrike w:val="0"/>
      <w:color w:val="0066CC"/>
      <w:u w:val="none"/>
      <w:effect w:val="none"/>
    </w:rPr>
  </w:style>
  <w:style w:type="paragraph" w:styleId="HTMLAddress">
    <w:name w:val="HTML Address"/>
    <w:basedOn w:val="Normal"/>
    <w:link w:val="HTMLAddressChar"/>
    <w:uiPriority w:val="99"/>
    <w:semiHidden/>
    <w:unhideWhenUsed/>
    <w:rsid w:val="00A9437B"/>
    <w:pPr>
      <w:spacing w:after="0" w:line="240" w:lineRule="auto"/>
    </w:pPr>
    <w:rPr>
      <w:rFonts w:ascii="Times New Roman" w:eastAsia="Times New Roman" w:hAnsi="Times New Roman" w:cs="Times New Roman"/>
      <w:i/>
      <w:iCs/>
      <w:sz w:val="24"/>
      <w:szCs w:val="24"/>
      <w:lang w:eastAsia="en-GB"/>
    </w:rPr>
  </w:style>
  <w:style w:type="character" w:customStyle="1" w:styleId="HTMLAddressChar">
    <w:name w:val="HTML Address Char"/>
    <w:basedOn w:val="DefaultParagraphFont"/>
    <w:link w:val="HTMLAddress"/>
    <w:uiPriority w:val="99"/>
    <w:semiHidden/>
    <w:rsid w:val="00A9437B"/>
    <w:rPr>
      <w:rFonts w:ascii="Times New Roman" w:eastAsia="Times New Roman" w:hAnsi="Times New Roman" w:cs="Times New Roman"/>
      <w:i/>
      <w:iCs/>
      <w:sz w:val="24"/>
      <w:szCs w:val="24"/>
      <w:lang w:eastAsia="en-GB"/>
    </w:rPr>
  </w:style>
  <w:style w:type="character" w:styleId="Strong">
    <w:name w:val="Strong"/>
    <w:basedOn w:val="DefaultParagraphFont"/>
    <w:uiPriority w:val="22"/>
    <w:qFormat/>
    <w:rsid w:val="00A9437B"/>
    <w:rPr>
      <w:b/>
      <w:bCs/>
    </w:rPr>
  </w:style>
  <w:style w:type="character" w:customStyle="1" w:styleId="name">
    <w:name w:val="name"/>
    <w:basedOn w:val="DefaultParagraphFont"/>
    <w:rsid w:val="00A9437B"/>
  </w:style>
  <w:style w:type="paragraph" w:customStyle="1" w:styleId="affiliation-list-reveal1">
    <w:name w:val="affiliation-list-reveal1"/>
    <w:basedOn w:val="Normal"/>
    <w:rsid w:val="00A9437B"/>
    <w:pPr>
      <w:spacing w:before="30" w:after="225" w:line="336" w:lineRule="atLeast"/>
    </w:pPr>
    <w:rPr>
      <w:rFonts w:ascii="Arial" w:eastAsia="Times New Roman" w:hAnsi="Arial" w:cs="Arial"/>
      <w:sz w:val="29"/>
      <w:szCs w:val="29"/>
      <w:lang w:eastAsia="en-GB"/>
    </w:rPr>
  </w:style>
  <w:style w:type="character" w:customStyle="1" w:styleId="cit-sep1">
    <w:name w:val="cit-sep1"/>
    <w:rsid w:val="00A9437B"/>
    <w:rPr>
      <w:b w:val="0"/>
      <w:bCs w:val="0"/>
    </w:rPr>
  </w:style>
  <w:style w:type="character" w:customStyle="1" w:styleId="cit-first-page">
    <w:name w:val="cit-first-page"/>
    <w:basedOn w:val="DefaultParagraphFont"/>
    <w:rsid w:val="00A9437B"/>
  </w:style>
  <w:style w:type="character" w:customStyle="1" w:styleId="cit-doi3">
    <w:name w:val="cit-doi3"/>
    <w:rsid w:val="00A9437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A9437B"/>
    <w:rPr>
      <w:strike w:val="0"/>
      <w:dstrike w:val="0"/>
      <w:color w:val="0066CC"/>
      <w:u w:val="none"/>
      <w:effect w:val="none"/>
    </w:rPr>
  </w:style>
  <w:style w:type="paragraph" w:styleId="HTMLAddress">
    <w:name w:val="HTML Address"/>
    <w:basedOn w:val="Normal"/>
    <w:link w:val="HTMLAddressChar"/>
    <w:uiPriority w:val="99"/>
    <w:semiHidden/>
    <w:unhideWhenUsed/>
    <w:rsid w:val="00A9437B"/>
    <w:pPr>
      <w:spacing w:after="0" w:line="240" w:lineRule="auto"/>
    </w:pPr>
    <w:rPr>
      <w:rFonts w:ascii="Times New Roman" w:eastAsia="Times New Roman" w:hAnsi="Times New Roman" w:cs="Times New Roman"/>
      <w:i/>
      <w:iCs/>
      <w:sz w:val="24"/>
      <w:szCs w:val="24"/>
      <w:lang w:eastAsia="en-GB"/>
    </w:rPr>
  </w:style>
  <w:style w:type="character" w:customStyle="1" w:styleId="HTMLAddressChar">
    <w:name w:val="HTML Address Char"/>
    <w:basedOn w:val="DefaultParagraphFont"/>
    <w:link w:val="HTMLAddress"/>
    <w:uiPriority w:val="99"/>
    <w:semiHidden/>
    <w:rsid w:val="00A9437B"/>
    <w:rPr>
      <w:rFonts w:ascii="Times New Roman" w:eastAsia="Times New Roman" w:hAnsi="Times New Roman" w:cs="Times New Roman"/>
      <w:i/>
      <w:iCs/>
      <w:sz w:val="24"/>
      <w:szCs w:val="24"/>
      <w:lang w:eastAsia="en-GB"/>
    </w:rPr>
  </w:style>
  <w:style w:type="character" w:styleId="Strong">
    <w:name w:val="Strong"/>
    <w:basedOn w:val="DefaultParagraphFont"/>
    <w:uiPriority w:val="22"/>
    <w:qFormat/>
    <w:rsid w:val="00A9437B"/>
    <w:rPr>
      <w:b/>
      <w:bCs/>
    </w:rPr>
  </w:style>
  <w:style w:type="character" w:customStyle="1" w:styleId="name">
    <w:name w:val="name"/>
    <w:basedOn w:val="DefaultParagraphFont"/>
    <w:rsid w:val="00A9437B"/>
  </w:style>
  <w:style w:type="paragraph" w:customStyle="1" w:styleId="affiliation-list-reveal1">
    <w:name w:val="affiliation-list-reveal1"/>
    <w:basedOn w:val="Normal"/>
    <w:rsid w:val="00A9437B"/>
    <w:pPr>
      <w:spacing w:before="30" w:after="225" w:line="336" w:lineRule="atLeast"/>
    </w:pPr>
    <w:rPr>
      <w:rFonts w:ascii="Arial" w:eastAsia="Times New Roman" w:hAnsi="Arial" w:cs="Arial"/>
      <w:sz w:val="29"/>
      <w:szCs w:val="29"/>
      <w:lang w:eastAsia="en-GB"/>
    </w:rPr>
  </w:style>
  <w:style w:type="character" w:customStyle="1" w:styleId="cit-sep1">
    <w:name w:val="cit-sep1"/>
    <w:rsid w:val="00A9437B"/>
    <w:rPr>
      <w:b w:val="0"/>
      <w:bCs w:val="0"/>
    </w:rPr>
  </w:style>
  <w:style w:type="character" w:customStyle="1" w:styleId="cit-first-page">
    <w:name w:val="cit-first-page"/>
    <w:basedOn w:val="DefaultParagraphFont"/>
    <w:rsid w:val="00A9437B"/>
  </w:style>
  <w:style w:type="character" w:customStyle="1" w:styleId="cit-doi3">
    <w:name w:val="cit-doi3"/>
    <w:rsid w:val="00A9437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22461248">
      <w:bodyDiv w:val="1"/>
      <w:marLeft w:val="0"/>
      <w:marRight w:val="0"/>
      <w:marTop w:val="0"/>
      <w:marBottom w:val="0"/>
      <w:divBdr>
        <w:top w:val="none" w:sz="0" w:space="0" w:color="auto"/>
        <w:left w:val="none" w:sz="0" w:space="0" w:color="auto"/>
        <w:bottom w:val="none" w:sz="0" w:space="0" w:color="auto"/>
        <w:right w:val="none" w:sz="0" w:space="0" w:color="auto"/>
      </w:divBdr>
      <w:divsChild>
        <w:div w:id="1008556900">
          <w:marLeft w:val="0"/>
          <w:marRight w:val="0"/>
          <w:marTop w:val="0"/>
          <w:marBottom w:val="0"/>
          <w:divBdr>
            <w:top w:val="none" w:sz="0" w:space="0" w:color="auto"/>
            <w:left w:val="none" w:sz="0" w:space="0" w:color="auto"/>
            <w:bottom w:val="none" w:sz="0" w:space="0" w:color="auto"/>
            <w:right w:val="none" w:sz="0" w:space="0" w:color="auto"/>
          </w:divBdr>
          <w:divsChild>
            <w:div w:id="688069479">
              <w:marLeft w:val="0"/>
              <w:marRight w:val="0"/>
              <w:marTop w:val="0"/>
              <w:marBottom w:val="0"/>
              <w:divBdr>
                <w:top w:val="none" w:sz="0" w:space="0" w:color="auto"/>
                <w:left w:val="none" w:sz="0" w:space="0" w:color="auto"/>
                <w:bottom w:val="none" w:sz="0" w:space="0" w:color="auto"/>
                <w:right w:val="none" w:sz="0" w:space="0" w:color="auto"/>
              </w:divBdr>
              <w:divsChild>
                <w:div w:id="1839081035">
                  <w:marLeft w:val="0"/>
                  <w:marRight w:val="0"/>
                  <w:marTop w:val="0"/>
                  <w:marBottom w:val="0"/>
                  <w:divBdr>
                    <w:top w:val="none" w:sz="0" w:space="0" w:color="auto"/>
                    <w:left w:val="none" w:sz="0" w:space="0" w:color="auto"/>
                    <w:bottom w:val="none" w:sz="0" w:space="0" w:color="auto"/>
                    <w:right w:val="none" w:sz="0" w:space="0" w:color="auto"/>
                  </w:divBdr>
                  <w:divsChild>
                    <w:div w:id="1057389366">
                      <w:marLeft w:val="0"/>
                      <w:marRight w:val="0"/>
                      <w:marTop w:val="0"/>
                      <w:marBottom w:val="0"/>
                      <w:divBdr>
                        <w:top w:val="none" w:sz="0" w:space="0" w:color="auto"/>
                        <w:left w:val="none" w:sz="0" w:space="0" w:color="auto"/>
                        <w:bottom w:val="none" w:sz="0" w:space="0" w:color="auto"/>
                        <w:right w:val="none" w:sz="0" w:space="0" w:color="auto"/>
                      </w:divBdr>
                      <w:divsChild>
                        <w:div w:id="2006282850">
                          <w:marLeft w:val="150"/>
                          <w:marRight w:val="0"/>
                          <w:marTop w:val="150"/>
                          <w:marBottom w:val="150"/>
                          <w:divBdr>
                            <w:top w:val="none" w:sz="0" w:space="0" w:color="auto"/>
                            <w:left w:val="none" w:sz="0" w:space="0" w:color="auto"/>
                            <w:bottom w:val="none" w:sz="0" w:space="0" w:color="auto"/>
                            <w:right w:val="none" w:sz="0" w:space="0" w:color="auto"/>
                          </w:divBdr>
                          <w:divsChild>
                            <w:div w:id="1724400317">
                              <w:marLeft w:val="0"/>
                              <w:marRight w:val="0"/>
                              <w:marTop w:val="0"/>
                              <w:marBottom w:val="0"/>
                              <w:divBdr>
                                <w:top w:val="none" w:sz="0" w:space="0" w:color="auto"/>
                                <w:left w:val="none" w:sz="0" w:space="0" w:color="auto"/>
                                <w:bottom w:val="none" w:sz="0" w:space="0" w:color="auto"/>
                                <w:right w:val="none" w:sz="0" w:space="0" w:color="auto"/>
                              </w:divBdr>
                              <w:divsChild>
                                <w:div w:id="1663894994">
                                  <w:marLeft w:val="0"/>
                                  <w:marRight w:val="0"/>
                                  <w:marTop w:val="0"/>
                                  <w:marBottom w:val="0"/>
                                  <w:divBdr>
                                    <w:top w:val="none" w:sz="0" w:space="0" w:color="auto"/>
                                    <w:left w:val="none" w:sz="0" w:space="0" w:color="auto"/>
                                    <w:bottom w:val="none" w:sz="0" w:space="0" w:color="auto"/>
                                    <w:right w:val="none" w:sz="0" w:space="0" w:color="auto"/>
                                  </w:divBdr>
                                </w:div>
                                <w:div w:id="1560943726">
                                  <w:marLeft w:val="0"/>
                                  <w:marRight w:val="0"/>
                                  <w:marTop w:val="0"/>
                                  <w:marBottom w:val="0"/>
                                  <w:divBdr>
                                    <w:top w:val="none" w:sz="0" w:space="0" w:color="auto"/>
                                    <w:left w:val="none" w:sz="0" w:space="0" w:color="auto"/>
                                    <w:bottom w:val="none" w:sz="0" w:space="0" w:color="auto"/>
                                    <w:right w:val="none" w:sz="0" w:space="0" w:color="auto"/>
                                  </w:divBdr>
                                </w:div>
                                <w:div w:id="1008412714">
                                  <w:marLeft w:val="0"/>
                                  <w:marRight w:val="0"/>
                                  <w:marTop w:val="0"/>
                                  <w:marBottom w:val="0"/>
                                  <w:divBdr>
                                    <w:top w:val="none" w:sz="0" w:space="0" w:color="auto"/>
                                    <w:left w:val="none" w:sz="0" w:space="0" w:color="auto"/>
                                    <w:bottom w:val="none" w:sz="0" w:space="0" w:color="auto"/>
                                    <w:right w:val="none" w:sz="0" w:space="0" w:color="auto"/>
                                  </w:divBdr>
                                </w:div>
                                <w:div w:id="1464082187">
                                  <w:marLeft w:val="0"/>
                                  <w:marRight w:val="0"/>
                                  <w:marTop w:val="0"/>
                                  <w:marBottom w:val="0"/>
                                  <w:divBdr>
                                    <w:top w:val="none" w:sz="0" w:space="0" w:color="auto"/>
                                    <w:left w:val="none" w:sz="0" w:space="0" w:color="auto"/>
                                    <w:bottom w:val="none" w:sz="0" w:space="0" w:color="auto"/>
                                    <w:right w:val="none" w:sz="0" w:space="0" w:color="auto"/>
                                  </w:divBdr>
                                </w:div>
                                <w:div w:id="133373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410</Words>
  <Characters>2341</Characters>
  <Application>Microsoft Office Word</Application>
  <DocSecurity>0</DocSecurity>
  <Lines>19</Lines>
  <Paragraphs>5</Paragraphs>
  <ScaleCrop>false</ScaleCrop>
  <HeadingPairs>
    <vt:vector size="4" baseType="variant">
      <vt:variant>
        <vt:lpstr>Title</vt:lpstr>
      </vt:variant>
      <vt:variant>
        <vt:i4>1</vt:i4>
      </vt:variant>
      <vt:variant>
        <vt:lpstr>Headings</vt:lpstr>
      </vt:variant>
      <vt:variant>
        <vt:i4>3</vt:i4>
      </vt:variant>
    </vt:vector>
  </HeadingPairs>
  <TitlesOfParts>
    <vt:vector size="4" baseType="lpstr">
      <vt:lpstr/>
      <vt:lpstr>        </vt:lpstr>
      <vt:lpstr>        </vt:lpstr>
      <vt:lpstr>        Abstract</vt:lpstr>
    </vt:vector>
  </TitlesOfParts>
  <Company/>
  <LinksUpToDate>false</LinksUpToDate>
  <CharactersWithSpaces>2746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Hp</cp:lastModifiedBy>
  <cp:revision>1</cp:revision>
  <dcterms:created xsi:type="dcterms:W3CDTF">2016-03-21T12:18:00Z</dcterms:created>
  <dcterms:modified xsi:type="dcterms:W3CDTF">2016-03-21T12:19:00Z</dcterms:modified>
</cp:coreProperties>
</file>