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98" w:rsidRPr="003D6AA1" w:rsidRDefault="00DB3098" w:rsidP="00DB3098">
      <w:pPr>
        <w:spacing w:line="360" w:lineRule="auto"/>
        <w:jc w:val="both"/>
        <w:rPr>
          <w:sz w:val="24"/>
          <w:szCs w:val="24"/>
        </w:rPr>
      </w:pPr>
      <w:r w:rsidRPr="003D6AA1">
        <w:rPr>
          <w:sz w:val="24"/>
          <w:szCs w:val="24"/>
        </w:rPr>
        <w:t xml:space="preserve">Prevalence of </w:t>
      </w:r>
      <w:r w:rsidRPr="003D6AA1">
        <w:rPr>
          <w:i/>
          <w:sz w:val="24"/>
          <w:szCs w:val="24"/>
        </w:rPr>
        <w:t>Toxoplasma gondii</w:t>
      </w:r>
      <w:r w:rsidRPr="003D6AA1">
        <w:rPr>
          <w:sz w:val="24"/>
          <w:szCs w:val="24"/>
        </w:rPr>
        <w:t xml:space="preserve"> in local</w:t>
      </w:r>
      <w:r w:rsidR="00366D21" w:rsidRPr="003D6AA1">
        <w:rPr>
          <w:sz w:val="24"/>
          <w:szCs w:val="24"/>
        </w:rPr>
        <w:t>ised</w:t>
      </w:r>
      <w:r w:rsidRPr="003D6AA1">
        <w:rPr>
          <w:sz w:val="24"/>
          <w:szCs w:val="24"/>
        </w:rPr>
        <w:t xml:space="preserve"> populations of </w:t>
      </w:r>
      <w:r w:rsidRPr="003D6AA1">
        <w:rPr>
          <w:i/>
          <w:sz w:val="24"/>
          <w:szCs w:val="24"/>
        </w:rPr>
        <w:t>Apodemus sylvaticus</w:t>
      </w:r>
      <w:r w:rsidRPr="003D6AA1">
        <w:rPr>
          <w:sz w:val="24"/>
          <w:szCs w:val="24"/>
        </w:rPr>
        <w:t xml:space="preserve"> is linked to population genotype not to population location</w:t>
      </w:r>
      <w:r w:rsidR="00725C91" w:rsidRPr="003D6AA1">
        <w:rPr>
          <w:sz w:val="24"/>
          <w:szCs w:val="24"/>
        </w:rPr>
        <w:t>.</w:t>
      </w:r>
    </w:p>
    <w:p w:rsidR="00C441B0" w:rsidRPr="00332D00" w:rsidRDefault="00C441B0" w:rsidP="00DB3098">
      <w:pPr>
        <w:spacing w:line="360" w:lineRule="auto"/>
        <w:jc w:val="both"/>
        <w:rPr>
          <w:sz w:val="24"/>
          <w:szCs w:val="24"/>
        </w:rPr>
      </w:pPr>
    </w:p>
    <w:p w:rsidR="00C441B0" w:rsidRPr="003D6AA1" w:rsidRDefault="00C441B0" w:rsidP="00C441B0">
      <w:pPr>
        <w:spacing w:line="480" w:lineRule="auto"/>
        <w:rPr>
          <w:sz w:val="24"/>
        </w:rPr>
      </w:pPr>
      <w:r w:rsidRPr="003D6AA1">
        <w:rPr>
          <w:sz w:val="24"/>
        </w:rPr>
        <w:t>J. BAJNOK</w:t>
      </w:r>
      <w:r w:rsidRPr="003D6AA1">
        <w:rPr>
          <w:sz w:val="24"/>
          <w:vertAlign w:val="superscript"/>
        </w:rPr>
        <w:t>1</w:t>
      </w:r>
      <w:r w:rsidRPr="003D6AA1">
        <w:rPr>
          <w:sz w:val="24"/>
        </w:rPr>
        <w:t>, K. BOYCE</w:t>
      </w:r>
      <w:r w:rsidRPr="003D6AA1">
        <w:rPr>
          <w:sz w:val="24"/>
          <w:vertAlign w:val="superscript"/>
        </w:rPr>
        <w:t>1</w:t>
      </w:r>
      <w:r w:rsidRPr="003D6AA1">
        <w:rPr>
          <w:sz w:val="24"/>
        </w:rPr>
        <w:t>, M. T. ROGAN</w:t>
      </w:r>
      <w:r w:rsidRPr="003D6AA1">
        <w:rPr>
          <w:sz w:val="24"/>
          <w:vertAlign w:val="superscript"/>
        </w:rPr>
        <w:t>1</w:t>
      </w:r>
      <w:r w:rsidRPr="003D6AA1">
        <w:rPr>
          <w:sz w:val="24"/>
        </w:rPr>
        <w:t>, P. S. CRAIG</w:t>
      </w:r>
      <w:r w:rsidRPr="003D6AA1">
        <w:rPr>
          <w:sz w:val="24"/>
          <w:vertAlign w:val="superscript"/>
        </w:rPr>
        <w:t>1</w:t>
      </w:r>
      <w:r w:rsidRPr="003D6AA1">
        <w:rPr>
          <w:sz w:val="24"/>
        </w:rPr>
        <w:t>,</w:t>
      </w:r>
      <w:r w:rsidR="00725C91" w:rsidRPr="003D6AA1">
        <w:rPr>
          <w:sz w:val="24"/>
        </w:rPr>
        <w:t xml:space="preserve"> </w:t>
      </w:r>
      <w:r w:rsidRPr="003D6AA1">
        <w:rPr>
          <w:sz w:val="24"/>
        </w:rPr>
        <w:t>Z. R. LUN</w:t>
      </w:r>
      <w:r w:rsidRPr="003D6AA1">
        <w:rPr>
          <w:sz w:val="24"/>
          <w:vertAlign w:val="superscript"/>
        </w:rPr>
        <w:t>1,2</w:t>
      </w:r>
      <w:r w:rsidRPr="003D6AA1">
        <w:rPr>
          <w:sz w:val="24"/>
        </w:rPr>
        <w:t xml:space="preserve"> and G. HIDE</w:t>
      </w:r>
      <w:r w:rsidRPr="003D6AA1">
        <w:rPr>
          <w:sz w:val="24"/>
          <w:vertAlign w:val="superscript"/>
        </w:rPr>
        <w:t>1,3</w:t>
      </w:r>
    </w:p>
    <w:p w:rsidR="00C441B0" w:rsidRPr="002B74C5" w:rsidRDefault="00C441B0" w:rsidP="00DB3098">
      <w:pPr>
        <w:spacing w:line="360" w:lineRule="auto"/>
        <w:jc w:val="both"/>
        <w:rPr>
          <w:sz w:val="24"/>
          <w:szCs w:val="24"/>
        </w:rPr>
      </w:pPr>
    </w:p>
    <w:p w:rsidR="002B74C5" w:rsidRPr="00BD155E" w:rsidRDefault="00924BA9" w:rsidP="002B74C5">
      <w:pPr>
        <w:spacing w:line="360" w:lineRule="auto"/>
        <w:jc w:val="both"/>
        <w:rPr>
          <w:i/>
          <w:sz w:val="24"/>
          <w:szCs w:val="24"/>
        </w:rPr>
      </w:pPr>
      <w:r w:rsidRPr="00BD155E">
        <w:rPr>
          <w:i/>
          <w:sz w:val="24"/>
          <w:szCs w:val="24"/>
          <w:vertAlign w:val="superscript"/>
        </w:rPr>
        <w:t>1</w:t>
      </w:r>
      <w:r w:rsidR="002B74C5" w:rsidRPr="00BD155E">
        <w:rPr>
          <w:i/>
          <w:sz w:val="24"/>
          <w:szCs w:val="24"/>
        </w:rPr>
        <w:t>Ecosystems and Environment Research Centre, School of Environment and Life Sciences, University of Salford, Salford, M5 4WT, UK</w:t>
      </w:r>
    </w:p>
    <w:p w:rsidR="002B74C5" w:rsidRPr="00BD155E" w:rsidRDefault="00924BA9" w:rsidP="002B74C5">
      <w:pPr>
        <w:spacing w:line="360" w:lineRule="auto"/>
        <w:jc w:val="both"/>
        <w:rPr>
          <w:i/>
          <w:sz w:val="24"/>
          <w:szCs w:val="24"/>
        </w:rPr>
      </w:pPr>
      <w:r w:rsidRPr="00BD155E">
        <w:rPr>
          <w:i/>
          <w:sz w:val="24"/>
          <w:szCs w:val="24"/>
          <w:vertAlign w:val="superscript"/>
        </w:rPr>
        <w:t>2</w:t>
      </w:r>
      <w:r w:rsidR="002B74C5" w:rsidRPr="00BD155E">
        <w:rPr>
          <w:i/>
          <w:sz w:val="24"/>
          <w:szCs w:val="24"/>
        </w:rPr>
        <w:t>Center for Parasitic Organisms, State Key Laboratory of Biocontrol, School of Life Sciences, and Key Laboratory of Tropical Disease Control of the Ministry of Education, Zhongshan School of Medicine, Sun Yat-Sen University, Guangzhou 510275, China</w:t>
      </w:r>
    </w:p>
    <w:p w:rsidR="002B74C5" w:rsidRPr="00BD155E" w:rsidRDefault="00924BA9" w:rsidP="002B74C5">
      <w:pPr>
        <w:spacing w:line="360" w:lineRule="auto"/>
        <w:jc w:val="both"/>
        <w:rPr>
          <w:i/>
          <w:sz w:val="24"/>
          <w:szCs w:val="24"/>
        </w:rPr>
      </w:pPr>
      <w:r w:rsidRPr="00BD155E">
        <w:rPr>
          <w:i/>
          <w:sz w:val="24"/>
          <w:szCs w:val="24"/>
          <w:vertAlign w:val="superscript"/>
        </w:rPr>
        <w:t>3</w:t>
      </w:r>
      <w:r w:rsidR="002B74C5" w:rsidRPr="00BD155E">
        <w:rPr>
          <w:i/>
          <w:sz w:val="24"/>
          <w:szCs w:val="24"/>
        </w:rPr>
        <w:t>Biomedical Research Centre, School of Environment and Life Sciences, University of Salford, Salford, M5 4WT, UK</w:t>
      </w:r>
    </w:p>
    <w:p w:rsidR="00DB1114" w:rsidRDefault="00DB1114">
      <w:pPr>
        <w:rPr>
          <w:b/>
        </w:rPr>
      </w:pPr>
    </w:p>
    <w:p w:rsidR="00DB1114" w:rsidRDefault="00DB1114">
      <w:pPr>
        <w:rPr>
          <w:b/>
        </w:rPr>
      </w:pPr>
    </w:p>
    <w:p w:rsidR="00725C91" w:rsidRDefault="00DB1114" w:rsidP="00366D21">
      <w:pPr>
        <w:spacing w:line="360" w:lineRule="auto"/>
        <w:jc w:val="both"/>
        <w:rPr>
          <w:b/>
        </w:rPr>
      </w:pPr>
      <w:r w:rsidRPr="00BD155E">
        <w:t xml:space="preserve">Corresponding </w:t>
      </w:r>
      <w:r w:rsidR="00EA1A97">
        <w:t>a</w:t>
      </w:r>
      <w:r w:rsidRPr="00BD155E">
        <w:t>uthor</w:t>
      </w:r>
      <w:r w:rsidR="00366D21" w:rsidRPr="00BD155E">
        <w:t>:</w:t>
      </w:r>
      <w:r w:rsidR="00366D21">
        <w:rPr>
          <w:b/>
        </w:rPr>
        <w:t xml:space="preserve"> </w:t>
      </w:r>
    </w:p>
    <w:p w:rsidR="00725C91" w:rsidRDefault="00366D21" w:rsidP="00366D21">
      <w:pPr>
        <w:spacing w:line="360" w:lineRule="auto"/>
        <w:jc w:val="both"/>
        <w:rPr>
          <w:b/>
        </w:rPr>
      </w:pPr>
      <w:r w:rsidRPr="00BD155E">
        <w:t>Geoff Hide</w:t>
      </w:r>
    </w:p>
    <w:p w:rsidR="00725C91" w:rsidRDefault="00366D21" w:rsidP="00366D21">
      <w:pPr>
        <w:spacing w:line="360" w:lineRule="auto"/>
        <w:jc w:val="both"/>
        <w:rPr>
          <w:sz w:val="24"/>
          <w:szCs w:val="24"/>
        </w:rPr>
      </w:pPr>
      <w:r w:rsidRPr="002B74C5">
        <w:rPr>
          <w:sz w:val="24"/>
          <w:szCs w:val="24"/>
        </w:rPr>
        <w:t>Ecosystems and Environment Research Centre, School of Environment and Life Sciences, University of Salford, Salford, M5 4WT, UK</w:t>
      </w:r>
      <w:r>
        <w:rPr>
          <w:sz w:val="24"/>
          <w:szCs w:val="24"/>
        </w:rPr>
        <w:t xml:space="preserve">. </w:t>
      </w:r>
    </w:p>
    <w:p w:rsidR="00725C91" w:rsidRDefault="00366D21" w:rsidP="00366D21">
      <w:pPr>
        <w:spacing w:line="360" w:lineRule="auto"/>
        <w:jc w:val="both"/>
        <w:rPr>
          <w:sz w:val="24"/>
          <w:szCs w:val="24"/>
        </w:rPr>
      </w:pPr>
      <w:r>
        <w:rPr>
          <w:sz w:val="24"/>
          <w:szCs w:val="24"/>
        </w:rPr>
        <w:t>Tel</w:t>
      </w:r>
      <w:r w:rsidR="00725C91">
        <w:rPr>
          <w:sz w:val="24"/>
          <w:szCs w:val="24"/>
        </w:rPr>
        <w:t>ephone No.</w:t>
      </w:r>
      <w:r>
        <w:rPr>
          <w:sz w:val="24"/>
          <w:szCs w:val="24"/>
        </w:rPr>
        <w:t xml:space="preserve"> </w:t>
      </w:r>
      <w:r w:rsidR="00725C91">
        <w:rPr>
          <w:sz w:val="24"/>
          <w:szCs w:val="24"/>
        </w:rPr>
        <w:t>00</w:t>
      </w:r>
      <w:r>
        <w:rPr>
          <w:sz w:val="24"/>
          <w:szCs w:val="24"/>
        </w:rPr>
        <w:t>44</w:t>
      </w:r>
      <w:r w:rsidR="00725C91">
        <w:rPr>
          <w:sz w:val="24"/>
          <w:szCs w:val="24"/>
        </w:rPr>
        <w:t>-</w:t>
      </w:r>
      <w:r>
        <w:rPr>
          <w:sz w:val="24"/>
          <w:szCs w:val="24"/>
        </w:rPr>
        <w:t>161</w:t>
      </w:r>
      <w:r w:rsidR="00725C91">
        <w:rPr>
          <w:sz w:val="24"/>
          <w:szCs w:val="24"/>
        </w:rPr>
        <w:t>-</w:t>
      </w:r>
      <w:r>
        <w:rPr>
          <w:sz w:val="24"/>
          <w:szCs w:val="24"/>
        </w:rPr>
        <w:t>295</w:t>
      </w:r>
      <w:r w:rsidR="00725C91">
        <w:rPr>
          <w:sz w:val="24"/>
          <w:szCs w:val="24"/>
        </w:rPr>
        <w:t>-</w:t>
      </w:r>
      <w:r>
        <w:rPr>
          <w:sz w:val="24"/>
          <w:szCs w:val="24"/>
        </w:rPr>
        <w:t>3371</w:t>
      </w:r>
    </w:p>
    <w:p w:rsidR="00725C91" w:rsidRDefault="00725C91" w:rsidP="00366D21">
      <w:pPr>
        <w:spacing w:line="360" w:lineRule="auto"/>
        <w:jc w:val="both"/>
        <w:rPr>
          <w:sz w:val="24"/>
          <w:szCs w:val="24"/>
        </w:rPr>
      </w:pPr>
      <w:r>
        <w:rPr>
          <w:sz w:val="24"/>
          <w:szCs w:val="24"/>
        </w:rPr>
        <w:t>Facsimile No. 0044-161-295-5015</w:t>
      </w:r>
    </w:p>
    <w:p w:rsidR="00366D21" w:rsidRPr="002B74C5" w:rsidRDefault="00366D21" w:rsidP="00366D21">
      <w:pPr>
        <w:spacing w:line="360" w:lineRule="auto"/>
        <w:jc w:val="both"/>
        <w:rPr>
          <w:sz w:val="24"/>
          <w:szCs w:val="24"/>
        </w:rPr>
      </w:pPr>
      <w:r>
        <w:rPr>
          <w:sz w:val="24"/>
          <w:szCs w:val="24"/>
        </w:rPr>
        <w:t xml:space="preserve"> email: g.hide@salford.ac.uk</w:t>
      </w:r>
    </w:p>
    <w:p w:rsidR="00BD155E" w:rsidRDefault="00BD155E">
      <w:pPr>
        <w:rPr>
          <w:b/>
          <w:sz w:val="24"/>
          <w:szCs w:val="24"/>
        </w:rPr>
      </w:pPr>
    </w:p>
    <w:p w:rsidR="00F17E8E" w:rsidRPr="00BF4366" w:rsidRDefault="00BD155E">
      <w:pPr>
        <w:rPr>
          <w:sz w:val="24"/>
          <w:szCs w:val="24"/>
        </w:rPr>
      </w:pPr>
      <w:r w:rsidRPr="00BF4366">
        <w:rPr>
          <w:sz w:val="24"/>
          <w:szCs w:val="24"/>
        </w:rPr>
        <w:t xml:space="preserve">Running Title: </w:t>
      </w:r>
      <w:r w:rsidRPr="00BF4366">
        <w:rPr>
          <w:i/>
          <w:sz w:val="24"/>
          <w:szCs w:val="24"/>
        </w:rPr>
        <w:t xml:space="preserve">Toxoplasma </w:t>
      </w:r>
      <w:r w:rsidRPr="00BF4366">
        <w:rPr>
          <w:sz w:val="24"/>
          <w:szCs w:val="24"/>
        </w:rPr>
        <w:t xml:space="preserve">infection in </w:t>
      </w:r>
      <w:r w:rsidRPr="00BF4366">
        <w:rPr>
          <w:i/>
          <w:sz w:val="24"/>
          <w:szCs w:val="24"/>
        </w:rPr>
        <w:t>Apodemus</w:t>
      </w:r>
      <w:r w:rsidRPr="00BF4366">
        <w:rPr>
          <w:sz w:val="24"/>
          <w:szCs w:val="24"/>
        </w:rPr>
        <w:t xml:space="preserve"> linked to host genotype</w:t>
      </w:r>
      <w:r w:rsidR="00F17E8E" w:rsidRPr="00BF4366">
        <w:rPr>
          <w:sz w:val="24"/>
          <w:szCs w:val="24"/>
        </w:rPr>
        <w:br w:type="page"/>
      </w:r>
    </w:p>
    <w:p w:rsidR="00660214" w:rsidRPr="00BD155E" w:rsidRDefault="00BD155E" w:rsidP="00660214">
      <w:pPr>
        <w:rPr>
          <w:sz w:val="24"/>
          <w:szCs w:val="24"/>
        </w:rPr>
      </w:pPr>
      <w:r>
        <w:rPr>
          <w:sz w:val="24"/>
          <w:szCs w:val="24"/>
        </w:rPr>
        <w:lastRenderedPageBreak/>
        <w:t>SUMMARY</w:t>
      </w:r>
    </w:p>
    <w:p w:rsidR="00660214" w:rsidRPr="00660214" w:rsidRDefault="00660214" w:rsidP="00660214">
      <w:pPr>
        <w:jc w:val="both"/>
        <w:rPr>
          <w:sz w:val="24"/>
          <w:szCs w:val="24"/>
        </w:rPr>
      </w:pPr>
      <w:r w:rsidRPr="00660214">
        <w:rPr>
          <w:i/>
          <w:sz w:val="24"/>
          <w:szCs w:val="24"/>
        </w:rPr>
        <w:t>Toxoplasma gondii</w:t>
      </w:r>
      <w:r w:rsidRPr="00660214">
        <w:rPr>
          <w:sz w:val="24"/>
          <w:szCs w:val="24"/>
        </w:rPr>
        <w:t xml:space="preserve"> is a </w:t>
      </w:r>
      <w:r w:rsidR="00C55261">
        <w:rPr>
          <w:sz w:val="24"/>
          <w:szCs w:val="24"/>
        </w:rPr>
        <w:t xml:space="preserve">globally distributed </w:t>
      </w:r>
      <w:r w:rsidRPr="00660214">
        <w:rPr>
          <w:sz w:val="24"/>
          <w:szCs w:val="24"/>
        </w:rPr>
        <w:t>parasite</w:t>
      </w:r>
      <w:r w:rsidR="00924BA9">
        <w:rPr>
          <w:sz w:val="24"/>
          <w:szCs w:val="24"/>
        </w:rPr>
        <w:t xml:space="preserve"> </w:t>
      </w:r>
      <w:r w:rsidR="00A60980">
        <w:rPr>
          <w:sz w:val="24"/>
          <w:szCs w:val="24"/>
        </w:rPr>
        <w:t>infecting</w:t>
      </w:r>
      <w:r w:rsidRPr="00660214">
        <w:rPr>
          <w:sz w:val="24"/>
          <w:szCs w:val="24"/>
        </w:rPr>
        <w:t xml:space="preserve"> humans and warm</w:t>
      </w:r>
      <w:r w:rsidR="00320BA3">
        <w:rPr>
          <w:sz w:val="24"/>
          <w:szCs w:val="24"/>
        </w:rPr>
        <w:t>-</w:t>
      </w:r>
      <w:r w:rsidRPr="00660214">
        <w:rPr>
          <w:sz w:val="24"/>
          <w:szCs w:val="24"/>
        </w:rPr>
        <w:t>blooded animals. Although many surveys</w:t>
      </w:r>
      <w:r w:rsidR="00977891">
        <w:rPr>
          <w:sz w:val="24"/>
          <w:szCs w:val="24"/>
        </w:rPr>
        <w:t xml:space="preserve"> have been conducted</w:t>
      </w:r>
      <w:r w:rsidRPr="00660214">
        <w:rPr>
          <w:sz w:val="24"/>
          <w:szCs w:val="24"/>
        </w:rPr>
        <w:t xml:space="preserve"> for </w:t>
      </w:r>
      <w:r w:rsidRPr="00660214">
        <w:rPr>
          <w:i/>
          <w:sz w:val="24"/>
          <w:szCs w:val="24"/>
        </w:rPr>
        <w:t>T. gondii</w:t>
      </w:r>
      <w:r w:rsidRPr="00660214">
        <w:rPr>
          <w:sz w:val="24"/>
          <w:szCs w:val="24"/>
        </w:rPr>
        <w:t xml:space="preserve"> infection in mammals, little is known </w:t>
      </w:r>
      <w:r w:rsidR="000D0A9B">
        <w:rPr>
          <w:sz w:val="24"/>
          <w:szCs w:val="24"/>
        </w:rPr>
        <w:t xml:space="preserve">about the detailed distribution in localised </w:t>
      </w:r>
      <w:r w:rsidRPr="00660214">
        <w:rPr>
          <w:sz w:val="24"/>
          <w:szCs w:val="24"/>
        </w:rPr>
        <w:t xml:space="preserve">natural populations. In </w:t>
      </w:r>
      <w:r w:rsidR="000D0A9B">
        <w:rPr>
          <w:sz w:val="24"/>
          <w:szCs w:val="24"/>
        </w:rPr>
        <w:t>this</w:t>
      </w:r>
      <w:r w:rsidR="000D0A9B" w:rsidRPr="00660214">
        <w:rPr>
          <w:sz w:val="24"/>
          <w:szCs w:val="24"/>
        </w:rPr>
        <w:t xml:space="preserve"> </w:t>
      </w:r>
      <w:r w:rsidRPr="00660214">
        <w:rPr>
          <w:sz w:val="24"/>
          <w:szCs w:val="24"/>
        </w:rPr>
        <w:t>study</w:t>
      </w:r>
      <w:r w:rsidR="00EA1A97">
        <w:rPr>
          <w:sz w:val="24"/>
          <w:szCs w:val="24"/>
        </w:rPr>
        <w:t xml:space="preserve">, </w:t>
      </w:r>
      <w:r w:rsidRPr="00660214">
        <w:rPr>
          <w:sz w:val="24"/>
          <w:szCs w:val="24"/>
        </w:rPr>
        <w:t>host genotype and spatial location</w:t>
      </w:r>
      <w:r w:rsidR="00977891">
        <w:rPr>
          <w:sz w:val="24"/>
          <w:szCs w:val="24"/>
        </w:rPr>
        <w:t xml:space="preserve"> were investigated</w:t>
      </w:r>
      <w:r w:rsidRPr="00660214">
        <w:rPr>
          <w:sz w:val="24"/>
          <w:szCs w:val="24"/>
        </w:rPr>
        <w:t xml:space="preserve"> in relation to </w:t>
      </w:r>
      <w:r w:rsidRPr="00660214">
        <w:rPr>
          <w:i/>
          <w:sz w:val="24"/>
          <w:szCs w:val="24"/>
        </w:rPr>
        <w:t>T. gondii</w:t>
      </w:r>
      <w:r w:rsidRPr="00660214">
        <w:rPr>
          <w:sz w:val="24"/>
          <w:szCs w:val="24"/>
        </w:rPr>
        <w:t xml:space="preserve"> infection.</w:t>
      </w:r>
      <w:r w:rsidR="00BD155E">
        <w:rPr>
          <w:b/>
          <w:sz w:val="24"/>
          <w:szCs w:val="24"/>
        </w:rPr>
        <w:t xml:space="preserve"> </w:t>
      </w:r>
      <w:r w:rsidR="000D0A9B">
        <w:rPr>
          <w:sz w:val="24"/>
          <w:szCs w:val="24"/>
        </w:rPr>
        <w:t>Wood</w:t>
      </w:r>
      <w:r w:rsidR="00A60980">
        <w:rPr>
          <w:sz w:val="24"/>
          <w:szCs w:val="24"/>
        </w:rPr>
        <w:t xml:space="preserve"> </w:t>
      </w:r>
      <w:r w:rsidR="000D0A9B">
        <w:rPr>
          <w:sz w:val="24"/>
          <w:szCs w:val="24"/>
        </w:rPr>
        <w:t>mice (</w:t>
      </w:r>
      <w:r w:rsidR="000D0A9B">
        <w:rPr>
          <w:i/>
          <w:sz w:val="24"/>
          <w:szCs w:val="24"/>
        </w:rPr>
        <w:t>Apodemus sylvaticus</w:t>
      </w:r>
      <w:r w:rsidR="000D0A9B">
        <w:rPr>
          <w:sz w:val="24"/>
          <w:szCs w:val="24"/>
        </w:rPr>
        <w:t xml:space="preserve">) </w:t>
      </w:r>
      <w:r w:rsidR="00977891">
        <w:rPr>
          <w:sz w:val="24"/>
          <w:szCs w:val="24"/>
        </w:rPr>
        <w:t xml:space="preserve">were collected </w:t>
      </w:r>
      <w:r w:rsidR="000D0A9B">
        <w:rPr>
          <w:sz w:val="24"/>
          <w:szCs w:val="24"/>
        </w:rPr>
        <w:t xml:space="preserve">from 4 sampling sites within a localised peri-aquatic woodland ecosystem. Mice were genotyped using standard </w:t>
      </w:r>
      <w:r w:rsidR="000D0A9B">
        <w:rPr>
          <w:i/>
          <w:sz w:val="24"/>
          <w:szCs w:val="24"/>
        </w:rPr>
        <w:t xml:space="preserve">A. sylvaticus </w:t>
      </w:r>
      <w:r w:rsidR="000D0A9B" w:rsidRPr="0091472F">
        <w:rPr>
          <w:sz w:val="24"/>
          <w:szCs w:val="24"/>
        </w:rPr>
        <w:t>microsatellite markers</w:t>
      </w:r>
      <w:r w:rsidR="000D0A9B">
        <w:rPr>
          <w:sz w:val="24"/>
          <w:szCs w:val="24"/>
        </w:rPr>
        <w:t xml:space="preserve"> and </w:t>
      </w:r>
      <w:r w:rsidR="000D0A9B">
        <w:rPr>
          <w:i/>
          <w:sz w:val="24"/>
          <w:szCs w:val="24"/>
        </w:rPr>
        <w:t>T. gondii</w:t>
      </w:r>
      <w:r w:rsidR="000D0A9B">
        <w:rPr>
          <w:sz w:val="24"/>
          <w:szCs w:val="24"/>
        </w:rPr>
        <w:t xml:space="preserve"> </w:t>
      </w:r>
      <w:r w:rsidR="00977891">
        <w:rPr>
          <w:sz w:val="24"/>
          <w:szCs w:val="24"/>
        </w:rPr>
        <w:t>was</w:t>
      </w:r>
      <w:r w:rsidR="00C55261">
        <w:rPr>
          <w:sz w:val="24"/>
          <w:szCs w:val="24"/>
        </w:rPr>
        <w:t xml:space="preserve"> </w:t>
      </w:r>
      <w:r w:rsidR="000D0A9B">
        <w:rPr>
          <w:sz w:val="24"/>
          <w:szCs w:val="24"/>
        </w:rPr>
        <w:t xml:space="preserve">detected using 4 specific PCR based markers: </w:t>
      </w:r>
      <w:r w:rsidR="000D0A9B" w:rsidRPr="00660214">
        <w:rPr>
          <w:sz w:val="24"/>
          <w:szCs w:val="24"/>
        </w:rPr>
        <w:t>SAG1, SAG2, SAG3 and GRA6</w:t>
      </w:r>
      <w:r w:rsidR="000D0A9B">
        <w:rPr>
          <w:sz w:val="24"/>
          <w:szCs w:val="24"/>
        </w:rPr>
        <w:t xml:space="preserve"> directly from infected tissue</w:t>
      </w:r>
      <w:r w:rsidR="00C55261">
        <w:rPr>
          <w:sz w:val="24"/>
          <w:szCs w:val="24"/>
        </w:rPr>
        <w:t>.</w:t>
      </w:r>
      <w:r w:rsidR="000D0A9B">
        <w:rPr>
          <w:sz w:val="24"/>
          <w:szCs w:val="24"/>
        </w:rPr>
        <w:t xml:space="preserve"> Of 126 wood</w:t>
      </w:r>
      <w:r w:rsidR="000A1D6F">
        <w:rPr>
          <w:sz w:val="24"/>
          <w:szCs w:val="24"/>
        </w:rPr>
        <w:t xml:space="preserve"> </w:t>
      </w:r>
      <w:r w:rsidR="000D0A9B">
        <w:rPr>
          <w:sz w:val="24"/>
          <w:szCs w:val="24"/>
        </w:rPr>
        <w:t>mice collected,</w:t>
      </w:r>
      <w:r w:rsidRPr="00660214">
        <w:rPr>
          <w:sz w:val="24"/>
          <w:szCs w:val="24"/>
        </w:rPr>
        <w:t xml:space="preserve"> </w:t>
      </w:r>
      <w:r w:rsidR="000F51EA">
        <w:rPr>
          <w:sz w:val="24"/>
          <w:szCs w:val="24"/>
        </w:rPr>
        <w:t>44</w:t>
      </w:r>
      <w:r w:rsidRPr="00660214">
        <w:rPr>
          <w:sz w:val="24"/>
          <w:szCs w:val="24"/>
        </w:rPr>
        <w:t xml:space="preserve"> samples </w:t>
      </w:r>
      <w:r w:rsidR="00977891">
        <w:rPr>
          <w:sz w:val="24"/>
          <w:szCs w:val="24"/>
        </w:rPr>
        <w:t>were positive</w:t>
      </w:r>
      <w:r w:rsidRPr="00660214">
        <w:rPr>
          <w:sz w:val="24"/>
          <w:szCs w:val="24"/>
        </w:rPr>
        <w:t xml:space="preserve"> </w:t>
      </w:r>
      <w:r w:rsidR="000F51EA">
        <w:rPr>
          <w:sz w:val="24"/>
          <w:szCs w:val="24"/>
        </w:rPr>
        <w:t>giving</w:t>
      </w:r>
      <w:r w:rsidRPr="00660214">
        <w:rPr>
          <w:sz w:val="24"/>
          <w:szCs w:val="24"/>
        </w:rPr>
        <w:t xml:space="preserve"> an infection rate of 34.92% (95% CI: 27.14%-43.59%)</w:t>
      </w:r>
      <w:r w:rsidR="000F51EA">
        <w:rPr>
          <w:sz w:val="24"/>
          <w:szCs w:val="24"/>
        </w:rPr>
        <w:t>.</w:t>
      </w:r>
      <w:r w:rsidRPr="00660214">
        <w:rPr>
          <w:sz w:val="24"/>
          <w:szCs w:val="24"/>
        </w:rPr>
        <w:t xml:space="preserve"> </w:t>
      </w:r>
      <w:r w:rsidR="000F51EA">
        <w:rPr>
          <w:sz w:val="24"/>
          <w:szCs w:val="24"/>
        </w:rPr>
        <w:t>J</w:t>
      </w:r>
      <w:r w:rsidRPr="00660214">
        <w:rPr>
          <w:sz w:val="24"/>
          <w:szCs w:val="24"/>
        </w:rPr>
        <w:t>uvenile, young adults and adults were</w:t>
      </w:r>
      <w:r w:rsidR="000F51EA">
        <w:rPr>
          <w:sz w:val="24"/>
          <w:szCs w:val="24"/>
        </w:rPr>
        <w:t xml:space="preserve"> infected at </w:t>
      </w:r>
      <w:r w:rsidR="00EA1A97">
        <w:rPr>
          <w:sz w:val="24"/>
          <w:szCs w:val="24"/>
        </w:rPr>
        <w:t xml:space="preserve">a </w:t>
      </w:r>
      <w:r w:rsidR="000F51EA">
        <w:rPr>
          <w:sz w:val="24"/>
          <w:szCs w:val="24"/>
        </w:rPr>
        <w:t>similar prevalence,</w:t>
      </w:r>
      <w:r w:rsidRPr="00660214">
        <w:rPr>
          <w:sz w:val="24"/>
          <w:szCs w:val="24"/>
        </w:rPr>
        <w:t xml:space="preserve"> </w:t>
      </w:r>
      <w:r w:rsidR="000F51EA">
        <w:rPr>
          <w:sz w:val="24"/>
          <w:szCs w:val="24"/>
        </w:rPr>
        <w:t>respectively,</w:t>
      </w:r>
      <w:r w:rsidRPr="00660214">
        <w:rPr>
          <w:sz w:val="24"/>
          <w:szCs w:val="24"/>
        </w:rPr>
        <w:t xml:space="preserve"> 7</w:t>
      </w:r>
      <w:r w:rsidR="000F51EA">
        <w:rPr>
          <w:sz w:val="24"/>
          <w:szCs w:val="24"/>
        </w:rPr>
        <w:t>/17</w:t>
      </w:r>
      <w:r w:rsidRPr="00660214">
        <w:rPr>
          <w:sz w:val="24"/>
          <w:szCs w:val="24"/>
        </w:rPr>
        <w:t xml:space="preserve"> (41.18%), 27</w:t>
      </w:r>
      <w:r w:rsidR="000F51EA">
        <w:rPr>
          <w:sz w:val="24"/>
          <w:szCs w:val="24"/>
        </w:rPr>
        <w:t>/65</w:t>
      </w:r>
      <w:r w:rsidRPr="00660214">
        <w:rPr>
          <w:sz w:val="24"/>
          <w:szCs w:val="24"/>
        </w:rPr>
        <w:t xml:space="preserve"> (41.54%) and 10</w:t>
      </w:r>
      <w:r w:rsidR="000F51EA">
        <w:rPr>
          <w:sz w:val="24"/>
          <w:szCs w:val="24"/>
        </w:rPr>
        <w:t>/44</w:t>
      </w:r>
      <w:r w:rsidRPr="00660214">
        <w:rPr>
          <w:sz w:val="24"/>
          <w:szCs w:val="24"/>
        </w:rPr>
        <w:t xml:space="preserve"> (22.72%)</w:t>
      </w:r>
      <w:r w:rsidR="00B547D7">
        <w:rPr>
          <w:sz w:val="24"/>
          <w:szCs w:val="24"/>
        </w:rPr>
        <w:t xml:space="preserve"> with no significant age-prevalence effect (</w:t>
      </w:r>
      <w:r w:rsidR="00B547D7">
        <w:rPr>
          <w:i/>
          <w:sz w:val="24"/>
          <w:szCs w:val="24"/>
        </w:rPr>
        <w:t>P</w:t>
      </w:r>
      <w:r w:rsidR="00B547D7">
        <w:rPr>
          <w:sz w:val="24"/>
          <w:szCs w:val="24"/>
        </w:rPr>
        <w:t xml:space="preserve"> = 0.23)</w:t>
      </w:r>
      <w:r w:rsidRPr="00660214">
        <w:rPr>
          <w:sz w:val="24"/>
          <w:szCs w:val="24"/>
        </w:rPr>
        <w:t xml:space="preserve">. Results of genetic analysis of the mice showed that the </w:t>
      </w:r>
      <w:r w:rsidR="000F51EA">
        <w:rPr>
          <w:sz w:val="24"/>
          <w:szCs w:val="24"/>
        </w:rPr>
        <w:t>collection</w:t>
      </w:r>
      <w:r w:rsidR="000F51EA" w:rsidRPr="00660214">
        <w:rPr>
          <w:sz w:val="24"/>
          <w:szCs w:val="24"/>
        </w:rPr>
        <w:t xml:space="preserve"> </w:t>
      </w:r>
      <w:r w:rsidRPr="00660214">
        <w:rPr>
          <w:sz w:val="24"/>
          <w:szCs w:val="24"/>
        </w:rPr>
        <w:t xml:space="preserve">consists of </w:t>
      </w:r>
      <w:r w:rsidR="00DD49F4">
        <w:rPr>
          <w:sz w:val="24"/>
          <w:szCs w:val="24"/>
        </w:rPr>
        <w:t>four</w:t>
      </w:r>
      <w:r w:rsidR="00DD49F4" w:rsidRPr="00660214">
        <w:rPr>
          <w:sz w:val="24"/>
          <w:szCs w:val="24"/>
        </w:rPr>
        <w:t xml:space="preserve"> </w:t>
      </w:r>
      <w:r w:rsidRPr="00660214">
        <w:rPr>
          <w:sz w:val="24"/>
          <w:szCs w:val="24"/>
        </w:rPr>
        <w:t>genetically distinct populations.</w:t>
      </w:r>
      <w:r w:rsidR="000F51EA">
        <w:rPr>
          <w:sz w:val="24"/>
          <w:szCs w:val="24"/>
        </w:rPr>
        <w:t xml:space="preserve"> </w:t>
      </w:r>
      <w:r w:rsidR="00FB054B">
        <w:rPr>
          <w:sz w:val="24"/>
          <w:szCs w:val="24"/>
        </w:rPr>
        <w:t>There</w:t>
      </w:r>
      <w:r w:rsidR="000F51EA">
        <w:rPr>
          <w:sz w:val="24"/>
          <w:szCs w:val="24"/>
        </w:rPr>
        <w:t xml:space="preserve"> was</w:t>
      </w:r>
      <w:r w:rsidR="00FB054B">
        <w:rPr>
          <w:sz w:val="24"/>
          <w:szCs w:val="24"/>
        </w:rPr>
        <w:t xml:space="preserve"> a</w:t>
      </w:r>
      <w:r w:rsidR="000F51EA">
        <w:rPr>
          <w:sz w:val="24"/>
          <w:szCs w:val="24"/>
        </w:rPr>
        <w:t xml:space="preserve"> </w:t>
      </w:r>
      <w:r w:rsidR="00FB054B">
        <w:rPr>
          <w:sz w:val="24"/>
          <w:szCs w:val="24"/>
        </w:rPr>
        <w:t xml:space="preserve">significant difference in </w:t>
      </w:r>
      <w:r w:rsidR="00FB054B">
        <w:rPr>
          <w:i/>
          <w:sz w:val="24"/>
          <w:szCs w:val="24"/>
        </w:rPr>
        <w:t>T. gondii</w:t>
      </w:r>
      <w:r w:rsidR="00FB054B">
        <w:rPr>
          <w:sz w:val="24"/>
          <w:szCs w:val="24"/>
        </w:rPr>
        <w:t xml:space="preserve"> </w:t>
      </w:r>
      <w:r w:rsidR="00977891">
        <w:rPr>
          <w:sz w:val="24"/>
          <w:szCs w:val="24"/>
        </w:rPr>
        <w:t xml:space="preserve">prevalence </w:t>
      </w:r>
      <w:r w:rsidR="00FB054B">
        <w:rPr>
          <w:sz w:val="24"/>
          <w:szCs w:val="24"/>
        </w:rPr>
        <w:t xml:space="preserve">in the different genotypically derived </w:t>
      </w:r>
      <w:r w:rsidR="00977891">
        <w:rPr>
          <w:sz w:val="24"/>
          <w:szCs w:val="24"/>
        </w:rPr>
        <w:t xml:space="preserve">mouse </w:t>
      </w:r>
      <w:r w:rsidR="00FB054B">
        <w:rPr>
          <w:sz w:val="24"/>
          <w:szCs w:val="24"/>
        </w:rPr>
        <w:t>populations (</w:t>
      </w:r>
      <w:r w:rsidR="00FB054B" w:rsidRPr="0091472F">
        <w:rPr>
          <w:i/>
          <w:sz w:val="24"/>
          <w:szCs w:val="24"/>
        </w:rPr>
        <w:t>P</w:t>
      </w:r>
      <w:r w:rsidR="00FB054B">
        <w:rPr>
          <w:sz w:val="24"/>
          <w:szCs w:val="24"/>
        </w:rPr>
        <w:t>=0.0</w:t>
      </w:r>
      <w:r w:rsidR="00DD49F4">
        <w:rPr>
          <w:sz w:val="24"/>
          <w:szCs w:val="24"/>
        </w:rPr>
        <w:t>35</w:t>
      </w:r>
      <w:r w:rsidR="00FB054B">
        <w:rPr>
          <w:sz w:val="24"/>
          <w:szCs w:val="24"/>
        </w:rPr>
        <w:t>)</w:t>
      </w:r>
      <w:r w:rsidR="000F51EA">
        <w:rPr>
          <w:sz w:val="24"/>
          <w:szCs w:val="24"/>
        </w:rPr>
        <w:t xml:space="preserve"> </w:t>
      </w:r>
      <w:r w:rsidR="00FB054B">
        <w:rPr>
          <w:sz w:val="24"/>
          <w:szCs w:val="24"/>
        </w:rPr>
        <w:t>but not between geographically defined populations (</w:t>
      </w:r>
      <w:r w:rsidR="00FB054B" w:rsidRPr="0091472F">
        <w:rPr>
          <w:i/>
          <w:sz w:val="24"/>
          <w:szCs w:val="24"/>
        </w:rPr>
        <w:t>P</w:t>
      </w:r>
      <w:r w:rsidR="00FB054B">
        <w:rPr>
          <w:sz w:val="24"/>
          <w:szCs w:val="24"/>
        </w:rPr>
        <w:t>=0.29).</w:t>
      </w:r>
      <w:r w:rsidR="00BD155E">
        <w:rPr>
          <w:b/>
          <w:sz w:val="24"/>
          <w:szCs w:val="24"/>
        </w:rPr>
        <w:t xml:space="preserve"> </w:t>
      </w:r>
      <w:r w:rsidR="00FB4EEC">
        <w:rPr>
          <w:sz w:val="24"/>
          <w:szCs w:val="24"/>
        </w:rPr>
        <w:t xml:space="preserve">These data point to either a </w:t>
      </w:r>
      <w:r w:rsidR="00977891">
        <w:rPr>
          <w:sz w:val="24"/>
          <w:szCs w:val="24"/>
        </w:rPr>
        <w:t xml:space="preserve">host </w:t>
      </w:r>
      <w:r w:rsidR="00FB4EEC">
        <w:rPr>
          <w:sz w:val="24"/>
          <w:szCs w:val="24"/>
        </w:rPr>
        <w:t xml:space="preserve">genetic/family influence on parasite </w:t>
      </w:r>
      <w:r w:rsidR="00977891">
        <w:rPr>
          <w:sz w:val="24"/>
          <w:szCs w:val="24"/>
        </w:rPr>
        <w:t xml:space="preserve">infection </w:t>
      </w:r>
      <w:r w:rsidR="00FB4EEC">
        <w:rPr>
          <w:sz w:val="24"/>
          <w:szCs w:val="24"/>
        </w:rPr>
        <w:t xml:space="preserve">or </w:t>
      </w:r>
      <w:r w:rsidR="00425092">
        <w:rPr>
          <w:sz w:val="24"/>
          <w:szCs w:val="24"/>
        </w:rPr>
        <w:t xml:space="preserve">to </w:t>
      </w:r>
      <w:r w:rsidR="00FB4EEC">
        <w:rPr>
          <w:sz w:val="24"/>
          <w:szCs w:val="24"/>
        </w:rPr>
        <w:t>parasite vertical transmission.</w:t>
      </w:r>
      <w:r w:rsidRPr="00660214">
        <w:rPr>
          <w:sz w:val="24"/>
          <w:szCs w:val="24"/>
        </w:rPr>
        <w:t xml:space="preserve"> </w:t>
      </w:r>
    </w:p>
    <w:p w:rsidR="00660214" w:rsidRPr="00660214" w:rsidRDefault="00660214" w:rsidP="00660214">
      <w:pPr>
        <w:jc w:val="both"/>
        <w:rPr>
          <w:b/>
          <w:sz w:val="24"/>
          <w:szCs w:val="24"/>
        </w:rPr>
      </w:pPr>
    </w:p>
    <w:p w:rsidR="00B1554D" w:rsidRPr="00F17E8E" w:rsidRDefault="00B1554D">
      <w:pPr>
        <w:rPr>
          <w:sz w:val="24"/>
          <w:szCs w:val="24"/>
        </w:rPr>
      </w:pPr>
      <w:r w:rsidRPr="00BF4366">
        <w:rPr>
          <w:sz w:val="24"/>
          <w:szCs w:val="24"/>
        </w:rPr>
        <w:t>Key</w:t>
      </w:r>
      <w:r w:rsidR="00BF4366" w:rsidRPr="00BF4366">
        <w:rPr>
          <w:sz w:val="24"/>
          <w:szCs w:val="24"/>
        </w:rPr>
        <w:t xml:space="preserve"> </w:t>
      </w:r>
      <w:r w:rsidRPr="00BF4366">
        <w:rPr>
          <w:sz w:val="24"/>
          <w:szCs w:val="24"/>
        </w:rPr>
        <w:t>words</w:t>
      </w:r>
      <w:r w:rsidR="00BF4366">
        <w:rPr>
          <w:sz w:val="24"/>
          <w:szCs w:val="24"/>
        </w:rPr>
        <w:t xml:space="preserve">: </w:t>
      </w:r>
      <w:r w:rsidRPr="00F17E8E">
        <w:rPr>
          <w:i/>
          <w:sz w:val="24"/>
          <w:szCs w:val="24"/>
        </w:rPr>
        <w:t>Toxoplasma gondii</w:t>
      </w:r>
      <w:r w:rsidRPr="00F17E8E">
        <w:rPr>
          <w:sz w:val="24"/>
          <w:szCs w:val="24"/>
        </w:rPr>
        <w:t xml:space="preserve">; </w:t>
      </w:r>
      <w:r w:rsidRPr="00F17E8E">
        <w:rPr>
          <w:i/>
          <w:sz w:val="24"/>
          <w:szCs w:val="24"/>
        </w:rPr>
        <w:t>Apodemus sylvaticus</w:t>
      </w:r>
      <w:r w:rsidRPr="00F17E8E">
        <w:rPr>
          <w:sz w:val="24"/>
          <w:szCs w:val="24"/>
        </w:rPr>
        <w:t xml:space="preserve">; transmission; vertical transmission; transmission cycles; populations; genotypes; wild mammals; rodents; PCR </w:t>
      </w:r>
    </w:p>
    <w:p w:rsidR="003D6AA1" w:rsidRDefault="003D6AA1">
      <w:pPr>
        <w:rPr>
          <w:b/>
        </w:rPr>
      </w:pPr>
      <w:r>
        <w:rPr>
          <w:b/>
        </w:rPr>
        <w:br w:type="page"/>
      </w:r>
    </w:p>
    <w:p w:rsidR="003D6AA1" w:rsidRDefault="003D6AA1">
      <w:pPr>
        <w:rPr>
          <w:b/>
          <w:sz w:val="24"/>
          <w:szCs w:val="24"/>
        </w:rPr>
      </w:pPr>
      <w:r w:rsidRPr="003D6AA1">
        <w:lastRenderedPageBreak/>
        <w:t>KEY FINDINGS</w:t>
      </w:r>
    </w:p>
    <w:p w:rsidR="0062182E" w:rsidRDefault="003D6AA1">
      <w:pPr>
        <w:rPr>
          <w:sz w:val="24"/>
          <w:szCs w:val="24"/>
        </w:rPr>
      </w:pPr>
      <w:r>
        <w:rPr>
          <w:i/>
          <w:sz w:val="24"/>
          <w:szCs w:val="24"/>
        </w:rPr>
        <w:t xml:space="preserve">Toxoplasma gondii </w:t>
      </w:r>
      <w:r>
        <w:rPr>
          <w:sz w:val="24"/>
          <w:szCs w:val="24"/>
        </w:rPr>
        <w:t xml:space="preserve">was detected at a prevalence of 34.92% in a population of </w:t>
      </w:r>
      <w:r>
        <w:rPr>
          <w:i/>
          <w:sz w:val="24"/>
          <w:szCs w:val="24"/>
        </w:rPr>
        <w:t>Apodemus sylvaticus</w:t>
      </w:r>
      <w:r>
        <w:rPr>
          <w:sz w:val="24"/>
          <w:szCs w:val="24"/>
        </w:rPr>
        <w:t xml:space="preserve"> </w:t>
      </w:r>
    </w:p>
    <w:p w:rsidR="0062182E" w:rsidRDefault="0062182E">
      <w:pPr>
        <w:rPr>
          <w:sz w:val="24"/>
          <w:szCs w:val="24"/>
        </w:rPr>
      </w:pPr>
      <w:r>
        <w:rPr>
          <w:sz w:val="24"/>
          <w:szCs w:val="24"/>
        </w:rPr>
        <w:t xml:space="preserve">Microsatellite genotyping of the host, </w:t>
      </w:r>
      <w:r>
        <w:rPr>
          <w:i/>
          <w:sz w:val="24"/>
          <w:szCs w:val="24"/>
        </w:rPr>
        <w:t>A. sylvaticus,</w:t>
      </w:r>
      <w:r>
        <w:rPr>
          <w:sz w:val="24"/>
          <w:szCs w:val="24"/>
        </w:rPr>
        <w:t xml:space="preserve"> identified 4 genetically distinct populations</w:t>
      </w:r>
    </w:p>
    <w:p w:rsidR="0062182E" w:rsidRDefault="0062182E">
      <w:pPr>
        <w:rPr>
          <w:sz w:val="24"/>
          <w:szCs w:val="24"/>
        </w:rPr>
      </w:pPr>
      <w:r>
        <w:rPr>
          <w:i/>
          <w:sz w:val="24"/>
          <w:szCs w:val="24"/>
        </w:rPr>
        <w:t>T. gondii</w:t>
      </w:r>
      <w:r>
        <w:rPr>
          <w:sz w:val="24"/>
          <w:szCs w:val="24"/>
        </w:rPr>
        <w:t xml:space="preserve"> infection was significantly associated with host genotype but not location of host capture</w:t>
      </w:r>
    </w:p>
    <w:p w:rsidR="00366D21" w:rsidRPr="003D6AA1" w:rsidRDefault="0062182E">
      <w:pPr>
        <w:rPr>
          <w:b/>
          <w:sz w:val="24"/>
          <w:szCs w:val="24"/>
        </w:rPr>
      </w:pPr>
      <w:r>
        <w:rPr>
          <w:sz w:val="24"/>
          <w:szCs w:val="24"/>
        </w:rPr>
        <w:t xml:space="preserve">This suggests </w:t>
      </w:r>
      <w:r>
        <w:rPr>
          <w:i/>
          <w:sz w:val="24"/>
          <w:szCs w:val="24"/>
        </w:rPr>
        <w:t>T. gondii</w:t>
      </w:r>
      <w:r>
        <w:rPr>
          <w:sz w:val="24"/>
          <w:szCs w:val="24"/>
        </w:rPr>
        <w:t xml:space="preserve"> infection is influenced by vertical transmission or by host genetic differences</w:t>
      </w:r>
      <w:r w:rsidR="00366D21" w:rsidRPr="003D6AA1">
        <w:rPr>
          <w:b/>
          <w:sz w:val="24"/>
          <w:szCs w:val="24"/>
        </w:rPr>
        <w:br w:type="page"/>
      </w:r>
    </w:p>
    <w:p w:rsidR="00ED19D2" w:rsidRPr="0062182E" w:rsidRDefault="0062182E" w:rsidP="00DB3098">
      <w:pPr>
        <w:spacing w:line="240" w:lineRule="auto"/>
        <w:rPr>
          <w:sz w:val="24"/>
          <w:szCs w:val="24"/>
        </w:rPr>
      </w:pPr>
      <w:r>
        <w:rPr>
          <w:sz w:val="24"/>
          <w:szCs w:val="24"/>
        </w:rPr>
        <w:lastRenderedPageBreak/>
        <w:t>INTRODUCTION</w:t>
      </w:r>
    </w:p>
    <w:p w:rsidR="00DB3098" w:rsidRPr="00DB3098" w:rsidRDefault="00DB3098" w:rsidP="00DB3098">
      <w:pPr>
        <w:spacing w:line="360" w:lineRule="auto"/>
        <w:jc w:val="both"/>
        <w:rPr>
          <w:sz w:val="24"/>
          <w:szCs w:val="24"/>
        </w:rPr>
      </w:pPr>
      <w:r w:rsidRPr="00DB3098">
        <w:rPr>
          <w:i/>
          <w:sz w:val="24"/>
          <w:szCs w:val="24"/>
        </w:rPr>
        <w:t xml:space="preserve">Toxoplasma gondii </w:t>
      </w:r>
      <w:r w:rsidRPr="00DB3098">
        <w:rPr>
          <w:sz w:val="24"/>
          <w:szCs w:val="24"/>
        </w:rPr>
        <w:t xml:space="preserve">is an apicomplexan parasite with a global distribution which can cause significant disease in many species including humans </w:t>
      </w:r>
      <w:r w:rsidR="0062182E">
        <w:rPr>
          <w:sz w:val="24"/>
          <w:szCs w:val="24"/>
        </w:rPr>
        <w:t>(Dubey, 2010;</w:t>
      </w:r>
      <w:r w:rsidRPr="00DB3098">
        <w:rPr>
          <w:sz w:val="24"/>
          <w:szCs w:val="24"/>
        </w:rPr>
        <w:t xml:space="preserve"> </w:t>
      </w:r>
      <w:r w:rsidR="0062182E">
        <w:rPr>
          <w:sz w:val="24"/>
          <w:szCs w:val="24"/>
        </w:rPr>
        <w:t>Dubey and Jones, 2008)</w:t>
      </w:r>
      <w:r w:rsidR="00320BA3">
        <w:rPr>
          <w:sz w:val="24"/>
          <w:szCs w:val="24"/>
        </w:rPr>
        <w:t>.</w:t>
      </w:r>
      <w:r w:rsidRPr="00DB3098">
        <w:rPr>
          <w:sz w:val="24"/>
          <w:szCs w:val="24"/>
        </w:rPr>
        <w:t xml:space="preserve">  Members of the family Felidae are t</w:t>
      </w:r>
      <w:r w:rsidR="0062182E">
        <w:rPr>
          <w:sz w:val="24"/>
          <w:szCs w:val="24"/>
        </w:rPr>
        <w:t xml:space="preserve">he only known definitive hosts (Frenkel </w:t>
      </w:r>
      <w:r w:rsidR="00A442C2">
        <w:rPr>
          <w:i/>
          <w:sz w:val="24"/>
          <w:szCs w:val="24"/>
        </w:rPr>
        <w:t>et al.</w:t>
      </w:r>
      <w:r w:rsidR="0062182E">
        <w:rPr>
          <w:sz w:val="24"/>
          <w:szCs w:val="24"/>
        </w:rPr>
        <w:t>, 197</w:t>
      </w:r>
      <w:r w:rsidR="00A442C2">
        <w:rPr>
          <w:sz w:val="24"/>
          <w:szCs w:val="24"/>
        </w:rPr>
        <w:t>0</w:t>
      </w:r>
      <w:r w:rsidR="0062182E">
        <w:rPr>
          <w:sz w:val="24"/>
          <w:szCs w:val="24"/>
        </w:rPr>
        <w:t>;</w:t>
      </w:r>
      <w:r w:rsidRPr="00DB3098">
        <w:rPr>
          <w:sz w:val="24"/>
          <w:szCs w:val="24"/>
        </w:rPr>
        <w:t xml:space="preserve"> </w:t>
      </w:r>
      <w:r w:rsidR="0062182E">
        <w:rPr>
          <w:sz w:val="24"/>
          <w:szCs w:val="24"/>
        </w:rPr>
        <w:t>Hutchison, 1965)</w:t>
      </w:r>
      <w:r w:rsidRPr="00DB3098">
        <w:rPr>
          <w:sz w:val="24"/>
          <w:szCs w:val="24"/>
        </w:rPr>
        <w:t xml:space="preserve"> but it also infects a whole range of warm-blooded vertebrates, including domestic, wild</w:t>
      </w:r>
      <w:r w:rsidR="00320BA3">
        <w:rPr>
          <w:sz w:val="24"/>
          <w:szCs w:val="24"/>
        </w:rPr>
        <w:t>-</w:t>
      </w:r>
      <w:r w:rsidRPr="00DB3098">
        <w:rPr>
          <w:sz w:val="24"/>
          <w:szCs w:val="24"/>
        </w:rPr>
        <w:t xml:space="preserve"> and marine mammals, birds and humans </w:t>
      </w:r>
      <w:r w:rsidR="008E642B">
        <w:rPr>
          <w:sz w:val="24"/>
          <w:szCs w:val="24"/>
        </w:rPr>
        <w:t>(</w:t>
      </w:r>
      <w:r w:rsidR="0062182E">
        <w:rPr>
          <w:sz w:val="24"/>
          <w:szCs w:val="24"/>
        </w:rPr>
        <w:t>Dubey, 2010</w:t>
      </w:r>
      <w:r w:rsidR="008E642B">
        <w:rPr>
          <w:sz w:val="24"/>
          <w:szCs w:val="24"/>
        </w:rPr>
        <w:t>)</w:t>
      </w:r>
      <w:r w:rsidRPr="00DB3098">
        <w:rPr>
          <w:sz w:val="24"/>
          <w:szCs w:val="24"/>
        </w:rPr>
        <w:t xml:space="preserve">. After ingesting the sporulated oocysts or tissue cysts they serve as intermediate hosts, in which asexual reproduction occurs. There are three main routes of transmission: via oocysts shed in faeces of the definitive hosts, ingestion of tissue cysts and congenital transmission. The relative importance of each of these transmission routes is not </w:t>
      </w:r>
      <w:r w:rsidR="00320BA3">
        <w:rPr>
          <w:sz w:val="24"/>
          <w:szCs w:val="24"/>
        </w:rPr>
        <w:t>fully understood</w:t>
      </w:r>
      <w:r w:rsidR="00320BA3" w:rsidRPr="00DB3098">
        <w:rPr>
          <w:sz w:val="24"/>
          <w:szCs w:val="24"/>
        </w:rPr>
        <w:t xml:space="preserve"> </w:t>
      </w:r>
      <w:r w:rsidR="008E642B">
        <w:rPr>
          <w:sz w:val="24"/>
          <w:szCs w:val="24"/>
        </w:rPr>
        <w:t xml:space="preserve">(Hide </w:t>
      </w:r>
      <w:r w:rsidR="008E642B">
        <w:rPr>
          <w:i/>
          <w:sz w:val="24"/>
          <w:szCs w:val="24"/>
        </w:rPr>
        <w:t>et al.</w:t>
      </w:r>
      <w:r w:rsidR="008E642B">
        <w:rPr>
          <w:sz w:val="24"/>
          <w:szCs w:val="24"/>
        </w:rPr>
        <w:t xml:space="preserve"> 2009)</w:t>
      </w:r>
      <w:r w:rsidRPr="00DB3098">
        <w:rPr>
          <w:sz w:val="24"/>
          <w:szCs w:val="24"/>
        </w:rPr>
        <w:t xml:space="preserve"> but infection </w:t>
      </w:r>
      <w:r w:rsidR="00C55261">
        <w:rPr>
          <w:sz w:val="24"/>
          <w:szCs w:val="24"/>
        </w:rPr>
        <w:t xml:space="preserve">by </w:t>
      </w:r>
      <w:r w:rsidRPr="00DB3098">
        <w:rPr>
          <w:sz w:val="24"/>
          <w:szCs w:val="24"/>
        </w:rPr>
        <w:t>oocysts derived from felids is generally</w:t>
      </w:r>
      <w:r w:rsidR="008E642B">
        <w:rPr>
          <w:sz w:val="24"/>
          <w:szCs w:val="24"/>
        </w:rPr>
        <w:t xml:space="preserve"> considered the most important (Tenter </w:t>
      </w:r>
      <w:r w:rsidR="008E642B">
        <w:rPr>
          <w:i/>
          <w:sz w:val="24"/>
          <w:szCs w:val="24"/>
        </w:rPr>
        <w:t xml:space="preserve">et al. </w:t>
      </w:r>
      <w:r w:rsidR="008E642B">
        <w:rPr>
          <w:sz w:val="24"/>
          <w:szCs w:val="24"/>
        </w:rPr>
        <w:t>2000)</w:t>
      </w:r>
      <w:r w:rsidRPr="00DB3098">
        <w:rPr>
          <w:sz w:val="24"/>
          <w:szCs w:val="24"/>
        </w:rPr>
        <w:t>. In humans, ingestion of tissue cysts, from raw meat may be the main route of transmission</w:t>
      </w:r>
      <w:r w:rsidR="00320BA3">
        <w:rPr>
          <w:sz w:val="24"/>
          <w:szCs w:val="24"/>
        </w:rPr>
        <w:t xml:space="preserve"> in developed countries </w:t>
      </w:r>
      <w:r w:rsidR="00C55261">
        <w:rPr>
          <w:sz w:val="24"/>
          <w:szCs w:val="24"/>
        </w:rPr>
        <w:t xml:space="preserve">whereas </w:t>
      </w:r>
      <w:r w:rsidR="00320BA3">
        <w:rPr>
          <w:sz w:val="24"/>
          <w:szCs w:val="24"/>
        </w:rPr>
        <w:t>ingestion of oocysts may be more significant in developing countries</w:t>
      </w:r>
      <w:r w:rsidR="008E642B">
        <w:rPr>
          <w:sz w:val="24"/>
          <w:szCs w:val="24"/>
        </w:rPr>
        <w:t xml:space="preserve"> (Dubey and Jones, 2008)</w:t>
      </w:r>
      <w:r w:rsidRPr="00DB3098">
        <w:rPr>
          <w:sz w:val="24"/>
          <w:szCs w:val="24"/>
        </w:rPr>
        <w:t xml:space="preserve">. As prey or carrion, rodents may be a significant intermediate host in the transmission to other animals and high frequencies of infection have been observed </w:t>
      </w:r>
      <w:r w:rsidR="009B701E">
        <w:rPr>
          <w:sz w:val="24"/>
          <w:szCs w:val="24"/>
        </w:rPr>
        <w:t>(</w:t>
      </w:r>
      <w:r w:rsidR="008E642B">
        <w:rPr>
          <w:sz w:val="24"/>
          <w:szCs w:val="24"/>
        </w:rPr>
        <w:t xml:space="preserve">Marshall </w:t>
      </w:r>
      <w:r w:rsidR="008E642B">
        <w:rPr>
          <w:i/>
          <w:sz w:val="24"/>
          <w:szCs w:val="24"/>
        </w:rPr>
        <w:t>et al.</w:t>
      </w:r>
      <w:r w:rsidR="008E642B">
        <w:rPr>
          <w:sz w:val="24"/>
          <w:szCs w:val="24"/>
        </w:rPr>
        <w:t xml:space="preserve"> 2004, Meerburg </w:t>
      </w:r>
      <w:r w:rsidR="008E642B">
        <w:rPr>
          <w:i/>
          <w:sz w:val="24"/>
          <w:szCs w:val="24"/>
        </w:rPr>
        <w:t>et al.</w:t>
      </w:r>
      <w:r w:rsidR="008E642B">
        <w:rPr>
          <w:sz w:val="24"/>
          <w:szCs w:val="24"/>
        </w:rPr>
        <w:t xml:space="preserve"> 2012</w:t>
      </w:r>
      <w:r w:rsidR="009B701E">
        <w:rPr>
          <w:sz w:val="24"/>
          <w:szCs w:val="24"/>
        </w:rPr>
        <w:t>)</w:t>
      </w:r>
      <w:r w:rsidRPr="00DB3098">
        <w:rPr>
          <w:sz w:val="24"/>
          <w:szCs w:val="24"/>
        </w:rPr>
        <w:t xml:space="preserve"> including in areas that appear to be relatively free of cats </w:t>
      </w:r>
      <w:r w:rsidR="009B701E">
        <w:rPr>
          <w:sz w:val="24"/>
          <w:szCs w:val="24"/>
        </w:rPr>
        <w:t>(</w:t>
      </w:r>
      <w:r w:rsidR="008E642B">
        <w:rPr>
          <w:sz w:val="24"/>
          <w:szCs w:val="24"/>
        </w:rPr>
        <w:t xml:space="preserve">Thomasson </w:t>
      </w:r>
      <w:r w:rsidR="008E642B">
        <w:rPr>
          <w:i/>
          <w:sz w:val="24"/>
          <w:szCs w:val="24"/>
        </w:rPr>
        <w:t>et al</w:t>
      </w:r>
      <w:r w:rsidR="008E642B">
        <w:rPr>
          <w:sz w:val="24"/>
          <w:szCs w:val="24"/>
        </w:rPr>
        <w:t>. 2011</w:t>
      </w:r>
      <w:r w:rsidR="009B701E">
        <w:rPr>
          <w:sz w:val="24"/>
          <w:szCs w:val="24"/>
        </w:rPr>
        <w:t>)</w:t>
      </w:r>
      <w:r w:rsidRPr="00DB3098">
        <w:rPr>
          <w:sz w:val="24"/>
          <w:szCs w:val="24"/>
        </w:rPr>
        <w:t xml:space="preserve">.  The importance of congenital transmission is low in humans ranging between 0.01 and 1% of live births </w:t>
      </w:r>
      <w:r w:rsidR="009B701E">
        <w:rPr>
          <w:sz w:val="24"/>
          <w:szCs w:val="24"/>
        </w:rPr>
        <w:t>(</w:t>
      </w:r>
      <w:r w:rsidR="008E642B">
        <w:rPr>
          <w:sz w:val="24"/>
          <w:szCs w:val="24"/>
        </w:rPr>
        <w:t xml:space="preserve">Tenter </w:t>
      </w:r>
      <w:r w:rsidR="008E642B">
        <w:rPr>
          <w:i/>
          <w:sz w:val="24"/>
          <w:szCs w:val="24"/>
        </w:rPr>
        <w:t xml:space="preserve">et al. </w:t>
      </w:r>
      <w:r w:rsidR="008E642B">
        <w:rPr>
          <w:sz w:val="24"/>
          <w:szCs w:val="24"/>
        </w:rPr>
        <w:t>2000</w:t>
      </w:r>
      <w:r w:rsidR="009B701E">
        <w:rPr>
          <w:sz w:val="24"/>
          <w:szCs w:val="24"/>
        </w:rPr>
        <w:t>)</w:t>
      </w:r>
      <w:r w:rsidRPr="00DB3098">
        <w:rPr>
          <w:sz w:val="24"/>
          <w:szCs w:val="24"/>
        </w:rPr>
        <w:t xml:space="preserve"> but the importance is more controversial in other mammalian species such as sheep </w:t>
      </w:r>
      <w:r w:rsidR="009B701E">
        <w:rPr>
          <w:sz w:val="24"/>
          <w:szCs w:val="24"/>
        </w:rPr>
        <w:t>(</w:t>
      </w:r>
      <w:r w:rsidR="008E642B">
        <w:rPr>
          <w:sz w:val="24"/>
          <w:szCs w:val="24"/>
        </w:rPr>
        <w:t xml:space="preserve">Hide </w:t>
      </w:r>
      <w:r w:rsidR="008E642B">
        <w:rPr>
          <w:i/>
          <w:sz w:val="24"/>
          <w:szCs w:val="24"/>
        </w:rPr>
        <w:t>et al.</w:t>
      </w:r>
      <w:r w:rsidR="008E642B">
        <w:rPr>
          <w:sz w:val="24"/>
          <w:szCs w:val="24"/>
        </w:rPr>
        <w:t xml:space="preserve"> 2009</w:t>
      </w:r>
      <w:r w:rsidR="00AC284E">
        <w:rPr>
          <w:sz w:val="24"/>
          <w:szCs w:val="24"/>
        </w:rPr>
        <w:t>;</w:t>
      </w:r>
      <w:r w:rsidRPr="00DB3098">
        <w:rPr>
          <w:sz w:val="24"/>
          <w:szCs w:val="24"/>
        </w:rPr>
        <w:t xml:space="preserve"> </w:t>
      </w:r>
      <w:r w:rsidR="008E642B">
        <w:rPr>
          <w:sz w:val="24"/>
          <w:szCs w:val="24"/>
        </w:rPr>
        <w:t xml:space="preserve">Innes </w:t>
      </w:r>
      <w:r w:rsidR="008E642B">
        <w:rPr>
          <w:i/>
          <w:sz w:val="24"/>
          <w:szCs w:val="24"/>
        </w:rPr>
        <w:t>et al</w:t>
      </w:r>
      <w:r w:rsidR="008E642B">
        <w:rPr>
          <w:sz w:val="24"/>
          <w:szCs w:val="24"/>
        </w:rPr>
        <w:t>. 2009</w:t>
      </w:r>
      <w:r w:rsidR="009B701E">
        <w:rPr>
          <w:sz w:val="24"/>
          <w:szCs w:val="24"/>
        </w:rPr>
        <w:t>)</w:t>
      </w:r>
      <w:r w:rsidRPr="00DB3098">
        <w:rPr>
          <w:sz w:val="24"/>
          <w:szCs w:val="24"/>
        </w:rPr>
        <w:t>. However, in rodents this route of transmission may be more important. Beverley</w:t>
      </w:r>
      <w:r w:rsidR="008E642B">
        <w:rPr>
          <w:sz w:val="24"/>
          <w:szCs w:val="24"/>
        </w:rPr>
        <w:t xml:space="preserve"> (1959)</w:t>
      </w:r>
      <w:r w:rsidRPr="00DB3098">
        <w:rPr>
          <w:sz w:val="24"/>
          <w:szCs w:val="24"/>
        </w:rPr>
        <w:t xml:space="preserve"> first suggested that vertical transmission can play an important role in the transmission of the parasite using mice as a model system. Vertical transmission has been experimentally confirmed in laboratory conditions in </w:t>
      </w:r>
      <w:r w:rsidR="00AC2C85">
        <w:rPr>
          <w:sz w:val="24"/>
          <w:szCs w:val="24"/>
        </w:rPr>
        <w:t>murids</w:t>
      </w:r>
      <w:r w:rsidR="00AC2C85" w:rsidRPr="00DB3098">
        <w:rPr>
          <w:sz w:val="24"/>
          <w:szCs w:val="24"/>
        </w:rPr>
        <w:t xml:space="preserve"> </w:t>
      </w:r>
      <w:r w:rsidRPr="00DB3098">
        <w:rPr>
          <w:sz w:val="24"/>
          <w:szCs w:val="24"/>
        </w:rPr>
        <w:t>(</w:t>
      </w:r>
      <w:r w:rsidRPr="00DB3098">
        <w:rPr>
          <w:i/>
          <w:sz w:val="24"/>
          <w:szCs w:val="24"/>
        </w:rPr>
        <w:t>Apodemus sylvaticus, Mus domesticus</w:t>
      </w:r>
      <w:r w:rsidRPr="00DB3098">
        <w:rPr>
          <w:sz w:val="24"/>
          <w:szCs w:val="24"/>
        </w:rPr>
        <w:t>)</w:t>
      </w:r>
      <w:r w:rsidR="00F17E8E">
        <w:rPr>
          <w:sz w:val="24"/>
          <w:szCs w:val="24"/>
        </w:rPr>
        <w:t xml:space="preserve"> </w:t>
      </w:r>
      <w:r w:rsidR="009B701E">
        <w:rPr>
          <w:sz w:val="24"/>
          <w:szCs w:val="24"/>
        </w:rPr>
        <w:t>(</w:t>
      </w:r>
      <w:r w:rsidR="008E642B">
        <w:rPr>
          <w:sz w:val="24"/>
          <w:szCs w:val="24"/>
        </w:rPr>
        <w:t xml:space="preserve">Dubey </w:t>
      </w:r>
      <w:r w:rsidR="008E642B">
        <w:rPr>
          <w:i/>
          <w:sz w:val="24"/>
          <w:szCs w:val="24"/>
        </w:rPr>
        <w:t>et al</w:t>
      </w:r>
      <w:r w:rsidR="008E642B">
        <w:rPr>
          <w:sz w:val="24"/>
          <w:szCs w:val="24"/>
        </w:rPr>
        <w:t>. 1995;</w:t>
      </w:r>
      <w:r w:rsidRPr="00DB3098">
        <w:rPr>
          <w:sz w:val="24"/>
          <w:szCs w:val="24"/>
        </w:rPr>
        <w:t xml:space="preserve"> </w:t>
      </w:r>
      <w:r w:rsidR="00AC284E">
        <w:rPr>
          <w:sz w:val="24"/>
          <w:szCs w:val="24"/>
        </w:rPr>
        <w:t xml:space="preserve">Elsaid </w:t>
      </w:r>
      <w:r w:rsidR="00AC284E">
        <w:rPr>
          <w:i/>
          <w:sz w:val="24"/>
          <w:szCs w:val="24"/>
        </w:rPr>
        <w:t>et al</w:t>
      </w:r>
      <w:r w:rsidR="00AC284E">
        <w:rPr>
          <w:sz w:val="24"/>
          <w:szCs w:val="24"/>
        </w:rPr>
        <w:t>. 2001;</w:t>
      </w:r>
      <w:r w:rsidRPr="00DB3098">
        <w:rPr>
          <w:sz w:val="24"/>
          <w:szCs w:val="24"/>
        </w:rPr>
        <w:t xml:space="preserve"> </w:t>
      </w:r>
      <w:r w:rsidR="00AC284E">
        <w:rPr>
          <w:sz w:val="24"/>
          <w:szCs w:val="24"/>
        </w:rPr>
        <w:t>Owen and Trees</w:t>
      </w:r>
      <w:r w:rsidR="007A598C">
        <w:rPr>
          <w:sz w:val="24"/>
          <w:szCs w:val="24"/>
        </w:rPr>
        <w:t>,</w:t>
      </w:r>
      <w:r w:rsidR="00AC284E">
        <w:rPr>
          <w:sz w:val="24"/>
          <w:szCs w:val="24"/>
        </w:rPr>
        <w:t xml:space="preserve"> 1998: Stahl </w:t>
      </w:r>
      <w:r w:rsidR="00AC284E">
        <w:rPr>
          <w:i/>
          <w:sz w:val="24"/>
          <w:szCs w:val="24"/>
        </w:rPr>
        <w:t>et al</w:t>
      </w:r>
      <w:r w:rsidR="00AC284E">
        <w:rPr>
          <w:sz w:val="24"/>
          <w:szCs w:val="24"/>
        </w:rPr>
        <w:t>. 2002</w:t>
      </w:r>
      <w:r w:rsidR="009B701E">
        <w:rPr>
          <w:sz w:val="24"/>
          <w:szCs w:val="24"/>
        </w:rPr>
        <w:t>)</w:t>
      </w:r>
      <w:r w:rsidRPr="00DB3098">
        <w:rPr>
          <w:sz w:val="24"/>
          <w:szCs w:val="24"/>
        </w:rPr>
        <w:t>, rats</w:t>
      </w:r>
      <w:r w:rsidR="00C55261">
        <w:rPr>
          <w:sz w:val="24"/>
          <w:szCs w:val="24"/>
        </w:rPr>
        <w:t xml:space="preserve"> (</w:t>
      </w:r>
      <w:r w:rsidR="00C55261">
        <w:rPr>
          <w:i/>
          <w:sz w:val="24"/>
          <w:szCs w:val="24"/>
        </w:rPr>
        <w:t>Rattus norvegicus</w:t>
      </w:r>
      <w:r w:rsidR="00C55261">
        <w:rPr>
          <w:sz w:val="24"/>
          <w:szCs w:val="24"/>
        </w:rPr>
        <w:t>)</w:t>
      </w:r>
      <w:r w:rsidRPr="00DB3098">
        <w:rPr>
          <w:sz w:val="24"/>
          <w:szCs w:val="24"/>
        </w:rPr>
        <w:t xml:space="preserve"> </w:t>
      </w:r>
      <w:r w:rsidR="009B701E">
        <w:rPr>
          <w:sz w:val="24"/>
          <w:szCs w:val="24"/>
        </w:rPr>
        <w:t>(</w:t>
      </w:r>
      <w:r w:rsidR="00AC284E">
        <w:rPr>
          <w:sz w:val="24"/>
          <w:szCs w:val="24"/>
        </w:rPr>
        <w:t xml:space="preserve">Dubey </w:t>
      </w:r>
      <w:r w:rsidR="00AC284E">
        <w:rPr>
          <w:i/>
          <w:sz w:val="24"/>
          <w:szCs w:val="24"/>
        </w:rPr>
        <w:t>et al</w:t>
      </w:r>
      <w:r w:rsidR="00AC284E">
        <w:rPr>
          <w:sz w:val="24"/>
          <w:szCs w:val="24"/>
        </w:rPr>
        <w:t>. 1997</w:t>
      </w:r>
      <w:r w:rsidR="009B701E">
        <w:rPr>
          <w:sz w:val="24"/>
          <w:szCs w:val="24"/>
        </w:rPr>
        <w:t>)</w:t>
      </w:r>
      <w:r w:rsidRPr="00DB3098">
        <w:rPr>
          <w:sz w:val="24"/>
          <w:szCs w:val="24"/>
        </w:rPr>
        <w:t xml:space="preserve"> and shown to be significant in a natural population of domestic mice</w:t>
      </w:r>
      <w:r w:rsidR="00C55261">
        <w:rPr>
          <w:sz w:val="24"/>
          <w:szCs w:val="24"/>
        </w:rPr>
        <w:t xml:space="preserve"> (</w:t>
      </w:r>
      <w:r w:rsidR="00A7761F">
        <w:rPr>
          <w:i/>
          <w:sz w:val="24"/>
          <w:szCs w:val="24"/>
        </w:rPr>
        <w:t>M.</w:t>
      </w:r>
      <w:r w:rsidR="00C55261">
        <w:rPr>
          <w:i/>
          <w:sz w:val="24"/>
          <w:szCs w:val="24"/>
        </w:rPr>
        <w:t xml:space="preserve"> domesticus</w:t>
      </w:r>
      <w:r w:rsidR="00C55261">
        <w:rPr>
          <w:sz w:val="24"/>
          <w:szCs w:val="24"/>
        </w:rPr>
        <w:t>)</w:t>
      </w:r>
      <w:r w:rsidRPr="00DB3098">
        <w:rPr>
          <w:sz w:val="24"/>
          <w:szCs w:val="24"/>
        </w:rPr>
        <w:t xml:space="preserve"> </w:t>
      </w:r>
      <w:r w:rsidR="009B701E">
        <w:rPr>
          <w:sz w:val="24"/>
          <w:szCs w:val="24"/>
        </w:rPr>
        <w:t>(</w:t>
      </w:r>
      <w:r w:rsidR="00AC284E">
        <w:rPr>
          <w:sz w:val="24"/>
          <w:szCs w:val="24"/>
        </w:rPr>
        <w:t xml:space="preserve">Marshall </w:t>
      </w:r>
      <w:r w:rsidR="00AC284E">
        <w:rPr>
          <w:i/>
          <w:sz w:val="24"/>
          <w:szCs w:val="24"/>
        </w:rPr>
        <w:t>et al.</w:t>
      </w:r>
      <w:r w:rsidR="00AC284E">
        <w:rPr>
          <w:sz w:val="24"/>
          <w:szCs w:val="24"/>
        </w:rPr>
        <w:t xml:space="preserve"> 2004</w:t>
      </w:r>
      <w:r w:rsidR="009B701E">
        <w:rPr>
          <w:sz w:val="24"/>
          <w:szCs w:val="24"/>
        </w:rPr>
        <w:t>)</w:t>
      </w:r>
      <w:r w:rsidRPr="00DB3098">
        <w:rPr>
          <w:sz w:val="24"/>
          <w:szCs w:val="24"/>
        </w:rPr>
        <w:t xml:space="preserve">. Furthermore, a high prevalence of infection was found in </w:t>
      </w:r>
      <w:r w:rsidR="00320BA3" w:rsidRPr="00DB3098">
        <w:rPr>
          <w:i/>
          <w:sz w:val="24"/>
          <w:szCs w:val="24"/>
        </w:rPr>
        <w:t>A</w:t>
      </w:r>
      <w:r w:rsidR="00320BA3">
        <w:rPr>
          <w:i/>
          <w:sz w:val="24"/>
          <w:szCs w:val="24"/>
        </w:rPr>
        <w:t>.</w:t>
      </w:r>
      <w:r w:rsidR="00320BA3" w:rsidRPr="00DB3098">
        <w:rPr>
          <w:i/>
          <w:sz w:val="24"/>
          <w:szCs w:val="24"/>
        </w:rPr>
        <w:t xml:space="preserve"> </w:t>
      </w:r>
      <w:r w:rsidRPr="00DB3098">
        <w:rPr>
          <w:i/>
          <w:sz w:val="24"/>
          <w:szCs w:val="24"/>
        </w:rPr>
        <w:t xml:space="preserve">sylvaticus </w:t>
      </w:r>
      <w:r w:rsidR="00C55261">
        <w:rPr>
          <w:sz w:val="24"/>
          <w:szCs w:val="24"/>
        </w:rPr>
        <w:t>sampled</w:t>
      </w:r>
      <w:r w:rsidR="00C55261" w:rsidRPr="00DB3098">
        <w:rPr>
          <w:sz w:val="24"/>
          <w:szCs w:val="24"/>
        </w:rPr>
        <w:t xml:space="preserve"> </w:t>
      </w:r>
      <w:r w:rsidRPr="00DB3098">
        <w:rPr>
          <w:sz w:val="24"/>
          <w:szCs w:val="24"/>
        </w:rPr>
        <w:t xml:space="preserve">in an area relatively free of cats </w:t>
      </w:r>
      <w:r w:rsidR="009B701E">
        <w:rPr>
          <w:sz w:val="24"/>
          <w:szCs w:val="24"/>
        </w:rPr>
        <w:t>(</w:t>
      </w:r>
      <w:r w:rsidR="00AC284E">
        <w:rPr>
          <w:sz w:val="24"/>
          <w:szCs w:val="24"/>
        </w:rPr>
        <w:t xml:space="preserve">Thomasson </w:t>
      </w:r>
      <w:r w:rsidR="00AC284E">
        <w:rPr>
          <w:i/>
          <w:sz w:val="24"/>
          <w:szCs w:val="24"/>
        </w:rPr>
        <w:t>et al</w:t>
      </w:r>
      <w:r w:rsidR="00AC284E">
        <w:rPr>
          <w:sz w:val="24"/>
          <w:szCs w:val="24"/>
        </w:rPr>
        <w:t>. 2011</w:t>
      </w:r>
      <w:r w:rsidR="009B701E">
        <w:rPr>
          <w:sz w:val="24"/>
          <w:szCs w:val="24"/>
        </w:rPr>
        <w:t>)</w:t>
      </w:r>
      <w:r w:rsidRPr="00DB3098">
        <w:rPr>
          <w:sz w:val="24"/>
          <w:szCs w:val="24"/>
        </w:rPr>
        <w:t xml:space="preserve"> suggesting that </w:t>
      </w:r>
      <w:r w:rsidRPr="00DB3098">
        <w:rPr>
          <w:rFonts w:ascii="Calibri" w:hAnsi="Calibri" w:cs="Times New Roman"/>
          <w:i/>
          <w:sz w:val="24"/>
          <w:szCs w:val="24"/>
        </w:rPr>
        <w:t>Toxoplasma</w:t>
      </w:r>
      <w:r w:rsidRPr="00DB3098">
        <w:rPr>
          <w:rFonts w:ascii="Calibri" w:hAnsi="Calibri" w:cs="Times New Roman"/>
          <w:sz w:val="24"/>
          <w:szCs w:val="24"/>
        </w:rPr>
        <w:t xml:space="preserve"> can also be maintained within rodent populations in the</w:t>
      </w:r>
      <w:r w:rsidR="00AC2C85">
        <w:rPr>
          <w:rFonts w:ascii="Calibri" w:hAnsi="Calibri" w:cs="Times New Roman"/>
          <w:sz w:val="24"/>
          <w:szCs w:val="24"/>
        </w:rPr>
        <w:t xml:space="preserve"> putative</w:t>
      </w:r>
      <w:r w:rsidRPr="00DB3098">
        <w:rPr>
          <w:rFonts w:ascii="Calibri" w:hAnsi="Calibri" w:cs="Times New Roman"/>
          <w:sz w:val="24"/>
          <w:szCs w:val="24"/>
        </w:rPr>
        <w:t xml:space="preserve"> absence of cats</w:t>
      </w:r>
      <w:r w:rsidR="00C55261">
        <w:rPr>
          <w:rFonts w:ascii="Calibri" w:hAnsi="Calibri" w:cs="Times New Roman"/>
          <w:sz w:val="24"/>
          <w:szCs w:val="24"/>
        </w:rPr>
        <w:t>.</w:t>
      </w:r>
    </w:p>
    <w:p w:rsidR="00DB3098" w:rsidRDefault="00C55261" w:rsidP="00DB3098">
      <w:pPr>
        <w:spacing w:line="360" w:lineRule="auto"/>
        <w:jc w:val="both"/>
        <w:rPr>
          <w:sz w:val="24"/>
          <w:szCs w:val="24"/>
        </w:rPr>
      </w:pPr>
      <w:r>
        <w:rPr>
          <w:sz w:val="24"/>
          <w:szCs w:val="24"/>
        </w:rPr>
        <w:t>M</w:t>
      </w:r>
      <w:r w:rsidR="00DB3098" w:rsidRPr="00DB3098">
        <w:rPr>
          <w:sz w:val="24"/>
          <w:szCs w:val="24"/>
        </w:rPr>
        <w:t xml:space="preserve">ice probably play an important role in </w:t>
      </w:r>
      <w:r w:rsidR="00DB3098" w:rsidRPr="00DB3098">
        <w:rPr>
          <w:i/>
          <w:sz w:val="24"/>
          <w:szCs w:val="24"/>
        </w:rPr>
        <w:t>T. gondii</w:t>
      </w:r>
      <w:r w:rsidR="00DB3098" w:rsidRPr="00DB3098">
        <w:rPr>
          <w:sz w:val="24"/>
          <w:szCs w:val="24"/>
        </w:rPr>
        <w:t xml:space="preserve"> transmission</w:t>
      </w:r>
      <w:r>
        <w:rPr>
          <w:sz w:val="24"/>
          <w:szCs w:val="24"/>
        </w:rPr>
        <w:t>,</w:t>
      </w:r>
      <w:r w:rsidR="00DB3098" w:rsidRPr="00DB3098">
        <w:rPr>
          <w:sz w:val="24"/>
          <w:szCs w:val="24"/>
        </w:rPr>
        <w:t xml:space="preserve"> often prey </w:t>
      </w:r>
      <w:r>
        <w:rPr>
          <w:sz w:val="24"/>
          <w:szCs w:val="24"/>
        </w:rPr>
        <w:t>to cats</w:t>
      </w:r>
      <w:r w:rsidR="00DB3098" w:rsidRPr="00DB3098">
        <w:rPr>
          <w:sz w:val="24"/>
          <w:szCs w:val="24"/>
        </w:rPr>
        <w:t xml:space="preserve">, </w:t>
      </w:r>
      <w:r>
        <w:rPr>
          <w:sz w:val="24"/>
          <w:szCs w:val="24"/>
        </w:rPr>
        <w:t xml:space="preserve">yet </w:t>
      </w:r>
      <w:r w:rsidR="00DB3098" w:rsidRPr="00DB3098">
        <w:rPr>
          <w:sz w:val="24"/>
          <w:szCs w:val="24"/>
        </w:rPr>
        <w:t xml:space="preserve">little is known of </w:t>
      </w:r>
      <w:r w:rsidR="00DB3098" w:rsidRPr="00DB3098">
        <w:rPr>
          <w:i/>
          <w:sz w:val="24"/>
          <w:szCs w:val="24"/>
        </w:rPr>
        <w:t>T. gondii</w:t>
      </w:r>
      <w:r w:rsidR="00DB3098" w:rsidRPr="00DB3098">
        <w:rPr>
          <w:sz w:val="24"/>
          <w:szCs w:val="24"/>
        </w:rPr>
        <w:t xml:space="preserve"> prevalence</w:t>
      </w:r>
      <w:r w:rsidR="00DB3098" w:rsidRPr="00DB3098" w:rsidDel="00F25A07">
        <w:rPr>
          <w:sz w:val="24"/>
          <w:szCs w:val="24"/>
        </w:rPr>
        <w:t xml:space="preserve"> </w:t>
      </w:r>
      <w:r w:rsidR="00DB3098" w:rsidRPr="00DB3098">
        <w:rPr>
          <w:sz w:val="24"/>
          <w:szCs w:val="24"/>
        </w:rPr>
        <w:t>and genotypes in wild</w:t>
      </w:r>
      <w:r>
        <w:rPr>
          <w:sz w:val="24"/>
          <w:szCs w:val="24"/>
        </w:rPr>
        <w:t xml:space="preserve"> mouse</w:t>
      </w:r>
      <w:r w:rsidR="00DB3098" w:rsidRPr="00DB3098">
        <w:rPr>
          <w:sz w:val="24"/>
          <w:szCs w:val="24"/>
        </w:rPr>
        <w:t xml:space="preserve"> populations. The majority of </w:t>
      </w:r>
      <w:r w:rsidR="00DB3098" w:rsidRPr="00DB3098">
        <w:rPr>
          <w:sz w:val="24"/>
          <w:szCs w:val="24"/>
        </w:rPr>
        <w:lastRenderedPageBreak/>
        <w:t xml:space="preserve">epidemiological studies on mice have been based on serological diagnostic methods which detect current and historical infection </w:t>
      </w:r>
      <w:r w:rsidR="009B701E">
        <w:rPr>
          <w:sz w:val="24"/>
          <w:szCs w:val="24"/>
        </w:rPr>
        <w:t>(</w:t>
      </w:r>
      <w:r w:rsidR="00AC284E">
        <w:rPr>
          <w:sz w:val="24"/>
          <w:szCs w:val="24"/>
        </w:rPr>
        <w:t xml:space="preserve">Dubey </w:t>
      </w:r>
      <w:r w:rsidR="00AC284E">
        <w:rPr>
          <w:i/>
          <w:sz w:val="24"/>
          <w:szCs w:val="24"/>
        </w:rPr>
        <w:t>et al</w:t>
      </w:r>
      <w:r w:rsidR="00AC284E">
        <w:rPr>
          <w:sz w:val="24"/>
          <w:szCs w:val="24"/>
        </w:rPr>
        <w:t>. 1995;</w:t>
      </w:r>
      <w:r w:rsidR="00DB3098" w:rsidRPr="00DB3098">
        <w:rPr>
          <w:sz w:val="24"/>
          <w:szCs w:val="24"/>
        </w:rPr>
        <w:t xml:space="preserve"> </w:t>
      </w:r>
      <w:r w:rsidR="00AC284E">
        <w:rPr>
          <w:sz w:val="24"/>
          <w:szCs w:val="24"/>
        </w:rPr>
        <w:t xml:space="preserve">Franti </w:t>
      </w:r>
      <w:r w:rsidR="00AC284E">
        <w:rPr>
          <w:i/>
          <w:sz w:val="24"/>
          <w:szCs w:val="24"/>
        </w:rPr>
        <w:t>et al</w:t>
      </w:r>
      <w:r w:rsidR="00AC284E">
        <w:rPr>
          <w:sz w:val="24"/>
          <w:szCs w:val="24"/>
        </w:rPr>
        <w:t>. 1976;</w:t>
      </w:r>
      <w:r w:rsidR="00DB3098" w:rsidRPr="00DB3098">
        <w:rPr>
          <w:sz w:val="24"/>
          <w:szCs w:val="24"/>
        </w:rPr>
        <w:t xml:space="preserve"> </w:t>
      </w:r>
      <w:r w:rsidR="00AC284E">
        <w:rPr>
          <w:sz w:val="24"/>
          <w:szCs w:val="24"/>
        </w:rPr>
        <w:t>Hejlicek and Literak</w:t>
      </w:r>
      <w:r w:rsidR="00DB3098" w:rsidRPr="00DB3098">
        <w:rPr>
          <w:sz w:val="24"/>
          <w:szCs w:val="24"/>
        </w:rPr>
        <w:t>,</w:t>
      </w:r>
      <w:r w:rsidR="00AC284E">
        <w:rPr>
          <w:sz w:val="24"/>
          <w:szCs w:val="24"/>
        </w:rPr>
        <w:t xml:space="preserve"> 1998;</w:t>
      </w:r>
      <w:r w:rsidR="00DB3098" w:rsidRPr="00DB3098">
        <w:rPr>
          <w:sz w:val="24"/>
          <w:szCs w:val="24"/>
        </w:rPr>
        <w:t xml:space="preserve"> </w:t>
      </w:r>
      <w:r w:rsidR="00AC284E">
        <w:rPr>
          <w:sz w:val="24"/>
          <w:szCs w:val="24"/>
        </w:rPr>
        <w:t xml:space="preserve">Hejlicek </w:t>
      </w:r>
      <w:r w:rsidR="00AC284E">
        <w:rPr>
          <w:i/>
          <w:sz w:val="24"/>
          <w:szCs w:val="24"/>
        </w:rPr>
        <w:t>et al</w:t>
      </w:r>
      <w:r w:rsidR="00AC284E">
        <w:rPr>
          <w:sz w:val="24"/>
          <w:szCs w:val="24"/>
        </w:rPr>
        <w:t>. 1997;</w:t>
      </w:r>
      <w:r w:rsidR="00DB3098" w:rsidRPr="00DB3098">
        <w:rPr>
          <w:sz w:val="24"/>
          <w:szCs w:val="24"/>
        </w:rPr>
        <w:t xml:space="preserve"> </w:t>
      </w:r>
      <w:r w:rsidR="00AC284E">
        <w:rPr>
          <w:sz w:val="24"/>
          <w:szCs w:val="24"/>
        </w:rPr>
        <w:t xml:space="preserve">Jackson </w:t>
      </w:r>
      <w:r w:rsidR="00AC284E">
        <w:rPr>
          <w:i/>
          <w:sz w:val="24"/>
          <w:szCs w:val="24"/>
        </w:rPr>
        <w:t>et al</w:t>
      </w:r>
      <w:r w:rsidR="00AC284E">
        <w:rPr>
          <w:sz w:val="24"/>
          <w:szCs w:val="24"/>
        </w:rPr>
        <w:t>. 1986;</w:t>
      </w:r>
      <w:r w:rsidR="000A0D0A">
        <w:rPr>
          <w:sz w:val="24"/>
          <w:szCs w:val="24"/>
        </w:rPr>
        <w:t xml:space="preserve"> </w:t>
      </w:r>
      <w:r w:rsidR="00AC284E">
        <w:rPr>
          <w:sz w:val="24"/>
          <w:szCs w:val="24"/>
        </w:rPr>
        <w:t>Jeon and Yong</w:t>
      </w:r>
      <w:r w:rsidR="007A598C">
        <w:rPr>
          <w:sz w:val="24"/>
          <w:szCs w:val="24"/>
        </w:rPr>
        <w:t>,</w:t>
      </w:r>
      <w:r w:rsidR="00AC284E">
        <w:rPr>
          <w:sz w:val="24"/>
          <w:szCs w:val="24"/>
        </w:rPr>
        <w:t xml:space="preserve"> 2000; Smith and Frenkel</w:t>
      </w:r>
      <w:r w:rsidR="00DB3098" w:rsidRPr="00DB3098">
        <w:rPr>
          <w:sz w:val="24"/>
          <w:szCs w:val="24"/>
        </w:rPr>
        <w:t>,</w:t>
      </w:r>
      <w:r w:rsidR="00AC284E">
        <w:rPr>
          <w:sz w:val="24"/>
          <w:szCs w:val="24"/>
        </w:rPr>
        <w:t xml:space="preserve"> 1995;</w:t>
      </w:r>
      <w:r w:rsidR="00DB3098" w:rsidRPr="00DB3098">
        <w:rPr>
          <w:sz w:val="24"/>
          <w:szCs w:val="24"/>
        </w:rPr>
        <w:t xml:space="preserve"> </w:t>
      </w:r>
      <w:r w:rsidR="00AC284E">
        <w:rPr>
          <w:sz w:val="24"/>
          <w:szCs w:val="24"/>
        </w:rPr>
        <w:t xml:space="preserve">Yin </w:t>
      </w:r>
      <w:r w:rsidR="00AC284E">
        <w:rPr>
          <w:i/>
          <w:sz w:val="24"/>
          <w:szCs w:val="24"/>
        </w:rPr>
        <w:t>et al</w:t>
      </w:r>
      <w:r w:rsidR="00AC284E">
        <w:rPr>
          <w:sz w:val="24"/>
          <w:szCs w:val="24"/>
        </w:rPr>
        <w:t>. 2010</w:t>
      </w:r>
      <w:r w:rsidR="009B701E">
        <w:rPr>
          <w:sz w:val="24"/>
          <w:szCs w:val="24"/>
        </w:rPr>
        <w:t>)</w:t>
      </w:r>
      <w:r w:rsidR="00DB3098" w:rsidRPr="00DB3098">
        <w:rPr>
          <w:sz w:val="24"/>
          <w:szCs w:val="24"/>
        </w:rPr>
        <w:t>. Studies conducted using PCR–based methods as a diagnostic tool ha</w:t>
      </w:r>
      <w:r w:rsidR="003F6CC1">
        <w:rPr>
          <w:sz w:val="24"/>
          <w:szCs w:val="24"/>
        </w:rPr>
        <w:t>ve</w:t>
      </w:r>
      <w:r w:rsidR="00DB3098" w:rsidRPr="00DB3098">
        <w:rPr>
          <w:sz w:val="24"/>
          <w:szCs w:val="24"/>
        </w:rPr>
        <w:t xml:space="preserve"> generally shown higher prevalence in some wild mice populations with prevalences ranging from 10.4% </w:t>
      </w:r>
      <w:r w:rsidR="009B701E">
        <w:rPr>
          <w:sz w:val="24"/>
          <w:szCs w:val="24"/>
        </w:rPr>
        <w:t>(</w:t>
      </w:r>
      <w:r w:rsidR="00AC284E">
        <w:rPr>
          <w:sz w:val="24"/>
          <w:szCs w:val="24"/>
        </w:rPr>
        <w:t xml:space="preserve">Vujanic </w:t>
      </w:r>
      <w:r w:rsidR="00AC284E">
        <w:rPr>
          <w:i/>
          <w:sz w:val="24"/>
          <w:szCs w:val="24"/>
        </w:rPr>
        <w:t>et al.</w:t>
      </w:r>
      <w:r w:rsidR="00AC284E">
        <w:rPr>
          <w:sz w:val="24"/>
          <w:szCs w:val="24"/>
        </w:rPr>
        <w:t xml:space="preserve"> 2011</w:t>
      </w:r>
      <w:r w:rsidR="009B701E">
        <w:rPr>
          <w:sz w:val="24"/>
          <w:szCs w:val="24"/>
        </w:rPr>
        <w:t>)</w:t>
      </w:r>
      <w:r w:rsidR="00DB3098" w:rsidRPr="00DB3098">
        <w:rPr>
          <w:sz w:val="24"/>
          <w:szCs w:val="24"/>
        </w:rPr>
        <w:t xml:space="preserve">, 13.6% </w:t>
      </w:r>
      <w:r w:rsidR="009B701E">
        <w:rPr>
          <w:sz w:val="24"/>
          <w:szCs w:val="24"/>
        </w:rPr>
        <w:t>(</w:t>
      </w:r>
      <w:r w:rsidR="00AC284E">
        <w:rPr>
          <w:sz w:val="24"/>
          <w:szCs w:val="24"/>
        </w:rPr>
        <w:t xml:space="preserve">Kijlstra </w:t>
      </w:r>
      <w:r w:rsidR="00AC284E">
        <w:rPr>
          <w:i/>
          <w:sz w:val="24"/>
          <w:szCs w:val="24"/>
        </w:rPr>
        <w:t>et al</w:t>
      </w:r>
      <w:r w:rsidR="00AC284E">
        <w:rPr>
          <w:sz w:val="24"/>
          <w:szCs w:val="24"/>
        </w:rPr>
        <w:t>. 2008</w:t>
      </w:r>
      <w:r w:rsidR="009B701E">
        <w:rPr>
          <w:sz w:val="24"/>
          <w:szCs w:val="24"/>
        </w:rPr>
        <w:t>)</w:t>
      </w:r>
      <w:r w:rsidR="00DB3098" w:rsidRPr="00DB3098">
        <w:rPr>
          <w:sz w:val="24"/>
          <w:szCs w:val="24"/>
        </w:rPr>
        <w:t xml:space="preserve">, 29% </w:t>
      </w:r>
      <w:r w:rsidR="009B701E">
        <w:rPr>
          <w:sz w:val="24"/>
          <w:szCs w:val="24"/>
        </w:rPr>
        <w:t>(</w:t>
      </w:r>
      <w:r w:rsidR="00AC284E">
        <w:rPr>
          <w:sz w:val="24"/>
          <w:szCs w:val="24"/>
        </w:rPr>
        <w:t xml:space="preserve">Zhang </w:t>
      </w:r>
      <w:r w:rsidR="00AC284E">
        <w:rPr>
          <w:i/>
          <w:sz w:val="24"/>
          <w:szCs w:val="24"/>
        </w:rPr>
        <w:t>et al</w:t>
      </w:r>
      <w:r w:rsidR="00AC284E">
        <w:rPr>
          <w:sz w:val="24"/>
          <w:szCs w:val="24"/>
        </w:rPr>
        <w:t>. 2004</w:t>
      </w:r>
      <w:r w:rsidR="009B701E">
        <w:rPr>
          <w:sz w:val="24"/>
          <w:szCs w:val="24"/>
        </w:rPr>
        <w:t>)</w:t>
      </w:r>
      <w:r w:rsidR="00DB3098" w:rsidRPr="00DB3098">
        <w:rPr>
          <w:sz w:val="24"/>
          <w:szCs w:val="24"/>
        </w:rPr>
        <w:t xml:space="preserve"> up to 40.78% </w:t>
      </w:r>
      <w:r w:rsidR="009B701E">
        <w:rPr>
          <w:sz w:val="24"/>
          <w:szCs w:val="24"/>
        </w:rPr>
        <w:t>(</w:t>
      </w:r>
      <w:r w:rsidR="00AC284E">
        <w:rPr>
          <w:sz w:val="24"/>
          <w:szCs w:val="24"/>
        </w:rPr>
        <w:t xml:space="preserve">Thomasson </w:t>
      </w:r>
      <w:r w:rsidR="00AC284E">
        <w:rPr>
          <w:i/>
          <w:sz w:val="24"/>
          <w:szCs w:val="24"/>
        </w:rPr>
        <w:t>et al</w:t>
      </w:r>
      <w:r w:rsidR="00AC284E">
        <w:rPr>
          <w:sz w:val="24"/>
          <w:szCs w:val="24"/>
        </w:rPr>
        <w:t>. 2011</w:t>
      </w:r>
      <w:r w:rsidR="009B701E">
        <w:rPr>
          <w:sz w:val="24"/>
          <w:szCs w:val="24"/>
        </w:rPr>
        <w:t>)</w:t>
      </w:r>
      <w:r w:rsidR="00DB3098" w:rsidRPr="00DB3098">
        <w:rPr>
          <w:sz w:val="24"/>
          <w:szCs w:val="24"/>
        </w:rPr>
        <w:t xml:space="preserve"> and 59% </w:t>
      </w:r>
      <w:r w:rsidR="009B701E">
        <w:rPr>
          <w:sz w:val="24"/>
          <w:szCs w:val="24"/>
        </w:rPr>
        <w:t>(</w:t>
      </w:r>
      <w:r w:rsidR="00AC284E">
        <w:rPr>
          <w:sz w:val="24"/>
          <w:szCs w:val="24"/>
        </w:rPr>
        <w:t xml:space="preserve">Marshall </w:t>
      </w:r>
      <w:r w:rsidR="00AC284E">
        <w:rPr>
          <w:i/>
          <w:sz w:val="24"/>
          <w:szCs w:val="24"/>
        </w:rPr>
        <w:t>et al.</w:t>
      </w:r>
      <w:r w:rsidR="00AC284E">
        <w:rPr>
          <w:sz w:val="24"/>
          <w:szCs w:val="24"/>
        </w:rPr>
        <w:t xml:space="preserve"> 2004</w:t>
      </w:r>
      <w:r w:rsidR="009B701E">
        <w:rPr>
          <w:sz w:val="24"/>
          <w:szCs w:val="24"/>
        </w:rPr>
        <w:t>)</w:t>
      </w:r>
      <w:r w:rsidR="00DB3098" w:rsidRPr="00DB3098">
        <w:rPr>
          <w:sz w:val="24"/>
          <w:szCs w:val="24"/>
        </w:rPr>
        <w:t>. With the exception of a study of urban mice (</w:t>
      </w:r>
      <w:r w:rsidR="00320BA3" w:rsidRPr="00DB3098">
        <w:rPr>
          <w:i/>
          <w:sz w:val="24"/>
          <w:szCs w:val="24"/>
        </w:rPr>
        <w:t>M</w:t>
      </w:r>
      <w:r w:rsidR="00320BA3">
        <w:rPr>
          <w:i/>
          <w:sz w:val="24"/>
          <w:szCs w:val="24"/>
        </w:rPr>
        <w:t>.</w:t>
      </w:r>
      <w:r w:rsidR="00320BA3" w:rsidRPr="00DB3098">
        <w:rPr>
          <w:i/>
          <w:sz w:val="24"/>
          <w:szCs w:val="24"/>
        </w:rPr>
        <w:t xml:space="preserve"> </w:t>
      </w:r>
      <w:r w:rsidR="00DB3098" w:rsidRPr="00DB3098">
        <w:rPr>
          <w:i/>
          <w:sz w:val="24"/>
          <w:szCs w:val="24"/>
        </w:rPr>
        <w:t>domesticus</w:t>
      </w:r>
      <w:r w:rsidR="00DB3098" w:rsidRPr="00DB3098">
        <w:rPr>
          <w:sz w:val="24"/>
          <w:szCs w:val="24"/>
        </w:rPr>
        <w:t xml:space="preserve">) showing different levels of infection within different mouse populations </w:t>
      </w:r>
      <w:r w:rsidR="009B701E">
        <w:rPr>
          <w:sz w:val="24"/>
          <w:szCs w:val="24"/>
        </w:rPr>
        <w:t>(</w:t>
      </w:r>
      <w:r w:rsidR="00795AF9">
        <w:rPr>
          <w:sz w:val="24"/>
          <w:szCs w:val="24"/>
        </w:rPr>
        <w:t xml:space="preserve">Marshall </w:t>
      </w:r>
      <w:r w:rsidR="00795AF9">
        <w:rPr>
          <w:i/>
          <w:sz w:val="24"/>
          <w:szCs w:val="24"/>
        </w:rPr>
        <w:t>et al.</w:t>
      </w:r>
      <w:r w:rsidR="00795AF9">
        <w:rPr>
          <w:sz w:val="24"/>
          <w:szCs w:val="24"/>
        </w:rPr>
        <w:t xml:space="preserve"> 2004</w:t>
      </w:r>
      <w:r w:rsidR="009B701E">
        <w:rPr>
          <w:sz w:val="24"/>
          <w:szCs w:val="24"/>
        </w:rPr>
        <w:t>;</w:t>
      </w:r>
      <w:r w:rsidR="00DB3098" w:rsidRPr="00DB3098">
        <w:rPr>
          <w:sz w:val="24"/>
          <w:szCs w:val="24"/>
        </w:rPr>
        <w:t xml:space="preserve"> </w:t>
      </w:r>
      <w:r w:rsidR="00795AF9">
        <w:rPr>
          <w:sz w:val="24"/>
          <w:szCs w:val="24"/>
        </w:rPr>
        <w:t xml:space="preserve">Murphy </w:t>
      </w:r>
      <w:r w:rsidR="00795AF9">
        <w:rPr>
          <w:i/>
          <w:sz w:val="24"/>
          <w:szCs w:val="24"/>
        </w:rPr>
        <w:t>et al.</w:t>
      </w:r>
      <w:r w:rsidR="00795AF9">
        <w:rPr>
          <w:sz w:val="24"/>
          <w:szCs w:val="24"/>
        </w:rPr>
        <w:t xml:space="preserve"> 2008</w:t>
      </w:r>
      <w:r w:rsidR="009B701E">
        <w:rPr>
          <w:sz w:val="24"/>
          <w:szCs w:val="24"/>
        </w:rPr>
        <w:t>)</w:t>
      </w:r>
      <w:r w:rsidR="00DB3098" w:rsidRPr="00DB3098">
        <w:rPr>
          <w:sz w:val="24"/>
          <w:szCs w:val="24"/>
        </w:rPr>
        <w:t xml:space="preserve">, information on the distribution of infected mice within natural populations of wild mice are generally lacking. The aims of this study were to investigate the detailed distribution of </w:t>
      </w:r>
      <w:r w:rsidR="00DB3098" w:rsidRPr="00DB3098">
        <w:rPr>
          <w:i/>
          <w:sz w:val="24"/>
          <w:szCs w:val="24"/>
        </w:rPr>
        <w:t>T. gondii</w:t>
      </w:r>
      <w:r w:rsidR="00DB3098" w:rsidRPr="00DB3098">
        <w:rPr>
          <w:sz w:val="24"/>
          <w:szCs w:val="24"/>
        </w:rPr>
        <w:t xml:space="preserve"> infection in a series of localised populations of </w:t>
      </w:r>
      <w:r w:rsidR="00320BA3" w:rsidRPr="00DB3098">
        <w:rPr>
          <w:i/>
          <w:sz w:val="24"/>
          <w:szCs w:val="24"/>
        </w:rPr>
        <w:t>A</w:t>
      </w:r>
      <w:r w:rsidR="00320BA3">
        <w:rPr>
          <w:i/>
          <w:sz w:val="24"/>
          <w:szCs w:val="24"/>
        </w:rPr>
        <w:t>.</w:t>
      </w:r>
      <w:r w:rsidR="00320BA3" w:rsidRPr="00DB3098">
        <w:rPr>
          <w:i/>
          <w:sz w:val="24"/>
          <w:szCs w:val="24"/>
        </w:rPr>
        <w:t xml:space="preserve"> </w:t>
      </w:r>
      <w:r w:rsidR="00DB3098" w:rsidRPr="00DB3098">
        <w:rPr>
          <w:i/>
          <w:sz w:val="24"/>
          <w:szCs w:val="24"/>
        </w:rPr>
        <w:t>sylvaticus</w:t>
      </w:r>
      <w:r w:rsidR="00DB3098" w:rsidRPr="00DB3098">
        <w:rPr>
          <w:sz w:val="24"/>
          <w:szCs w:val="24"/>
        </w:rPr>
        <w:t xml:space="preserve"> collected in a systematic manner </w:t>
      </w:r>
      <w:r w:rsidR="009B701E">
        <w:rPr>
          <w:sz w:val="24"/>
          <w:szCs w:val="24"/>
        </w:rPr>
        <w:t>(</w:t>
      </w:r>
      <w:r w:rsidR="00795AF9">
        <w:rPr>
          <w:sz w:val="24"/>
          <w:szCs w:val="24"/>
        </w:rPr>
        <w:t xml:space="preserve">Boyce </w:t>
      </w:r>
      <w:r w:rsidR="00795AF9">
        <w:rPr>
          <w:i/>
          <w:sz w:val="24"/>
          <w:szCs w:val="24"/>
        </w:rPr>
        <w:t>et al.</w:t>
      </w:r>
      <w:r w:rsidR="00795AF9">
        <w:rPr>
          <w:sz w:val="24"/>
          <w:szCs w:val="24"/>
        </w:rPr>
        <w:t xml:space="preserve"> 2012;</w:t>
      </w:r>
      <w:r w:rsidR="00DB3098" w:rsidRPr="00DB3098">
        <w:rPr>
          <w:sz w:val="24"/>
          <w:szCs w:val="24"/>
        </w:rPr>
        <w:t xml:space="preserve"> </w:t>
      </w:r>
      <w:r w:rsidR="00795AF9">
        <w:rPr>
          <w:sz w:val="24"/>
          <w:szCs w:val="24"/>
        </w:rPr>
        <w:t>2013</w:t>
      </w:r>
      <w:r w:rsidR="009B701E">
        <w:rPr>
          <w:sz w:val="24"/>
          <w:szCs w:val="24"/>
        </w:rPr>
        <w:t>)</w:t>
      </w:r>
      <w:r w:rsidR="00DB3098" w:rsidRPr="00DB3098">
        <w:rPr>
          <w:sz w:val="24"/>
          <w:szCs w:val="24"/>
        </w:rPr>
        <w:t>.</w:t>
      </w:r>
      <w:r>
        <w:rPr>
          <w:sz w:val="24"/>
          <w:szCs w:val="24"/>
        </w:rPr>
        <w:t xml:space="preserve"> </w:t>
      </w:r>
      <w:r w:rsidR="00DB3098" w:rsidRPr="00DB3098">
        <w:rPr>
          <w:sz w:val="24"/>
          <w:szCs w:val="24"/>
        </w:rPr>
        <w:t>These populations reside in an area relatively free of cats (&lt; 2.5 cats per km</w:t>
      </w:r>
      <w:r w:rsidR="00DB3098" w:rsidRPr="00DB3098">
        <w:rPr>
          <w:sz w:val="24"/>
          <w:szCs w:val="24"/>
          <w:vertAlign w:val="superscript"/>
        </w:rPr>
        <w:t>2</w:t>
      </w:r>
      <w:r w:rsidR="00DB3098" w:rsidRPr="00DB3098">
        <w:rPr>
          <w:sz w:val="24"/>
          <w:szCs w:val="24"/>
        </w:rPr>
        <w:t>)</w:t>
      </w:r>
      <w:r w:rsidR="00DB3098" w:rsidRPr="00DB3098">
        <w:rPr>
          <w:sz w:val="24"/>
          <w:szCs w:val="24"/>
          <w:vertAlign w:val="superscript"/>
        </w:rPr>
        <w:t xml:space="preserve"> </w:t>
      </w:r>
      <w:r w:rsidR="009B701E">
        <w:rPr>
          <w:sz w:val="24"/>
          <w:szCs w:val="24"/>
        </w:rPr>
        <w:t>(</w:t>
      </w:r>
      <w:r w:rsidR="00795AF9">
        <w:rPr>
          <w:sz w:val="24"/>
          <w:szCs w:val="24"/>
        </w:rPr>
        <w:t xml:space="preserve">Hughes </w:t>
      </w:r>
      <w:r w:rsidR="00795AF9">
        <w:rPr>
          <w:i/>
          <w:sz w:val="24"/>
          <w:szCs w:val="24"/>
        </w:rPr>
        <w:t>et al</w:t>
      </w:r>
      <w:r w:rsidR="00795AF9">
        <w:rPr>
          <w:sz w:val="24"/>
          <w:szCs w:val="24"/>
        </w:rPr>
        <w:t>. 2008</w:t>
      </w:r>
      <w:r w:rsidR="009B701E">
        <w:rPr>
          <w:sz w:val="24"/>
          <w:szCs w:val="24"/>
        </w:rPr>
        <w:t>)</w:t>
      </w:r>
      <w:r w:rsidR="00DB3098" w:rsidRPr="00DB3098">
        <w:rPr>
          <w:sz w:val="24"/>
          <w:szCs w:val="24"/>
        </w:rPr>
        <w:t xml:space="preserve"> but where previous studies have demonstrated a high prevalence </w:t>
      </w:r>
      <w:r w:rsidR="009B701E">
        <w:rPr>
          <w:sz w:val="24"/>
          <w:szCs w:val="24"/>
        </w:rPr>
        <w:t>(</w:t>
      </w:r>
      <w:r w:rsidR="00795AF9">
        <w:rPr>
          <w:sz w:val="24"/>
          <w:szCs w:val="24"/>
        </w:rPr>
        <w:t xml:space="preserve">Thomasson </w:t>
      </w:r>
      <w:r w:rsidR="00795AF9">
        <w:rPr>
          <w:i/>
          <w:sz w:val="24"/>
          <w:szCs w:val="24"/>
        </w:rPr>
        <w:t>et al</w:t>
      </w:r>
      <w:r w:rsidR="00795AF9">
        <w:rPr>
          <w:sz w:val="24"/>
          <w:szCs w:val="24"/>
        </w:rPr>
        <w:t>. 2011</w:t>
      </w:r>
      <w:r w:rsidR="009B701E">
        <w:rPr>
          <w:sz w:val="24"/>
          <w:szCs w:val="24"/>
        </w:rPr>
        <w:t>)</w:t>
      </w:r>
      <w:r w:rsidR="00DB3098" w:rsidRPr="00DB3098">
        <w:rPr>
          <w:sz w:val="24"/>
          <w:szCs w:val="24"/>
        </w:rPr>
        <w:t xml:space="preserve">. The objectives were to investigate host genotype and spatial location in relation to </w:t>
      </w:r>
      <w:r w:rsidR="00DB3098" w:rsidRPr="00DB3098">
        <w:rPr>
          <w:i/>
          <w:sz w:val="24"/>
          <w:szCs w:val="24"/>
        </w:rPr>
        <w:t>T. gondii</w:t>
      </w:r>
      <w:r w:rsidR="00795AF9">
        <w:rPr>
          <w:sz w:val="24"/>
          <w:szCs w:val="24"/>
        </w:rPr>
        <w:t xml:space="preserve"> infection</w:t>
      </w:r>
      <w:r w:rsidR="00DB3098" w:rsidRPr="00DB3098">
        <w:rPr>
          <w:sz w:val="24"/>
          <w:szCs w:val="24"/>
        </w:rPr>
        <w:t>.</w:t>
      </w:r>
      <w:r w:rsidR="00B1554D">
        <w:rPr>
          <w:sz w:val="24"/>
          <w:szCs w:val="24"/>
        </w:rPr>
        <w:t xml:space="preserve"> We show that parasite infection is linked to host population genotype not population location.</w:t>
      </w:r>
    </w:p>
    <w:p w:rsidR="00453901" w:rsidRDefault="00453901">
      <w:pPr>
        <w:rPr>
          <w:rFonts w:ascii="Calibri" w:hAnsi="Calibri"/>
          <w:b/>
          <w:sz w:val="24"/>
          <w:szCs w:val="24"/>
        </w:rPr>
      </w:pPr>
      <w:r>
        <w:rPr>
          <w:rFonts w:ascii="Calibri" w:hAnsi="Calibri"/>
          <w:b/>
          <w:sz w:val="24"/>
          <w:szCs w:val="24"/>
        </w:rPr>
        <w:br w:type="page"/>
      </w:r>
    </w:p>
    <w:p w:rsidR="00453901" w:rsidRPr="00795AF9" w:rsidRDefault="00795AF9" w:rsidP="00453901">
      <w:pPr>
        <w:spacing w:line="360" w:lineRule="auto"/>
        <w:jc w:val="both"/>
        <w:rPr>
          <w:rFonts w:ascii="Calibri" w:hAnsi="Calibri"/>
          <w:sz w:val="24"/>
          <w:szCs w:val="24"/>
        </w:rPr>
      </w:pPr>
      <w:r>
        <w:rPr>
          <w:rFonts w:ascii="Calibri" w:hAnsi="Calibri"/>
          <w:sz w:val="24"/>
          <w:szCs w:val="24"/>
        </w:rPr>
        <w:lastRenderedPageBreak/>
        <w:t>MATERIALS AND METHODS</w:t>
      </w:r>
    </w:p>
    <w:p w:rsidR="00453901" w:rsidRPr="00795AF9" w:rsidRDefault="00453901" w:rsidP="00453901">
      <w:pPr>
        <w:spacing w:line="360" w:lineRule="auto"/>
        <w:jc w:val="both"/>
        <w:rPr>
          <w:rFonts w:ascii="Calibri" w:hAnsi="Calibri"/>
          <w:b/>
          <w:sz w:val="24"/>
          <w:szCs w:val="24"/>
        </w:rPr>
      </w:pPr>
      <w:r w:rsidRPr="00BB079F">
        <w:rPr>
          <w:sz w:val="24"/>
          <w:szCs w:val="24"/>
        </w:rPr>
        <w:t>A total of 126 wood mice (</w:t>
      </w:r>
      <w:r w:rsidRPr="00BB079F">
        <w:rPr>
          <w:i/>
          <w:sz w:val="24"/>
          <w:szCs w:val="24"/>
        </w:rPr>
        <w:t>A</w:t>
      </w:r>
      <w:r>
        <w:rPr>
          <w:i/>
          <w:sz w:val="24"/>
          <w:szCs w:val="24"/>
        </w:rPr>
        <w:t>podemus</w:t>
      </w:r>
      <w:r w:rsidRPr="00BB079F">
        <w:rPr>
          <w:i/>
          <w:sz w:val="24"/>
          <w:szCs w:val="24"/>
        </w:rPr>
        <w:t xml:space="preserve"> sylvaticus</w:t>
      </w:r>
      <w:r w:rsidRPr="00BB079F">
        <w:rPr>
          <w:sz w:val="24"/>
          <w:szCs w:val="24"/>
        </w:rPr>
        <w:t xml:space="preserve">) were collected and euthanased from four sites </w:t>
      </w:r>
      <w:r w:rsidR="00B02773">
        <w:rPr>
          <w:sz w:val="24"/>
          <w:szCs w:val="24"/>
        </w:rPr>
        <w:t>located within the boundaries of</w:t>
      </w:r>
      <w:r w:rsidR="00B02773" w:rsidRPr="00BB079F">
        <w:rPr>
          <w:sz w:val="24"/>
          <w:szCs w:val="24"/>
        </w:rPr>
        <w:t xml:space="preserve"> </w:t>
      </w:r>
      <w:r w:rsidRPr="00BB079F">
        <w:rPr>
          <w:sz w:val="24"/>
          <w:szCs w:val="24"/>
        </w:rPr>
        <w:t xml:space="preserve">the Malham Tarn </w:t>
      </w:r>
      <w:r w:rsidR="00B02773">
        <w:rPr>
          <w:sz w:val="24"/>
          <w:szCs w:val="24"/>
        </w:rPr>
        <w:t>Nature Reserve</w:t>
      </w:r>
      <w:r w:rsidRPr="00BB079F">
        <w:rPr>
          <w:sz w:val="24"/>
          <w:szCs w:val="24"/>
        </w:rPr>
        <w:t>, North Yorkshire, UK</w:t>
      </w:r>
      <w:r>
        <w:rPr>
          <w:sz w:val="24"/>
          <w:szCs w:val="24"/>
        </w:rPr>
        <w:t xml:space="preserve"> (Figure </w:t>
      </w:r>
      <w:r w:rsidR="00B1554D">
        <w:rPr>
          <w:sz w:val="24"/>
          <w:szCs w:val="24"/>
        </w:rPr>
        <w:t>1</w:t>
      </w:r>
      <w:r>
        <w:rPr>
          <w:sz w:val="24"/>
          <w:szCs w:val="24"/>
        </w:rPr>
        <w:t>)</w:t>
      </w:r>
      <w:r w:rsidRPr="00BB079F">
        <w:rPr>
          <w:sz w:val="24"/>
          <w:szCs w:val="24"/>
        </w:rPr>
        <w:t xml:space="preserve"> as described previously </w:t>
      </w:r>
      <w:r w:rsidR="009B701E">
        <w:rPr>
          <w:sz w:val="24"/>
          <w:szCs w:val="24"/>
        </w:rPr>
        <w:t>(</w:t>
      </w:r>
      <w:r w:rsidR="00795AF9">
        <w:rPr>
          <w:sz w:val="24"/>
          <w:szCs w:val="24"/>
        </w:rPr>
        <w:t xml:space="preserve">Boyce </w:t>
      </w:r>
      <w:r w:rsidR="00795AF9">
        <w:rPr>
          <w:i/>
          <w:sz w:val="24"/>
          <w:szCs w:val="24"/>
        </w:rPr>
        <w:t>et al.</w:t>
      </w:r>
      <w:r w:rsidR="00795AF9">
        <w:rPr>
          <w:sz w:val="24"/>
          <w:szCs w:val="24"/>
        </w:rPr>
        <w:t xml:space="preserve"> 2012;</w:t>
      </w:r>
      <w:r w:rsidR="00795AF9" w:rsidRPr="00DB3098">
        <w:rPr>
          <w:sz w:val="24"/>
          <w:szCs w:val="24"/>
        </w:rPr>
        <w:t xml:space="preserve"> </w:t>
      </w:r>
      <w:r w:rsidR="00795AF9">
        <w:rPr>
          <w:sz w:val="24"/>
          <w:szCs w:val="24"/>
        </w:rPr>
        <w:t>2013</w:t>
      </w:r>
      <w:r w:rsidR="00852F74">
        <w:rPr>
          <w:sz w:val="24"/>
          <w:szCs w:val="24"/>
        </w:rPr>
        <w:t xml:space="preserve">; Morger </w:t>
      </w:r>
      <w:r w:rsidR="00852F74">
        <w:rPr>
          <w:i/>
          <w:sz w:val="24"/>
          <w:szCs w:val="24"/>
        </w:rPr>
        <w:t>et al</w:t>
      </w:r>
      <w:r w:rsidR="00852F74">
        <w:rPr>
          <w:sz w:val="24"/>
          <w:szCs w:val="24"/>
        </w:rPr>
        <w:t>. 2014</w:t>
      </w:r>
      <w:r w:rsidR="009B701E">
        <w:rPr>
          <w:sz w:val="24"/>
          <w:szCs w:val="24"/>
        </w:rPr>
        <w:t>)</w:t>
      </w:r>
      <w:r w:rsidRPr="00BB079F">
        <w:rPr>
          <w:sz w:val="24"/>
          <w:szCs w:val="24"/>
        </w:rPr>
        <w:t xml:space="preserve">. Collection points at </w:t>
      </w:r>
      <w:r w:rsidRPr="00BB079F">
        <w:rPr>
          <w:rFonts w:cs="Times New Roman"/>
          <w:sz w:val="24"/>
          <w:szCs w:val="24"/>
        </w:rPr>
        <w:t>these sites, labelled Tarn Woods, Tarn Fen, Ha Mire and Spiggot Hill, were recorded using GPS position fixing (WGS84)</w:t>
      </w:r>
      <w:r w:rsidRPr="00BB079F">
        <w:rPr>
          <w:sz w:val="24"/>
          <w:szCs w:val="24"/>
        </w:rPr>
        <w:t xml:space="preserve">. All appropriate permissions were obtained </w:t>
      </w:r>
      <w:r w:rsidR="009B701E">
        <w:rPr>
          <w:sz w:val="24"/>
          <w:szCs w:val="24"/>
        </w:rPr>
        <w:t>(</w:t>
      </w:r>
      <w:r w:rsidR="00795AF9">
        <w:rPr>
          <w:sz w:val="24"/>
          <w:szCs w:val="24"/>
        </w:rPr>
        <w:t xml:space="preserve">Boyce </w:t>
      </w:r>
      <w:r w:rsidR="00795AF9">
        <w:rPr>
          <w:i/>
          <w:sz w:val="24"/>
          <w:szCs w:val="24"/>
        </w:rPr>
        <w:t>et al.</w:t>
      </w:r>
      <w:r w:rsidR="00795AF9">
        <w:rPr>
          <w:sz w:val="24"/>
          <w:szCs w:val="24"/>
        </w:rPr>
        <w:t xml:space="preserve"> 2012;</w:t>
      </w:r>
      <w:r w:rsidR="00795AF9" w:rsidRPr="00DB3098">
        <w:rPr>
          <w:sz w:val="24"/>
          <w:szCs w:val="24"/>
        </w:rPr>
        <w:t xml:space="preserve"> </w:t>
      </w:r>
      <w:r w:rsidR="00795AF9">
        <w:rPr>
          <w:sz w:val="24"/>
          <w:szCs w:val="24"/>
        </w:rPr>
        <w:t>2013</w:t>
      </w:r>
      <w:r w:rsidR="009B701E">
        <w:rPr>
          <w:sz w:val="24"/>
          <w:szCs w:val="24"/>
        </w:rPr>
        <w:t>)</w:t>
      </w:r>
      <w:r w:rsidRPr="00BB079F">
        <w:rPr>
          <w:sz w:val="24"/>
          <w:szCs w:val="24"/>
        </w:rPr>
        <w:t xml:space="preserve"> and ethical approval was granted by the University of Salford Research Ethics and Governance Committee (CST 12/36). Mice were examined for a range of parameters including sex, weight and length. Mice weighing less than 14 g were considered juveniles </w:t>
      </w:r>
      <w:r w:rsidR="009B701E">
        <w:rPr>
          <w:sz w:val="24"/>
          <w:szCs w:val="24"/>
        </w:rPr>
        <w:t>(</w:t>
      </w:r>
      <w:r w:rsidR="00795AF9">
        <w:rPr>
          <w:sz w:val="24"/>
          <w:szCs w:val="24"/>
        </w:rPr>
        <w:t>Higgs and Nowell, 2000</w:t>
      </w:r>
      <w:r w:rsidR="009B701E">
        <w:rPr>
          <w:sz w:val="24"/>
          <w:szCs w:val="24"/>
        </w:rPr>
        <w:t>)</w:t>
      </w:r>
      <w:r w:rsidRPr="00BB079F">
        <w:rPr>
          <w:sz w:val="24"/>
          <w:szCs w:val="24"/>
        </w:rPr>
        <w:t>.</w:t>
      </w:r>
      <w:r>
        <w:rPr>
          <w:sz w:val="24"/>
          <w:szCs w:val="24"/>
        </w:rPr>
        <w:t xml:space="preserve"> </w:t>
      </w:r>
      <w:r w:rsidRPr="00BB079F">
        <w:rPr>
          <w:sz w:val="24"/>
          <w:szCs w:val="24"/>
        </w:rPr>
        <w:t xml:space="preserve">The brains were dissected out, using sterile technique, and transferred into sterile tubes containing 400 μl of lysis buffer (0.1 M Tris pH 8.0, 0.2 M NaCl, 5 mM EDTA, 0.4% SDS) and stored at </w:t>
      </w:r>
      <w:r w:rsidRPr="00BB079F">
        <w:rPr>
          <w:i/>
          <w:iCs/>
          <w:sz w:val="24"/>
          <w:szCs w:val="24"/>
        </w:rPr>
        <w:t>−</w:t>
      </w:r>
      <w:r w:rsidRPr="00BB079F">
        <w:rPr>
          <w:sz w:val="24"/>
          <w:szCs w:val="24"/>
        </w:rPr>
        <w:t xml:space="preserve">20 °C until DNA extraction. </w:t>
      </w:r>
      <w:r w:rsidR="00795AF9">
        <w:rPr>
          <w:sz w:val="24"/>
          <w:szCs w:val="24"/>
        </w:rPr>
        <w:t xml:space="preserve">Due to the freezing in lysis buffer, it was not possible to conduct serological tests for </w:t>
      </w:r>
      <w:r w:rsidR="00795AF9">
        <w:rPr>
          <w:i/>
          <w:sz w:val="24"/>
          <w:szCs w:val="24"/>
        </w:rPr>
        <w:t>Toxoplasma gondii</w:t>
      </w:r>
      <w:r w:rsidR="00795AF9">
        <w:rPr>
          <w:sz w:val="24"/>
          <w:szCs w:val="24"/>
        </w:rPr>
        <w:t xml:space="preserve"> infection nor was it possible to isolate viable parasites.</w:t>
      </w:r>
    </w:p>
    <w:p w:rsidR="00453901" w:rsidRPr="00BB079F" w:rsidRDefault="00453901" w:rsidP="00453901">
      <w:pPr>
        <w:spacing w:line="360" w:lineRule="auto"/>
        <w:jc w:val="both"/>
        <w:rPr>
          <w:sz w:val="24"/>
          <w:szCs w:val="24"/>
        </w:rPr>
      </w:pPr>
      <w:r w:rsidRPr="00BB079F">
        <w:rPr>
          <w:sz w:val="24"/>
          <w:szCs w:val="24"/>
        </w:rPr>
        <w:t>DNA was isolated</w:t>
      </w:r>
      <w:r w:rsidR="00795AF9">
        <w:rPr>
          <w:sz w:val="24"/>
          <w:szCs w:val="24"/>
        </w:rPr>
        <w:t>,</w:t>
      </w:r>
      <w:r w:rsidRPr="00BB079F">
        <w:rPr>
          <w:sz w:val="24"/>
          <w:szCs w:val="24"/>
        </w:rPr>
        <w:t xml:space="preserve"> </w:t>
      </w:r>
      <w:r w:rsidR="00795AF9">
        <w:rPr>
          <w:sz w:val="24"/>
          <w:szCs w:val="24"/>
        </w:rPr>
        <w:t xml:space="preserve">from </w:t>
      </w:r>
      <w:r w:rsidR="00795AF9">
        <w:rPr>
          <w:i/>
          <w:sz w:val="24"/>
          <w:szCs w:val="24"/>
        </w:rPr>
        <w:t xml:space="preserve">A. sylvaticus </w:t>
      </w:r>
      <w:r w:rsidR="00795AF9">
        <w:rPr>
          <w:sz w:val="24"/>
          <w:szCs w:val="24"/>
        </w:rPr>
        <w:t xml:space="preserve">brain tissue, </w:t>
      </w:r>
      <w:r w:rsidRPr="00BB079F">
        <w:rPr>
          <w:sz w:val="24"/>
          <w:szCs w:val="24"/>
        </w:rPr>
        <w:t xml:space="preserve">using </w:t>
      </w:r>
      <w:r w:rsidR="00B02773">
        <w:rPr>
          <w:sz w:val="24"/>
          <w:szCs w:val="24"/>
        </w:rPr>
        <w:t>p</w:t>
      </w:r>
      <w:r w:rsidRPr="00BB079F">
        <w:rPr>
          <w:sz w:val="24"/>
          <w:szCs w:val="24"/>
        </w:rPr>
        <w:t xml:space="preserve">roteinase K lysis followed by phenol/chloroform extraction as previously described </w:t>
      </w:r>
      <w:r w:rsidR="009B701E">
        <w:rPr>
          <w:sz w:val="24"/>
          <w:szCs w:val="24"/>
        </w:rPr>
        <w:t>(</w:t>
      </w:r>
      <w:r w:rsidR="00795AF9">
        <w:rPr>
          <w:sz w:val="24"/>
          <w:szCs w:val="24"/>
        </w:rPr>
        <w:t xml:space="preserve">Duncanson </w:t>
      </w:r>
      <w:r w:rsidR="00795AF9">
        <w:rPr>
          <w:i/>
          <w:sz w:val="24"/>
          <w:szCs w:val="24"/>
        </w:rPr>
        <w:t>et al</w:t>
      </w:r>
      <w:r w:rsidR="00795AF9">
        <w:rPr>
          <w:sz w:val="24"/>
          <w:szCs w:val="24"/>
        </w:rPr>
        <w:t>. 2001</w:t>
      </w:r>
      <w:r w:rsidR="009B701E">
        <w:rPr>
          <w:sz w:val="24"/>
          <w:szCs w:val="24"/>
        </w:rPr>
        <w:t>)</w:t>
      </w:r>
      <w:r w:rsidRPr="00BB079F">
        <w:rPr>
          <w:sz w:val="24"/>
          <w:szCs w:val="24"/>
        </w:rPr>
        <w:t xml:space="preserve">. Extracted DNA was tested for mammalian tubulin to ensure the viability for PCR </w:t>
      </w:r>
      <w:r w:rsidR="009B701E">
        <w:rPr>
          <w:sz w:val="24"/>
          <w:szCs w:val="24"/>
        </w:rPr>
        <w:t>(</w:t>
      </w:r>
      <w:r w:rsidR="00795AF9">
        <w:rPr>
          <w:sz w:val="24"/>
          <w:szCs w:val="24"/>
        </w:rPr>
        <w:t xml:space="preserve">Terry </w:t>
      </w:r>
      <w:r w:rsidR="00795AF9">
        <w:rPr>
          <w:i/>
          <w:sz w:val="24"/>
          <w:szCs w:val="24"/>
        </w:rPr>
        <w:t>et al</w:t>
      </w:r>
      <w:r w:rsidR="00795AF9">
        <w:rPr>
          <w:sz w:val="24"/>
          <w:szCs w:val="24"/>
        </w:rPr>
        <w:t>. 2001</w:t>
      </w:r>
      <w:r w:rsidR="009B701E">
        <w:rPr>
          <w:sz w:val="24"/>
          <w:szCs w:val="24"/>
        </w:rPr>
        <w:t>)</w:t>
      </w:r>
      <w:r w:rsidRPr="00BB079F">
        <w:rPr>
          <w:sz w:val="24"/>
          <w:szCs w:val="24"/>
        </w:rPr>
        <w:t xml:space="preserve"> and appropriate protocols to prevent cross contamination were followed </w:t>
      </w:r>
      <w:r w:rsidR="009B701E">
        <w:rPr>
          <w:sz w:val="24"/>
          <w:szCs w:val="24"/>
        </w:rPr>
        <w:t>(</w:t>
      </w:r>
      <w:r w:rsidR="008E580F">
        <w:rPr>
          <w:sz w:val="24"/>
          <w:szCs w:val="24"/>
        </w:rPr>
        <w:t xml:space="preserve">Williams </w:t>
      </w:r>
      <w:r w:rsidR="008E580F">
        <w:rPr>
          <w:i/>
          <w:sz w:val="24"/>
          <w:szCs w:val="24"/>
        </w:rPr>
        <w:t>et al</w:t>
      </w:r>
      <w:r w:rsidR="008E580F">
        <w:rPr>
          <w:sz w:val="24"/>
          <w:szCs w:val="24"/>
        </w:rPr>
        <w:t xml:space="preserve">. 2005; </w:t>
      </w:r>
      <w:r w:rsidR="00511A31">
        <w:rPr>
          <w:sz w:val="24"/>
          <w:szCs w:val="24"/>
        </w:rPr>
        <w:t xml:space="preserve">Hughes </w:t>
      </w:r>
      <w:r w:rsidR="00511A31">
        <w:rPr>
          <w:i/>
          <w:sz w:val="24"/>
          <w:szCs w:val="24"/>
        </w:rPr>
        <w:t xml:space="preserve">et </w:t>
      </w:r>
      <w:r w:rsidR="00511A31" w:rsidRPr="00511A31">
        <w:rPr>
          <w:i/>
          <w:sz w:val="24"/>
          <w:szCs w:val="24"/>
        </w:rPr>
        <w:t>al.</w:t>
      </w:r>
      <w:r w:rsidR="00511A31">
        <w:rPr>
          <w:sz w:val="24"/>
          <w:szCs w:val="24"/>
        </w:rPr>
        <w:t xml:space="preserve"> 2006; </w:t>
      </w:r>
      <w:r w:rsidR="008E580F" w:rsidRPr="00511A31">
        <w:rPr>
          <w:sz w:val="24"/>
          <w:szCs w:val="24"/>
        </w:rPr>
        <w:t>Morley</w:t>
      </w:r>
      <w:r w:rsidR="008E580F">
        <w:rPr>
          <w:sz w:val="24"/>
          <w:szCs w:val="24"/>
        </w:rPr>
        <w:t xml:space="preserve"> </w:t>
      </w:r>
      <w:r w:rsidR="008E580F">
        <w:rPr>
          <w:i/>
          <w:sz w:val="24"/>
          <w:szCs w:val="24"/>
        </w:rPr>
        <w:t>et al</w:t>
      </w:r>
      <w:r w:rsidR="008E580F">
        <w:rPr>
          <w:sz w:val="24"/>
          <w:szCs w:val="24"/>
        </w:rPr>
        <w:t>. 2008</w:t>
      </w:r>
      <w:r w:rsidR="009B701E">
        <w:rPr>
          <w:sz w:val="24"/>
          <w:szCs w:val="24"/>
        </w:rPr>
        <w:t>)</w:t>
      </w:r>
      <w:r w:rsidRPr="00BB079F">
        <w:rPr>
          <w:sz w:val="24"/>
          <w:szCs w:val="24"/>
        </w:rPr>
        <w:t xml:space="preserve">. Detection of </w:t>
      </w:r>
      <w:r w:rsidRPr="00BB079F">
        <w:rPr>
          <w:i/>
          <w:sz w:val="24"/>
          <w:szCs w:val="24"/>
        </w:rPr>
        <w:t>T. gondii</w:t>
      </w:r>
      <w:r w:rsidRPr="00BB079F">
        <w:rPr>
          <w:sz w:val="24"/>
          <w:szCs w:val="24"/>
        </w:rPr>
        <w:t xml:space="preserve"> was carried out using nested PCR amplification of the </w:t>
      </w:r>
      <w:r w:rsidR="00B02773">
        <w:rPr>
          <w:sz w:val="24"/>
          <w:szCs w:val="24"/>
        </w:rPr>
        <w:t>s</w:t>
      </w:r>
      <w:r w:rsidRPr="00BB079F">
        <w:rPr>
          <w:sz w:val="24"/>
          <w:szCs w:val="24"/>
        </w:rPr>
        <w:t xml:space="preserve">urface </w:t>
      </w:r>
      <w:r w:rsidR="00B02773">
        <w:rPr>
          <w:sz w:val="24"/>
          <w:szCs w:val="24"/>
        </w:rPr>
        <w:t>a</w:t>
      </w:r>
      <w:r w:rsidRPr="00BB079F">
        <w:rPr>
          <w:sz w:val="24"/>
          <w:szCs w:val="24"/>
        </w:rPr>
        <w:t xml:space="preserve">ntigen </w:t>
      </w:r>
      <w:r w:rsidR="00B02773">
        <w:rPr>
          <w:sz w:val="24"/>
          <w:szCs w:val="24"/>
        </w:rPr>
        <w:t>g</w:t>
      </w:r>
      <w:r w:rsidRPr="00BB079F">
        <w:rPr>
          <w:sz w:val="24"/>
          <w:szCs w:val="24"/>
        </w:rPr>
        <w:t xml:space="preserve">enes 1 </w:t>
      </w:r>
      <w:r w:rsidR="00B02773">
        <w:rPr>
          <w:sz w:val="24"/>
          <w:szCs w:val="24"/>
        </w:rPr>
        <w:t xml:space="preserve">(SAG1) </w:t>
      </w:r>
      <w:r w:rsidR="009B701E">
        <w:rPr>
          <w:sz w:val="24"/>
          <w:szCs w:val="24"/>
        </w:rPr>
        <w:t>(</w:t>
      </w:r>
      <w:r w:rsidR="008E580F">
        <w:rPr>
          <w:sz w:val="24"/>
          <w:szCs w:val="24"/>
        </w:rPr>
        <w:t xml:space="preserve">Savva </w:t>
      </w:r>
      <w:r w:rsidR="008E580F">
        <w:rPr>
          <w:i/>
          <w:sz w:val="24"/>
          <w:szCs w:val="24"/>
        </w:rPr>
        <w:t>et al</w:t>
      </w:r>
      <w:r w:rsidR="008E580F">
        <w:rPr>
          <w:sz w:val="24"/>
          <w:szCs w:val="24"/>
        </w:rPr>
        <w:t>. 1990</w:t>
      </w:r>
      <w:r w:rsidR="009B701E">
        <w:rPr>
          <w:sz w:val="24"/>
          <w:szCs w:val="24"/>
        </w:rPr>
        <w:t>)</w:t>
      </w:r>
      <w:r w:rsidRPr="00BB079F">
        <w:rPr>
          <w:sz w:val="24"/>
          <w:szCs w:val="24"/>
        </w:rPr>
        <w:t xml:space="preserve"> as modified by Morley </w:t>
      </w:r>
      <w:r w:rsidRPr="00BB079F">
        <w:rPr>
          <w:i/>
          <w:sz w:val="24"/>
          <w:szCs w:val="24"/>
        </w:rPr>
        <w:t>et al.</w:t>
      </w:r>
      <w:r w:rsidRPr="00BB079F">
        <w:rPr>
          <w:sz w:val="24"/>
          <w:szCs w:val="24"/>
        </w:rPr>
        <w:t xml:space="preserve"> </w:t>
      </w:r>
      <w:r w:rsidR="009B701E">
        <w:rPr>
          <w:sz w:val="24"/>
          <w:szCs w:val="24"/>
        </w:rPr>
        <w:t>(</w:t>
      </w:r>
      <w:r w:rsidR="008E580F">
        <w:rPr>
          <w:sz w:val="24"/>
          <w:szCs w:val="24"/>
        </w:rPr>
        <w:t>2005</w:t>
      </w:r>
      <w:r w:rsidR="009B701E">
        <w:rPr>
          <w:sz w:val="24"/>
          <w:szCs w:val="24"/>
        </w:rPr>
        <w:t>)</w:t>
      </w:r>
      <w:r w:rsidR="008E580F">
        <w:rPr>
          <w:sz w:val="24"/>
          <w:szCs w:val="24"/>
        </w:rPr>
        <w:t>.</w:t>
      </w:r>
      <w:r w:rsidRPr="00BB079F">
        <w:rPr>
          <w:sz w:val="24"/>
          <w:szCs w:val="24"/>
        </w:rPr>
        <w:t xml:space="preserve"> </w:t>
      </w:r>
      <w:r w:rsidR="008E580F">
        <w:rPr>
          <w:sz w:val="24"/>
          <w:szCs w:val="24"/>
        </w:rPr>
        <w:t>Positive amplification was</w:t>
      </w:r>
      <w:r w:rsidRPr="00BB079F">
        <w:rPr>
          <w:sz w:val="24"/>
          <w:szCs w:val="24"/>
        </w:rPr>
        <w:t xml:space="preserve"> confirmed by nested PCR amplification with three other sets of </w:t>
      </w:r>
      <w:r w:rsidRPr="00BB079F">
        <w:rPr>
          <w:i/>
          <w:sz w:val="24"/>
          <w:szCs w:val="24"/>
        </w:rPr>
        <w:t>T. gondii</w:t>
      </w:r>
      <w:r w:rsidRPr="00BB079F">
        <w:rPr>
          <w:sz w:val="24"/>
          <w:szCs w:val="24"/>
        </w:rPr>
        <w:t xml:space="preserve"> specific primers (SAG2, SAG3 and GRA6)</w:t>
      </w:r>
      <w:r w:rsidR="008E580F">
        <w:rPr>
          <w:sz w:val="24"/>
          <w:szCs w:val="24"/>
        </w:rPr>
        <w:t xml:space="preserve"> as described by Su and colleagues (Su </w:t>
      </w:r>
      <w:r w:rsidR="008E580F">
        <w:rPr>
          <w:i/>
          <w:sz w:val="24"/>
          <w:szCs w:val="24"/>
        </w:rPr>
        <w:t>et al</w:t>
      </w:r>
      <w:r w:rsidR="008E580F">
        <w:rPr>
          <w:sz w:val="24"/>
          <w:szCs w:val="24"/>
        </w:rPr>
        <w:t xml:space="preserve">. 2006; Shwab </w:t>
      </w:r>
      <w:r w:rsidR="008E580F">
        <w:rPr>
          <w:i/>
          <w:sz w:val="24"/>
          <w:szCs w:val="24"/>
        </w:rPr>
        <w:t>et al</w:t>
      </w:r>
      <w:r w:rsidR="008E580F">
        <w:rPr>
          <w:sz w:val="24"/>
          <w:szCs w:val="24"/>
        </w:rPr>
        <w:t>. 2013)</w:t>
      </w:r>
      <w:r w:rsidRPr="00BB079F">
        <w:rPr>
          <w:sz w:val="24"/>
          <w:szCs w:val="24"/>
        </w:rPr>
        <w:t xml:space="preserve">. </w:t>
      </w:r>
      <w:r w:rsidR="008E580F">
        <w:rPr>
          <w:sz w:val="24"/>
          <w:szCs w:val="24"/>
        </w:rPr>
        <w:t xml:space="preserve">All samples were tested </w:t>
      </w:r>
      <w:r w:rsidR="0001080A">
        <w:rPr>
          <w:sz w:val="24"/>
          <w:szCs w:val="24"/>
        </w:rPr>
        <w:t xml:space="preserve">a minimum of three times with the SAG1-PCR and </w:t>
      </w:r>
      <w:r w:rsidR="0087372E">
        <w:rPr>
          <w:sz w:val="24"/>
          <w:szCs w:val="24"/>
        </w:rPr>
        <w:t xml:space="preserve">occasional </w:t>
      </w:r>
      <w:r w:rsidR="0001080A">
        <w:rPr>
          <w:sz w:val="24"/>
          <w:szCs w:val="24"/>
        </w:rPr>
        <w:t xml:space="preserve">samples which showed a sporadic positive amplification were further tested until they either attained the criteria of three positive SAG1-PCR </w:t>
      </w:r>
      <w:r w:rsidR="00EA3003">
        <w:rPr>
          <w:sz w:val="24"/>
          <w:szCs w:val="24"/>
        </w:rPr>
        <w:t>amplifications or they were then considered negative. Samples passing the SAG1 PCR criteria were the</w:t>
      </w:r>
      <w:r w:rsidR="0087372E">
        <w:rPr>
          <w:sz w:val="24"/>
          <w:szCs w:val="24"/>
        </w:rPr>
        <w:t>n</w:t>
      </w:r>
      <w:r w:rsidR="00EA3003">
        <w:rPr>
          <w:sz w:val="24"/>
          <w:szCs w:val="24"/>
        </w:rPr>
        <w:t xml:space="preserve"> also confirmed</w:t>
      </w:r>
      <w:r w:rsidR="0001080A">
        <w:rPr>
          <w:sz w:val="24"/>
          <w:szCs w:val="24"/>
        </w:rPr>
        <w:t xml:space="preserve"> </w:t>
      </w:r>
      <w:r w:rsidR="0087372E">
        <w:rPr>
          <w:sz w:val="24"/>
          <w:szCs w:val="24"/>
        </w:rPr>
        <w:t>with</w:t>
      </w:r>
      <w:r w:rsidR="00EA3003">
        <w:rPr>
          <w:sz w:val="24"/>
          <w:szCs w:val="24"/>
        </w:rPr>
        <w:t xml:space="preserve"> a minimum of</w:t>
      </w:r>
      <w:r w:rsidR="008E580F">
        <w:rPr>
          <w:sz w:val="24"/>
          <w:szCs w:val="24"/>
        </w:rPr>
        <w:t xml:space="preserve"> three </w:t>
      </w:r>
      <w:r w:rsidR="0087372E">
        <w:rPr>
          <w:sz w:val="24"/>
          <w:szCs w:val="24"/>
        </w:rPr>
        <w:t>positive amplifications</w:t>
      </w:r>
      <w:r w:rsidR="008E580F">
        <w:rPr>
          <w:sz w:val="24"/>
          <w:szCs w:val="24"/>
        </w:rPr>
        <w:t xml:space="preserve"> </w:t>
      </w:r>
      <w:r w:rsidR="0087372E">
        <w:rPr>
          <w:sz w:val="24"/>
          <w:szCs w:val="24"/>
        </w:rPr>
        <w:t xml:space="preserve">using </w:t>
      </w:r>
      <w:r w:rsidR="008E580F">
        <w:rPr>
          <w:sz w:val="24"/>
          <w:szCs w:val="24"/>
        </w:rPr>
        <w:t xml:space="preserve">each of the four </w:t>
      </w:r>
      <w:r w:rsidR="0087372E">
        <w:rPr>
          <w:sz w:val="24"/>
          <w:szCs w:val="24"/>
        </w:rPr>
        <w:t xml:space="preserve">other </w:t>
      </w:r>
      <w:r w:rsidR="008E580F">
        <w:rPr>
          <w:sz w:val="24"/>
          <w:szCs w:val="24"/>
        </w:rPr>
        <w:t xml:space="preserve">markers before the mouse brain </w:t>
      </w:r>
      <w:r w:rsidR="00EA3003">
        <w:rPr>
          <w:sz w:val="24"/>
          <w:szCs w:val="24"/>
        </w:rPr>
        <w:t xml:space="preserve">was </w:t>
      </w:r>
      <w:r w:rsidR="008E580F">
        <w:rPr>
          <w:sz w:val="24"/>
          <w:szCs w:val="24"/>
        </w:rPr>
        <w:t xml:space="preserve">considered positive for </w:t>
      </w:r>
      <w:r w:rsidR="008E580F">
        <w:rPr>
          <w:i/>
          <w:sz w:val="24"/>
          <w:szCs w:val="24"/>
        </w:rPr>
        <w:t>T. gondii</w:t>
      </w:r>
      <w:r w:rsidR="008E580F">
        <w:rPr>
          <w:sz w:val="24"/>
          <w:szCs w:val="24"/>
        </w:rPr>
        <w:t xml:space="preserve"> infection. In addition to being used for parasite detection, these</w:t>
      </w:r>
      <w:r w:rsidR="008E580F" w:rsidRPr="00BB079F">
        <w:rPr>
          <w:sz w:val="24"/>
          <w:szCs w:val="24"/>
        </w:rPr>
        <w:t xml:space="preserve"> three</w:t>
      </w:r>
      <w:r w:rsidR="008E580F">
        <w:rPr>
          <w:sz w:val="24"/>
          <w:szCs w:val="24"/>
        </w:rPr>
        <w:t xml:space="preserve"> genes </w:t>
      </w:r>
      <w:r w:rsidR="008E580F" w:rsidRPr="00BB079F">
        <w:rPr>
          <w:sz w:val="24"/>
          <w:szCs w:val="24"/>
        </w:rPr>
        <w:t>(SAG2, SAG3 and GRA6)</w:t>
      </w:r>
      <w:r w:rsidR="008E580F">
        <w:rPr>
          <w:sz w:val="24"/>
          <w:szCs w:val="24"/>
        </w:rPr>
        <w:t xml:space="preserve"> were used as</w:t>
      </w:r>
      <w:r w:rsidR="008E580F" w:rsidRPr="00BB079F">
        <w:rPr>
          <w:sz w:val="24"/>
          <w:szCs w:val="24"/>
        </w:rPr>
        <w:t xml:space="preserve"> RFLP markers </w:t>
      </w:r>
      <w:r w:rsidR="008E580F">
        <w:rPr>
          <w:sz w:val="24"/>
          <w:szCs w:val="24"/>
        </w:rPr>
        <w:t xml:space="preserve">for direct genotyping of </w:t>
      </w:r>
      <w:r w:rsidRPr="00BB079F">
        <w:rPr>
          <w:sz w:val="24"/>
          <w:szCs w:val="24"/>
        </w:rPr>
        <w:t xml:space="preserve">PCR positive brain tissues as described </w:t>
      </w:r>
      <w:r w:rsidR="009B701E">
        <w:rPr>
          <w:sz w:val="24"/>
          <w:szCs w:val="24"/>
        </w:rPr>
        <w:t>(</w:t>
      </w:r>
      <w:r w:rsidR="008E580F">
        <w:rPr>
          <w:sz w:val="24"/>
          <w:szCs w:val="24"/>
        </w:rPr>
        <w:t xml:space="preserve">Su </w:t>
      </w:r>
      <w:r w:rsidR="008E580F">
        <w:rPr>
          <w:i/>
          <w:sz w:val="24"/>
          <w:szCs w:val="24"/>
        </w:rPr>
        <w:t>et al</w:t>
      </w:r>
      <w:r w:rsidR="008E580F">
        <w:rPr>
          <w:sz w:val="24"/>
          <w:szCs w:val="24"/>
        </w:rPr>
        <w:t xml:space="preserve">. 2006; Shwab </w:t>
      </w:r>
      <w:r w:rsidR="008E580F">
        <w:rPr>
          <w:i/>
          <w:sz w:val="24"/>
          <w:szCs w:val="24"/>
        </w:rPr>
        <w:t>et al</w:t>
      </w:r>
      <w:r w:rsidR="008E580F">
        <w:rPr>
          <w:sz w:val="24"/>
          <w:szCs w:val="24"/>
        </w:rPr>
        <w:t>. 2013</w:t>
      </w:r>
      <w:r w:rsidR="009B701E">
        <w:rPr>
          <w:sz w:val="24"/>
          <w:szCs w:val="24"/>
        </w:rPr>
        <w:t>)</w:t>
      </w:r>
      <w:r w:rsidRPr="00BB079F">
        <w:rPr>
          <w:sz w:val="24"/>
          <w:szCs w:val="24"/>
        </w:rPr>
        <w:t xml:space="preserve">. </w:t>
      </w:r>
      <w:r w:rsidR="00886D06">
        <w:rPr>
          <w:sz w:val="24"/>
          <w:szCs w:val="24"/>
        </w:rPr>
        <w:t xml:space="preserve">Typically, </w:t>
      </w:r>
      <w:r w:rsidR="00886D06">
        <w:rPr>
          <w:i/>
          <w:sz w:val="24"/>
          <w:szCs w:val="24"/>
        </w:rPr>
        <w:t xml:space="preserve">T. gondii </w:t>
      </w:r>
      <w:r w:rsidR="00886D06">
        <w:rPr>
          <w:sz w:val="24"/>
          <w:szCs w:val="24"/>
        </w:rPr>
        <w:t xml:space="preserve">genotyping is carried out </w:t>
      </w:r>
      <w:r w:rsidR="00886D06">
        <w:rPr>
          <w:sz w:val="24"/>
          <w:szCs w:val="24"/>
        </w:rPr>
        <w:lastRenderedPageBreak/>
        <w:t>using DNA taken from isolated viable parasite strain cultures using a total of 10 genetic markers. In this study, viable parasite isolation was not possible and consequently genotyping was conducted on DNA extracted directly from tissue. This is known to be difficult due to low infection levels and as a consequence, only three markers could be reliably amplified</w:t>
      </w:r>
      <w:r w:rsidR="008E580F">
        <w:rPr>
          <w:sz w:val="24"/>
          <w:szCs w:val="24"/>
        </w:rPr>
        <w:t xml:space="preserve"> for genotyping</w:t>
      </w:r>
      <w:r w:rsidR="00886D06">
        <w:rPr>
          <w:sz w:val="24"/>
          <w:szCs w:val="24"/>
        </w:rPr>
        <w:t xml:space="preserve"> (SAG2, SAG3 and GRA6).</w:t>
      </w:r>
      <w:r w:rsidR="00536AC4">
        <w:rPr>
          <w:sz w:val="24"/>
          <w:szCs w:val="24"/>
        </w:rPr>
        <w:t xml:space="preserve"> Amplification and RFLP analysis, directly from tissues has been reported to be very difficult to achieve </w:t>
      </w:r>
      <w:r w:rsidR="000E7919">
        <w:rPr>
          <w:sz w:val="24"/>
          <w:szCs w:val="24"/>
        </w:rPr>
        <w:t>and, the same was true in this study. Multiple PCR reactions were necessary to build up the RFLP results.</w:t>
      </w:r>
      <w:r w:rsidR="00536AC4">
        <w:rPr>
          <w:sz w:val="24"/>
          <w:szCs w:val="24"/>
        </w:rPr>
        <w:t xml:space="preserve"> </w:t>
      </w:r>
      <w:r w:rsidR="00886D06">
        <w:rPr>
          <w:sz w:val="24"/>
          <w:szCs w:val="24"/>
        </w:rPr>
        <w:t xml:space="preserve"> We recognise the limitations of this approach over parasite isolation</w:t>
      </w:r>
      <w:r w:rsidR="0049786E">
        <w:rPr>
          <w:sz w:val="24"/>
          <w:szCs w:val="24"/>
        </w:rPr>
        <w:t>, particularly for the detection o</w:t>
      </w:r>
      <w:r w:rsidR="008E580F">
        <w:rPr>
          <w:sz w:val="24"/>
          <w:szCs w:val="24"/>
        </w:rPr>
        <w:t>f</w:t>
      </w:r>
      <w:r w:rsidR="0049786E">
        <w:rPr>
          <w:sz w:val="24"/>
          <w:szCs w:val="24"/>
        </w:rPr>
        <w:t xml:space="preserve"> genotypes</w:t>
      </w:r>
      <w:r w:rsidR="006F5F8C">
        <w:rPr>
          <w:sz w:val="24"/>
          <w:szCs w:val="24"/>
        </w:rPr>
        <w:t xml:space="preserve"> due to partial digestion with restriction enzymes,</w:t>
      </w:r>
      <w:r w:rsidR="008E580F">
        <w:rPr>
          <w:sz w:val="24"/>
          <w:szCs w:val="24"/>
        </w:rPr>
        <w:t xml:space="preserve"> and</w:t>
      </w:r>
      <w:r w:rsidR="00DD35F5">
        <w:rPr>
          <w:sz w:val="24"/>
          <w:szCs w:val="24"/>
        </w:rPr>
        <w:t xml:space="preserve"> have taken precautions to ensure maximum reliability</w:t>
      </w:r>
      <w:r w:rsidR="006F5F8C">
        <w:rPr>
          <w:sz w:val="24"/>
          <w:szCs w:val="24"/>
        </w:rPr>
        <w:t>.</w:t>
      </w:r>
      <w:r w:rsidR="00DD35F5">
        <w:rPr>
          <w:sz w:val="24"/>
          <w:szCs w:val="24"/>
        </w:rPr>
        <w:t xml:space="preserve"> </w:t>
      </w:r>
      <w:r w:rsidRPr="00BB079F">
        <w:rPr>
          <w:sz w:val="24"/>
          <w:szCs w:val="24"/>
        </w:rPr>
        <w:t>All PCR reactions were performed using published primer sequences</w:t>
      </w:r>
      <w:r w:rsidR="0049786E">
        <w:rPr>
          <w:sz w:val="24"/>
          <w:szCs w:val="24"/>
        </w:rPr>
        <w:t xml:space="preserve"> (see below for specifics)</w:t>
      </w:r>
      <w:r w:rsidR="00B02773">
        <w:rPr>
          <w:sz w:val="24"/>
          <w:szCs w:val="24"/>
        </w:rPr>
        <w:t>.</w:t>
      </w:r>
      <w:r w:rsidRPr="00BB079F">
        <w:rPr>
          <w:sz w:val="24"/>
          <w:szCs w:val="24"/>
        </w:rPr>
        <w:t xml:space="preserve"> </w:t>
      </w:r>
      <w:r w:rsidR="00B02773">
        <w:rPr>
          <w:sz w:val="24"/>
          <w:szCs w:val="24"/>
        </w:rPr>
        <w:t>S</w:t>
      </w:r>
      <w:r w:rsidRPr="00BB079F">
        <w:rPr>
          <w:sz w:val="24"/>
          <w:szCs w:val="24"/>
        </w:rPr>
        <w:t xml:space="preserve">heep DNA was used as a positive control for tubulin PCR, </w:t>
      </w:r>
      <w:r w:rsidRPr="00BB079F">
        <w:rPr>
          <w:i/>
          <w:sz w:val="24"/>
          <w:szCs w:val="24"/>
        </w:rPr>
        <w:t xml:space="preserve">T. gondii </w:t>
      </w:r>
      <w:r w:rsidRPr="00BB079F">
        <w:rPr>
          <w:sz w:val="24"/>
          <w:szCs w:val="24"/>
        </w:rPr>
        <w:t>DNA</w:t>
      </w:r>
      <w:r w:rsidR="00886D06">
        <w:rPr>
          <w:sz w:val="24"/>
          <w:szCs w:val="24"/>
        </w:rPr>
        <w:t xml:space="preserve"> strains</w:t>
      </w:r>
      <w:r w:rsidR="00DD35F5">
        <w:rPr>
          <w:sz w:val="24"/>
          <w:szCs w:val="24"/>
        </w:rPr>
        <w:t xml:space="preserve"> RH (Type I), SR (Type II</w:t>
      </w:r>
      <w:r w:rsidR="000A0D0A">
        <w:rPr>
          <w:sz w:val="24"/>
          <w:szCs w:val="24"/>
        </w:rPr>
        <w:t xml:space="preserve"> – isolated from a goat, Slovakia </w:t>
      </w:r>
      <w:r w:rsidR="009B701E">
        <w:rPr>
          <w:sz w:val="24"/>
          <w:szCs w:val="24"/>
        </w:rPr>
        <w:t>(</w:t>
      </w:r>
      <w:r w:rsidR="006F5F8C">
        <w:rPr>
          <w:sz w:val="24"/>
          <w:szCs w:val="24"/>
        </w:rPr>
        <w:t xml:space="preserve">Spisak </w:t>
      </w:r>
      <w:r w:rsidR="006F5F8C">
        <w:rPr>
          <w:i/>
          <w:sz w:val="24"/>
          <w:szCs w:val="24"/>
        </w:rPr>
        <w:t>et al.</w:t>
      </w:r>
      <w:r w:rsidR="006F5F8C">
        <w:rPr>
          <w:sz w:val="24"/>
          <w:szCs w:val="24"/>
        </w:rPr>
        <w:t xml:space="preserve"> 2010</w:t>
      </w:r>
      <w:r w:rsidR="009B701E">
        <w:rPr>
          <w:sz w:val="24"/>
          <w:szCs w:val="24"/>
        </w:rPr>
        <w:t>)</w:t>
      </w:r>
      <w:r w:rsidR="000A0D0A">
        <w:rPr>
          <w:sz w:val="24"/>
          <w:szCs w:val="24"/>
        </w:rPr>
        <w:t xml:space="preserve"> and checked as Type II for all 10 markers, this paper</w:t>
      </w:r>
      <w:r w:rsidR="006F5F8C">
        <w:rPr>
          <w:sz w:val="24"/>
          <w:szCs w:val="24"/>
        </w:rPr>
        <w:t xml:space="preserve"> – data not shown</w:t>
      </w:r>
      <w:r w:rsidR="00DD35F5">
        <w:rPr>
          <w:sz w:val="24"/>
          <w:szCs w:val="24"/>
        </w:rPr>
        <w:t>) and</w:t>
      </w:r>
      <w:r w:rsidR="00886D06">
        <w:rPr>
          <w:sz w:val="24"/>
          <w:szCs w:val="24"/>
        </w:rPr>
        <w:t xml:space="preserve"> C56</w:t>
      </w:r>
      <w:r w:rsidR="0049786E">
        <w:rPr>
          <w:sz w:val="24"/>
          <w:szCs w:val="24"/>
        </w:rPr>
        <w:t xml:space="preserve"> (Type III</w:t>
      </w:r>
      <w:r w:rsidR="00DD35F5">
        <w:rPr>
          <w:sz w:val="24"/>
          <w:szCs w:val="24"/>
        </w:rPr>
        <w:t xml:space="preserve">) </w:t>
      </w:r>
      <w:r w:rsidR="00886D06">
        <w:rPr>
          <w:sz w:val="24"/>
          <w:szCs w:val="24"/>
        </w:rPr>
        <w:t>were</w:t>
      </w:r>
      <w:r w:rsidR="00886D06" w:rsidRPr="00BB079F">
        <w:rPr>
          <w:sz w:val="24"/>
          <w:szCs w:val="24"/>
        </w:rPr>
        <w:t xml:space="preserve"> </w:t>
      </w:r>
      <w:r w:rsidRPr="00BB079F">
        <w:rPr>
          <w:sz w:val="24"/>
          <w:szCs w:val="24"/>
        </w:rPr>
        <w:t>used as positive control</w:t>
      </w:r>
      <w:r w:rsidR="00886D06">
        <w:rPr>
          <w:sz w:val="24"/>
          <w:szCs w:val="24"/>
        </w:rPr>
        <w:t>s</w:t>
      </w:r>
      <w:r w:rsidRPr="00BB079F">
        <w:rPr>
          <w:sz w:val="24"/>
          <w:szCs w:val="24"/>
        </w:rPr>
        <w:t xml:space="preserve"> for diagnostic PCRs and genotyping</w:t>
      </w:r>
      <w:r w:rsidR="006F5F8C">
        <w:rPr>
          <w:sz w:val="24"/>
          <w:szCs w:val="24"/>
        </w:rPr>
        <w:t>.</w:t>
      </w:r>
      <w:r w:rsidRPr="00BB079F">
        <w:rPr>
          <w:sz w:val="24"/>
          <w:szCs w:val="24"/>
        </w:rPr>
        <w:t xml:space="preserve"> </w:t>
      </w:r>
      <w:r w:rsidR="006F5F8C">
        <w:rPr>
          <w:sz w:val="24"/>
          <w:szCs w:val="24"/>
        </w:rPr>
        <w:t>S</w:t>
      </w:r>
      <w:r w:rsidRPr="00BB079F">
        <w:rPr>
          <w:sz w:val="24"/>
          <w:szCs w:val="24"/>
        </w:rPr>
        <w:t>terile water was used as a negative control</w:t>
      </w:r>
      <w:r w:rsidR="006F5F8C">
        <w:rPr>
          <w:sz w:val="24"/>
          <w:szCs w:val="24"/>
        </w:rPr>
        <w:t xml:space="preserve"> and interspersed throughout experiments to ensure that contamination would be detectable</w:t>
      </w:r>
      <w:r w:rsidRPr="00BB079F">
        <w:rPr>
          <w:sz w:val="24"/>
          <w:szCs w:val="24"/>
        </w:rPr>
        <w:t xml:space="preserve">. </w:t>
      </w:r>
      <w:r w:rsidR="00886D06">
        <w:rPr>
          <w:sz w:val="24"/>
          <w:szCs w:val="24"/>
        </w:rPr>
        <w:t>For the SAG1 PCR, e</w:t>
      </w:r>
      <w:r w:rsidRPr="00BB079F">
        <w:rPr>
          <w:sz w:val="24"/>
          <w:szCs w:val="24"/>
        </w:rPr>
        <w:t>ach sample was tested at 2 concentrations of DNA (1/5 and 1/10 dilution as the ratio of parasite to host DNA was unknown).</w:t>
      </w:r>
      <w:r w:rsidRPr="00BB079F">
        <w:t xml:space="preserve"> </w:t>
      </w:r>
      <w:r w:rsidRPr="00BB079F">
        <w:rPr>
          <w:sz w:val="24"/>
          <w:szCs w:val="24"/>
        </w:rPr>
        <w:t>All PCR reactions were performed using a Stratagene ROBOCYCLER</w:t>
      </w:r>
      <w:r w:rsidRPr="00BB079F">
        <w:rPr>
          <w:sz w:val="24"/>
          <w:szCs w:val="24"/>
          <w:vertAlign w:val="superscript"/>
        </w:rPr>
        <w:t>TM</w:t>
      </w:r>
      <w:r w:rsidR="00B02773">
        <w:rPr>
          <w:sz w:val="24"/>
          <w:szCs w:val="24"/>
        </w:rPr>
        <w:t xml:space="preserve"> (La Jolla, California, USA)</w:t>
      </w:r>
      <w:r w:rsidRPr="00BB079F">
        <w:rPr>
          <w:sz w:val="24"/>
          <w:szCs w:val="24"/>
        </w:rPr>
        <w:t>. PCR products were run on 1.5% agarose TBE gel containing GELRED and visualized on</w:t>
      </w:r>
      <w:r w:rsidR="00B1554D">
        <w:rPr>
          <w:sz w:val="24"/>
          <w:szCs w:val="24"/>
        </w:rPr>
        <w:t xml:space="preserve"> a</w:t>
      </w:r>
      <w:r w:rsidRPr="00BB079F">
        <w:rPr>
          <w:sz w:val="24"/>
          <w:szCs w:val="24"/>
        </w:rPr>
        <w:t xml:space="preserve"> S</w:t>
      </w:r>
      <w:r w:rsidR="00A60980">
        <w:rPr>
          <w:sz w:val="24"/>
          <w:szCs w:val="24"/>
        </w:rPr>
        <w:t>yngen</w:t>
      </w:r>
      <w:r w:rsidR="006F5F8C">
        <w:rPr>
          <w:sz w:val="24"/>
          <w:szCs w:val="24"/>
        </w:rPr>
        <w:t>e G-</w:t>
      </w:r>
      <w:r w:rsidRPr="00BB079F">
        <w:rPr>
          <w:sz w:val="24"/>
          <w:szCs w:val="24"/>
        </w:rPr>
        <w:t>BOX G</w:t>
      </w:r>
      <w:r w:rsidR="006F5F8C">
        <w:rPr>
          <w:sz w:val="24"/>
          <w:szCs w:val="24"/>
        </w:rPr>
        <w:t xml:space="preserve">el </w:t>
      </w:r>
      <w:r w:rsidRPr="00BB079F">
        <w:rPr>
          <w:sz w:val="24"/>
          <w:szCs w:val="24"/>
        </w:rPr>
        <w:t>D</w:t>
      </w:r>
      <w:r w:rsidR="006F5F8C">
        <w:rPr>
          <w:sz w:val="24"/>
          <w:szCs w:val="24"/>
        </w:rPr>
        <w:t>ocumentation</w:t>
      </w:r>
      <w:r w:rsidRPr="00BB079F">
        <w:rPr>
          <w:sz w:val="24"/>
          <w:szCs w:val="24"/>
        </w:rPr>
        <w:t xml:space="preserve"> </w:t>
      </w:r>
      <w:r w:rsidR="006F5F8C">
        <w:rPr>
          <w:sz w:val="24"/>
          <w:szCs w:val="24"/>
        </w:rPr>
        <w:t>and</w:t>
      </w:r>
      <w:r w:rsidRPr="00BB079F">
        <w:rPr>
          <w:sz w:val="24"/>
          <w:szCs w:val="24"/>
        </w:rPr>
        <w:t xml:space="preserve"> A</w:t>
      </w:r>
      <w:r w:rsidR="006F5F8C">
        <w:rPr>
          <w:sz w:val="24"/>
          <w:szCs w:val="24"/>
        </w:rPr>
        <w:t>nalysis</w:t>
      </w:r>
      <w:r w:rsidRPr="00BB079F">
        <w:rPr>
          <w:sz w:val="24"/>
          <w:szCs w:val="24"/>
        </w:rPr>
        <w:t xml:space="preserve"> S</w:t>
      </w:r>
      <w:r w:rsidR="006F5F8C">
        <w:rPr>
          <w:sz w:val="24"/>
          <w:szCs w:val="24"/>
        </w:rPr>
        <w:t>ystem</w:t>
      </w:r>
      <w:r w:rsidR="00B02773">
        <w:rPr>
          <w:sz w:val="24"/>
          <w:szCs w:val="24"/>
        </w:rPr>
        <w:t xml:space="preserve"> (Cambridge, UK).</w:t>
      </w:r>
      <w:r w:rsidRPr="00BB079F">
        <w:rPr>
          <w:sz w:val="24"/>
          <w:szCs w:val="24"/>
        </w:rPr>
        <w:t xml:space="preserve"> </w:t>
      </w:r>
      <w:r w:rsidR="0063727E">
        <w:rPr>
          <w:sz w:val="24"/>
          <w:szCs w:val="24"/>
        </w:rPr>
        <w:t xml:space="preserve">For the majority of genotyping reactions, the Type II strain was used as the positive control (as this is the most predominant type in Europe) so that the occurrence of unusual Type I and Type III strains being derived from </w:t>
      </w:r>
      <w:r w:rsidR="00BD3FF2">
        <w:rPr>
          <w:sz w:val="24"/>
          <w:szCs w:val="24"/>
        </w:rPr>
        <w:t xml:space="preserve">contamination by </w:t>
      </w:r>
      <w:r w:rsidR="0063727E">
        <w:rPr>
          <w:sz w:val="24"/>
          <w:szCs w:val="24"/>
        </w:rPr>
        <w:t>the control could be ruled out. To avoid confusion by partial digestion, careful analysis of band sizes</w:t>
      </w:r>
      <w:r w:rsidR="006B0C1A">
        <w:rPr>
          <w:sz w:val="24"/>
          <w:szCs w:val="24"/>
        </w:rPr>
        <w:t>, from all markers,</w:t>
      </w:r>
      <w:r w:rsidR="0063727E">
        <w:rPr>
          <w:sz w:val="24"/>
          <w:szCs w:val="24"/>
        </w:rPr>
        <w:t xml:space="preserve"> was carried out in relation to published marker DNA sequences and other studies.</w:t>
      </w:r>
      <w:r w:rsidRPr="00BB079F">
        <w:rPr>
          <w:sz w:val="24"/>
          <w:szCs w:val="24"/>
        </w:rPr>
        <w:t xml:space="preserve">  </w:t>
      </w:r>
      <w:r>
        <w:rPr>
          <w:sz w:val="24"/>
          <w:szCs w:val="24"/>
        </w:rPr>
        <w:t xml:space="preserve">The </w:t>
      </w:r>
      <w:r w:rsidRPr="00BB079F">
        <w:rPr>
          <w:sz w:val="24"/>
          <w:szCs w:val="24"/>
        </w:rPr>
        <w:t xml:space="preserve">SAG2 locus has two polymorphic sites at 3´ and 5´ ends for type II and type III </w:t>
      </w:r>
      <w:r w:rsidR="009B701E">
        <w:rPr>
          <w:sz w:val="24"/>
          <w:szCs w:val="24"/>
        </w:rPr>
        <w:t>(</w:t>
      </w:r>
      <w:r w:rsidR="006F5F8C">
        <w:rPr>
          <w:sz w:val="24"/>
          <w:szCs w:val="24"/>
        </w:rPr>
        <w:t xml:space="preserve">Howe </w:t>
      </w:r>
      <w:r w:rsidR="006F5F8C">
        <w:rPr>
          <w:i/>
          <w:sz w:val="24"/>
          <w:szCs w:val="24"/>
        </w:rPr>
        <w:t>et al</w:t>
      </w:r>
      <w:r w:rsidR="006F5F8C">
        <w:rPr>
          <w:sz w:val="24"/>
          <w:szCs w:val="24"/>
        </w:rPr>
        <w:t>. 1997</w:t>
      </w:r>
      <w:r w:rsidR="009B701E">
        <w:rPr>
          <w:sz w:val="24"/>
          <w:szCs w:val="24"/>
        </w:rPr>
        <w:t>)</w:t>
      </w:r>
      <w:r w:rsidRPr="00BB079F">
        <w:rPr>
          <w:sz w:val="24"/>
          <w:szCs w:val="24"/>
        </w:rPr>
        <w:t xml:space="preserve"> and amplification of the ends of this locus were performed separately. The two PCR reactions for the SAG 2 gene were optimized as described by Fuentes </w:t>
      </w:r>
      <w:r w:rsidRPr="00BB079F">
        <w:rPr>
          <w:i/>
          <w:sz w:val="24"/>
          <w:szCs w:val="24"/>
        </w:rPr>
        <w:t>et al.</w:t>
      </w:r>
      <w:r w:rsidRPr="00BB079F">
        <w:rPr>
          <w:sz w:val="24"/>
          <w:szCs w:val="24"/>
        </w:rPr>
        <w:t xml:space="preserve"> </w:t>
      </w:r>
      <w:r w:rsidR="009B701E">
        <w:rPr>
          <w:sz w:val="24"/>
          <w:szCs w:val="24"/>
        </w:rPr>
        <w:t>(</w:t>
      </w:r>
      <w:r w:rsidR="006F5F8C">
        <w:rPr>
          <w:sz w:val="24"/>
          <w:szCs w:val="24"/>
        </w:rPr>
        <w:t>2001</w:t>
      </w:r>
      <w:r w:rsidR="009B701E">
        <w:rPr>
          <w:sz w:val="24"/>
          <w:szCs w:val="24"/>
        </w:rPr>
        <w:t>)</w:t>
      </w:r>
      <w:r w:rsidRPr="00BB079F">
        <w:rPr>
          <w:sz w:val="24"/>
          <w:szCs w:val="24"/>
        </w:rPr>
        <w:t xml:space="preserve">. Amplification was carried out in a final volume of 20 μl containing 2.7 </w:t>
      </w:r>
      <w:r w:rsidRPr="00BB079F">
        <w:rPr>
          <w:rFonts w:cstheme="minorHAnsi"/>
          <w:sz w:val="24"/>
          <w:szCs w:val="24"/>
        </w:rPr>
        <w:t>µ</w:t>
      </w:r>
      <w:r w:rsidRPr="00BB079F">
        <w:rPr>
          <w:sz w:val="24"/>
          <w:szCs w:val="24"/>
        </w:rPr>
        <w:t>l of KCL buffer</w:t>
      </w:r>
      <w:r w:rsidR="006F5F8C">
        <w:rPr>
          <w:sz w:val="24"/>
          <w:szCs w:val="24"/>
        </w:rPr>
        <w:t xml:space="preserve"> </w:t>
      </w:r>
      <w:r w:rsidRPr="00BB079F">
        <w:rPr>
          <w:sz w:val="24"/>
          <w:szCs w:val="24"/>
        </w:rPr>
        <w:t>(containing 15</w:t>
      </w:r>
      <w:r>
        <w:rPr>
          <w:sz w:val="24"/>
          <w:szCs w:val="24"/>
        </w:rPr>
        <w:t xml:space="preserve"> </w:t>
      </w:r>
      <w:r w:rsidRPr="00BB079F">
        <w:rPr>
          <w:sz w:val="24"/>
          <w:szCs w:val="24"/>
        </w:rPr>
        <w:t>mM MgCl</w:t>
      </w:r>
      <w:r w:rsidRPr="00BB079F">
        <w:rPr>
          <w:sz w:val="24"/>
          <w:szCs w:val="24"/>
          <w:vertAlign w:val="subscript"/>
        </w:rPr>
        <w:t>2</w:t>
      </w:r>
      <w:r w:rsidRPr="00BB079F">
        <w:rPr>
          <w:sz w:val="24"/>
          <w:szCs w:val="24"/>
        </w:rPr>
        <w:t xml:space="preserve"> manufactured by Bioline), 0·32 μl of dNTP mix (100</w:t>
      </w:r>
      <w:r>
        <w:rPr>
          <w:sz w:val="24"/>
          <w:szCs w:val="24"/>
        </w:rPr>
        <w:t xml:space="preserve"> </w:t>
      </w:r>
      <w:r w:rsidRPr="00BB079F">
        <w:rPr>
          <w:sz w:val="24"/>
          <w:szCs w:val="24"/>
        </w:rPr>
        <w:t xml:space="preserve">mM), 1 μl of (10 pM/μl) forward primer and reverse primer and 0.4 </w:t>
      </w:r>
      <w:r w:rsidRPr="00BB079F">
        <w:rPr>
          <w:rFonts w:cstheme="minorHAnsi"/>
          <w:sz w:val="24"/>
          <w:szCs w:val="24"/>
        </w:rPr>
        <w:t>µ</w:t>
      </w:r>
      <w:r w:rsidRPr="00BB079F">
        <w:rPr>
          <w:sz w:val="24"/>
          <w:szCs w:val="24"/>
        </w:rPr>
        <w:t xml:space="preserve">l of 5 units Biotaq polymerase (Bioline). Two microliters of DNA were used as a template. </w:t>
      </w:r>
      <w:r w:rsidR="00A7761F" w:rsidRPr="00A7761F">
        <w:rPr>
          <w:sz w:val="24"/>
          <w:szCs w:val="24"/>
        </w:rPr>
        <w:t xml:space="preserve">The thermal cycling conditions </w:t>
      </w:r>
      <w:r w:rsidR="00A7761F" w:rsidRPr="00A7761F">
        <w:rPr>
          <w:sz w:val="24"/>
          <w:szCs w:val="24"/>
        </w:rPr>
        <w:lastRenderedPageBreak/>
        <w:t>consisted of an initial denaturation step of 4 minutes at 95°C. This was followed by 20 cycles of 94°C for 30 seconds, 55°C for 1 minute and 72°C for 2 minutes, and a final elongation step of 72°C for 10 minutes.</w:t>
      </w:r>
      <w:r w:rsidR="00A7761F">
        <w:rPr>
          <w:sz w:val="24"/>
          <w:szCs w:val="24"/>
        </w:rPr>
        <w:t xml:space="preserve"> </w:t>
      </w:r>
      <w:r w:rsidRPr="00BB079F">
        <w:rPr>
          <w:sz w:val="24"/>
          <w:szCs w:val="24"/>
        </w:rPr>
        <w:t xml:space="preserve">The resulting amplification products were diluted 1/10 in water and a second amplification of 35 cycles was performed using 1 </w:t>
      </w:r>
      <w:r w:rsidRPr="00BB079F">
        <w:rPr>
          <w:rFonts w:cstheme="minorHAnsi"/>
          <w:sz w:val="24"/>
          <w:szCs w:val="24"/>
        </w:rPr>
        <w:t>µ</w:t>
      </w:r>
      <w:r w:rsidRPr="00BB079F">
        <w:rPr>
          <w:sz w:val="24"/>
          <w:szCs w:val="24"/>
        </w:rPr>
        <w:t>l of the diluted product as template. The annealing temperature for the second round primers was 60</w:t>
      </w:r>
      <w:r w:rsidRPr="00BB079F">
        <w:rPr>
          <w:rFonts w:cstheme="minorHAnsi"/>
          <w:sz w:val="24"/>
          <w:szCs w:val="24"/>
        </w:rPr>
        <w:t>˚</w:t>
      </w:r>
      <w:r w:rsidRPr="00BB079F">
        <w:rPr>
          <w:sz w:val="24"/>
          <w:szCs w:val="24"/>
        </w:rPr>
        <w:t>C</w:t>
      </w:r>
      <w:r w:rsidR="00A7761F">
        <w:rPr>
          <w:sz w:val="24"/>
          <w:szCs w:val="24"/>
        </w:rPr>
        <w:t xml:space="preserve"> but all other conditions remained the same as the first round</w:t>
      </w:r>
      <w:r w:rsidRPr="00BB079F">
        <w:rPr>
          <w:sz w:val="24"/>
          <w:szCs w:val="24"/>
        </w:rPr>
        <w:t xml:space="preserve"> </w:t>
      </w:r>
      <w:r w:rsidR="009B701E">
        <w:rPr>
          <w:sz w:val="24"/>
          <w:szCs w:val="24"/>
        </w:rPr>
        <w:t>(</w:t>
      </w:r>
      <w:r w:rsidR="00D83EAF" w:rsidRPr="00BB079F">
        <w:rPr>
          <w:sz w:val="24"/>
          <w:szCs w:val="24"/>
        </w:rPr>
        <w:t xml:space="preserve">Fuentes </w:t>
      </w:r>
      <w:r w:rsidR="00D83EAF" w:rsidRPr="00BB079F">
        <w:rPr>
          <w:i/>
          <w:sz w:val="24"/>
          <w:szCs w:val="24"/>
        </w:rPr>
        <w:t>et al.</w:t>
      </w:r>
      <w:r w:rsidR="00D83EAF">
        <w:rPr>
          <w:sz w:val="24"/>
          <w:szCs w:val="24"/>
        </w:rPr>
        <w:t xml:space="preserve"> 2001</w:t>
      </w:r>
      <w:r w:rsidR="009B701E">
        <w:rPr>
          <w:sz w:val="24"/>
          <w:szCs w:val="24"/>
        </w:rPr>
        <w:t>)</w:t>
      </w:r>
      <w:r w:rsidRPr="00BB079F">
        <w:rPr>
          <w:sz w:val="24"/>
          <w:szCs w:val="24"/>
        </w:rPr>
        <w:t xml:space="preserve">. </w:t>
      </w:r>
    </w:p>
    <w:p w:rsidR="00453901" w:rsidRPr="008D3C8D" w:rsidRDefault="00453901" w:rsidP="00453901">
      <w:pPr>
        <w:spacing w:line="360" w:lineRule="auto"/>
        <w:jc w:val="both"/>
        <w:rPr>
          <w:sz w:val="24"/>
          <w:szCs w:val="24"/>
        </w:rPr>
      </w:pPr>
      <w:r w:rsidRPr="00BB079F">
        <w:rPr>
          <w:sz w:val="24"/>
          <w:szCs w:val="24"/>
        </w:rPr>
        <w:t xml:space="preserve"> For the PCR reaction targeting the 3’end of SAG2 gene, correct predicted product sizes of 300</w:t>
      </w:r>
      <w:r w:rsidR="00B02773">
        <w:rPr>
          <w:sz w:val="24"/>
          <w:szCs w:val="24"/>
        </w:rPr>
        <w:t xml:space="preserve"> </w:t>
      </w:r>
      <w:r w:rsidRPr="00BB079F">
        <w:rPr>
          <w:sz w:val="24"/>
          <w:szCs w:val="24"/>
        </w:rPr>
        <w:t>bp for the first round and 222 bp for the second round of amplification</w:t>
      </w:r>
      <w:r w:rsidR="00055E6A">
        <w:rPr>
          <w:sz w:val="24"/>
          <w:szCs w:val="24"/>
        </w:rPr>
        <w:t xml:space="preserve"> are expected. In control </w:t>
      </w:r>
      <w:r w:rsidR="00055E6A">
        <w:rPr>
          <w:i/>
          <w:sz w:val="24"/>
          <w:szCs w:val="24"/>
        </w:rPr>
        <w:t xml:space="preserve">Toxoplasma </w:t>
      </w:r>
      <w:r w:rsidR="00055E6A">
        <w:rPr>
          <w:sz w:val="24"/>
          <w:szCs w:val="24"/>
        </w:rPr>
        <w:t>DNA, both products could be seen but in positive mouse brain DNA samples, products could only be seen in the second round.</w:t>
      </w:r>
      <w:r w:rsidRPr="00BB079F">
        <w:rPr>
          <w:sz w:val="24"/>
          <w:szCs w:val="24"/>
        </w:rPr>
        <w:t xml:space="preserve"> For the PCR reaction targeting the 5’ end of SAG2 gene, first and second round products of, respectively, 340 bp and 241 bp were</w:t>
      </w:r>
      <w:r w:rsidR="00055E6A">
        <w:rPr>
          <w:sz w:val="24"/>
          <w:szCs w:val="24"/>
        </w:rPr>
        <w:t xml:space="preserve"> the correct predicted band sizes. Again, both could be seen in control DNA samples but only the second round product was observed in positive mouse brain DNA</w:t>
      </w:r>
      <w:r w:rsidRPr="00BB079F">
        <w:rPr>
          <w:sz w:val="24"/>
          <w:szCs w:val="24"/>
        </w:rPr>
        <w:t xml:space="preserve">. Positive PCR reactions were further analysed by restriction enzyme digestion with each of the restriction enzymes </w:t>
      </w:r>
      <w:r w:rsidRPr="00BB079F">
        <w:rPr>
          <w:i/>
          <w:sz w:val="24"/>
          <w:szCs w:val="24"/>
        </w:rPr>
        <w:t>Sau3Al</w:t>
      </w:r>
      <w:r w:rsidRPr="00BB079F">
        <w:rPr>
          <w:sz w:val="24"/>
          <w:szCs w:val="24"/>
        </w:rPr>
        <w:t xml:space="preserve"> (5’-end products) and </w:t>
      </w:r>
      <w:r w:rsidR="00CC4DA6">
        <w:rPr>
          <w:i/>
          <w:sz w:val="24"/>
          <w:szCs w:val="24"/>
        </w:rPr>
        <w:t>Hha</w:t>
      </w:r>
      <w:r w:rsidR="00CC4DA6" w:rsidRPr="00BB079F">
        <w:rPr>
          <w:i/>
          <w:sz w:val="24"/>
          <w:szCs w:val="24"/>
        </w:rPr>
        <w:t>I</w:t>
      </w:r>
      <w:r w:rsidR="00CC4DA6" w:rsidRPr="00BB079F">
        <w:t xml:space="preserve"> </w:t>
      </w:r>
      <w:r w:rsidRPr="00BB079F">
        <w:rPr>
          <w:sz w:val="24"/>
          <w:szCs w:val="24"/>
        </w:rPr>
        <w:t xml:space="preserve">(3’-end products) using 8·5 μl of PCR product, 1 μl of </w:t>
      </w:r>
      <w:r w:rsidR="00B02773">
        <w:rPr>
          <w:sz w:val="24"/>
          <w:szCs w:val="24"/>
        </w:rPr>
        <w:t xml:space="preserve">the manufacturers recommended </w:t>
      </w:r>
      <w:r w:rsidRPr="00BB079F">
        <w:rPr>
          <w:sz w:val="24"/>
          <w:szCs w:val="24"/>
        </w:rPr>
        <w:t>buffer and 0·5 μl of enzyme. These were incubated at 37 °C for a minimum of 2 h</w:t>
      </w:r>
      <w:r w:rsidR="00B02773">
        <w:rPr>
          <w:sz w:val="24"/>
          <w:szCs w:val="24"/>
        </w:rPr>
        <w:t>ours</w:t>
      </w:r>
      <w:r w:rsidRPr="00BB079F">
        <w:rPr>
          <w:sz w:val="24"/>
          <w:szCs w:val="24"/>
        </w:rPr>
        <w:t>. Products were visualized by gel electrophoresis on a 2·5% agarose gel.</w:t>
      </w:r>
      <w:r w:rsidR="008D3C8D">
        <w:rPr>
          <w:sz w:val="24"/>
          <w:szCs w:val="24"/>
        </w:rPr>
        <w:t xml:space="preserve"> Typing was achieved by combining 5’ and 3’ RFLP patterns (Howe </w:t>
      </w:r>
      <w:r w:rsidR="008D3C8D">
        <w:rPr>
          <w:i/>
          <w:sz w:val="24"/>
          <w:szCs w:val="24"/>
        </w:rPr>
        <w:t>et al</w:t>
      </w:r>
      <w:r w:rsidR="008D3C8D">
        <w:rPr>
          <w:sz w:val="24"/>
          <w:szCs w:val="24"/>
        </w:rPr>
        <w:t>. 1997).</w:t>
      </w:r>
    </w:p>
    <w:p w:rsidR="00453901" w:rsidRPr="00BB079F" w:rsidRDefault="00453901" w:rsidP="00453901">
      <w:pPr>
        <w:spacing w:line="360" w:lineRule="auto"/>
        <w:jc w:val="both"/>
        <w:rPr>
          <w:sz w:val="24"/>
          <w:szCs w:val="24"/>
        </w:rPr>
      </w:pPr>
      <w:r w:rsidRPr="00BB079F">
        <w:rPr>
          <w:sz w:val="24"/>
          <w:szCs w:val="24"/>
        </w:rPr>
        <w:t>A nested PCR was used to detect the SAG3</w:t>
      </w:r>
      <w:r>
        <w:rPr>
          <w:sz w:val="24"/>
          <w:szCs w:val="24"/>
        </w:rPr>
        <w:t xml:space="preserve"> gene</w:t>
      </w:r>
      <w:r w:rsidR="00CC4DA6">
        <w:rPr>
          <w:sz w:val="24"/>
          <w:szCs w:val="24"/>
        </w:rPr>
        <w:t xml:space="preserve"> </w:t>
      </w:r>
      <w:r w:rsidR="009B701E">
        <w:rPr>
          <w:sz w:val="24"/>
          <w:szCs w:val="24"/>
        </w:rPr>
        <w:t>(</w:t>
      </w:r>
      <w:r w:rsidR="00921A7E">
        <w:rPr>
          <w:sz w:val="24"/>
          <w:szCs w:val="24"/>
        </w:rPr>
        <w:t xml:space="preserve">Grigg </w:t>
      </w:r>
      <w:r w:rsidR="00921A7E">
        <w:rPr>
          <w:i/>
          <w:sz w:val="24"/>
          <w:szCs w:val="24"/>
        </w:rPr>
        <w:t xml:space="preserve">et </w:t>
      </w:r>
      <w:r w:rsidR="00921A7E" w:rsidRPr="00921A7E">
        <w:rPr>
          <w:i/>
          <w:sz w:val="24"/>
          <w:szCs w:val="24"/>
        </w:rPr>
        <w:t>al.</w:t>
      </w:r>
      <w:r w:rsidR="00921A7E">
        <w:rPr>
          <w:sz w:val="24"/>
          <w:szCs w:val="24"/>
        </w:rPr>
        <w:t xml:space="preserve"> 2001; </w:t>
      </w:r>
      <w:r w:rsidR="00921A7E" w:rsidRPr="00921A7E">
        <w:rPr>
          <w:sz w:val="24"/>
          <w:szCs w:val="24"/>
        </w:rPr>
        <w:t>Su</w:t>
      </w:r>
      <w:r w:rsidR="00921A7E">
        <w:rPr>
          <w:sz w:val="24"/>
          <w:szCs w:val="24"/>
        </w:rPr>
        <w:t xml:space="preserve"> </w:t>
      </w:r>
      <w:r w:rsidR="00921A7E">
        <w:rPr>
          <w:i/>
          <w:sz w:val="24"/>
          <w:szCs w:val="24"/>
        </w:rPr>
        <w:t>et al</w:t>
      </w:r>
      <w:r w:rsidR="00921A7E">
        <w:rPr>
          <w:sz w:val="24"/>
          <w:szCs w:val="24"/>
        </w:rPr>
        <w:t>.</w:t>
      </w:r>
      <w:r w:rsidR="00CC4DA6">
        <w:rPr>
          <w:sz w:val="24"/>
          <w:szCs w:val="24"/>
        </w:rPr>
        <w:t xml:space="preserve"> </w:t>
      </w:r>
      <w:r w:rsidR="00921A7E">
        <w:rPr>
          <w:sz w:val="24"/>
          <w:szCs w:val="24"/>
        </w:rPr>
        <w:t>2006</w:t>
      </w:r>
      <w:r w:rsidR="009B701E">
        <w:rPr>
          <w:sz w:val="24"/>
          <w:szCs w:val="24"/>
        </w:rPr>
        <w:t>)</w:t>
      </w:r>
      <w:r w:rsidRPr="00BB079F">
        <w:rPr>
          <w:sz w:val="24"/>
          <w:szCs w:val="24"/>
        </w:rPr>
        <w:t>. Amplification was carried out in a final volume of 50 μl containing 5 μl of 10</w:t>
      </w:r>
      <w:r w:rsidR="00B02773">
        <w:rPr>
          <w:sz w:val="24"/>
          <w:szCs w:val="24"/>
        </w:rPr>
        <w:t xml:space="preserve"> </w:t>
      </w:r>
      <w:r w:rsidRPr="00BB079F">
        <w:rPr>
          <w:sz w:val="24"/>
          <w:szCs w:val="24"/>
        </w:rPr>
        <w:t>× HT PCR buffer (HT Biotechnologies )</w:t>
      </w:r>
      <w:r w:rsidR="00B02773">
        <w:rPr>
          <w:sz w:val="24"/>
          <w:szCs w:val="24"/>
        </w:rPr>
        <w:t xml:space="preserve"> </w:t>
      </w:r>
      <w:r w:rsidRPr="00BB079F">
        <w:rPr>
          <w:sz w:val="24"/>
          <w:szCs w:val="24"/>
        </w:rPr>
        <w:t>(100</w:t>
      </w:r>
      <w:r>
        <w:rPr>
          <w:sz w:val="24"/>
          <w:szCs w:val="24"/>
        </w:rPr>
        <w:t xml:space="preserve"> </w:t>
      </w:r>
      <w:r w:rsidRPr="00BB079F">
        <w:rPr>
          <w:sz w:val="24"/>
          <w:szCs w:val="24"/>
        </w:rPr>
        <w:t>mM Tris HCl (pH 9·0), 15</w:t>
      </w:r>
      <w:r>
        <w:rPr>
          <w:sz w:val="24"/>
          <w:szCs w:val="24"/>
        </w:rPr>
        <w:t xml:space="preserve"> </w:t>
      </w:r>
      <w:r w:rsidRPr="00BB079F">
        <w:rPr>
          <w:sz w:val="24"/>
          <w:szCs w:val="24"/>
        </w:rPr>
        <w:t>mM MgCl2, 500</w:t>
      </w:r>
      <w:r>
        <w:rPr>
          <w:sz w:val="24"/>
          <w:szCs w:val="24"/>
        </w:rPr>
        <w:t xml:space="preserve"> </w:t>
      </w:r>
      <w:r w:rsidRPr="00BB079F">
        <w:rPr>
          <w:sz w:val="24"/>
          <w:szCs w:val="24"/>
        </w:rPr>
        <w:t>mM</w:t>
      </w:r>
      <w:r>
        <w:rPr>
          <w:sz w:val="24"/>
          <w:szCs w:val="24"/>
        </w:rPr>
        <w:t xml:space="preserve"> </w:t>
      </w:r>
      <w:r w:rsidRPr="00BB079F">
        <w:rPr>
          <w:sz w:val="24"/>
          <w:szCs w:val="24"/>
        </w:rPr>
        <w:t>KCl, 1% TritonX-100, 0·1% (w/v) stabilizer), 0·5 μl of dNTP mix (100</w:t>
      </w:r>
      <w:r>
        <w:rPr>
          <w:sz w:val="24"/>
          <w:szCs w:val="24"/>
        </w:rPr>
        <w:t xml:space="preserve"> </w:t>
      </w:r>
      <w:r w:rsidRPr="00BB079F">
        <w:rPr>
          <w:sz w:val="24"/>
          <w:szCs w:val="24"/>
        </w:rPr>
        <w:t>mM), forward primer F</w:t>
      </w:r>
      <w:r w:rsidRPr="00BB079F">
        <w:rPr>
          <w:sz w:val="24"/>
          <w:szCs w:val="24"/>
          <w:vertAlign w:val="subscript"/>
        </w:rPr>
        <w:t xml:space="preserve">ext </w:t>
      </w:r>
      <w:r w:rsidRPr="00BB079F">
        <w:rPr>
          <w:sz w:val="24"/>
          <w:szCs w:val="24"/>
        </w:rPr>
        <w:t>(5′ CAACTCTCACCATTCCACCC 3′) and</w:t>
      </w:r>
      <w:r w:rsidR="00B02773">
        <w:rPr>
          <w:sz w:val="24"/>
          <w:szCs w:val="24"/>
        </w:rPr>
        <w:t xml:space="preserve"> </w:t>
      </w:r>
      <w:r w:rsidR="00B02773" w:rsidRPr="00BB079F">
        <w:rPr>
          <w:sz w:val="24"/>
          <w:szCs w:val="24"/>
        </w:rPr>
        <w:t xml:space="preserve">2·5 μl of (10 pM/μl) </w:t>
      </w:r>
      <w:r w:rsidRPr="00BB079F">
        <w:rPr>
          <w:sz w:val="24"/>
          <w:szCs w:val="24"/>
        </w:rPr>
        <w:t xml:space="preserve"> reverse primer R</w:t>
      </w:r>
      <w:r w:rsidRPr="00BB079F">
        <w:rPr>
          <w:sz w:val="24"/>
          <w:szCs w:val="24"/>
          <w:vertAlign w:val="subscript"/>
        </w:rPr>
        <w:t xml:space="preserve">ext </w:t>
      </w:r>
      <w:r w:rsidRPr="00BB079F">
        <w:rPr>
          <w:sz w:val="24"/>
          <w:szCs w:val="24"/>
        </w:rPr>
        <w:t>(5′ GCGCGTTGTTAGACAAGACA 3′) and 2·5 units Biotaq polymerase (Bioline). DNA</w:t>
      </w:r>
      <w:r>
        <w:rPr>
          <w:sz w:val="24"/>
          <w:szCs w:val="24"/>
        </w:rPr>
        <w:t>se</w:t>
      </w:r>
      <w:r w:rsidRPr="00BB079F">
        <w:rPr>
          <w:sz w:val="24"/>
          <w:szCs w:val="24"/>
        </w:rPr>
        <w:t>-free water made the final volume to 50 μl. All samples were tested 3 times at 1 μl, 2 μl and</w:t>
      </w:r>
      <w:r>
        <w:rPr>
          <w:sz w:val="24"/>
          <w:szCs w:val="24"/>
        </w:rPr>
        <w:t xml:space="preserve"> </w:t>
      </w:r>
      <w:r w:rsidRPr="00BB079F">
        <w:rPr>
          <w:sz w:val="24"/>
          <w:szCs w:val="24"/>
        </w:rPr>
        <w:t>1 μl 1:5 dilution of sample DNA. Amplification was carried out using a Stratagene Robocycler as follows: an initial denaturation step of 5min at 94 °</w:t>
      </w:r>
      <w:r w:rsidR="00CA7F33" w:rsidRPr="00BB079F">
        <w:rPr>
          <w:sz w:val="24"/>
          <w:szCs w:val="24"/>
        </w:rPr>
        <w:t>C</w:t>
      </w:r>
      <w:r w:rsidRPr="00BB079F">
        <w:rPr>
          <w:sz w:val="24"/>
          <w:szCs w:val="24"/>
        </w:rPr>
        <w:t xml:space="preserve"> was followed by 35 cycles of PCR performed for 40 sec at 94 °C, 40 sec at 60 °C and 60 sec at 72 °C, with a final extension step of 10 min at 72 °C. Second-round PCR was carried out using the same reaction and cycling conditions as the first round with the exception of the primers which were F</w:t>
      </w:r>
      <w:r w:rsidRPr="00BB079F">
        <w:rPr>
          <w:sz w:val="24"/>
          <w:szCs w:val="24"/>
          <w:vertAlign w:val="subscript"/>
        </w:rPr>
        <w:t>int</w:t>
      </w:r>
      <w:r w:rsidRPr="00BB079F">
        <w:rPr>
          <w:sz w:val="24"/>
          <w:szCs w:val="24"/>
        </w:rPr>
        <w:t xml:space="preserve"> (5′</w:t>
      </w:r>
      <w:r w:rsidR="0000155C">
        <w:rPr>
          <w:sz w:val="24"/>
          <w:szCs w:val="24"/>
        </w:rPr>
        <w:t xml:space="preserve"> </w:t>
      </w:r>
      <w:r w:rsidRPr="00BB079F">
        <w:rPr>
          <w:sz w:val="24"/>
          <w:szCs w:val="24"/>
        </w:rPr>
        <w:t>TCTTGTCGGGTGTTCACTCA</w:t>
      </w:r>
      <w:r w:rsidR="0000155C">
        <w:rPr>
          <w:sz w:val="24"/>
          <w:szCs w:val="24"/>
        </w:rPr>
        <w:t xml:space="preserve"> </w:t>
      </w:r>
      <w:r w:rsidRPr="00BB079F">
        <w:rPr>
          <w:sz w:val="24"/>
          <w:szCs w:val="24"/>
        </w:rPr>
        <w:t>3′) and R</w:t>
      </w:r>
      <w:r w:rsidRPr="00BB079F">
        <w:rPr>
          <w:sz w:val="24"/>
          <w:szCs w:val="24"/>
          <w:vertAlign w:val="subscript"/>
        </w:rPr>
        <w:t>int</w:t>
      </w:r>
      <w:r w:rsidRPr="00BB079F">
        <w:rPr>
          <w:sz w:val="24"/>
          <w:szCs w:val="24"/>
        </w:rPr>
        <w:t xml:space="preserve"> (5′</w:t>
      </w:r>
      <w:r w:rsidR="0000155C">
        <w:rPr>
          <w:sz w:val="24"/>
          <w:szCs w:val="24"/>
        </w:rPr>
        <w:t xml:space="preserve"> </w:t>
      </w:r>
      <w:r w:rsidRPr="00BB079F">
        <w:rPr>
          <w:sz w:val="24"/>
          <w:szCs w:val="24"/>
        </w:rPr>
        <w:t>CACAAGGAGACCGAGAAGGA</w:t>
      </w:r>
      <w:r w:rsidR="0000155C">
        <w:rPr>
          <w:sz w:val="24"/>
          <w:szCs w:val="24"/>
        </w:rPr>
        <w:t xml:space="preserve"> </w:t>
      </w:r>
      <w:r w:rsidRPr="00BB079F">
        <w:rPr>
          <w:sz w:val="24"/>
          <w:szCs w:val="24"/>
        </w:rPr>
        <w:t xml:space="preserve">3′). A volume of 2 μl </w:t>
      </w:r>
      <w:r w:rsidRPr="00BB079F">
        <w:rPr>
          <w:sz w:val="24"/>
          <w:szCs w:val="24"/>
        </w:rPr>
        <w:lastRenderedPageBreak/>
        <w:t xml:space="preserve">of first-round product was added to act as a template. Amplification products (10 μl) were visualized by agarose gel electrophoresis on a 2% agarose gel containing GelRed. Positive PCR reactions (226 bp) were further analysed by restriction enzyme digestion with each of the enzymes </w:t>
      </w:r>
      <w:r w:rsidRPr="00BB079F">
        <w:rPr>
          <w:i/>
          <w:sz w:val="24"/>
          <w:szCs w:val="24"/>
        </w:rPr>
        <w:t>Nci</w:t>
      </w:r>
      <w:r w:rsidR="00CA7F33">
        <w:rPr>
          <w:i/>
          <w:sz w:val="24"/>
          <w:szCs w:val="24"/>
        </w:rPr>
        <w:t>I</w:t>
      </w:r>
      <w:r w:rsidRPr="00BB079F">
        <w:rPr>
          <w:sz w:val="24"/>
          <w:szCs w:val="24"/>
        </w:rPr>
        <w:t xml:space="preserve"> and </w:t>
      </w:r>
      <w:r w:rsidR="00CA7F33" w:rsidRPr="00BB079F">
        <w:rPr>
          <w:i/>
          <w:sz w:val="24"/>
          <w:szCs w:val="24"/>
        </w:rPr>
        <w:t>AlwN</w:t>
      </w:r>
      <w:r w:rsidR="00CA7F33">
        <w:rPr>
          <w:i/>
          <w:sz w:val="24"/>
          <w:szCs w:val="24"/>
        </w:rPr>
        <w:t>I</w:t>
      </w:r>
      <w:r w:rsidRPr="00BB079F">
        <w:rPr>
          <w:sz w:val="24"/>
          <w:szCs w:val="24"/>
        </w:rPr>
        <w:t>, 13 μl of PCR product, 1.5 μl of buffer 4 (NEB) and 0·5 μl of enzyme. These were incubated at 37 °C for a minimum of 2 h</w:t>
      </w:r>
      <w:r w:rsidR="00B02773">
        <w:rPr>
          <w:sz w:val="24"/>
          <w:szCs w:val="24"/>
        </w:rPr>
        <w:t>ours</w:t>
      </w:r>
      <w:r w:rsidRPr="00BB079F">
        <w:rPr>
          <w:sz w:val="24"/>
          <w:szCs w:val="24"/>
        </w:rPr>
        <w:t xml:space="preserve">. </w:t>
      </w:r>
    </w:p>
    <w:p w:rsidR="00453901" w:rsidRPr="00BB079F" w:rsidRDefault="00453901" w:rsidP="00453901">
      <w:pPr>
        <w:spacing w:line="360" w:lineRule="auto"/>
        <w:jc w:val="both"/>
        <w:rPr>
          <w:sz w:val="24"/>
          <w:szCs w:val="24"/>
        </w:rPr>
      </w:pPr>
      <w:r w:rsidRPr="00BB079F">
        <w:rPr>
          <w:sz w:val="24"/>
          <w:szCs w:val="24"/>
        </w:rPr>
        <w:t>GRA6 nested PCR was performed using published sequences: F</w:t>
      </w:r>
      <w:r w:rsidRPr="00BB079F">
        <w:rPr>
          <w:sz w:val="24"/>
          <w:szCs w:val="24"/>
          <w:vertAlign w:val="subscript"/>
        </w:rPr>
        <w:t>1:</w:t>
      </w:r>
      <w:r w:rsidRPr="00BB079F">
        <w:rPr>
          <w:sz w:val="24"/>
          <w:szCs w:val="24"/>
        </w:rPr>
        <w:t xml:space="preserve"> </w:t>
      </w:r>
      <w:r w:rsidR="0000155C">
        <w:rPr>
          <w:sz w:val="24"/>
          <w:szCs w:val="24"/>
        </w:rPr>
        <w:t xml:space="preserve">5’ </w:t>
      </w:r>
      <w:r w:rsidRPr="00BB079F">
        <w:rPr>
          <w:sz w:val="24"/>
          <w:szCs w:val="24"/>
        </w:rPr>
        <w:t>ATTTGTGTTTCCGAGCAGG</w:t>
      </w:r>
      <w:r w:rsidR="0000155C">
        <w:rPr>
          <w:sz w:val="24"/>
          <w:szCs w:val="24"/>
        </w:rPr>
        <w:t xml:space="preserve"> 3’</w:t>
      </w:r>
      <w:r w:rsidRPr="00BB079F">
        <w:rPr>
          <w:sz w:val="24"/>
          <w:szCs w:val="24"/>
        </w:rPr>
        <w:t>,</w:t>
      </w:r>
      <w:r w:rsidRPr="00BB079F">
        <w:rPr>
          <w:sz w:val="24"/>
          <w:szCs w:val="24"/>
          <w:vertAlign w:val="subscript"/>
        </w:rPr>
        <w:t xml:space="preserve"> </w:t>
      </w:r>
      <w:r w:rsidRPr="00BB079F">
        <w:rPr>
          <w:sz w:val="24"/>
          <w:szCs w:val="24"/>
        </w:rPr>
        <w:t>R</w:t>
      </w:r>
      <w:r w:rsidRPr="00BB079F">
        <w:rPr>
          <w:sz w:val="24"/>
          <w:szCs w:val="24"/>
          <w:vertAlign w:val="subscript"/>
        </w:rPr>
        <w:t>1</w:t>
      </w:r>
      <w:r w:rsidRPr="00BB079F">
        <w:rPr>
          <w:sz w:val="24"/>
          <w:szCs w:val="24"/>
        </w:rPr>
        <w:t>:</w:t>
      </w:r>
      <w:r w:rsidRPr="00BB079F">
        <w:rPr>
          <w:sz w:val="24"/>
          <w:szCs w:val="24"/>
          <w:vertAlign w:val="subscript"/>
        </w:rPr>
        <w:t xml:space="preserve"> </w:t>
      </w:r>
      <w:r w:rsidR="0000155C">
        <w:rPr>
          <w:sz w:val="24"/>
          <w:szCs w:val="24"/>
        </w:rPr>
        <w:t xml:space="preserve">5’ </w:t>
      </w:r>
      <w:r w:rsidRPr="00BB079F">
        <w:rPr>
          <w:sz w:val="24"/>
          <w:szCs w:val="24"/>
        </w:rPr>
        <w:t>GCACCTTCGCTTGTGGT</w:t>
      </w:r>
      <w:r w:rsidR="0000155C">
        <w:rPr>
          <w:sz w:val="24"/>
          <w:szCs w:val="24"/>
        </w:rPr>
        <w:t xml:space="preserve"> 3’</w:t>
      </w:r>
      <w:r w:rsidRPr="00BB079F">
        <w:rPr>
          <w:sz w:val="24"/>
          <w:szCs w:val="24"/>
        </w:rPr>
        <w:t xml:space="preserve"> and F</w:t>
      </w:r>
      <w:r w:rsidRPr="00BB079F">
        <w:rPr>
          <w:sz w:val="24"/>
          <w:szCs w:val="24"/>
          <w:vertAlign w:val="subscript"/>
        </w:rPr>
        <w:t xml:space="preserve">2: </w:t>
      </w:r>
      <w:r w:rsidR="0000155C">
        <w:rPr>
          <w:sz w:val="24"/>
          <w:szCs w:val="24"/>
        </w:rPr>
        <w:t xml:space="preserve">5’ </w:t>
      </w:r>
      <w:r w:rsidRPr="00BB079F">
        <w:rPr>
          <w:sz w:val="24"/>
          <w:szCs w:val="24"/>
        </w:rPr>
        <w:t>TTCCGAGCAGGTGACC</w:t>
      </w:r>
      <w:r w:rsidR="0000155C">
        <w:rPr>
          <w:sz w:val="24"/>
          <w:szCs w:val="24"/>
        </w:rPr>
        <w:t xml:space="preserve"> 3’</w:t>
      </w:r>
      <w:r w:rsidRPr="00BB079F">
        <w:rPr>
          <w:sz w:val="24"/>
          <w:szCs w:val="24"/>
        </w:rPr>
        <w:t>, R</w:t>
      </w:r>
      <w:r w:rsidRPr="00BB079F">
        <w:rPr>
          <w:sz w:val="24"/>
          <w:szCs w:val="24"/>
          <w:vertAlign w:val="subscript"/>
        </w:rPr>
        <w:t>2</w:t>
      </w:r>
      <w:r w:rsidRPr="00BB079F">
        <w:rPr>
          <w:sz w:val="24"/>
          <w:szCs w:val="24"/>
        </w:rPr>
        <w:t xml:space="preserve">: </w:t>
      </w:r>
      <w:r w:rsidR="0000155C">
        <w:rPr>
          <w:sz w:val="24"/>
          <w:szCs w:val="24"/>
        </w:rPr>
        <w:t xml:space="preserve">5’ </w:t>
      </w:r>
      <w:r w:rsidRPr="00BB079F">
        <w:rPr>
          <w:sz w:val="24"/>
          <w:szCs w:val="24"/>
        </w:rPr>
        <w:t>GCCGAAGAGTTGACATAG</w:t>
      </w:r>
      <w:r w:rsidR="0000155C">
        <w:rPr>
          <w:sz w:val="24"/>
          <w:szCs w:val="24"/>
        </w:rPr>
        <w:t xml:space="preserve"> 3’</w:t>
      </w:r>
      <w:r w:rsidR="002A4847">
        <w:rPr>
          <w:sz w:val="24"/>
          <w:szCs w:val="24"/>
        </w:rPr>
        <w:t xml:space="preserve"> </w:t>
      </w:r>
      <w:r w:rsidR="009B701E">
        <w:rPr>
          <w:sz w:val="24"/>
          <w:szCs w:val="24"/>
        </w:rPr>
        <w:t>(</w:t>
      </w:r>
      <w:r w:rsidR="00921A7E">
        <w:rPr>
          <w:sz w:val="24"/>
          <w:szCs w:val="24"/>
        </w:rPr>
        <w:t xml:space="preserve">Su </w:t>
      </w:r>
      <w:r w:rsidR="00921A7E">
        <w:rPr>
          <w:i/>
          <w:sz w:val="24"/>
          <w:szCs w:val="24"/>
        </w:rPr>
        <w:t>et al</w:t>
      </w:r>
      <w:r w:rsidR="0000155C">
        <w:rPr>
          <w:i/>
          <w:sz w:val="24"/>
          <w:szCs w:val="24"/>
        </w:rPr>
        <w:t>.</w:t>
      </w:r>
      <w:r w:rsidR="00921A7E">
        <w:rPr>
          <w:sz w:val="24"/>
          <w:szCs w:val="24"/>
        </w:rPr>
        <w:t xml:space="preserve"> 2006</w:t>
      </w:r>
      <w:r w:rsidR="009B701E">
        <w:rPr>
          <w:sz w:val="24"/>
          <w:szCs w:val="24"/>
        </w:rPr>
        <w:t>)</w:t>
      </w:r>
      <w:r w:rsidRPr="00BB079F">
        <w:rPr>
          <w:sz w:val="24"/>
          <w:szCs w:val="24"/>
        </w:rPr>
        <w:t>. A 344</w:t>
      </w:r>
      <w:r>
        <w:rPr>
          <w:sz w:val="24"/>
          <w:szCs w:val="24"/>
        </w:rPr>
        <w:t xml:space="preserve"> </w:t>
      </w:r>
      <w:r w:rsidRPr="00BB079F">
        <w:rPr>
          <w:sz w:val="24"/>
          <w:szCs w:val="24"/>
        </w:rPr>
        <w:t>bp product at the end of the second round was considered to be positive. For RFLP typing, 5</w:t>
      </w:r>
      <w:r>
        <w:rPr>
          <w:sz w:val="24"/>
          <w:szCs w:val="24"/>
        </w:rPr>
        <w:t xml:space="preserve"> </w:t>
      </w:r>
      <w:r w:rsidRPr="00BB079F">
        <w:rPr>
          <w:sz w:val="24"/>
          <w:szCs w:val="24"/>
        </w:rPr>
        <w:t xml:space="preserve">µl of nested PCR products were treated with </w:t>
      </w:r>
      <w:r w:rsidRPr="00BB079F">
        <w:rPr>
          <w:i/>
          <w:sz w:val="24"/>
          <w:szCs w:val="24"/>
        </w:rPr>
        <w:t>MseI</w:t>
      </w:r>
      <w:r w:rsidRPr="00BB079F">
        <w:rPr>
          <w:sz w:val="24"/>
          <w:szCs w:val="24"/>
        </w:rPr>
        <w:t xml:space="preserve"> in total volume of 20 µl at 37˚C for 1 h and then digested samples were resolved on a 2.5% agarose gel to reveal banding patterns </w:t>
      </w:r>
      <w:r w:rsidR="009B701E">
        <w:rPr>
          <w:sz w:val="24"/>
          <w:szCs w:val="24"/>
        </w:rPr>
        <w:t>(</w:t>
      </w:r>
      <w:r w:rsidR="00521FE1">
        <w:rPr>
          <w:sz w:val="24"/>
          <w:szCs w:val="24"/>
        </w:rPr>
        <w:t xml:space="preserve">Khan </w:t>
      </w:r>
      <w:r w:rsidR="00521FE1">
        <w:rPr>
          <w:i/>
          <w:sz w:val="24"/>
          <w:szCs w:val="24"/>
        </w:rPr>
        <w:t>et al</w:t>
      </w:r>
      <w:r w:rsidR="00521FE1">
        <w:rPr>
          <w:sz w:val="24"/>
          <w:szCs w:val="24"/>
        </w:rPr>
        <w:t>. 2005</w:t>
      </w:r>
      <w:r w:rsidR="009B701E">
        <w:rPr>
          <w:sz w:val="24"/>
          <w:szCs w:val="24"/>
        </w:rPr>
        <w:t>)</w:t>
      </w:r>
      <w:r w:rsidRPr="00BB079F">
        <w:rPr>
          <w:sz w:val="24"/>
          <w:szCs w:val="24"/>
        </w:rPr>
        <w:t xml:space="preserve">. </w:t>
      </w:r>
    </w:p>
    <w:p w:rsidR="00453901" w:rsidRPr="00BB079F" w:rsidRDefault="00453901" w:rsidP="00453901">
      <w:pPr>
        <w:autoSpaceDE w:val="0"/>
        <w:autoSpaceDN w:val="0"/>
        <w:adjustRightInd w:val="0"/>
        <w:spacing w:after="0" w:line="360" w:lineRule="auto"/>
        <w:jc w:val="both"/>
        <w:rPr>
          <w:rFonts w:cstheme="minorHAnsi"/>
          <w:sz w:val="24"/>
          <w:szCs w:val="24"/>
        </w:rPr>
      </w:pPr>
      <w:r w:rsidRPr="00BB079F">
        <w:rPr>
          <w:rFonts w:cstheme="minorHAnsi"/>
          <w:sz w:val="24"/>
          <w:szCs w:val="24"/>
        </w:rPr>
        <w:t xml:space="preserve">A total of 126 DNA samples from </w:t>
      </w:r>
      <w:r w:rsidRPr="00BB079F">
        <w:rPr>
          <w:rFonts w:cstheme="minorHAnsi"/>
          <w:i/>
          <w:sz w:val="24"/>
          <w:szCs w:val="24"/>
        </w:rPr>
        <w:t>A</w:t>
      </w:r>
      <w:r w:rsidR="003649AE">
        <w:rPr>
          <w:rFonts w:cstheme="minorHAnsi"/>
          <w:i/>
          <w:sz w:val="24"/>
          <w:szCs w:val="24"/>
          <w:lang w:eastAsia="zh-CN"/>
        </w:rPr>
        <w:t>.</w:t>
      </w:r>
      <w:r w:rsidRPr="00BB079F">
        <w:rPr>
          <w:rFonts w:cstheme="minorHAnsi"/>
          <w:i/>
          <w:sz w:val="24"/>
          <w:szCs w:val="24"/>
        </w:rPr>
        <w:t xml:space="preserve"> sylvaticus</w:t>
      </w:r>
      <w:r w:rsidRPr="00BB079F">
        <w:rPr>
          <w:rFonts w:cstheme="minorHAnsi"/>
          <w:sz w:val="24"/>
          <w:szCs w:val="24"/>
        </w:rPr>
        <w:t xml:space="preserve"> were prepared for microsatellite genotyping. </w:t>
      </w:r>
      <w:r w:rsidR="00521FE1">
        <w:rPr>
          <w:rFonts w:cstheme="minorHAnsi"/>
          <w:sz w:val="24"/>
          <w:szCs w:val="24"/>
        </w:rPr>
        <w:t>Nine</w:t>
      </w:r>
      <w:r w:rsidRPr="00BB079F">
        <w:rPr>
          <w:rFonts w:cstheme="minorHAnsi"/>
          <w:i/>
          <w:sz w:val="24"/>
          <w:szCs w:val="24"/>
        </w:rPr>
        <w:t xml:space="preserve"> A. sylvaticus</w:t>
      </w:r>
      <w:r w:rsidRPr="00BB079F">
        <w:rPr>
          <w:rFonts w:cstheme="minorHAnsi"/>
          <w:sz w:val="24"/>
          <w:szCs w:val="24"/>
        </w:rPr>
        <w:t xml:space="preserve"> loci were amplified and genotyped using primers and conditions previously described </w:t>
      </w:r>
      <w:r w:rsidR="009B701E">
        <w:rPr>
          <w:rFonts w:cstheme="minorHAnsi"/>
          <w:sz w:val="24"/>
          <w:szCs w:val="24"/>
        </w:rPr>
        <w:t>(</w:t>
      </w:r>
      <w:r w:rsidR="00521FE1">
        <w:rPr>
          <w:rFonts w:cstheme="minorHAnsi"/>
          <w:sz w:val="24"/>
          <w:szCs w:val="24"/>
        </w:rPr>
        <w:t xml:space="preserve">Makova </w:t>
      </w:r>
      <w:r w:rsidR="00521FE1">
        <w:rPr>
          <w:rFonts w:cstheme="minorHAnsi"/>
          <w:i/>
          <w:sz w:val="24"/>
          <w:szCs w:val="24"/>
        </w:rPr>
        <w:t>et al</w:t>
      </w:r>
      <w:r w:rsidR="00521FE1">
        <w:rPr>
          <w:rFonts w:cstheme="minorHAnsi"/>
          <w:sz w:val="24"/>
          <w:szCs w:val="24"/>
        </w:rPr>
        <w:t>. 1998</w:t>
      </w:r>
      <w:r w:rsidR="009B701E">
        <w:rPr>
          <w:rFonts w:cstheme="minorHAnsi"/>
          <w:sz w:val="24"/>
          <w:szCs w:val="24"/>
        </w:rPr>
        <w:t>)</w:t>
      </w:r>
      <w:r w:rsidRPr="00BB079F">
        <w:rPr>
          <w:rFonts w:cstheme="minorHAnsi"/>
          <w:sz w:val="24"/>
          <w:szCs w:val="24"/>
        </w:rPr>
        <w:t xml:space="preserve">. One </w:t>
      </w:r>
      <w:r w:rsidRPr="00BB079F">
        <w:rPr>
          <w:rFonts w:cstheme="minorHAnsi"/>
          <w:i/>
          <w:sz w:val="24"/>
          <w:szCs w:val="24"/>
        </w:rPr>
        <w:t>M</w:t>
      </w:r>
      <w:r w:rsidR="003649AE">
        <w:rPr>
          <w:rFonts w:cstheme="minorHAnsi"/>
          <w:i/>
          <w:sz w:val="24"/>
          <w:szCs w:val="24"/>
        </w:rPr>
        <w:t>.</w:t>
      </w:r>
      <w:r w:rsidRPr="00BB079F">
        <w:rPr>
          <w:rFonts w:cstheme="minorHAnsi"/>
          <w:i/>
          <w:sz w:val="24"/>
          <w:szCs w:val="24"/>
        </w:rPr>
        <w:t xml:space="preserve"> domesticus </w:t>
      </w:r>
      <w:r w:rsidRPr="00BB079F">
        <w:rPr>
          <w:rFonts w:cstheme="minorHAnsi"/>
          <w:sz w:val="24"/>
          <w:szCs w:val="24"/>
        </w:rPr>
        <w:t>microsatellite</w:t>
      </w:r>
      <w:r w:rsidR="00587A5B">
        <w:rPr>
          <w:rFonts w:cstheme="minorHAnsi"/>
          <w:sz w:val="24"/>
          <w:szCs w:val="24"/>
        </w:rPr>
        <w:t xml:space="preserve">, which amplifies from </w:t>
      </w:r>
      <w:r w:rsidR="00587A5B">
        <w:rPr>
          <w:rFonts w:cstheme="minorHAnsi"/>
          <w:i/>
          <w:sz w:val="24"/>
          <w:szCs w:val="24"/>
        </w:rPr>
        <w:t>A. sylvaticus</w:t>
      </w:r>
      <w:r w:rsidRPr="00BB079F">
        <w:rPr>
          <w:rFonts w:cstheme="minorHAnsi"/>
          <w:i/>
          <w:sz w:val="24"/>
          <w:szCs w:val="24"/>
        </w:rPr>
        <w:t xml:space="preserve"> </w:t>
      </w:r>
      <w:r w:rsidRPr="00BB079F">
        <w:rPr>
          <w:rFonts w:cstheme="minorHAnsi"/>
          <w:sz w:val="24"/>
          <w:szCs w:val="24"/>
        </w:rPr>
        <w:t>was also used (MS19) (Primers - Forward: 5’</w:t>
      </w:r>
      <w:r w:rsidR="0000155C">
        <w:rPr>
          <w:rFonts w:cstheme="minorHAnsi"/>
          <w:sz w:val="24"/>
          <w:szCs w:val="24"/>
        </w:rPr>
        <w:t xml:space="preserve"> </w:t>
      </w:r>
      <w:r w:rsidRPr="00BB079F">
        <w:rPr>
          <w:rFonts w:cstheme="minorHAnsi"/>
          <w:sz w:val="24"/>
          <w:szCs w:val="24"/>
        </w:rPr>
        <w:t>TGCTCACTGATTTGAGCCTGTGCA</w:t>
      </w:r>
      <w:r w:rsidR="0000155C">
        <w:rPr>
          <w:rFonts w:cstheme="minorHAnsi"/>
          <w:sz w:val="24"/>
          <w:szCs w:val="24"/>
        </w:rPr>
        <w:t xml:space="preserve"> </w:t>
      </w:r>
      <w:r w:rsidRPr="00BB079F">
        <w:rPr>
          <w:rFonts w:cstheme="minorHAnsi"/>
          <w:sz w:val="24"/>
          <w:szCs w:val="24"/>
        </w:rPr>
        <w:t>3’, Reverse: 5’</w:t>
      </w:r>
      <w:r w:rsidR="0000155C">
        <w:rPr>
          <w:rFonts w:cstheme="minorHAnsi"/>
          <w:sz w:val="24"/>
          <w:szCs w:val="24"/>
        </w:rPr>
        <w:t xml:space="preserve"> </w:t>
      </w:r>
      <w:r w:rsidRPr="00BB079F">
        <w:rPr>
          <w:rFonts w:cstheme="minorHAnsi"/>
          <w:sz w:val="24"/>
          <w:szCs w:val="24"/>
        </w:rPr>
        <w:t>ATAAATACAGAGCAAAGC</w:t>
      </w:r>
      <w:r w:rsidR="0000155C">
        <w:rPr>
          <w:rFonts w:cstheme="minorHAnsi"/>
          <w:sz w:val="24"/>
          <w:szCs w:val="24"/>
        </w:rPr>
        <w:t xml:space="preserve"> </w:t>
      </w:r>
      <w:r w:rsidRPr="00BB079F">
        <w:rPr>
          <w:rFonts w:cstheme="minorHAnsi"/>
          <w:sz w:val="24"/>
          <w:szCs w:val="24"/>
        </w:rPr>
        <w:t xml:space="preserve">3’). </w:t>
      </w:r>
      <w:r w:rsidRPr="00BB079F">
        <w:rPr>
          <w:sz w:val="24"/>
          <w:szCs w:val="24"/>
        </w:rPr>
        <w:t xml:space="preserve">The PCR reaction mixture (20 </w:t>
      </w:r>
      <w:r w:rsidRPr="00BB079F">
        <w:rPr>
          <w:rFonts w:cstheme="minorHAnsi"/>
          <w:sz w:val="24"/>
          <w:szCs w:val="24"/>
        </w:rPr>
        <w:t>µ</w:t>
      </w:r>
      <w:r w:rsidRPr="00BB079F">
        <w:rPr>
          <w:sz w:val="24"/>
          <w:szCs w:val="24"/>
        </w:rPr>
        <w:t xml:space="preserve">l) consisted of 2 </w:t>
      </w:r>
      <w:r w:rsidRPr="00BB079F">
        <w:rPr>
          <w:rFonts w:cstheme="minorHAnsi"/>
          <w:sz w:val="24"/>
          <w:szCs w:val="24"/>
        </w:rPr>
        <w:t>µ</w:t>
      </w:r>
      <w:r w:rsidRPr="00BB079F">
        <w:rPr>
          <w:sz w:val="24"/>
          <w:szCs w:val="24"/>
        </w:rPr>
        <w:t>l Bioline buffer (excluding MgCl</w:t>
      </w:r>
      <w:r w:rsidRPr="00BB079F">
        <w:rPr>
          <w:sz w:val="24"/>
          <w:szCs w:val="24"/>
          <w:vertAlign w:val="subscript"/>
        </w:rPr>
        <w:t>2</w:t>
      </w:r>
      <w:r w:rsidRPr="00BB079F">
        <w:rPr>
          <w:sz w:val="24"/>
          <w:szCs w:val="24"/>
        </w:rPr>
        <w:t xml:space="preserve">), 0.6 </w:t>
      </w:r>
      <w:r w:rsidRPr="00BB079F">
        <w:rPr>
          <w:rFonts w:cstheme="minorHAnsi"/>
          <w:sz w:val="24"/>
          <w:szCs w:val="24"/>
        </w:rPr>
        <w:t>µ</w:t>
      </w:r>
      <w:r w:rsidRPr="00BB079F">
        <w:rPr>
          <w:sz w:val="24"/>
          <w:szCs w:val="24"/>
        </w:rPr>
        <w:t>l Bioline MgCl</w:t>
      </w:r>
      <w:r w:rsidRPr="00BB079F">
        <w:rPr>
          <w:sz w:val="24"/>
          <w:szCs w:val="24"/>
          <w:vertAlign w:val="subscript"/>
        </w:rPr>
        <w:t>2</w:t>
      </w:r>
      <w:r w:rsidRPr="00BB079F">
        <w:rPr>
          <w:sz w:val="24"/>
          <w:szCs w:val="24"/>
        </w:rPr>
        <w:t xml:space="preserve"> (50</w:t>
      </w:r>
      <w:r>
        <w:rPr>
          <w:sz w:val="24"/>
          <w:szCs w:val="24"/>
        </w:rPr>
        <w:t xml:space="preserve"> </w:t>
      </w:r>
      <w:r w:rsidRPr="00BB079F">
        <w:rPr>
          <w:sz w:val="24"/>
          <w:szCs w:val="24"/>
        </w:rPr>
        <w:t xml:space="preserve">mM), 2 </w:t>
      </w:r>
      <w:r w:rsidRPr="00BB079F">
        <w:rPr>
          <w:rFonts w:cstheme="minorHAnsi"/>
          <w:sz w:val="24"/>
          <w:szCs w:val="24"/>
        </w:rPr>
        <w:t>µ</w:t>
      </w:r>
      <w:r w:rsidRPr="00BB079F">
        <w:rPr>
          <w:sz w:val="24"/>
          <w:szCs w:val="24"/>
        </w:rPr>
        <w:t>l of each primer (10</w:t>
      </w:r>
      <w:r>
        <w:rPr>
          <w:sz w:val="24"/>
          <w:szCs w:val="24"/>
        </w:rPr>
        <w:t xml:space="preserve"> </w:t>
      </w:r>
      <w:r w:rsidRPr="00BB079F">
        <w:rPr>
          <w:sz w:val="24"/>
          <w:szCs w:val="24"/>
        </w:rPr>
        <w:t>pM/</w:t>
      </w:r>
      <w:r w:rsidRPr="00BB079F">
        <w:rPr>
          <w:rFonts w:cstheme="minorHAnsi"/>
          <w:sz w:val="24"/>
          <w:szCs w:val="24"/>
        </w:rPr>
        <w:t>µ</w:t>
      </w:r>
      <w:r w:rsidRPr="00BB079F">
        <w:rPr>
          <w:sz w:val="24"/>
          <w:szCs w:val="24"/>
        </w:rPr>
        <w:t xml:space="preserve">l), 0.2 </w:t>
      </w:r>
      <w:r w:rsidRPr="00BB079F">
        <w:rPr>
          <w:rFonts w:cstheme="minorHAnsi"/>
          <w:sz w:val="24"/>
          <w:szCs w:val="24"/>
        </w:rPr>
        <w:t>µ</w:t>
      </w:r>
      <w:r w:rsidRPr="00BB079F">
        <w:rPr>
          <w:sz w:val="24"/>
          <w:szCs w:val="24"/>
        </w:rPr>
        <w:t xml:space="preserve">l dNTP mix (25 mM each), 0.2 </w:t>
      </w:r>
      <w:r w:rsidRPr="00BB079F">
        <w:rPr>
          <w:rFonts w:cstheme="minorHAnsi"/>
          <w:sz w:val="24"/>
          <w:szCs w:val="24"/>
        </w:rPr>
        <w:t>µ</w:t>
      </w:r>
      <w:r w:rsidRPr="00BB079F">
        <w:rPr>
          <w:sz w:val="24"/>
          <w:szCs w:val="24"/>
        </w:rPr>
        <w:t xml:space="preserve">l </w:t>
      </w:r>
      <w:r w:rsidRPr="00BB079F">
        <w:rPr>
          <w:i/>
          <w:sz w:val="24"/>
          <w:szCs w:val="24"/>
        </w:rPr>
        <w:t xml:space="preserve">DNA </w:t>
      </w:r>
      <w:r w:rsidRPr="00BB079F">
        <w:rPr>
          <w:sz w:val="24"/>
          <w:szCs w:val="24"/>
        </w:rPr>
        <w:t>Taq Polymerase</w:t>
      </w:r>
      <w:r w:rsidRPr="00BB079F">
        <w:rPr>
          <w:i/>
          <w:sz w:val="24"/>
          <w:szCs w:val="24"/>
        </w:rPr>
        <w:t xml:space="preserve"> </w:t>
      </w:r>
      <w:r w:rsidRPr="00BB079F">
        <w:rPr>
          <w:sz w:val="24"/>
          <w:szCs w:val="24"/>
        </w:rPr>
        <w:t xml:space="preserve">(5U) and 12 </w:t>
      </w:r>
      <w:r w:rsidRPr="00BB079F">
        <w:rPr>
          <w:rFonts w:cstheme="minorHAnsi"/>
          <w:sz w:val="24"/>
          <w:szCs w:val="24"/>
        </w:rPr>
        <w:t>µ</w:t>
      </w:r>
      <w:r w:rsidRPr="00BB079F">
        <w:rPr>
          <w:sz w:val="24"/>
          <w:szCs w:val="24"/>
        </w:rPr>
        <w:t xml:space="preserve">l PCR water. </w:t>
      </w:r>
    </w:p>
    <w:p w:rsidR="00453901" w:rsidRDefault="00453901" w:rsidP="00453901">
      <w:pPr>
        <w:autoSpaceDE w:val="0"/>
        <w:autoSpaceDN w:val="0"/>
        <w:adjustRightInd w:val="0"/>
        <w:spacing w:after="0" w:line="360" w:lineRule="auto"/>
        <w:jc w:val="both"/>
        <w:rPr>
          <w:sz w:val="24"/>
          <w:szCs w:val="24"/>
        </w:rPr>
      </w:pPr>
      <w:r w:rsidRPr="00BB079F">
        <w:rPr>
          <w:rFonts w:cstheme="minorHAnsi"/>
          <w:sz w:val="24"/>
          <w:szCs w:val="24"/>
        </w:rPr>
        <w:t xml:space="preserve">Thermal </w:t>
      </w:r>
      <w:r>
        <w:rPr>
          <w:rFonts w:cstheme="minorHAnsi"/>
          <w:sz w:val="24"/>
          <w:szCs w:val="24"/>
        </w:rPr>
        <w:t xml:space="preserve">cycling </w:t>
      </w:r>
      <w:r w:rsidRPr="00BB079F">
        <w:rPr>
          <w:rFonts w:cstheme="minorHAnsi"/>
          <w:sz w:val="24"/>
          <w:szCs w:val="24"/>
        </w:rPr>
        <w:t xml:space="preserve">conditions </w:t>
      </w:r>
      <w:r>
        <w:rPr>
          <w:rFonts w:cstheme="minorHAnsi"/>
          <w:sz w:val="24"/>
          <w:szCs w:val="24"/>
        </w:rPr>
        <w:t xml:space="preserve">used </w:t>
      </w:r>
      <w:r w:rsidRPr="00BB079F">
        <w:rPr>
          <w:rFonts w:cstheme="minorHAnsi"/>
          <w:sz w:val="24"/>
          <w:szCs w:val="24"/>
        </w:rPr>
        <w:t xml:space="preserve">were an initial 5 min denaturation at 95 °C followed by 35 cycles at 95 °C for 40 sec (denaturation), 30–45 s at the annealing temperature, 72 °C for 30–60 s (extension), concluding with a final 30 min extension at 72 °C </w:t>
      </w:r>
      <w:r w:rsidR="009B701E">
        <w:rPr>
          <w:rFonts w:cstheme="minorHAnsi"/>
          <w:sz w:val="24"/>
          <w:szCs w:val="24"/>
        </w:rPr>
        <w:t>(</w:t>
      </w:r>
      <w:r w:rsidR="00587A5B">
        <w:rPr>
          <w:rFonts w:cstheme="minorHAnsi"/>
          <w:sz w:val="24"/>
          <w:szCs w:val="24"/>
        </w:rPr>
        <w:t xml:space="preserve">Makova </w:t>
      </w:r>
      <w:r w:rsidR="00587A5B">
        <w:rPr>
          <w:rFonts w:cstheme="minorHAnsi"/>
          <w:i/>
          <w:sz w:val="24"/>
          <w:szCs w:val="24"/>
        </w:rPr>
        <w:t>et al</w:t>
      </w:r>
      <w:r w:rsidR="00587A5B">
        <w:rPr>
          <w:rFonts w:cstheme="minorHAnsi"/>
          <w:sz w:val="24"/>
          <w:szCs w:val="24"/>
        </w:rPr>
        <w:t>. 1998</w:t>
      </w:r>
      <w:r w:rsidR="009B701E">
        <w:rPr>
          <w:rFonts w:cstheme="minorHAnsi"/>
          <w:sz w:val="24"/>
          <w:szCs w:val="24"/>
        </w:rPr>
        <w:t>)</w:t>
      </w:r>
      <w:r w:rsidRPr="00BB079F">
        <w:rPr>
          <w:rFonts w:cstheme="minorHAnsi"/>
          <w:sz w:val="24"/>
          <w:szCs w:val="24"/>
        </w:rPr>
        <w:t xml:space="preserve">. </w:t>
      </w:r>
      <w:r w:rsidRPr="00BB079F">
        <w:rPr>
          <w:sz w:val="24"/>
          <w:szCs w:val="24"/>
        </w:rPr>
        <w:t xml:space="preserve">Amplification products (10 μl) were visualized by agarose gel electrophoresis on a 1.5% agarose gel containing GelRed. </w:t>
      </w:r>
      <w:r w:rsidRPr="00BB079F">
        <w:rPr>
          <w:rFonts w:cstheme="minorHAnsi"/>
          <w:sz w:val="24"/>
          <w:szCs w:val="24"/>
        </w:rPr>
        <w:t>PCR products were then mixed with formamide and LIZ</w:t>
      </w:r>
      <w:r w:rsidRPr="00BB079F">
        <w:rPr>
          <w:rFonts w:cstheme="minorHAnsi"/>
          <w:sz w:val="24"/>
          <w:szCs w:val="24"/>
          <w:vertAlign w:val="superscript"/>
        </w:rPr>
        <w:t xml:space="preserve">TM </w:t>
      </w:r>
      <w:r w:rsidRPr="00BB079F">
        <w:rPr>
          <w:rFonts w:cstheme="minorHAnsi"/>
          <w:sz w:val="24"/>
          <w:szCs w:val="24"/>
        </w:rPr>
        <w:t xml:space="preserve">standard marker and genotyped on the GENOTYPER (Applied Biosystems 3130 Genetic Analyser) according to the manufacturer to gain allele sizes relative to an internal size standard.  Each sample for each locus was scored with Peak Scanner </w:t>
      </w:r>
      <w:r w:rsidRPr="00BB079F">
        <w:rPr>
          <w:rFonts w:cstheme="minorHAnsi"/>
          <w:sz w:val="24"/>
          <w:szCs w:val="24"/>
          <w:vertAlign w:val="superscript"/>
        </w:rPr>
        <w:t>TM</w:t>
      </w:r>
      <w:r w:rsidRPr="00BB079F">
        <w:rPr>
          <w:rFonts w:cstheme="minorHAnsi"/>
          <w:sz w:val="24"/>
          <w:szCs w:val="24"/>
        </w:rPr>
        <w:t xml:space="preserve"> v1.0</w:t>
      </w:r>
      <w:r w:rsidRPr="00BB079F">
        <w:t xml:space="preserve"> </w:t>
      </w:r>
      <w:r w:rsidRPr="00BB079F">
        <w:rPr>
          <w:sz w:val="24"/>
          <w:szCs w:val="24"/>
        </w:rPr>
        <w:t>to identify peaks and fragment sizes for application-specific capillary electrophoresis assays</w:t>
      </w:r>
      <w:r w:rsidR="00491B23">
        <w:rPr>
          <w:sz w:val="24"/>
          <w:szCs w:val="24"/>
        </w:rPr>
        <w:t xml:space="preserve"> (Dodd </w:t>
      </w:r>
      <w:r w:rsidR="00491B23">
        <w:rPr>
          <w:i/>
          <w:sz w:val="24"/>
          <w:szCs w:val="24"/>
        </w:rPr>
        <w:t>et al.</w:t>
      </w:r>
      <w:r w:rsidR="00491B23">
        <w:rPr>
          <w:sz w:val="24"/>
          <w:szCs w:val="24"/>
        </w:rPr>
        <w:t xml:space="preserve"> 2014)</w:t>
      </w:r>
      <w:r w:rsidRPr="00BB079F">
        <w:rPr>
          <w:sz w:val="24"/>
          <w:szCs w:val="24"/>
        </w:rPr>
        <w:t xml:space="preserve">. The program </w:t>
      </w:r>
      <w:r w:rsidRPr="00BB079F">
        <w:rPr>
          <w:i/>
          <w:iCs/>
          <w:sz w:val="24"/>
          <w:szCs w:val="24"/>
        </w:rPr>
        <w:t xml:space="preserve">Structure 2.3.3 </w:t>
      </w:r>
      <w:r w:rsidR="009B701E">
        <w:rPr>
          <w:iCs/>
          <w:sz w:val="24"/>
          <w:szCs w:val="24"/>
        </w:rPr>
        <w:t>(</w:t>
      </w:r>
      <w:r w:rsidR="00587A5B">
        <w:rPr>
          <w:iCs/>
          <w:sz w:val="24"/>
          <w:szCs w:val="24"/>
        </w:rPr>
        <w:t xml:space="preserve">Pritchard </w:t>
      </w:r>
      <w:r w:rsidR="00587A5B">
        <w:rPr>
          <w:i/>
          <w:iCs/>
          <w:sz w:val="24"/>
          <w:szCs w:val="24"/>
        </w:rPr>
        <w:t>et al</w:t>
      </w:r>
      <w:r w:rsidR="00587A5B">
        <w:rPr>
          <w:iCs/>
          <w:sz w:val="24"/>
          <w:szCs w:val="24"/>
        </w:rPr>
        <w:t xml:space="preserve">. 2000; Evanno </w:t>
      </w:r>
      <w:r w:rsidR="00587A5B">
        <w:rPr>
          <w:i/>
          <w:iCs/>
          <w:sz w:val="24"/>
          <w:szCs w:val="24"/>
        </w:rPr>
        <w:t>et al</w:t>
      </w:r>
      <w:r w:rsidR="00587A5B">
        <w:rPr>
          <w:iCs/>
          <w:sz w:val="24"/>
          <w:szCs w:val="24"/>
        </w:rPr>
        <w:t>. 2005</w:t>
      </w:r>
      <w:r w:rsidR="009B701E">
        <w:rPr>
          <w:iCs/>
          <w:sz w:val="24"/>
          <w:szCs w:val="24"/>
        </w:rPr>
        <w:t>)</w:t>
      </w:r>
      <w:r w:rsidRPr="00BB079F">
        <w:rPr>
          <w:i/>
          <w:iCs/>
          <w:sz w:val="24"/>
          <w:szCs w:val="24"/>
        </w:rPr>
        <w:t xml:space="preserve"> </w:t>
      </w:r>
      <w:r w:rsidRPr="00BB079F">
        <w:rPr>
          <w:sz w:val="24"/>
          <w:szCs w:val="24"/>
        </w:rPr>
        <w:t xml:space="preserve">was used </w:t>
      </w:r>
      <w:r>
        <w:rPr>
          <w:sz w:val="24"/>
          <w:szCs w:val="24"/>
        </w:rPr>
        <w:t>to analyse</w:t>
      </w:r>
      <w:r w:rsidRPr="00BB079F">
        <w:rPr>
          <w:sz w:val="24"/>
          <w:szCs w:val="24"/>
        </w:rPr>
        <w:t xml:space="preserve"> multi-locus </w:t>
      </w:r>
      <w:r>
        <w:rPr>
          <w:sz w:val="24"/>
          <w:szCs w:val="24"/>
        </w:rPr>
        <w:t xml:space="preserve">microsatellite </w:t>
      </w:r>
      <w:r w:rsidRPr="00BB079F">
        <w:rPr>
          <w:sz w:val="24"/>
          <w:szCs w:val="24"/>
        </w:rPr>
        <w:t xml:space="preserve">genotype data to investigate population structure. </w:t>
      </w:r>
      <w:r w:rsidR="006A1AAD">
        <w:rPr>
          <w:sz w:val="24"/>
          <w:szCs w:val="24"/>
        </w:rPr>
        <w:t xml:space="preserve">In </w:t>
      </w:r>
      <w:r w:rsidR="006A1AAD">
        <w:rPr>
          <w:sz w:val="24"/>
          <w:szCs w:val="24"/>
        </w:rPr>
        <w:lastRenderedPageBreak/>
        <w:t xml:space="preserve">some cases, the program STRUCTURE cannot detect subgroups with weaker probabilities when all data is included. It is common practice </w:t>
      </w:r>
      <w:r w:rsidR="009B701E">
        <w:rPr>
          <w:sz w:val="24"/>
          <w:szCs w:val="24"/>
        </w:rPr>
        <w:t>(</w:t>
      </w:r>
      <w:r w:rsidR="006A1AAD">
        <w:rPr>
          <w:sz w:val="24"/>
          <w:szCs w:val="24"/>
        </w:rPr>
        <w:t xml:space="preserve">e.g. </w:t>
      </w:r>
      <w:r w:rsidR="003603B4">
        <w:rPr>
          <w:sz w:val="24"/>
          <w:szCs w:val="24"/>
        </w:rPr>
        <w:t xml:space="preserve">Gelanew </w:t>
      </w:r>
      <w:r w:rsidR="003603B4">
        <w:rPr>
          <w:i/>
          <w:sz w:val="24"/>
          <w:szCs w:val="24"/>
        </w:rPr>
        <w:t>et al</w:t>
      </w:r>
      <w:r w:rsidR="003603B4">
        <w:rPr>
          <w:sz w:val="24"/>
          <w:szCs w:val="24"/>
        </w:rPr>
        <w:t>. 2010</w:t>
      </w:r>
      <w:r w:rsidR="009B701E">
        <w:rPr>
          <w:sz w:val="24"/>
          <w:szCs w:val="24"/>
        </w:rPr>
        <w:t>)</w:t>
      </w:r>
      <w:r w:rsidR="006A1AAD">
        <w:rPr>
          <w:sz w:val="24"/>
          <w:szCs w:val="24"/>
        </w:rPr>
        <w:t xml:space="preserve"> to rerun each initial group separately through STRUCTURE to investigate substructuring. </w:t>
      </w:r>
      <w:r w:rsidR="00E3118E">
        <w:rPr>
          <w:sz w:val="24"/>
          <w:szCs w:val="24"/>
        </w:rPr>
        <w:t>This</w:t>
      </w:r>
      <w:r w:rsidR="006A1AAD">
        <w:rPr>
          <w:sz w:val="24"/>
          <w:szCs w:val="24"/>
        </w:rPr>
        <w:t xml:space="preserve"> was carried out on the R, G and B groups and indeed did reveal further structuring in the R Group (see results). </w:t>
      </w:r>
      <w:r w:rsidRPr="00BB079F">
        <w:rPr>
          <w:sz w:val="24"/>
          <w:szCs w:val="24"/>
        </w:rPr>
        <w:t xml:space="preserve">Program COLONY v2.0.5.0 </w:t>
      </w:r>
      <w:r w:rsidR="009B701E">
        <w:rPr>
          <w:sz w:val="24"/>
          <w:szCs w:val="24"/>
        </w:rPr>
        <w:t>(</w:t>
      </w:r>
      <w:r w:rsidR="003603B4">
        <w:rPr>
          <w:sz w:val="24"/>
          <w:szCs w:val="24"/>
        </w:rPr>
        <w:t>Wang, 2004</w:t>
      </w:r>
      <w:r w:rsidR="009B701E">
        <w:rPr>
          <w:sz w:val="24"/>
          <w:szCs w:val="24"/>
        </w:rPr>
        <w:t>)</w:t>
      </w:r>
      <w:r w:rsidRPr="00BB079F">
        <w:rPr>
          <w:sz w:val="24"/>
          <w:szCs w:val="24"/>
        </w:rPr>
        <w:t xml:space="preserve"> was used to estimate the full- and half-sib relationships of mice. </w:t>
      </w:r>
      <w:r>
        <w:rPr>
          <w:sz w:val="24"/>
          <w:szCs w:val="24"/>
        </w:rPr>
        <w:t xml:space="preserve">The program </w:t>
      </w:r>
      <w:r w:rsidRPr="00BB079F">
        <w:rPr>
          <w:sz w:val="24"/>
          <w:szCs w:val="24"/>
        </w:rPr>
        <w:t xml:space="preserve">MICRO-CHECKER 2.2.3 </w:t>
      </w:r>
      <w:r w:rsidR="009B701E">
        <w:rPr>
          <w:sz w:val="24"/>
          <w:szCs w:val="24"/>
        </w:rPr>
        <w:t>(</w:t>
      </w:r>
      <w:r w:rsidR="003603B4">
        <w:rPr>
          <w:sz w:val="24"/>
          <w:szCs w:val="24"/>
        </w:rPr>
        <w:t xml:space="preserve">Van Oosterhout </w:t>
      </w:r>
      <w:r w:rsidR="003603B4">
        <w:rPr>
          <w:i/>
          <w:sz w:val="24"/>
          <w:szCs w:val="24"/>
        </w:rPr>
        <w:t>et al.</w:t>
      </w:r>
      <w:r w:rsidR="003603B4">
        <w:rPr>
          <w:sz w:val="24"/>
          <w:szCs w:val="24"/>
        </w:rPr>
        <w:t xml:space="preserve"> 2004</w:t>
      </w:r>
      <w:r w:rsidR="009B701E">
        <w:rPr>
          <w:sz w:val="24"/>
          <w:szCs w:val="24"/>
        </w:rPr>
        <w:t>)</w:t>
      </w:r>
      <w:r w:rsidRPr="00BB079F">
        <w:rPr>
          <w:sz w:val="24"/>
          <w:szCs w:val="24"/>
        </w:rPr>
        <w:t xml:space="preserve"> was used to check for the </w:t>
      </w:r>
      <w:r w:rsidR="003603B4">
        <w:rPr>
          <w:sz w:val="24"/>
          <w:szCs w:val="24"/>
        </w:rPr>
        <w:t>absence</w:t>
      </w:r>
      <w:r w:rsidRPr="00BB079F">
        <w:rPr>
          <w:sz w:val="24"/>
          <w:szCs w:val="24"/>
        </w:rPr>
        <w:t xml:space="preserve"> of microsatellite null alleles and scoring errors. </w:t>
      </w:r>
      <w:r w:rsidR="003603B4">
        <w:rPr>
          <w:sz w:val="24"/>
          <w:szCs w:val="24"/>
        </w:rPr>
        <w:t>None were found.</w:t>
      </w:r>
    </w:p>
    <w:p w:rsidR="00375EFF" w:rsidRDefault="00375EFF">
      <w:pPr>
        <w:rPr>
          <w:b/>
          <w:sz w:val="24"/>
          <w:szCs w:val="24"/>
        </w:rPr>
      </w:pPr>
      <w:r>
        <w:rPr>
          <w:b/>
          <w:sz w:val="24"/>
          <w:szCs w:val="24"/>
        </w:rPr>
        <w:br w:type="page"/>
      </w:r>
    </w:p>
    <w:p w:rsidR="00BB079F" w:rsidRPr="003F6D8E" w:rsidRDefault="003F6D8E" w:rsidP="00DB3098">
      <w:pPr>
        <w:spacing w:line="360" w:lineRule="auto"/>
        <w:jc w:val="both"/>
        <w:rPr>
          <w:sz w:val="24"/>
          <w:szCs w:val="24"/>
        </w:rPr>
      </w:pPr>
      <w:r w:rsidRPr="003F6D8E">
        <w:rPr>
          <w:sz w:val="24"/>
          <w:szCs w:val="24"/>
        </w:rPr>
        <w:lastRenderedPageBreak/>
        <w:t>RESULTS</w:t>
      </w:r>
    </w:p>
    <w:p w:rsidR="00BB079F" w:rsidRDefault="00896DF5" w:rsidP="00DB3098">
      <w:pPr>
        <w:spacing w:line="360" w:lineRule="auto"/>
        <w:jc w:val="both"/>
        <w:rPr>
          <w:sz w:val="24"/>
          <w:szCs w:val="24"/>
        </w:rPr>
      </w:pPr>
      <w:r>
        <w:rPr>
          <w:sz w:val="24"/>
          <w:szCs w:val="24"/>
        </w:rPr>
        <w:t xml:space="preserve">The study site (Malham Tarn, Yorkshire Dales, UK) yielded 126 </w:t>
      </w:r>
      <w:r>
        <w:rPr>
          <w:i/>
          <w:sz w:val="24"/>
          <w:szCs w:val="24"/>
        </w:rPr>
        <w:t>A</w:t>
      </w:r>
      <w:r w:rsidR="003649AE">
        <w:rPr>
          <w:i/>
          <w:sz w:val="24"/>
          <w:szCs w:val="24"/>
        </w:rPr>
        <w:t>.</w:t>
      </w:r>
      <w:r>
        <w:rPr>
          <w:i/>
          <w:sz w:val="24"/>
          <w:szCs w:val="24"/>
        </w:rPr>
        <w:t xml:space="preserve"> sylvaticus</w:t>
      </w:r>
      <w:r>
        <w:rPr>
          <w:sz w:val="24"/>
          <w:szCs w:val="24"/>
        </w:rPr>
        <w:t xml:space="preserve"> from 4 spatially separate sampling sites (Figure </w:t>
      </w:r>
      <w:r w:rsidR="00B1554D">
        <w:rPr>
          <w:sz w:val="24"/>
          <w:szCs w:val="24"/>
        </w:rPr>
        <w:t>1</w:t>
      </w:r>
      <w:r>
        <w:rPr>
          <w:sz w:val="24"/>
          <w:szCs w:val="24"/>
        </w:rPr>
        <w:t xml:space="preserve">). </w:t>
      </w:r>
      <w:r w:rsidR="00BB079F" w:rsidRPr="00BB079F">
        <w:rPr>
          <w:sz w:val="24"/>
          <w:szCs w:val="24"/>
        </w:rPr>
        <w:t xml:space="preserve">To examine the prevalence of </w:t>
      </w:r>
      <w:r w:rsidR="00BB079F" w:rsidRPr="00BB079F">
        <w:rPr>
          <w:i/>
          <w:iCs/>
          <w:sz w:val="24"/>
          <w:szCs w:val="24"/>
        </w:rPr>
        <w:t>T. gondii</w:t>
      </w:r>
      <w:r w:rsidR="00BB079F" w:rsidRPr="00BB079F">
        <w:rPr>
          <w:sz w:val="24"/>
          <w:szCs w:val="24"/>
        </w:rPr>
        <w:t xml:space="preserve"> in this population of </w:t>
      </w:r>
      <w:r w:rsidR="00BB079F" w:rsidRPr="00BB079F">
        <w:rPr>
          <w:i/>
          <w:iCs/>
          <w:sz w:val="24"/>
          <w:szCs w:val="24"/>
        </w:rPr>
        <w:t>A. sylvaticus</w:t>
      </w:r>
      <w:r w:rsidR="00BB079F" w:rsidRPr="00BB079F">
        <w:rPr>
          <w:sz w:val="24"/>
          <w:szCs w:val="24"/>
        </w:rPr>
        <w:t xml:space="preserve">, a series of PCR reactions were conducted using </w:t>
      </w:r>
      <w:r w:rsidR="00BB079F" w:rsidRPr="00BB079F">
        <w:rPr>
          <w:i/>
          <w:iCs/>
          <w:sz w:val="24"/>
          <w:szCs w:val="24"/>
        </w:rPr>
        <w:t>T. gondii</w:t>
      </w:r>
      <w:r w:rsidR="00BB079F" w:rsidRPr="00BB079F">
        <w:rPr>
          <w:sz w:val="24"/>
          <w:szCs w:val="24"/>
        </w:rPr>
        <w:t xml:space="preserve"> specific PCR primers. DNA was successfully isolated from 126 mice brains and tested for the absence of PCR inhibition using PCR amplification of the mammalian α-tubulin gene. Forty four samples from 126 gave positive reactions with four </w:t>
      </w:r>
      <w:r w:rsidR="00BB079F" w:rsidRPr="00BB079F">
        <w:rPr>
          <w:i/>
          <w:iCs/>
          <w:sz w:val="24"/>
          <w:szCs w:val="24"/>
        </w:rPr>
        <w:t xml:space="preserve">T. gondii </w:t>
      </w:r>
      <w:r w:rsidR="00BB079F" w:rsidRPr="00BB079F">
        <w:rPr>
          <w:sz w:val="24"/>
          <w:szCs w:val="24"/>
        </w:rPr>
        <w:t>specific markers SAG1, SAG2, SAG3 and GRA6</w:t>
      </w:r>
      <w:r w:rsidR="003603B4">
        <w:rPr>
          <w:sz w:val="24"/>
          <w:szCs w:val="24"/>
        </w:rPr>
        <w:t xml:space="preserve"> (three replicates each)</w:t>
      </w:r>
      <w:r w:rsidR="00BB079F" w:rsidRPr="00BB079F">
        <w:rPr>
          <w:sz w:val="24"/>
          <w:szCs w:val="24"/>
        </w:rPr>
        <w:t xml:space="preserve"> (Table 1). Thus an infection rate of 34.92% (95% CI: 27.14%-43.59%) was found.  A total of 24/76 (31.58%, 95% CI: 22.19%-42.74%) of male and 20/50 (40%, 95% CI: 27.59%-53.84%) of female mice were found to be positive for </w:t>
      </w:r>
      <w:r w:rsidR="00BB079F" w:rsidRPr="00BB079F">
        <w:rPr>
          <w:i/>
          <w:sz w:val="24"/>
          <w:szCs w:val="24"/>
        </w:rPr>
        <w:t>T. gondii.</w:t>
      </w:r>
      <w:r w:rsidR="00BB079F" w:rsidRPr="00BB079F">
        <w:rPr>
          <w:sz w:val="24"/>
          <w:szCs w:val="24"/>
        </w:rPr>
        <w:t xml:space="preserve"> No significant difference was found in prevalence in males and females (</w:t>
      </w:r>
      <w:r w:rsidR="00BB079F" w:rsidRPr="00BB079F">
        <w:rPr>
          <w:rFonts w:cs="AdvTTf90d833a.I+03"/>
          <w:i/>
          <w:sz w:val="24"/>
          <w:szCs w:val="24"/>
        </w:rPr>
        <w:t>χ</w:t>
      </w:r>
      <w:r w:rsidR="00BB079F" w:rsidRPr="00BB079F">
        <w:rPr>
          <w:rFonts w:cs="AdvOT54604583"/>
          <w:i/>
          <w:sz w:val="24"/>
          <w:szCs w:val="24"/>
        </w:rPr>
        <w:t>2</w:t>
      </w:r>
      <w:r w:rsidR="00BB079F" w:rsidRPr="00BB079F">
        <w:rPr>
          <w:rFonts w:ascii="AdvOT54604583" w:hAnsi="AdvOT54604583" w:cs="AdvOT54604583"/>
          <w:sz w:val="24"/>
          <w:szCs w:val="24"/>
        </w:rPr>
        <w:t xml:space="preserve"> </w:t>
      </w:r>
      <w:r w:rsidR="00BB079F" w:rsidRPr="00BB079F">
        <w:rPr>
          <w:rFonts w:ascii="Calibri" w:hAnsi="Calibri" w:cs="AdvOT54604583"/>
          <w:sz w:val="24"/>
          <w:szCs w:val="24"/>
        </w:rPr>
        <w:t xml:space="preserve">=0.863, D.F. = 1, </w:t>
      </w:r>
      <w:r w:rsidR="00BB079F" w:rsidRPr="0091472F">
        <w:rPr>
          <w:i/>
          <w:sz w:val="24"/>
          <w:szCs w:val="24"/>
        </w:rPr>
        <w:t>P</w:t>
      </w:r>
      <w:r w:rsidR="00BB079F" w:rsidRPr="00BB079F">
        <w:rPr>
          <w:sz w:val="24"/>
          <w:szCs w:val="24"/>
        </w:rPr>
        <w:t xml:space="preserve"> = 0.353). A total of 17 juveniles, 65 young adults and 44 adults were present in this cohort of 126 </w:t>
      </w:r>
      <w:r w:rsidR="003F69D3">
        <w:rPr>
          <w:sz w:val="24"/>
          <w:szCs w:val="24"/>
        </w:rPr>
        <w:t xml:space="preserve">of </w:t>
      </w:r>
      <w:r w:rsidR="00BB079F" w:rsidRPr="00BB079F">
        <w:rPr>
          <w:sz w:val="24"/>
          <w:szCs w:val="24"/>
        </w:rPr>
        <w:t>which 7 (41.18%), 27 (41.54%) and 10 (22.72%)</w:t>
      </w:r>
      <w:r w:rsidR="00B02773">
        <w:rPr>
          <w:sz w:val="24"/>
          <w:szCs w:val="24"/>
        </w:rPr>
        <w:t>, respectively,</w:t>
      </w:r>
      <w:r w:rsidR="00BB079F" w:rsidRPr="00BB079F">
        <w:rPr>
          <w:sz w:val="24"/>
          <w:szCs w:val="24"/>
        </w:rPr>
        <w:t xml:space="preserve"> were PCR positive for </w:t>
      </w:r>
      <w:r w:rsidR="00BB079F" w:rsidRPr="00BB079F">
        <w:rPr>
          <w:i/>
          <w:sz w:val="24"/>
          <w:szCs w:val="24"/>
        </w:rPr>
        <w:t xml:space="preserve">T. gondii. </w:t>
      </w:r>
      <w:r w:rsidR="00BB079F" w:rsidRPr="00BB079F">
        <w:rPr>
          <w:sz w:val="24"/>
          <w:szCs w:val="24"/>
        </w:rPr>
        <w:t>There</w:t>
      </w:r>
      <w:r w:rsidR="00BB079F" w:rsidRPr="00BB079F">
        <w:rPr>
          <w:i/>
          <w:sz w:val="24"/>
          <w:szCs w:val="24"/>
        </w:rPr>
        <w:t xml:space="preserve"> </w:t>
      </w:r>
      <w:r w:rsidR="00BB079F" w:rsidRPr="00BB079F">
        <w:rPr>
          <w:sz w:val="24"/>
          <w:szCs w:val="24"/>
        </w:rPr>
        <w:t>was no significant age prevalence effect (</w:t>
      </w:r>
      <w:r w:rsidR="00BB079F" w:rsidRPr="0091472F">
        <w:rPr>
          <w:i/>
          <w:sz w:val="24"/>
          <w:szCs w:val="24"/>
        </w:rPr>
        <w:t>P</w:t>
      </w:r>
      <w:r w:rsidR="00BB079F" w:rsidRPr="00BB079F">
        <w:rPr>
          <w:sz w:val="24"/>
          <w:szCs w:val="24"/>
        </w:rPr>
        <w:t xml:space="preserve"> = 0.23).</w:t>
      </w:r>
    </w:p>
    <w:p w:rsidR="00BB079F" w:rsidRPr="00320139" w:rsidRDefault="00BB079F" w:rsidP="00BB079F">
      <w:pPr>
        <w:spacing w:line="360" w:lineRule="auto"/>
        <w:jc w:val="both"/>
        <w:rPr>
          <w:sz w:val="24"/>
          <w:szCs w:val="24"/>
        </w:rPr>
      </w:pPr>
      <w:r w:rsidRPr="00BB079F">
        <w:rPr>
          <w:sz w:val="24"/>
          <w:szCs w:val="24"/>
        </w:rPr>
        <w:t xml:space="preserve">To investigate parasite diversity present in infected </w:t>
      </w:r>
      <w:r w:rsidR="003603B4">
        <w:rPr>
          <w:sz w:val="24"/>
          <w:szCs w:val="24"/>
        </w:rPr>
        <w:t>animals</w:t>
      </w:r>
      <w:r w:rsidRPr="00BB079F">
        <w:rPr>
          <w:sz w:val="24"/>
          <w:szCs w:val="24"/>
        </w:rPr>
        <w:t>, it is usual to determine the genotypes of</w:t>
      </w:r>
      <w:r w:rsidR="003603B4">
        <w:rPr>
          <w:sz w:val="24"/>
          <w:szCs w:val="24"/>
        </w:rPr>
        <w:t xml:space="preserve"> isolated viable</w:t>
      </w:r>
      <w:r w:rsidRPr="00BB079F">
        <w:rPr>
          <w:sz w:val="24"/>
          <w:szCs w:val="24"/>
        </w:rPr>
        <w:t xml:space="preserve"> </w:t>
      </w:r>
      <w:r w:rsidRPr="00BB079F">
        <w:rPr>
          <w:i/>
          <w:iCs/>
          <w:sz w:val="24"/>
          <w:szCs w:val="24"/>
        </w:rPr>
        <w:t>T. gondii</w:t>
      </w:r>
      <w:r w:rsidRPr="00BB079F">
        <w:rPr>
          <w:sz w:val="24"/>
          <w:szCs w:val="24"/>
        </w:rPr>
        <w:t xml:space="preserve"> strains by restriction fragment length polymorphism (RFLP) mapping using a standard set of 10 markers </w:t>
      </w:r>
      <w:r w:rsidR="009B701E">
        <w:rPr>
          <w:sz w:val="24"/>
          <w:szCs w:val="24"/>
        </w:rPr>
        <w:t>(</w:t>
      </w:r>
      <w:r w:rsidR="00114726">
        <w:rPr>
          <w:sz w:val="24"/>
          <w:szCs w:val="24"/>
        </w:rPr>
        <w:t xml:space="preserve">e.g. </w:t>
      </w:r>
      <w:r w:rsidR="003603B4">
        <w:rPr>
          <w:sz w:val="24"/>
          <w:szCs w:val="24"/>
        </w:rPr>
        <w:t xml:space="preserve">Su </w:t>
      </w:r>
      <w:r w:rsidR="003603B4">
        <w:rPr>
          <w:i/>
          <w:sz w:val="24"/>
          <w:szCs w:val="24"/>
        </w:rPr>
        <w:t>et al</w:t>
      </w:r>
      <w:r w:rsidR="003603B4">
        <w:rPr>
          <w:sz w:val="24"/>
          <w:szCs w:val="24"/>
        </w:rPr>
        <w:t xml:space="preserve">. 2006; Shwab </w:t>
      </w:r>
      <w:r w:rsidR="003603B4">
        <w:rPr>
          <w:i/>
          <w:sz w:val="24"/>
          <w:szCs w:val="24"/>
        </w:rPr>
        <w:t>et al</w:t>
      </w:r>
      <w:r w:rsidR="003603B4">
        <w:rPr>
          <w:sz w:val="24"/>
          <w:szCs w:val="24"/>
        </w:rPr>
        <w:t>. 2013</w:t>
      </w:r>
      <w:r w:rsidR="009B701E">
        <w:rPr>
          <w:sz w:val="24"/>
          <w:szCs w:val="24"/>
        </w:rPr>
        <w:t>)</w:t>
      </w:r>
      <w:r w:rsidRPr="00BB079F">
        <w:rPr>
          <w:sz w:val="24"/>
          <w:szCs w:val="24"/>
        </w:rPr>
        <w:t xml:space="preserve">. </w:t>
      </w:r>
      <w:r w:rsidR="003603B4">
        <w:rPr>
          <w:sz w:val="24"/>
          <w:szCs w:val="24"/>
        </w:rPr>
        <w:t>As the possibility did not exist to isolate viable parasites from this set of samples, direct genotyping from brain tissue DNA was carried out. D</w:t>
      </w:r>
      <w:r w:rsidRPr="00BB079F">
        <w:rPr>
          <w:sz w:val="24"/>
          <w:szCs w:val="24"/>
        </w:rPr>
        <w:t xml:space="preserve">ue to presumed low parasite intensity levels, we were only able to directly genotype all of the positive mice using 3 genetic markers. Other genetic markers could not be consistently amplified to levels sufficient for RFLP mapping. Table 2 presents the RFLP results for all 44 positive mice using genetic markers GRA6, SAG2, and SAG3 as described elsewhere </w:t>
      </w:r>
      <w:r w:rsidR="009B701E">
        <w:rPr>
          <w:sz w:val="24"/>
          <w:szCs w:val="24"/>
        </w:rPr>
        <w:t>(</w:t>
      </w:r>
      <w:r w:rsidR="003603B4">
        <w:rPr>
          <w:sz w:val="24"/>
          <w:szCs w:val="24"/>
        </w:rPr>
        <w:t xml:space="preserve">Su </w:t>
      </w:r>
      <w:r w:rsidR="003603B4">
        <w:rPr>
          <w:i/>
          <w:sz w:val="24"/>
          <w:szCs w:val="24"/>
        </w:rPr>
        <w:t>et al</w:t>
      </w:r>
      <w:r w:rsidR="003603B4">
        <w:rPr>
          <w:sz w:val="24"/>
          <w:szCs w:val="24"/>
        </w:rPr>
        <w:t xml:space="preserve">. 2006; Shwab </w:t>
      </w:r>
      <w:r w:rsidR="003603B4">
        <w:rPr>
          <w:i/>
          <w:sz w:val="24"/>
          <w:szCs w:val="24"/>
        </w:rPr>
        <w:t>et al</w:t>
      </w:r>
      <w:r w:rsidR="003603B4">
        <w:rPr>
          <w:sz w:val="24"/>
          <w:szCs w:val="24"/>
        </w:rPr>
        <w:t>. 2013</w:t>
      </w:r>
      <w:r w:rsidR="009B701E">
        <w:rPr>
          <w:sz w:val="24"/>
          <w:szCs w:val="24"/>
        </w:rPr>
        <w:t>)</w:t>
      </w:r>
      <w:r w:rsidRPr="00BB079F">
        <w:rPr>
          <w:sz w:val="24"/>
          <w:szCs w:val="24"/>
        </w:rPr>
        <w:t xml:space="preserve">.  </w:t>
      </w:r>
      <w:r w:rsidR="003603B4">
        <w:rPr>
          <w:sz w:val="24"/>
          <w:szCs w:val="24"/>
        </w:rPr>
        <w:t xml:space="preserve">Using the </w:t>
      </w:r>
      <w:r w:rsidRPr="00BB079F">
        <w:rPr>
          <w:sz w:val="24"/>
          <w:szCs w:val="24"/>
        </w:rPr>
        <w:t>SAG2</w:t>
      </w:r>
      <w:r w:rsidR="00320139">
        <w:rPr>
          <w:sz w:val="24"/>
          <w:szCs w:val="24"/>
        </w:rPr>
        <w:t xml:space="preserve"> (both ends) and the GRA6 genes, both Type II and Type III banding patterns were detected.</w:t>
      </w:r>
      <w:r w:rsidRPr="00BB079F">
        <w:rPr>
          <w:sz w:val="24"/>
          <w:szCs w:val="24"/>
        </w:rPr>
        <w:t xml:space="preserve"> The digestion of the SAG3 PCR products with </w:t>
      </w:r>
      <w:r w:rsidRPr="00F17E8E">
        <w:rPr>
          <w:i/>
          <w:sz w:val="24"/>
          <w:szCs w:val="24"/>
        </w:rPr>
        <w:t>AlwNI</w:t>
      </w:r>
      <w:r w:rsidRPr="00BB079F">
        <w:rPr>
          <w:sz w:val="24"/>
          <w:szCs w:val="24"/>
        </w:rPr>
        <w:t xml:space="preserve"> and </w:t>
      </w:r>
      <w:r w:rsidRPr="00F17E8E">
        <w:rPr>
          <w:i/>
          <w:sz w:val="24"/>
          <w:szCs w:val="24"/>
        </w:rPr>
        <w:t>NciI</w:t>
      </w:r>
      <w:r w:rsidRPr="00BB079F">
        <w:rPr>
          <w:sz w:val="24"/>
          <w:szCs w:val="24"/>
        </w:rPr>
        <w:t xml:space="preserve"> revealed Type </w:t>
      </w:r>
      <w:r w:rsidR="00320139">
        <w:rPr>
          <w:sz w:val="24"/>
          <w:szCs w:val="24"/>
        </w:rPr>
        <w:t xml:space="preserve">II and </w:t>
      </w:r>
      <w:r w:rsidRPr="00BB079F">
        <w:rPr>
          <w:sz w:val="24"/>
          <w:szCs w:val="24"/>
        </w:rPr>
        <w:t>III patterns</w:t>
      </w:r>
      <w:r w:rsidR="00320139">
        <w:rPr>
          <w:sz w:val="24"/>
          <w:szCs w:val="24"/>
        </w:rPr>
        <w:t>, and in a number of mice, a combination</w:t>
      </w:r>
      <w:r w:rsidRPr="00BB079F">
        <w:rPr>
          <w:sz w:val="24"/>
          <w:szCs w:val="24"/>
        </w:rPr>
        <w:t xml:space="preserve"> of all three types</w:t>
      </w:r>
      <w:r w:rsidR="00320139">
        <w:rPr>
          <w:sz w:val="24"/>
          <w:szCs w:val="24"/>
        </w:rPr>
        <w:t xml:space="preserve"> (I, II, and III)</w:t>
      </w:r>
      <w:r w:rsidRPr="00BB079F">
        <w:rPr>
          <w:sz w:val="24"/>
          <w:szCs w:val="24"/>
        </w:rPr>
        <w:t xml:space="preserve">. </w:t>
      </w:r>
      <w:r w:rsidR="00D24E8A">
        <w:rPr>
          <w:sz w:val="24"/>
          <w:szCs w:val="24"/>
        </w:rPr>
        <w:t xml:space="preserve">An example gel of a mouse exhibiting Type I, II and III SAG3 RFLP patterns is presented in Figure </w:t>
      </w:r>
      <w:r w:rsidR="0086660F">
        <w:rPr>
          <w:sz w:val="24"/>
          <w:szCs w:val="24"/>
        </w:rPr>
        <w:t>2</w:t>
      </w:r>
      <w:r w:rsidR="00D24E8A">
        <w:rPr>
          <w:sz w:val="24"/>
          <w:szCs w:val="24"/>
        </w:rPr>
        <w:t xml:space="preserve">. </w:t>
      </w:r>
      <w:r w:rsidRPr="00BB079F">
        <w:rPr>
          <w:sz w:val="24"/>
          <w:szCs w:val="24"/>
        </w:rPr>
        <w:t>Detailed analysis</w:t>
      </w:r>
      <w:r w:rsidR="007534C2">
        <w:rPr>
          <w:sz w:val="24"/>
          <w:szCs w:val="24"/>
        </w:rPr>
        <w:t xml:space="preserve"> </w:t>
      </w:r>
      <w:r w:rsidR="00320139">
        <w:rPr>
          <w:sz w:val="24"/>
          <w:szCs w:val="24"/>
        </w:rPr>
        <w:t>of the RFLP patterns, in combination with</w:t>
      </w:r>
      <w:r w:rsidRPr="00BB079F">
        <w:rPr>
          <w:sz w:val="24"/>
          <w:szCs w:val="24"/>
        </w:rPr>
        <w:t xml:space="preserve"> </w:t>
      </w:r>
      <w:r w:rsidR="007534C2">
        <w:rPr>
          <w:sz w:val="24"/>
          <w:szCs w:val="24"/>
        </w:rPr>
        <w:t>published</w:t>
      </w:r>
      <w:r w:rsidR="007534C2" w:rsidRPr="00BB079F">
        <w:rPr>
          <w:sz w:val="24"/>
          <w:szCs w:val="24"/>
        </w:rPr>
        <w:t xml:space="preserve"> </w:t>
      </w:r>
      <w:r w:rsidRPr="00BB079F">
        <w:rPr>
          <w:sz w:val="24"/>
          <w:szCs w:val="24"/>
        </w:rPr>
        <w:t>DNA sequences for the three loci showed</w:t>
      </w:r>
      <w:r w:rsidR="00320139">
        <w:rPr>
          <w:sz w:val="24"/>
          <w:szCs w:val="24"/>
        </w:rPr>
        <w:t>,</w:t>
      </w:r>
      <w:r w:rsidRPr="00BB079F">
        <w:rPr>
          <w:sz w:val="24"/>
          <w:szCs w:val="24"/>
        </w:rPr>
        <w:t xml:space="preserve"> that a mixture </w:t>
      </w:r>
      <w:r w:rsidR="003F69D3">
        <w:rPr>
          <w:sz w:val="24"/>
          <w:szCs w:val="24"/>
        </w:rPr>
        <w:t xml:space="preserve">of strains </w:t>
      </w:r>
      <w:r w:rsidRPr="00BB079F">
        <w:rPr>
          <w:sz w:val="24"/>
          <w:szCs w:val="24"/>
        </w:rPr>
        <w:t xml:space="preserve">was </w:t>
      </w:r>
      <w:r w:rsidR="00320139">
        <w:rPr>
          <w:sz w:val="24"/>
          <w:szCs w:val="24"/>
        </w:rPr>
        <w:t>a</w:t>
      </w:r>
      <w:r w:rsidRPr="00BB079F">
        <w:rPr>
          <w:sz w:val="24"/>
          <w:szCs w:val="24"/>
        </w:rPr>
        <w:t xml:space="preserve"> possible interpretation</w:t>
      </w:r>
      <w:r w:rsidR="00CA0E26">
        <w:rPr>
          <w:sz w:val="24"/>
          <w:szCs w:val="24"/>
        </w:rPr>
        <w:t xml:space="preserve"> for some of these combinations</w:t>
      </w:r>
      <w:r w:rsidRPr="00BB079F">
        <w:rPr>
          <w:sz w:val="24"/>
          <w:szCs w:val="24"/>
        </w:rPr>
        <w:t xml:space="preserve">. </w:t>
      </w:r>
      <w:r w:rsidR="00320139">
        <w:rPr>
          <w:sz w:val="24"/>
          <w:szCs w:val="24"/>
        </w:rPr>
        <w:t xml:space="preserve">Mixtures of parasite strains have not been widely reported for </w:t>
      </w:r>
      <w:r w:rsidR="00320139">
        <w:rPr>
          <w:i/>
          <w:sz w:val="24"/>
          <w:szCs w:val="24"/>
        </w:rPr>
        <w:t>T. gondii</w:t>
      </w:r>
      <w:r w:rsidR="00320139">
        <w:rPr>
          <w:sz w:val="24"/>
          <w:szCs w:val="24"/>
        </w:rPr>
        <w:t xml:space="preserve"> infections and, although requiring genotyping of isolated viable parasites for complete </w:t>
      </w:r>
      <w:r w:rsidR="00320139">
        <w:rPr>
          <w:sz w:val="24"/>
          <w:szCs w:val="24"/>
        </w:rPr>
        <w:lastRenderedPageBreak/>
        <w:t>confirmation, suggests that this in an interesting phenomenon that should be explored further.</w:t>
      </w:r>
    </w:p>
    <w:p w:rsidR="00BB079F" w:rsidRPr="00BB079F" w:rsidRDefault="00BB079F" w:rsidP="00BB079F">
      <w:pPr>
        <w:spacing w:after="0" w:line="360" w:lineRule="auto"/>
        <w:jc w:val="both"/>
        <w:rPr>
          <w:rFonts w:ascii="Calibri" w:hAnsi="Calibri" w:cs="Times New Roman"/>
          <w:sz w:val="24"/>
          <w:szCs w:val="24"/>
        </w:rPr>
      </w:pPr>
      <w:r w:rsidRPr="00BB079F">
        <w:rPr>
          <w:rFonts w:ascii="Calibri" w:eastAsia="Times New Roman" w:hAnsi="Calibri" w:cs="Times New Roman"/>
          <w:color w:val="000000"/>
          <w:sz w:val="24"/>
          <w:szCs w:val="24"/>
          <w:lang w:eastAsia="en-GB"/>
        </w:rPr>
        <w:t xml:space="preserve">In order to investigate the host population genetics of this collection of </w:t>
      </w:r>
      <w:r w:rsidRPr="00BB079F">
        <w:rPr>
          <w:rFonts w:ascii="Calibri" w:eastAsia="Times New Roman" w:hAnsi="Calibri" w:cs="Times New Roman"/>
          <w:i/>
          <w:iCs/>
          <w:color w:val="000000"/>
          <w:sz w:val="24"/>
          <w:szCs w:val="24"/>
          <w:lang w:eastAsia="en-GB"/>
        </w:rPr>
        <w:t>A. sylvaticus</w:t>
      </w:r>
      <w:r w:rsidRPr="00BB079F">
        <w:rPr>
          <w:rFonts w:ascii="Calibri" w:eastAsia="Times New Roman" w:hAnsi="Calibri" w:cs="Times New Roman"/>
          <w:color w:val="000000"/>
          <w:sz w:val="24"/>
          <w:szCs w:val="24"/>
          <w:lang w:eastAsia="en-GB"/>
        </w:rPr>
        <w:t>, the mice were genotyped using 10 polymorphic microsatellite DNA markers. The level of genetic variation at the ten microsatellites loci was high, all ten microsatellites</w:t>
      </w:r>
      <w:r w:rsidR="00DD174F">
        <w:rPr>
          <w:rFonts w:ascii="Calibri" w:eastAsia="Times New Roman" w:hAnsi="Calibri" w:cs="Times New Roman"/>
          <w:color w:val="000000"/>
          <w:sz w:val="24"/>
          <w:szCs w:val="24"/>
          <w:lang w:eastAsia="en-GB"/>
        </w:rPr>
        <w:t xml:space="preserve"> were polymorphic. The polymorphism varied between seven (locus 4A) and 15 (locus 12A) alleles per locus </w:t>
      </w:r>
      <w:r w:rsidR="009B701E">
        <w:rPr>
          <w:rFonts w:ascii="Calibri" w:eastAsia="Times New Roman" w:hAnsi="Calibri" w:cs="Times New Roman"/>
          <w:color w:val="000000"/>
          <w:sz w:val="24"/>
          <w:szCs w:val="24"/>
          <w:lang w:eastAsia="en-GB"/>
        </w:rPr>
        <w:t>(</w:t>
      </w:r>
      <w:r w:rsidR="00114726">
        <w:rPr>
          <w:rFonts w:ascii="Calibri" w:eastAsia="Times New Roman" w:hAnsi="Calibri" w:cs="Times New Roman"/>
          <w:color w:val="000000"/>
          <w:sz w:val="24"/>
          <w:szCs w:val="24"/>
          <w:lang w:eastAsia="en-GB"/>
        </w:rPr>
        <w:t xml:space="preserve">Makova </w:t>
      </w:r>
      <w:r w:rsidR="00114726">
        <w:rPr>
          <w:rFonts w:ascii="Calibri" w:eastAsia="Times New Roman" w:hAnsi="Calibri" w:cs="Times New Roman"/>
          <w:i/>
          <w:color w:val="000000"/>
          <w:sz w:val="24"/>
          <w:szCs w:val="24"/>
          <w:lang w:eastAsia="en-GB"/>
        </w:rPr>
        <w:t>et al</w:t>
      </w:r>
      <w:r w:rsidR="00114726">
        <w:rPr>
          <w:rFonts w:ascii="Calibri" w:eastAsia="Times New Roman" w:hAnsi="Calibri" w:cs="Times New Roman"/>
          <w:color w:val="000000"/>
          <w:sz w:val="24"/>
          <w:szCs w:val="24"/>
          <w:lang w:eastAsia="en-GB"/>
        </w:rPr>
        <w:t>. 1998</w:t>
      </w:r>
      <w:r w:rsidR="009B701E">
        <w:rPr>
          <w:rFonts w:ascii="Calibri" w:eastAsia="Times New Roman" w:hAnsi="Calibri" w:cs="Times New Roman"/>
          <w:color w:val="000000"/>
          <w:sz w:val="24"/>
          <w:szCs w:val="24"/>
          <w:lang w:eastAsia="en-GB"/>
        </w:rPr>
        <w:t>)</w:t>
      </w:r>
      <w:r w:rsidR="00DD174F">
        <w:rPr>
          <w:rFonts w:ascii="Calibri" w:eastAsia="Times New Roman" w:hAnsi="Calibri" w:cs="Times New Roman"/>
          <w:color w:val="000000"/>
          <w:sz w:val="24"/>
          <w:szCs w:val="24"/>
          <w:lang w:eastAsia="en-GB"/>
        </w:rPr>
        <w:t xml:space="preserve"> with </w:t>
      </w:r>
      <w:r w:rsidR="00114726">
        <w:rPr>
          <w:rFonts w:ascii="Calibri" w:eastAsia="Times New Roman" w:hAnsi="Calibri" w:cs="Times New Roman"/>
          <w:color w:val="000000"/>
          <w:sz w:val="24"/>
          <w:szCs w:val="24"/>
          <w:lang w:eastAsia="en-GB"/>
        </w:rPr>
        <w:t xml:space="preserve">an </w:t>
      </w:r>
      <w:r w:rsidR="00DD174F">
        <w:rPr>
          <w:rFonts w:ascii="Calibri" w:eastAsia="Times New Roman" w:hAnsi="Calibri" w:cs="Times New Roman"/>
          <w:color w:val="000000"/>
          <w:sz w:val="24"/>
          <w:szCs w:val="24"/>
          <w:lang w:eastAsia="en-GB"/>
        </w:rPr>
        <w:t>average</w:t>
      </w:r>
      <w:r w:rsidR="00114726">
        <w:rPr>
          <w:rFonts w:ascii="Calibri" w:eastAsia="Times New Roman" w:hAnsi="Calibri" w:cs="Times New Roman"/>
          <w:color w:val="000000"/>
          <w:sz w:val="24"/>
          <w:szCs w:val="24"/>
          <w:lang w:eastAsia="en-GB"/>
        </w:rPr>
        <w:t xml:space="preserve"> of</w:t>
      </w:r>
      <w:r w:rsidR="00DD174F">
        <w:rPr>
          <w:rFonts w:ascii="Calibri" w:eastAsia="Times New Roman" w:hAnsi="Calibri" w:cs="Times New Roman"/>
          <w:color w:val="000000"/>
          <w:sz w:val="24"/>
          <w:szCs w:val="24"/>
          <w:lang w:eastAsia="en-GB"/>
        </w:rPr>
        <w:t xml:space="preserve"> 10.6 alleles per locus. </w:t>
      </w:r>
      <w:r w:rsidR="003F69D3">
        <w:rPr>
          <w:rFonts w:ascii="Calibri" w:eastAsia="Times New Roman" w:hAnsi="Calibri" w:cs="Times New Roman"/>
          <w:color w:val="000000"/>
          <w:sz w:val="24"/>
          <w:szCs w:val="24"/>
          <w:lang w:eastAsia="en-GB"/>
        </w:rPr>
        <w:t xml:space="preserve">Using the program </w:t>
      </w:r>
      <w:r w:rsidRPr="00BB079F">
        <w:rPr>
          <w:rFonts w:ascii="Calibri" w:eastAsia="Times New Roman" w:hAnsi="Calibri" w:cs="Times New Roman"/>
          <w:color w:val="000000"/>
          <w:sz w:val="24"/>
          <w:szCs w:val="24"/>
          <w:lang w:eastAsia="en-GB"/>
        </w:rPr>
        <w:t xml:space="preserve">MICRO-CHECKER 2.2.3 </w:t>
      </w:r>
      <w:r w:rsidR="009B701E">
        <w:rPr>
          <w:rFonts w:ascii="Calibri" w:eastAsia="Times New Roman" w:hAnsi="Calibri" w:cs="Times New Roman"/>
          <w:color w:val="000000"/>
          <w:sz w:val="24"/>
          <w:szCs w:val="24"/>
          <w:lang w:eastAsia="en-GB"/>
        </w:rPr>
        <w:t>(</w:t>
      </w:r>
      <w:r w:rsidR="00114726">
        <w:rPr>
          <w:rFonts w:ascii="Calibri" w:eastAsia="Times New Roman" w:hAnsi="Calibri" w:cs="Times New Roman"/>
          <w:color w:val="000000"/>
          <w:sz w:val="24"/>
          <w:szCs w:val="24"/>
          <w:lang w:eastAsia="en-GB"/>
        </w:rPr>
        <w:t xml:space="preserve">Van Oosterhout </w:t>
      </w:r>
      <w:r w:rsidR="00114726">
        <w:rPr>
          <w:rFonts w:ascii="Calibri" w:eastAsia="Times New Roman" w:hAnsi="Calibri" w:cs="Times New Roman"/>
          <w:i/>
          <w:color w:val="000000"/>
          <w:sz w:val="24"/>
          <w:szCs w:val="24"/>
          <w:lang w:eastAsia="en-GB"/>
        </w:rPr>
        <w:t>et al</w:t>
      </w:r>
      <w:r w:rsidR="00114726">
        <w:rPr>
          <w:rFonts w:ascii="Calibri" w:eastAsia="Times New Roman" w:hAnsi="Calibri" w:cs="Times New Roman"/>
          <w:color w:val="000000"/>
          <w:sz w:val="24"/>
          <w:szCs w:val="24"/>
          <w:lang w:eastAsia="en-GB"/>
        </w:rPr>
        <w:t>. 2004</w:t>
      </w:r>
      <w:r w:rsidR="009B701E">
        <w:rPr>
          <w:rFonts w:ascii="Calibri" w:eastAsia="Times New Roman" w:hAnsi="Calibri" w:cs="Times New Roman"/>
          <w:color w:val="000000"/>
          <w:sz w:val="24"/>
          <w:szCs w:val="24"/>
          <w:lang w:eastAsia="en-GB"/>
        </w:rPr>
        <w:t>)</w:t>
      </w:r>
      <w:r w:rsidRPr="00BB079F">
        <w:rPr>
          <w:rFonts w:ascii="Calibri" w:eastAsia="Times New Roman" w:hAnsi="Calibri" w:cs="Times New Roman"/>
          <w:color w:val="000000"/>
          <w:sz w:val="24"/>
          <w:szCs w:val="24"/>
          <w:lang w:eastAsia="en-GB"/>
        </w:rPr>
        <w:t xml:space="preserve"> no evidence</w:t>
      </w:r>
      <w:r w:rsidR="003F69D3">
        <w:rPr>
          <w:rFonts w:ascii="Calibri" w:eastAsia="Times New Roman" w:hAnsi="Calibri" w:cs="Times New Roman"/>
          <w:color w:val="000000"/>
          <w:sz w:val="24"/>
          <w:szCs w:val="24"/>
          <w:lang w:eastAsia="en-GB"/>
        </w:rPr>
        <w:t xml:space="preserve"> was found</w:t>
      </w:r>
      <w:r w:rsidRPr="00BB079F">
        <w:rPr>
          <w:rFonts w:ascii="Calibri" w:eastAsia="Times New Roman" w:hAnsi="Calibri" w:cs="Times New Roman"/>
          <w:color w:val="000000"/>
          <w:sz w:val="24"/>
          <w:szCs w:val="24"/>
          <w:lang w:eastAsia="en-GB"/>
        </w:rPr>
        <w:t xml:space="preserve"> of null alleles</w:t>
      </w:r>
      <w:r w:rsidR="00896DF5">
        <w:rPr>
          <w:rFonts w:ascii="Calibri" w:eastAsia="Times New Roman" w:hAnsi="Calibri" w:cs="Times New Roman"/>
          <w:color w:val="000000"/>
          <w:sz w:val="24"/>
          <w:szCs w:val="24"/>
          <w:lang w:eastAsia="en-GB"/>
        </w:rPr>
        <w:t xml:space="preserve"> and therefore</w:t>
      </w:r>
      <w:r w:rsidRPr="00BB079F">
        <w:rPr>
          <w:rFonts w:ascii="Calibri" w:eastAsia="Times New Roman" w:hAnsi="Calibri" w:cs="Times New Roman"/>
          <w:color w:val="000000"/>
          <w:sz w:val="24"/>
          <w:szCs w:val="24"/>
          <w:lang w:eastAsia="en-GB"/>
        </w:rPr>
        <w:t xml:space="preserve"> all ten loci were included in the analysis. </w:t>
      </w:r>
      <w:r w:rsidR="00896DF5">
        <w:rPr>
          <w:rFonts w:ascii="Calibri" w:eastAsia="Times New Roman" w:hAnsi="Calibri" w:cs="Times New Roman"/>
          <w:color w:val="000000"/>
          <w:sz w:val="24"/>
          <w:szCs w:val="24"/>
          <w:lang w:eastAsia="en-GB"/>
        </w:rPr>
        <w:t>The r</w:t>
      </w:r>
      <w:r w:rsidRPr="00BB079F">
        <w:rPr>
          <w:rFonts w:ascii="Calibri" w:eastAsia="Times New Roman" w:hAnsi="Calibri" w:cs="Times New Roman"/>
          <w:color w:val="000000"/>
          <w:sz w:val="24"/>
          <w:szCs w:val="24"/>
          <w:lang w:eastAsia="en-GB"/>
        </w:rPr>
        <w:t xml:space="preserve">esults of </w:t>
      </w:r>
      <w:r w:rsidR="00896DF5">
        <w:rPr>
          <w:rFonts w:ascii="Calibri" w:eastAsia="Times New Roman" w:hAnsi="Calibri" w:cs="Times New Roman"/>
          <w:color w:val="000000"/>
          <w:sz w:val="24"/>
          <w:szCs w:val="24"/>
          <w:lang w:eastAsia="en-GB"/>
        </w:rPr>
        <w:t xml:space="preserve">the program </w:t>
      </w:r>
      <w:r w:rsidRPr="00BB079F">
        <w:rPr>
          <w:rFonts w:ascii="Calibri" w:eastAsia="Times New Roman" w:hAnsi="Calibri" w:cs="Times New Roman"/>
          <w:color w:val="000000"/>
          <w:sz w:val="24"/>
          <w:szCs w:val="24"/>
          <w:lang w:eastAsia="en-GB"/>
        </w:rPr>
        <w:t xml:space="preserve">STRUCTURE showed that </w:t>
      </w:r>
      <w:r w:rsidR="00896DF5">
        <w:rPr>
          <w:rFonts w:ascii="Calibri" w:eastAsia="Times New Roman" w:hAnsi="Calibri" w:cs="Times New Roman"/>
          <w:color w:val="000000"/>
          <w:sz w:val="24"/>
          <w:szCs w:val="24"/>
          <w:lang w:eastAsia="en-GB"/>
        </w:rPr>
        <w:t xml:space="preserve">the </w:t>
      </w:r>
      <w:r w:rsidRPr="00BB079F">
        <w:rPr>
          <w:rFonts w:ascii="Calibri" w:eastAsia="Times New Roman" w:hAnsi="Calibri" w:cs="Times New Roman"/>
          <w:color w:val="000000"/>
          <w:sz w:val="24"/>
          <w:szCs w:val="24"/>
          <w:lang w:eastAsia="en-GB"/>
        </w:rPr>
        <w:t xml:space="preserve">most probable number of clusters of individuals was three and that the whole wood mice population in </w:t>
      </w:r>
      <w:r w:rsidR="00896DF5">
        <w:rPr>
          <w:rFonts w:ascii="Calibri" w:eastAsia="Times New Roman" w:hAnsi="Calibri" w:cs="Times New Roman"/>
          <w:color w:val="000000"/>
          <w:sz w:val="24"/>
          <w:szCs w:val="24"/>
          <w:lang w:eastAsia="en-GB"/>
        </w:rPr>
        <w:t>the study site (Malham Tarn)</w:t>
      </w:r>
      <w:r w:rsidRPr="00BB079F">
        <w:rPr>
          <w:rFonts w:ascii="Calibri" w:eastAsia="Times New Roman" w:hAnsi="Calibri" w:cs="Times New Roman"/>
          <w:color w:val="000000"/>
          <w:sz w:val="24"/>
          <w:szCs w:val="24"/>
          <w:lang w:eastAsia="en-GB"/>
        </w:rPr>
        <w:t xml:space="preserve"> consist</w:t>
      </w:r>
      <w:r w:rsidR="00896DF5">
        <w:rPr>
          <w:rFonts w:ascii="Calibri" w:eastAsia="Times New Roman" w:hAnsi="Calibri" w:cs="Times New Roman"/>
          <w:color w:val="000000"/>
          <w:sz w:val="24"/>
          <w:szCs w:val="24"/>
          <w:lang w:eastAsia="en-GB"/>
        </w:rPr>
        <w:t>ed</w:t>
      </w:r>
      <w:r w:rsidRPr="00BB079F">
        <w:rPr>
          <w:rFonts w:ascii="Calibri" w:eastAsia="Times New Roman" w:hAnsi="Calibri" w:cs="Times New Roman"/>
          <w:color w:val="000000"/>
          <w:sz w:val="24"/>
          <w:szCs w:val="24"/>
          <w:lang w:eastAsia="en-GB"/>
        </w:rPr>
        <w:t xml:space="preserve"> of three genetically distinct populations R, G and B (Table 3, Fig</w:t>
      </w:r>
      <w:r w:rsidR="00B1554D">
        <w:rPr>
          <w:rFonts w:ascii="Calibri" w:eastAsia="Times New Roman" w:hAnsi="Calibri" w:cs="Times New Roman"/>
          <w:color w:val="000000"/>
          <w:sz w:val="24"/>
          <w:szCs w:val="24"/>
          <w:lang w:eastAsia="en-GB"/>
        </w:rPr>
        <w:t>ure</w:t>
      </w:r>
      <w:r w:rsidRPr="00BB079F">
        <w:rPr>
          <w:rFonts w:ascii="Calibri" w:eastAsia="Times New Roman" w:hAnsi="Calibri" w:cs="Times New Roman"/>
          <w:color w:val="000000"/>
          <w:sz w:val="24"/>
          <w:szCs w:val="24"/>
          <w:lang w:eastAsia="en-GB"/>
        </w:rPr>
        <w:t xml:space="preserve"> </w:t>
      </w:r>
      <w:r w:rsidR="0086660F">
        <w:rPr>
          <w:rFonts w:ascii="Calibri" w:eastAsia="Times New Roman" w:hAnsi="Calibri" w:cs="Times New Roman"/>
          <w:color w:val="000000"/>
          <w:sz w:val="24"/>
          <w:szCs w:val="24"/>
          <w:lang w:eastAsia="en-GB"/>
        </w:rPr>
        <w:t>3</w:t>
      </w:r>
      <w:r w:rsidR="002261E7">
        <w:rPr>
          <w:rFonts w:ascii="Calibri" w:eastAsia="Times New Roman" w:hAnsi="Calibri" w:cs="Times New Roman"/>
          <w:color w:val="000000"/>
          <w:sz w:val="24"/>
          <w:szCs w:val="24"/>
          <w:lang w:eastAsia="en-GB"/>
        </w:rPr>
        <w:t>A</w:t>
      </w:r>
      <w:r w:rsidRPr="00BB079F">
        <w:rPr>
          <w:rFonts w:ascii="Calibri" w:eastAsia="Times New Roman" w:hAnsi="Calibri" w:cs="Times New Roman"/>
          <w:color w:val="000000"/>
          <w:sz w:val="24"/>
          <w:szCs w:val="24"/>
          <w:lang w:eastAsia="en-GB"/>
        </w:rPr>
        <w:t xml:space="preserve">). </w:t>
      </w:r>
      <w:r w:rsidR="009B30D5">
        <w:rPr>
          <w:rFonts w:ascii="Calibri" w:eastAsia="Times New Roman" w:hAnsi="Calibri" w:cs="Times New Roman"/>
          <w:color w:val="000000"/>
          <w:sz w:val="24"/>
          <w:szCs w:val="24"/>
          <w:lang w:eastAsia="en-GB"/>
        </w:rPr>
        <w:t>To evaluate the robustness of these three populations, STRUCTURE was rerun</w:t>
      </w:r>
      <w:r w:rsidR="00E57331">
        <w:rPr>
          <w:rFonts w:ascii="Calibri" w:eastAsia="Times New Roman" w:hAnsi="Calibri" w:cs="Times New Roman"/>
          <w:color w:val="000000"/>
          <w:sz w:val="24"/>
          <w:szCs w:val="24"/>
          <w:lang w:eastAsia="en-GB"/>
        </w:rPr>
        <w:t xml:space="preserve"> using K values of 4 and 5 (i.e. considering the probability of 4 and 5 groups) and the same three populations were identified showing that the groups are reliably assigned</w:t>
      </w:r>
      <w:r w:rsidR="0086660F">
        <w:rPr>
          <w:rFonts w:ascii="Calibri" w:eastAsia="Times New Roman" w:hAnsi="Calibri" w:cs="Times New Roman"/>
          <w:color w:val="000000"/>
          <w:sz w:val="24"/>
          <w:szCs w:val="24"/>
          <w:lang w:eastAsia="en-GB"/>
        </w:rPr>
        <w:t xml:space="preserve"> (Figure 3</w:t>
      </w:r>
      <w:r w:rsidR="002261E7">
        <w:rPr>
          <w:rFonts w:ascii="Calibri" w:eastAsia="Times New Roman" w:hAnsi="Calibri" w:cs="Times New Roman"/>
          <w:color w:val="000000"/>
          <w:sz w:val="24"/>
          <w:szCs w:val="24"/>
          <w:lang w:eastAsia="en-GB"/>
        </w:rPr>
        <w:t>B</w:t>
      </w:r>
      <w:r w:rsidR="0086660F">
        <w:rPr>
          <w:rFonts w:ascii="Calibri" w:eastAsia="Times New Roman" w:hAnsi="Calibri" w:cs="Times New Roman"/>
          <w:color w:val="000000"/>
          <w:sz w:val="24"/>
          <w:szCs w:val="24"/>
          <w:lang w:eastAsia="en-GB"/>
        </w:rPr>
        <w:t>)</w:t>
      </w:r>
      <w:r w:rsidR="00E57331">
        <w:rPr>
          <w:rFonts w:ascii="Calibri" w:eastAsia="Times New Roman" w:hAnsi="Calibri" w:cs="Times New Roman"/>
          <w:color w:val="000000"/>
          <w:sz w:val="24"/>
          <w:szCs w:val="24"/>
          <w:lang w:eastAsia="en-GB"/>
        </w:rPr>
        <w:t xml:space="preserve">. </w:t>
      </w:r>
      <w:r w:rsidRPr="00BB079F">
        <w:rPr>
          <w:rFonts w:ascii="Calibri" w:eastAsia="Times New Roman" w:hAnsi="Calibri" w:cs="Times New Roman"/>
          <w:color w:val="000000"/>
          <w:sz w:val="24"/>
          <w:szCs w:val="24"/>
          <w:lang w:eastAsia="en-GB"/>
        </w:rPr>
        <w:t xml:space="preserve">The sampling location was not used as prior information in the analysis so as not to bias any genetic interpretation. </w:t>
      </w:r>
      <w:r w:rsidR="00A27F12">
        <w:rPr>
          <w:rFonts w:ascii="Calibri" w:eastAsia="Times New Roman" w:hAnsi="Calibri" w:cs="Times New Roman"/>
          <w:color w:val="000000"/>
          <w:sz w:val="24"/>
          <w:szCs w:val="24"/>
          <w:lang w:eastAsia="en-GB"/>
        </w:rPr>
        <w:t>As the generation of groups by STRUCTURE is based on probability of an individual belonging to a group, sometimes groups with weaker probabilities can be masked during the first analysis. It is common practice</w:t>
      </w:r>
      <w:r w:rsidR="00196FB4">
        <w:rPr>
          <w:rFonts w:ascii="Calibri" w:eastAsia="Times New Roman" w:hAnsi="Calibri" w:cs="Times New Roman"/>
          <w:color w:val="000000"/>
          <w:sz w:val="24"/>
          <w:szCs w:val="24"/>
          <w:lang w:eastAsia="en-GB"/>
        </w:rPr>
        <w:t xml:space="preserve"> </w:t>
      </w:r>
      <w:r w:rsidR="009B701E">
        <w:rPr>
          <w:rFonts w:ascii="Calibri" w:eastAsia="Times New Roman" w:hAnsi="Calibri" w:cs="Times New Roman"/>
          <w:color w:val="000000"/>
          <w:sz w:val="24"/>
          <w:szCs w:val="24"/>
          <w:lang w:eastAsia="en-GB"/>
        </w:rPr>
        <w:t>(</w:t>
      </w:r>
      <w:r w:rsidR="00196FB4">
        <w:rPr>
          <w:rFonts w:ascii="Calibri" w:eastAsia="Times New Roman" w:hAnsi="Calibri" w:cs="Times New Roman"/>
          <w:color w:val="000000"/>
          <w:sz w:val="24"/>
          <w:szCs w:val="24"/>
          <w:lang w:eastAsia="en-GB"/>
        </w:rPr>
        <w:t xml:space="preserve">e.g. </w:t>
      </w:r>
      <w:r w:rsidR="00114726">
        <w:rPr>
          <w:rFonts w:ascii="Calibri" w:eastAsia="Times New Roman" w:hAnsi="Calibri" w:cs="Times New Roman"/>
          <w:color w:val="000000"/>
          <w:sz w:val="24"/>
          <w:szCs w:val="24"/>
          <w:lang w:eastAsia="en-GB"/>
        </w:rPr>
        <w:t xml:space="preserve">Gelanew </w:t>
      </w:r>
      <w:r w:rsidR="00114726">
        <w:rPr>
          <w:rFonts w:ascii="Calibri" w:eastAsia="Times New Roman" w:hAnsi="Calibri" w:cs="Times New Roman"/>
          <w:i/>
          <w:color w:val="000000"/>
          <w:sz w:val="24"/>
          <w:szCs w:val="24"/>
          <w:lang w:eastAsia="en-GB"/>
        </w:rPr>
        <w:t>et al</w:t>
      </w:r>
      <w:r w:rsidR="00114726">
        <w:rPr>
          <w:rFonts w:ascii="Calibri" w:eastAsia="Times New Roman" w:hAnsi="Calibri" w:cs="Times New Roman"/>
          <w:color w:val="000000"/>
          <w:sz w:val="24"/>
          <w:szCs w:val="24"/>
          <w:lang w:eastAsia="en-GB"/>
        </w:rPr>
        <w:t>. 2010</w:t>
      </w:r>
      <w:r w:rsidR="009B701E">
        <w:rPr>
          <w:rFonts w:ascii="Calibri" w:eastAsia="Times New Roman" w:hAnsi="Calibri" w:cs="Times New Roman"/>
          <w:color w:val="000000"/>
          <w:sz w:val="24"/>
          <w:szCs w:val="24"/>
          <w:lang w:eastAsia="en-GB"/>
        </w:rPr>
        <w:t>)</w:t>
      </w:r>
      <w:r w:rsidR="00A27F12">
        <w:rPr>
          <w:rFonts w:ascii="Calibri" w:eastAsia="Times New Roman" w:hAnsi="Calibri" w:cs="Times New Roman"/>
          <w:color w:val="000000"/>
          <w:sz w:val="24"/>
          <w:szCs w:val="24"/>
          <w:lang w:eastAsia="en-GB"/>
        </w:rPr>
        <w:t xml:space="preserve"> to re-examine genetically defined STRUCTURE groups by re-running each group (i.e. R, G and B) separately through STRUCTURE. </w:t>
      </w:r>
      <w:r w:rsidR="00196FB4">
        <w:rPr>
          <w:rFonts w:ascii="Calibri" w:eastAsia="Times New Roman" w:hAnsi="Calibri" w:cs="Times New Roman"/>
          <w:color w:val="000000"/>
          <w:sz w:val="24"/>
          <w:szCs w:val="24"/>
          <w:lang w:eastAsia="en-GB"/>
        </w:rPr>
        <w:t>Following this m</w:t>
      </w:r>
      <w:r w:rsidRPr="00BB079F">
        <w:rPr>
          <w:rFonts w:ascii="Calibri" w:eastAsia="Times New Roman" w:hAnsi="Calibri" w:cs="Times New Roman"/>
          <w:color w:val="000000"/>
          <w:sz w:val="24"/>
          <w:szCs w:val="24"/>
          <w:lang w:eastAsia="en-GB"/>
        </w:rPr>
        <w:t>ore detailed analysis using STRUCTURE</w:t>
      </w:r>
      <w:r w:rsidR="00196FB4">
        <w:rPr>
          <w:rFonts w:ascii="Calibri" w:eastAsia="Times New Roman" w:hAnsi="Calibri" w:cs="Times New Roman"/>
          <w:color w:val="000000"/>
          <w:sz w:val="24"/>
          <w:szCs w:val="24"/>
          <w:lang w:eastAsia="en-GB"/>
        </w:rPr>
        <w:t>,</w:t>
      </w:r>
      <w:r w:rsidRPr="00BB079F">
        <w:rPr>
          <w:rFonts w:ascii="Calibri" w:eastAsia="Times New Roman" w:hAnsi="Calibri" w:cs="Times New Roman"/>
          <w:color w:val="000000"/>
          <w:sz w:val="24"/>
          <w:szCs w:val="24"/>
          <w:lang w:eastAsia="en-GB"/>
        </w:rPr>
        <w:t xml:space="preserve"> the R population could be divided into two genetically distinct populations R1 and R2 (Fig</w:t>
      </w:r>
      <w:r w:rsidR="00CA7F33">
        <w:rPr>
          <w:rFonts w:ascii="Calibri" w:eastAsia="Times New Roman" w:hAnsi="Calibri" w:cs="Times New Roman"/>
          <w:color w:val="000000"/>
          <w:sz w:val="24"/>
          <w:szCs w:val="24"/>
          <w:lang w:eastAsia="en-GB"/>
        </w:rPr>
        <w:t>ure</w:t>
      </w:r>
      <w:r w:rsidRPr="00BB079F">
        <w:rPr>
          <w:rFonts w:ascii="Calibri" w:eastAsia="Times New Roman" w:hAnsi="Calibri" w:cs="Times New Roman"/>
          <w:color w:val="000000"/>
          <w:sz w:val="24"/>
          <w:szCs w:val="24"/>
          <w:lang w:eastAsia="en-GB"/>
        </w:rPr>
        <w:t xml:space="preserve"> </w:t>
      </w:r>
      <w:r w:rsidR="0086660F">
        <w:rPr>
          <w:rFonts w:ascii="Calibri" w:eastAsia="Times New Roman" w:hAnsi="Calibri" w:cs="Times New Roman"/>
          <w:color w:val="000000"/>
          <w:sz w:val="24"/>
          <w:szCs w:val="24"/>
          <w:lang w:eastAsia="en-GB"/>
        </w:rPr>
        <w:t>4</w:t>
      </w:r>
      <w:r w:rsidRPr="00BB079F">
        <w:rPr>
          <w:rFonts w:ascii="Calibri" w:eastAsia="Times New Roman" w:hAnsi="Calibri" w:cs="Times New Roman"/>
          <w:color w:val="000000"/>
          <w:sz w:val="24"/>
          <w:szCs w:val="24"/>
          <w:lang w:eastAsia="en-GB"/>
        </w:rPr>
        <w:t xml:space="preserve">, Table 3). </w:t>
      </w:r>
      <w:r w:rsidR="006D7BA8">
        <w:rPr>
          <w:rFonts w:ascii="Calibri" w:eastAsia="Times New Roman" w:hAnsi="Calibri" w:cs="Times New Roman"/>
          <w:color w:val="000000"/>
          <w:sz w:val="24"/>
          <w:szCs w:val="24"/>
          <w:lang w:eastAsia="en-GB"/>
        </w:rPr>
        <w:t xml:space="preserve">Again these groups were robust for higher values of K, data not shown). </w:t>
      </w:r>
      <w:r w:rsidRPr="00BB079F">
        <w:rPr>
          <w:rFonts w:ascii="Calibri" w:eastAsia="Times New Roman" w:hAnsi="Calibri" w:cs="Times New Roman"/>
          <w:color w:val="000000"/>
          <w:sz w:val="24"/>
          <w:szCs w:val="24"/>
          <w:lang w:eastAsia="en-GB"/>
        </w:rPr>
        <w:t xml:space="preserve">STRUCTURE was unable to divide the individuals from populations G and B into subpopulations so they were considered as individual populations. </w:t>
      </w:r>
      <w:r w:rsidR="00A32346">
        <w:rPr>
          <w:rFonts w:ascii="Calibri" w:eastAsia="Times New Roman" w:hAnsi="Calibri" w:cs="Times New Roman"/>
          <w:color w:val="000000"/>
          <w:sz w:val="24"/>
          <w:szCs w:val="24"/>
          <w:lang w:eastAsia="en-GB"/>
        </w:rPr>
        <w:t xml:space="preserve">Based on these observations, we conclude that there are 4 genetically defined populations. </w:t>
      </w:r>
      <w:r w:rsidRPr="00BB079F">
        <w:rPr>
          <w:rFonts w:ascii="Calibri" w:eastAsia="Times New Roman" w:hAnsi="Calibri" w:cs="Times New Roman"/>
          <w:color w:val="000000"/>
          <w:sz w:val="24"/>
          <w:szCs w:val="24"/>
          <w:lang w:eastAsia="en-GB"/>
        </w:rPr>
        <w:t>The</w:t>
      </w:r>
      <w:r w:rsidR="00A32346">
        <w:rPr>
          <w:rFonts w:ascii="Calibri" w:eastAsia="Times New Roman" w:hAnsi="Calibri" w:cs="Times New Roman"/>
          <w:color w:val="000000"/>
          <w:sz w:val="24"/>
          <w:szCs w:val="24"/>
          <w:lang w:eastAsia="en-GB"/>
        </w:rPr>
        <w:t>se</w:t>
      </w:r>
      <w:r w:rsidRPr="00BB079F">
        <w:rPr>
          <w:rFonts w:ascii="Calibri" w:eastAsia="Times New Roman" w:hAnsi="Calibri" w:cs="Times New Roman"/>
          <w:color w:val="000000"/>
          <w:sz w:val="24"/>
          <w:szCs w:val="24"/>
          <w:lang w:eastAsia="en-GB"/>
        </w:rPr>
        <w:t xml:space="preserve"> genetic populations</w:t>
      </w:r>
      <w:r w:rsidR="00A32346">
        <w:rPr>
          <w:rFonts w:ascii="Calibri" w:eastAsia="Times New Roman" w:hAnsi="Calibri" w:cs="Times New Roman"/>
          <w:color w:val="000000"/>
          <w:sz w:val="24"/>
          <w:szCs w:val="24"/>
          <w:lang w:eastAsia="en-GB"/>
        </w:rPr>
        <w:t>,</w:t>
      </w:r>
      <w:r w:rsidRPr="00BB079F">
        <w:rPr>
          <w:rFonts w:ascii="Calibri" w:eastAsia="Times New Roman" w:hAnsi="Calibri" w:cs="Times New Roman"/>
          <w:color w:val="000000"/>
          <w:sz w:val="24"/>
          <w:szCs w:val="24"/>
          <w:lang w:eastAsia="en-GB"/>
        </w:rPr>
        <w:t xml:space="preserve"> identified by STRUCTURE</w:t>
      </w:r>
      <w:r w:rsidR="00A32346">
        <w:rPr>
          <w:rFonts w:ascii="Calibri" w:eastAsia="Times New Roman" w:hAnsi="Calibri" w:cs="Times New Roman"/>
          <w:color w:val="000000"/>
          <w:sz w:val="24"/>
          <w:szCs w:val="24"/>
          <w:lang w:eastAsia="en-GB"/>
        </w:rPr>
        <w:t>,</w:t>
      </w:r>
      <w:r w:rsidRPr="00BB079F">
        <w:rPr>
          <w:rFonts w:ascii="Calibri" w:eastAsia="Times New Roman" w:hAnsi="Calibri" w:cs="Times New Roman"/>
          <w:color w:val="000000"/>
          <w:sz w:val="24"/>
          <w:szCs w:val="24"/>
          <w:lang w:eastAsia="en-GB"/>
        </w:rPr>
        <w:t xml:space="preserve"> were examined to see if there was any association between microsatellite derived populations and the trapping location of the mice. Testing the null hypothesis of no association, it was found that a significant association of </w:t>
      </w:r>
      <w:r w:rsidR="00896DF5">
        <w:rPr>
          <w:rFonts w:ascii="Calibri" w:eastAsia="Times New Roman" w:hAnsi="Calibri" w:cs="Times New Roman"/>
          <w:color w:val="000000"/>
          <w:sz w:val="24"/>
          <w:szCs w:val="24"/>
          <w:lang w:eastAsia="en-GB"/>
        </w:rPr>
        <w:t xml:space="preserve">mouse </w:t>
      </w:r>
      <w:r w:rsidRPr="00BB079F">
        <w:rPr>
          <w:rFonts w:ascii="Calibri" w:eastAsia="Times New Roman" w:hAnsi="Calibri" w:cs="Times New Roman"/>
          <w:color w:val="000000"/>
          <w:sz w:val="24"/>
          <w:szCs w:val="24"/>
          <w:lang w:eastAsia="en-GB"/>
        </w:rPr>
        <w:t>genetic group with trapping location was found (</w:t>
      </w:r>
      <w:r w:rsidR="00896DF5" w:rsidRPr="00BB079F">
        <w:rPr>
          <w:rFonts w:cs="AdvTTf90d833a.I+03"/>
          <w:i/>
          <w:sz w:val="24"/>
          <w:szCs w:val="24"/>
        </w:rPr>
        <w:t>χ</w:t>
      </w:r>
      <w:r w:rsidR="00896DF5" w:rsidRPr="00BB079F">
        <w:rPr>
          <w:rFonts w:cs="AdvOT54604583"/>
          <w:i/>
          <w:sz w:val="24"/>
          <w:szCs w:val="24"/>
        </w:rPr>
        <w:t>2</w:t>
      </w:r>
      <w:r w:rsidRPr="00BB079F">
        <w:rPr>
          <w:rFonts w:ascii="Calibri" w:eastAsia="Times New Roman" w:hAnsi="Calibri" w:cs="Times New Roman"/>
          <w:color w:val="000000"/>
          <w:sz w:val="24"/>
          <w:szCs w:val="24"/>
          <w:lang w:eastAsia="en-GB"/>
        </w:rPr>
        <w:t xml:space="preserve"> = </w:t>
      </w:r>
      <w:r w:rsidR="000A1D6F">
        <w:rPr>
          <w:rFonts w:ascii="Calibri" w:eastAsia="Times New Roman" w:hAnsi="Calibri" w:cs="Times New Roman"/>
          <w:color w:val="000000"/>
          <w:sz w:val="24"/>
          <w:szCs w:val="24"/>
          <w:lang w:eastAsia="en-GB"/>
        </w:rPr>
        <w:t>46.6</w:t>
      </w:r>
      <w:r w:rsidRPr="00BB079F">
        <w:rPr>
          <w:rFonts w:ascii="Calibri" w:eastAsia="Times New Roman" w:hAnsi="Calibri" w:cs="Times New Roman"/>
          <w:color w:val="000000"/>
          <w:sz w:val="24"/>
          <w:szCs w:val="24"/>
          <w:lang w:eastAsia="en-GB"/>
        </w:rPr>
        <w:t xml:space="preserve">; D.F. = </w:t>
      </w:r>
      <w:r w:rsidR="009F3607">
        <w:rPr>
          <w:rFonts w:ascii="Calibri" w:eastAsia="Times New Roman" w:hAnsi="Calibri" w:cs="Times New Roman"/>
          <w:color w:val="000000"/>
          <w:sz w:val="24"/>
          <w:szCs w:val="24"/>
          <w:lang w:eastAsia="en-GB"/>
        </w:rPr>
        <w:t>9</w:t>
      </w:r>
      <w:r w:rsidRPr="00BB079F">
        <w:rPr>
          <w:rFonts w:ascii="Calibri" w:eastAsia="Times New Roman" w:hAnsi="Calibri" w:cs="Times New Roman"/>
          <w:color w:val="000000"/>
          <w:sz w:val="24"/>
          <w:szCs w:val="24"/>
          <w:lang w:eastAsia="en-GB"/>
        </w:rPr>
        <w:t xml:space="preserve">; </w:t>
      </w:r>
      <w:r w:rsidRPr="0091472F">
        <w:rPr>
          <w:rFonts w:ascii="Calibri" w:eastAsia="Times New Roman" w:hAnsi="Calibri" w:cs="Times New Roman"/>
          <w:i/>
          <w:color w:val="000000"/>
          <w:sz w:val="24"/>
          <w:szCs w:val="24"/>
          <w:lang w:eastAsia="en-GB"/>
        </w:rPr>
        <w:t>P</w:t>
      </w:r>
      <w:r w:rsidRPr="00BB079F">
        <w:rPr>
          <w:rFonts w:ascii="Calibri" w:eastAsia="Times New Roman" w:hAnsi="Calibri" w:cs="Times New Roman"/>
          <w:color w:val="000000"/>
          <w:sz w:val="24"/>
          <w:szCs w:val="24"/>
          <w:lang w:eastAsia="en-GB"/>
        </w:rPr>
        <w:t xml:space="preserve"> = 0.000). </w:t>
      </w:r>
      <w:r w:rsidR="0000128E">
        <w:rPr>
          <w:rFonts w:ascii="Calibri" w:eastAsia="Times New Roman" w:hAnsi="Calibri" w:cs="Times New Roman"/>
          <w:color w:val="000000"/>
          <w:sz w:val="24"/>
          <w:szCs w:val="24"/>
          <w:lang w:eastAsia="en-GB"/>
        </w:rPr>
        <w:t xml:space="preserve">Patterns of distribution of the genetic groups show that this association is loose (e.g. the G group is predominantly found in the area designated </w:t>
      </w:r>
      <w:r w:rsidR="0000128E">
        <w:rPr>
          <w:rFonts w:ascii="Calibri" w:eastAsia="Times New Roman" w:hAnsi="Calibri" w:cs="Times New Roman"/>
          <w:color w:val="000000"/>
          <w:sz w:val="24"/>
          <w:szCs w:val="24"/>
          <w:lang w:eastAsia="en-GB"/>
        </w:rPr>
        <w:lastRenderedPageBreak/>
        <w:t>Tarn Woods but that migration has occurred to neighbouring sites</w:t>
      </w:r>
      <w:r w:rsidR="00B02773">
        <w:rPr>
          <w:rFonts w:ascii="Calibri" w:eastAsia="Times New Roman" w:hAnsi="Calibri" w:cs="Times New Roman"/>
          <w:color w:val="000000"/>
          <w:sz w:val="24"/>
          <w:szCs w:val="24"/>
          <w:lang w:eastAsia="en-GB"/>
        </w:rPr>
        <w:t>)</w:t>
      </w:r>
      <w:r w:rsidR="0000128E">
        <w:rPr>
          <w:rFonts w:ascii="Calibri" w:eastAsia="Times New Roman" w:hAnsi="Calibri" w:cs="Times New Roman"/>
          <w:color w:val="000000"/>
          <w:sz w:val="24"/>
          <w:szCs w:val="24"/>
          <w:lang w:eastAsia="en-GB"/>
        </w:rPr>
        <w:t xml:space="preserve">. This </w:t>
      </w:r>
      <w:r w:rsidRPr="00BB079F">
        <w:rPr>
          <w:rFonts w:ascii="Calibri" w:eastAsia="Times New Roman" w:hAnsi="Calibri" w:cs="Times New Roman"/>
          <w:color w:val="000000"/>
          <w:sz w:val="24"/>
          <w:szCs w:val="24"/>
          <w:lang w:eastAsia="en-GB"/>
        </w:rPr>
        <w:t>indicat</w:t>
      </w:r>
      <w:r w:rsidR="0000128E">
        <w:rPr>
          <w:rFonts w:ascii="Calibri" w:eastAsia="Times New Roman" w:hAnsi="Calibri" w:cs="Times New Roman"/>
          <w:color w:val="000000"/>
          <w:sz w:val="24"/>
          <w:szCs w:val="24"/>
          <w:lang w:eastAsia="en-GB"/>
        </w:rPr>
        <w:t>es</w:t>
      </w:r>
      <w:r w:rsidRPr="00BB079F">
        <w:rPr>
          <w:rFonts w:ascii="Calibri" w:hAnsi="Calibri"/>
          <w:sz w:val="24"/>
          <w:szCs w:val="24"/>
        </w:rPr>
        <w:t xml:space="preserve"> that the habitat structure of the landscape allows a slow migration of mice from one population to another, perhaps with source and sink populations. </w:t>
      </w:r>
      <w:r w:rsidRPr="00BB079F">
        <w:rPr>
          <w:rFonts w:ascii="Calibri" w:hAnsi="Calibri" w:cs="Times New Roman"/>
          <w:sz w:val="24"/>
          <w:szCs w:val="24"/>
        </w:rPr>
        <w:t xml:space="preserve">The overall distribution of genetic groups in relation to location is presented in Figure </w:t>
      </w:r>
      <w:r w:rsidR="00B1554D">
        <w:rPr>
          <w:rFonts w:ascii="Calibri" w:hAnsi="Calibri" w:cs="Times New Roman"/>
          <w:sz w:val="24"/>
          <w:szCs w:val="24"/>
        </w:rPr>
        <w:t>1</w:t>
      </w:r>
      <w:r w:rsidRPr="00BB079F">
        <w:rPr>
          <w:rFonts w:ascii="Calibri" w:hAnsi="Calibri" w:cs="Times New Roman"/>
          <w:sz w:val="24"/>
          <w:szCs w:val="24"/>
        </w:rPr>
        <w:t xml:space="preserve">. </w:t>
      </w:r>
    </w:p>
    <w:p w:rsidR="00BB079F" w:rsidRPr="00BB079F" w:rsidRDefault="00BB079F" w:rsidP="00BB079F">
      <w:pPr>
        <w:spacing w:line="360" w:lineRule="auto"/>
        <w:jc w:val="both"/>
        <w:rPr>
          <w:rFonts w:ascii="Calibri" w:hAnsi="Calibri"/>
          <w:sz w:val="24"/>
          <w:szCs w:val="24"/>
        </w:rPr>
      </w:pPr>
      <w:r w:rsidRPr="00BB079F">
        <w:rPr>
          <w:rFonts w:ascii="Calibri" w:hAnsi="Calibri"/>
          <w:sz w:val="24"/>
          <w:szCs w:val="24"/>
        </w:rPr>
        <w:t xml:space="preserve">To understand the distribution of </w:t>
      </w:r>
      <w:r w:rsidRPr="00BB079F">
        <w:rPr>
          <w:rFonts w:ascii="Calibri" w:hAnsi="Calibri"/>
          <w:i/>
          <w:iCs/>
          <w:sz w:val="24"/>
          <w:szCs w:val="24"/>
        </w:rPr>
        <w:t>T. gondii</w:t>
      </w:r>
      <w:r w:rsidRPr="00BB079F">
        <w:rPr>
          <w:rFonts w:ascii="Calibri" w:hAnsi="Calibri"/>
          <w:sz w:val="24"/>
          <w:szCs w:val="24"/>
        </w:rPr>
        <w:t xml:space="preserve"> in mice from different collection sites, the prevalence was calculated for each site. While variation in prevalence was seen at each site, this was not</w:t>
      </w:r>
      <w:r w:rsidR="009456D4">
        <w:rPr>
          <w:rFonts w:ascii="Calibri" w:hAnsi="Calibri"/>
          <w:sz w:val="24"/>
          <w:szCs w:val="24"/>
        </w:rPr>
        <w:t xml:space="preserve"> significant (</w:t>
      </w:r>
      <w:r w:rsidR="009456D4" w:rsidRPr="0091472F">
        <w:rPr>
          <w:rFonts w:ascii="Calibri" w:hAnsi="Calibri"/>
          <w:i/>
          <w:sz w:val="24"/>
          <w:szCs w:val="24"/>
        </w:rPr>
        <w:t>P</w:t>
      </w:r>
      <w:r w:rsidR="009456D4">
        <w:rPr>
          <w:rFonts w:ascii="Calibri" w:hAnsi="Calibri"/>
          <w:sz w:val="24"/>
          <w:szCs w:val="24"/>
        </w:rPr>
        <w:t xml:space="preserve"> = 0.29) (Table 4</w:t>
      </w:r>
      <w:r w:rsidRPr="00BB079F">
        <w:rPr>
          <w:rFonts w:ascii="Calibri" w:hAnsi="Calibri"/>
          <w:sz w:val="24"/>
          <w:szCs w:val="24"/>
        </w:rPr>
        <w:t>).</w:t>
      </w:r>
    </w:p>
    <w:p w:rsidR="00BC2A84" w:rsidRPr="00BB079F" w:rsidRDefault="00BB079F" w:rsidP="00BC2A84">
      <w:pPr>
        <w:spacing w:line="360" w:lineRule="auto"/>
        <w:jc w:val="both"/>
        <w:rPr>
          <w:rFonts w:ascii="Calibri" w:hAnsi="Calibri"/>
          <w:sz w:val="24"/>
          <w:szCs w:val="24"/>
        </w:rPr>
      </w:pPr>
      <w:r w:rsidRPr="00BB079F">
        <w:rPr>
          <w:rFonts w:ascii="Calibri" w:hAnsi="Calibri"/>
          <w:sz w:val="24"/>
          <w:szCs w:val="24"/>
        </w:rPr>
        <w:t xml:space="preserve">To understand the distribution of </w:t>
      </w:r>
      <w:r w:rsidRPr="00BB079F">
        <w:rPr>
          <w:rFonts w:ascii="Calibri" w:hAnsi="Calibri"/>
          <w:i/>
          <w:iCs/>
          <w:sz w:val="24"/>
          <w:szCs w:val="24"/>
        </w:rPr>
        <w:t>T. gondii</w:t>
      </w:r>
      <w:r w:rsidRPr="00BB079F">
        <w:rPr>
          <w:rFonts w:ascii="Calibri" w:hAnsi="Calibri"/>
          <w:sz w:val="24"/>
          <w:szCs w:val="24"/>
        </w:rPr>
        <w:t xml:space="preserve"> in mice from different genetic populations, as inferred from STRUCTURE, the prevalence was calculated for each population. There was </w:t>
      </w:r>
      <w:r w:rsidRPr="00BB079F">
        <w:rPr>
          <w:sz w:val="24"/>
          <w:szCs w:val="24"/>
        </w:rPr>
        <w:t>a significant difference between each genetic population (</w:t>
      </w:r>
      <w:r w:rsidRPr="00BB079F">
        <w:rPr>
          <w:rFonts w:cs="AdvTTf90d833a.I+03"/>
          <w:i/>
          <w:sz w:val="24"/>
          <w:szCs w:val="24"/>
        </w:rPr>
        <w:t>χ</w:t>
      </w:r>
      <w:r w:rsidRPr="00BB079F">
        <w:rPr>
          <w:rFonts w:cs="AdvOT54604583"/>
          <w:i/>
          <w:sz w:val="24"/>
          <w:szCs w:val="24"/>
        </w:rPr>
        <w:t>2</w:t>
      </w:r>
      <w:r w:rsidRPr="00BB079F">
        <w:rPr>
          <w:rFonts w:ascii="AdvOT54604583" w:hAnsi="AdvOT54604583" w:cs="AdvOT54604583"/>
          <w:sz w:val="24"/>
          <w:szCs w:val="24"/>
        </w:rPr>
        <w:t xml:space="preserve"> </w:t>
      </w:r>
      <w:r w:rsidRPr="00BB079F">
        <w:rPr>
          <w:rFonts w:ascii="Calibri" w:hAnsi="Calibri" w:cs="AdvOT54604583"/>
          <w:sz w:val="24"/>
          <w:szCs w:val="24"/>
        </w:rPr>
        <w:t xml:space="preserve">=7.950, D.F. = 2, </w:t>
      </w:r>
      <w:r w:rsidRPr="00BB079F">
        <w:rPr>
          <w:rFonts w:ascii="Calibri" w:hAnsi="Calibri" w:cs="AdvOT54604583"/>
          <w:i/>
          <w:sz w:val="24"/>
          <w:szCs w:val="24"/>
        </w:rPr>
        <w:t>P</w:t>
      </w:r>
      <w:r w:rsidR="00CA7F33">
        <w:rPr>
          <w:rFonts w:ascii="Calibri" w:hAnsi="Calibri" w:cs="AdvOT54604583"/>
          <w:i/>
          <w:sz w:val="24"/>
          <w:szCs w:val="24"/>
        </w:rPr>
        <w:t xml:space="preserve"> </w:t>
      </w:r>
      <w:r w:rsidR="009456D4">
        <w:rPr>
          <w:rFonts w:ascii="Calibri" w:hAnsi="Calibri" w:cs="AdvOT54604583"/>
          <w:sz w:val="24"/>
          <w:szCs w:val="24"/>
        </w:rPr>
        <w:t>= 0.018) (Table 5</w:t>
      </w:r>
      <w:r w:rsidRPr="00BB079F">
        <w:rPr>
          <w:rFonts w:ascii="Calibri" w:hAnsi="Calibri" w:cs="AdvOT54604583"/>
          <w:sz w:val="24"/>
          <w:szCs w:val="24"/>
        </w:rPr>
        <w:t>).</w:t>
      </w:r>
      <w:r w:rsidR="00BC2A84" w:rsidRPr="00BC2A84">
        <w:rPr>
          <w:rFonts w:ascii="Calibri" w:hAnsi="Calibri"/>
          <w:sz w:val="24"/>
          <w:szCs w:val="24"/>
        </w:rPr>
        <w:t xml:space="preserve"> </w:t>
      </w:r>
      <w:r w:rsidR="002261E7">
        <w:rPr>
          <w:rFonts w:ascii="Calibri" w:hAnsi="Calibri"/>
          <w:sz w:val="24"/>
          <w:szCs w:val="24"/>
        </w:rPr>
        <w:t>This conclusion was also true when the three groups were also resolved at other values of K (i.e. 4 and 5, figure 3B).</w:t>
      </w:r>
    </w:p>
    <w:p w:rsidR="00BC2A84" w:rsidRDefault="00BC2A84" w:rsidP="00BC2A84">
      <w:pPr>
        <w:spacing w:line="360" w:lineRule="auto"/>
        <w:jc w:val="both"/>
        <w:rPr>
          <w:rFonts w:ascii="Calibri" w:hAnsi="Calibri" w:cs="AdvOT54604583"/>
          <w:sz w:val="24"/>
          <w:szCs w:val="24"/>
        </w:rPr>
      </w:pPr>
      <w:r w:rsidRPr="00BB079F">
        <w:rPr>
          <w:sz w:val="24"/>
          <w:szCs w:val="24"/>
        </w:rPr>
        <w:t xml:space="preserve">Some previous studies have suggested that vertical transmission of </w:t>
      </w:r>
      <w:r w:rsidRPr="00BB079F">
        <w:rPr>
          <w:i/>
          <w:iCs/>
          <w:sz w:val="24"/>
          <w:szCs w:val="24"/>
        </w:rPr>
        <w:t>T. gondii</w:t>
      </w:r>
      <w:r w:rsidRPr="00BB079F">
        <w:rPr>
          <w:sz w:val="24"/>
          <w:szCs w:val="24"/>
        </w:rPr>
        <w:t xml:space="preserve"> might be important in natural populations of </w:t>
      </w:r>
      <w:r w:rsidR="00114726">
        <w:rPr>
          <w:sz w:val="24"/>
          <w:szCs w:val="24"/>
        </w:rPr>
        <w:t>mice</w:t>
      </w:r>
      <w:r w:rsidRPr="00BB079F">
        <w:rPr>
          <w:sz w:val="24"/>
          <w:szCs w:val="24"/>
        </w:rPr>
        <w:t xml:space="preserve"> </w:t>
      </w:r>
      <w:r w:rsidR="009B701E">
        <w:rPr>
          <w:sz w:val="24"/>
          <w:szCs w:val="24"/>
        </w:rPr>
        <w:t>(</w:t>
      </w:r>
      <w:r w:rsidR="00114726">
        <w:rPr>
          <w:sz w:val="24"/>
          <w:szCs w:val="24"/>
        </w:rPr>
        <w:t xml:space="preserve">Owen and Trees, 1998; Hide </w:t>
      </w:r>
      <w:r w:rsidR="00114726">
        <w:rPr>
          <w:i/>
          <w:sz w:val="24"/>
          <w:szCs w:val="24"/>
        </w:rPr>
        <w:t xml:space="preserve">et al. </w:t>
      </w:r>
      <w:r w:rsidR="00114726">
        <w:rPr>
          <w:sz w:val="24"/>
          <w:szCs w:val="24"/>
        </w:rPr>
        <w:t xml:space="preserve">2009; Thomasson </w:t>
      </w:r>
      <w:r w:rsidR="00114726">
        <w:rPr>
          <w:i/>
          <w:sz w:val="24"/>
          <w:szCs w:val="24"/>
        </w:rPr>
        <w:t>et al</w:t>
      </w:r>
      <w:r w:rsidR="00114726">
        <w:rPr>
          <w:sz w:val="24"/>
          <w:szCs w:val="24"/>
        </w:rPr>
        <w:t>. 2011</w:t>
      </w:r>
      <w:r w:rsidR="009B701E">
        <w:rPr>
          <w:sz w:val="24"/>
          <w:szCs w:val="24"/>
        </w:rPr>
        <w:t>)</w:t>
      </w:r>
      <w:r w:rsidR="00375EFF">
        <w:rPr>
          <w:sz w:val="24"/>
          <w:szCs w:val="24"/>
        </w:rPr>
        <w:t xml:space="preserve"> in which case a relationship should be detectable between infection and family line </w:t>
      </w:r>
      <w:r w:rsidR="009B701E">
        <w:rPr>
          <w:sz w:val="24"/>
          <w:szCs w:val="24"/>
        </w:rPr>
        <w:t>(</w:t>
      </w:r>
      <w:r w:rsidR="00114726">
        <w:rPr>
          <w:sz w:val="24"/>
          <w:szCs w:val="24"/>
        </w:rPr>
        <w:t xml:space="preserve">Morley </w:t>
      </w:r>
      <w:r w:rsidR="00114726">
        <w:rPr>
          <w:i/>
          <w:sz w:val="24"/>
          <w:szCs w:val="24"/>
        </w:rPr>
        <w:t>et al.</w:t>
      </w:r>
      <w:r w:rsidR="00114726">
        <w:rPr>
          <w:sz w:val="24"/>
          <w:szCs w:val="24"/>
        </w:rPr>
        <w:t xml:space="preserve"> 2005</w:t>
      </w:r>
      <w:r w:rsidR="009B701E">
        <w:rPr>
          <w:sz w:val="24"/>
          <w:szCs w:val="24"/>
        </w:rPr>
        <w:t>)</w:t>
      </w:r>
      <w:r w:rsidRPr="00BB079F">
        <w:rPr>
          <w:sz w:val="24"/>
          <w:szCs w:val="24"/>
        </w:rPr>
        <w:t>.</w:t>
      </w:r>
      <w:r w:rsidR="00375EFF">
        <w:rPr>
          <w:sz w:val="24"/>
          <w:szCs w:val="24"/>
        </w:rPr>
        <w:t xml:space="preserve"> </w:t>
      </w:r>
      <w:r w:rsidRPr="00BB079F">
        <w:rPr>
          <w:sz w:val="24"/>
          <w:szCs w:val="24"/>
        </w:rPr>
        <w:t xml:space="preserve">Having established a relationship between infection and population structure, this raises the question as to whether these populations can be further analysed at the family level. To address this question, families were assigned to the mice using the program COLONY and the relationship with </w:t>
      </w:r>
      <w:r w:rsidRPr="00BB079F">
        <w:rPr>
          <w:i/>
          <w:iCs/>
          <w:sz w:val="24"/>
          <w:szCs w:val="24"/>
        </w:rPr>
        <w:t xml:space="preserve">T. gondii </w:t>
      </w:r>
      <w:r w:rsidRPr="00BB079F">
        <w:rPr>
          <w:sz w:val="24"/>
          <w:szCs w:val="24"/>
        </w:rPr>
        <w:t xml:space="preserve">infection examined. The COLONY program can be used to infer full- and half-sib relationships, assign parentage, infer mating system (polygamous/monogamous) and reproductive skew in both diploid and haplo-diploid species. Twenty two families of wood mice were identified in this collection </w:t>
      </w:r>
      <w:r w:rsidR="0000128E">
        <w:rPr>
          <w:sz w:val="24"/>
          <w:szCs w:val="24"/>
        </w:rPr>
        <w:t>in the study site</w:t>
      </w:r>
      <w:r w:rsidRPr="00BB079F">
        <w:rPr>
          <w:sz w:val="24"/>
          <w:szCs w:val="24"/>
        </w:rPr>
        <w:t>. These comprised 4 families of full-sibs and 18 families of half-sibs based, as advised in the program literature, on mice being considered to be siblings if the likelihood probability was more than 0.85. Each identified family was quite small</w:t>
      </w:r>
      <w:r w:rsidR="00196FB4">
        <w:rPr>
          <w:sz w:val="24"/>
          <w:szCs w:val="24"/>
        </w:rPr>
        <w:t xml:space="preserve"> </w:t>
      </w:r>
      <w:r w:rsidRPr="00BB079F">
        <w:rPr>
          <w:sz w:val="24"/>
          <w:szCs w:val="24"/>
        </w:rPr>
        <w:t>comprising only a few mice</w:t>
      </w:r>
      <w:r w:rsidR="00196FB4">
        <w:rPr>
          <w:sz w:val="24"/>
          <w:szCs w:val="24"/>
        </w:rPr>
        <w:t xml:space="preserve"> (n=2 to n=7)</w:t>
      </w:r>
      <w:r w:rsidRPr="00BB079F">
        <w:rPr>
          <w:sz w:val="24"/>
          <w:szCs w:val="24"/>
        </w:rPr>
        <w:t xml:space="preserve">.  A range of prevalences were found in each of the families, for example, two families had 0% prevalence and one family had 85.7%. This suggests differences in prevalence of </w:t>
      </w:r>
      <w:r w:rsidRPr="00BB079F">
        <w:rPr>
          <w:i/>
          <w:iCs/>
          <w:sz w:val="24"/>
          <w:szCs w:val="24"/>
        </w:rPr>
        <w:t xml:space="preserve">T. gondii </w:t>
      </w:r>
      <w:r w:rsidRPr="00BB079F">
        <w:rPr>
          <w:sz w:val="24"/>
          <w:szCs w:val="24"/>
        </w:rPr>
        <w:t>between families and could support the notion of a mechanism that maintains transmission within families. However, due to the small numbers of mice this phenomenon could not be shown to be significant (</w:t>
      </w:r>
      <w:r w:rsidRPr="00BB079F">
        <w:rPr>
          <w:rFonts w:cs="AdvTTf90d833a.I+03"/>
          <w:i/>
          <w:sz w:val="24"/>
          <w:szCs w:val="24"/>
        </w:rPr>
        <w:t>χ</w:t>
      </w:r>
      <w:r w:rsidRPr="00BB079F">
        <w:rPr>
          <w:rFonts w:cs="AdvOT54604583"/>
          <w:i/>
          <w:sz w:val="24"/>
          <w:szCs w:val="24"/>
        </w:rPr>
        <w:t>2</w:t>
      </w:r>
      <w:r w:rsidRPr="00BB079F">
        <w:rPr>
          <w:rFonts w:ascii="AdvOT54604583" w:hAnsi="AdvOT54604583" w:cs="AdvOT54604583"/>
          <w:sz w:val="24"/>
          <w:szCs w:val="24"/>
        </w:rPr>
        <w:t xml:space="preserve"> </w:t>
      </w:r>
      <w:r w:rsidRPr="00BB079F">
        <w:rPr>
          <w:rFonts w:ascii="Calibri" w:hAnsi="Calibri" w:cs="AdvOT54604583"/>
          <w:sz w:val="24"/>
          <w:szCs w:val="24"/>
        </w:rPr>
        <w:t xml:space="preserve">= 0.284, D.F. = 1, </w:t>
      </w:r>
      <w:r w:rsidRPr="00BB079F">
        <w:rPr>
          <w:rFonts w:ascii="Calibri" w:hAnsi="Calibri" w:cs="AdvOT54604583"/>
          <w:i/>
          <w:sz w:val="24"/>
          <w:szCs w:val="24"/>
        </w:rPr>
        <w:t>P</w:t>
      </w:r>
      <w:r w:rsidR="00CA7F33">
        <w:rPr>
          <w:rFonts w:ascii="Calibri" w:hAnsi="Calibri" w:cs="AdvOT54604583"/>
          <w:i/>
          <w:sz w:val="24"/>
          <w:szCs w:val="24"/>
        </w:rPr>
        <w:t xml:space="preserve"> </w:t>
      </w:r>
      <w:r w:rsidRPr="00BB079F">
        <w:rPr>
          <w:rFonts w:ascii="Calibri" w:hAnsi="Calibri" w:cs="AdvOT54604583"/>
          <w:sz w:val="24"/>
          <w:szCs w:val="24"/>
        </w:rPr>
        <w:t>= 0.5943).</w:t>
      </w:r>
    </w:p>
    <w:p w:rsidR="00375EFF" w:rsidRDefault="00375EFF">
      <w:pPr>
        <w:rPr>
          <w:rFonts w:ascii="Calibri" w:hAnsi="Calibri" w:cs="AdvOT54604583"/>
          <w:b/>
          <w:sz w:val="24"/>
          <w:szCs w:val="24"/>
        </w:rPr>
      </w:pPr>
      <w:r>
        <w:rPr>
          <w:rFonts w:ascii="Calibri" w:hAnsi="Calibri" w:cs="AdvOT54604583"/>
          <w:b/>
          <w:sz w:val="24"/>
          <w:szCs w:val="24"/>
        </w:rPr>
        <w:lastRenderedPageBreak/>
        <w:br w:type="page"/>
      </w:r>
    </w:p>
    <w:p w:rsidR="00BB079F" w:rsidRPr="003F6D8E" w:rsidRDefault="003F6D8E" w:rsidP="00BB079F">
      <w:pPr>
        <w:spacing w:line="360" w:lineRule="auto"/>
        <w:jc w:val="both"/>
        <w:rPr>
          <w:rFonts w:ascii="Calibri" w:hAnsi="Calibri" w:cs="AdvOT54604583"/>
          <w:sz w:val="24"/>
          <w:szCs w:val="24"/>
        </w:rPr>
      </w:pPr>
      <w:r w:rsidRPr="003F6D8E">
        <w:rPr>
          <w:rFonts w:ascii="Calibri" w:hAnsi="Calibri" w:cs="AdvOT54604583"/>
          <w:sz w:val="24"/>
          <w:szCs w:val="24"/>
        </w:rPr>
        <w:lastRenderedPageBreak/>
        <w:t>DISCUSSION</w:t>
      </w:r>
    </w:p>
    <w:p w:rsidR="00BB079F" w:rsidRPr="00BB079F" w:rsidRDefault="00BB079F" w:rsidP="00BB079F">
      <w:pPr>
        <w:spacing w:line="360" w:lineRule="auto"/>
        <w:jc w:val="both"/>
        <w:rPr>
          <w:sz w:val="24"/>
          <w:szCs w:val="24"/>
        </w:rPr>
      </w:pPr>
      <w:r w:rsidRPr="00BB079F">
        <w:rPr>
          <w:sz w:val="24"/>
          <w:szCs w:val="24"/>
        </w:rPr>
        <w:t xml:space="preserve">   In this study</w:t>
      </w:r>
      <w:r w:rsidR="00320BA3">
        <w:rPr>
          <w:sz w:val="24"/>
          <w:szCs w:val="24"/>
        </w:rPr>
        <w:t>,</w:t>
      </w:r>
      <w:r w:rsidRPr="00BB079F">
        <w:rPr>
          <w:sz w:val="24"/>
          <w:szCs w:val="24"/>
        </w:rPr>
        <w:t xml:space="preserve"> we investigated the prevalence and genotypes of </w:t>
      </w:r>
      <w:r w:rsidRPr="00F17E8E">
        <w:rPr>
          <w:i/>
          <w:sz w:val="24"/>
          <w:szCs w:val="24"/>
        </w:rPr>
        <w:t>T</w:t>
      </w:r>
      <w:r w:rsidR="003649AE">
        <w:rPr>
          <w:i/>
          <w:sz w:val="24"/>
          <w:szCs w:val="24"/>
        </w:rPr>
        <w:t>.</w:t>
      </w:r>
      <w:r w:rsidRPr="00F17E8E">
        <w:rPr>
          <w:i/>
          <w:sz w:val="24"/>
          <w:szCs w:val="24"/>
        </w:rPr>
        <w:t xml:space="preserve"> gondii</w:t>
      </w:r>
      <w:r w:rsidRPr="00BB079F">
        <w:rPr>
          <w:sz w:val="24"/>
          <w:szCs w:val="24"/>
        </w:rPr>
        <w:t xml:space="preserve"> in natural populations of wood mice (</w:t>
      </w:r>
      <w:r w:rsidRPr="00BB079F">
        <w:rPr>
          <w:i/>
          <w:sz w:val="24"/>
          <w:szCs w:val="24"/>
        </w:rPr>
        <w:t>Apodemus sylvaticus</w:t>
      </w:r>
      <w:r w:rsidRPr="00BB079F">
        <w:rPr>
          <w:sz w:val="24"/>
          <w:szCs w:val="24"/>
        </w:rPr>
        <w:t>) in an area relatively free of cats with less than 2.5 cats per km</w:t>
      </w:r>
      <w:r w:rsidRPr="00BB079F">
        <w:rPr>
          <w:sz w:val="24"/>
          <w:szCs w:val="24"/>
          <w:vertAlign w:val="superscript"/>
        </w:rPr>
        <w:t>2</w:t>
      </w:r>
      <w:r w:rsidRPr="00BB079F">
        <w:rPr>
          <w:sz w:val="24"/>
          <w:szCs w:val="24"/>
        </w:rPr>
        <w:t xml:space="preserve"> </w:t>
      </w:r>
      <w:r w:rsidR="009B701E">
        <w:rPr>
          <w:sz w:val="24"/>
          <w:szCs w:val="24"/>
        </w:rPr>
        <w:t>(</w:t>
      </w:r>
      <w:r w:rsidR="00D137E6">
        <w:rPr>
          <w:sz w:val="24"/>
          <w:szCs w:val="24"/>
        </w:rPr>
        <w:t xml:space="preserve">Hughes </w:t>
      </w:r>
      <w:r w:rsidR="00D137E6">
        <w:rPr>
          <w:i/>
          <w:sz w:val="24"/>
          <w:szCs w:val="24"/>
        </w:rPr>
        <w:t>et al</w:t>
      </w:r>
      <w:r w:rsidR="00D137E6">
        <w:rPr>
          <w:sz w:val="24"/>
          <w:szCs w:val="24"/>
        </w:rPr>
        <w:t>. 2008</w:t>
      </w:r>
      <w:r w:rsidR="009B701E">
        <w:rPr>
          <w:sz w:val="24"/>
          <w:szCs w:val="24"/>
        </w:rPr>
        <w:t>)</w:t>
      </w:r>
      <w:r w:rsidRPr="00BB079F">
        <w:rPr>
          <w:sz w:val="24"/>
          <w:szCs w:val="24"/>
        </w:rPr>
        <w:t xml:space="preserve">. Despite the absence of cats, we observed a very high prevalence of the parasite, with 34.92% (95% CI: 27.14%-43.59%) of all mice </w:t>
      </w:r>
      <w:r w:rsidR="00B02773">
        <w:rPr>
          <w:sz w:val="24"/>
          <w:szCs w:val="24"/>
        </w:rPr>
        <w:t>being</w:t>
      </w:r>
      <w:r w:rsidR="00B02773" w:rsidRPr="00BB079F">
        <w:rPr>
          <w:sz w:val="24"/>
          <w:szCs w:val="24"/>
        </w:rPr>
        <w:t xml:space="preserve"> </w:t>
      </w:r>
      <w:r w:rsidRPr="00BB079F">
        <w:rPr>
          <w:sz w:val="24"/>
          <w:szCs w:val="24"/>
        </w:rPr>
        <w:t xml:space="preserve">infected. This is similar to a previous study on a different set of </w:t>
      </w:r>
      <w:r w:rsidR="00375EFF">
        <w:rPr>
          <w:i/>
          <w:sz w:val="24"/>
          <w:szCs w:val="24"/>
        </w:rPr>
        <w:t>A. sylvaticus</w:t>
      </w:r>
      <w:r w:rsidR="00375EFF">
        <w:rPr>
          <w:sz w:val="24"/>
          <w:szCs w:val="24"/>
        </w:rPr>
        <w:t xml:space="preserve"> caught</w:t>
      </w:r>
      <w:r w:rsidRPr="00BB079F">
        <w:rPr>
          <w:sz w:val="24"/>
          <w:szCs w:val="24"/>
        </w:rPr>
        <w:t xml:space="preserve"> in the same location which found that 40.78% of mice harboured the parasite </w:t>
      </w:r>
      <w:r w:rsidR="009B701E">
        <w:rPr>
          <w:sz w:val="24"/>
          <w:szCs w:val="24"/>
        </w:rPr>
        <w:t>(</w:t>
      </w:r>
      <w:r w:rsidR="00D137E6">
        <w:rPr>
          <w:sz w:val="24"/>
          <w:szCs w:val="24"/>
        </w:rPr>
        <w:t xml:space="preserve">Thomasson </w:t>
      </w:r>
      <w:r w:rsidR="00D137E6">
        <w:rPr>
          <w:i/>
          <w:sz w:val="24"/>
          <w:szCs w:val="24"/>
        </w:rPr>
        <w:t>et al</w:t>
      </w:r>
      <w:r w:rsidR="00D137E6">
        <w:rPr>
          <w:sz w:val="24"/>
          <w:szCs w:val="24"/>
        </w:rPr>
        <w:t>. 2011</w:t>
      </w:r>
      <w:r w:rsidR="009B701E">
        <w:rPr>
          <w:sz w:val="24"/>
          <w:szCs w:val="24"/>
        </w:rPr>
        <w:t>)</w:t>
      </w:r>
      <w:r w:rsidRPr="00BB079F">
        <w:rPr>
          <w:sz w:val="24"/>
          <w:szCs w:val="24"/>
        </w:rPr>
        <w:t>. The results of both studies are, however, in contrast with a study on wild rodents</w:t>
      </w:r>
      <w:r w:rsidR="00375EFF">
        <w:rPr>
          <w:sz w:val="24"/>
          <w:szCs w:val="24"/>
        </w:rPr>
        <w:t>,</w:t>
      </w:r>
      <w:r w:rsidRPr="00BB079F">
        <w:rPr>
          <w:sz w:val="24"/>
          <w:szCs w:val="24"/>
        </w:rPr>
        <w:t xml:space="preserve"> from Germany, whe</w:t>
      </w:r>
      <w:r w:rsidR="00375EFF">
        <w:rPr>
          <w:sz w:val="24"/>
          <w:szCs w:val="24"/>
        </w:rPr>
        <w:t>re</w:t>
      </w:r>
      <w:r w:rsidRPr="00BB079F">
        <w:rPr>
          <w:sz w:val="24"/>
          <w:szCs w:val="24"/>
        </w:rPr>
        <w:t xml:space="preserve"> they found 0% prevalence in field mice, shrews and voles </w:t>
      </w:r>
      <w:r w:rsidR="009B701E">
        <w:rPr>
          <w:sz w:val="24"/>
          <w:szCs w:val="24"/>
        </w:rPr>
        <w:t>(</w:t>
      </w:r>
      <w:r w:rsidR="00D137E6">
        <w:rPr>
          <w:sz w:val="24"/>
          <w:szCs w:val="24"/>
        </w:rPr>
        <w:t xml:space="preserve">Herrmann </w:t>
      </w:r>
      <w:r w:rsidR="00D137E6">
        <w:rPr>
          <w:i/>
          <w:sz w:val="24"/>
          <w:szCs w:val="24"/>
        </w:rPr>
        <w:t>et al</w:t>
      </w:r>
      <w:r w:rsidR="00D137E6">
        <w:rPr>
          <w:sz w:val="24"/>
          <w:szCs w:val="24"/>
        </w:rPr>
        <w:t>. 2012</w:t>
      </w:r>
      <w:r w:rsidR="009B701E">
        <w:rPr>
          <w:sz w:val="24"/>
          <w:szCs w:val="24"/>
        </w:rPr>
        <w:t>)</w:t>
      </w:r>
      <w:r w:rsidRPr="00BB079F">
        <w:rPr>
          <w:sz w:val="24"/>
          <w:szCs w:val="24"/>
        </w:rPr>
        <w:t xml:space="preserve">. The prevalences in small mammals in Europe vary, depending upon the </w:t>
      </w:r>
      <w:r w:rsidR="00375EFF">
        <w:rPr>
          <w:sz w:val="24"/>
          <w:szCs w:val="24"/>
        </w:rPr>
        <w:t xml:space="preserve">rodent </w:t>
      </w:r>
      <w:r w:rsidRPr="00BB079F">
        <w:rPr>
          <w:sz w:val="24"/>
          <w:szCs w:val="24"/>
        </w:rPr>
        <w:t>species</w:t>
      </w:r>
      <w:r w:rsidR="00375EFF">
        <w:rPr>
          <w:sz w:val="24"/>
          <w:szCs w:val="24"/>
        </w:rPr>
        <w:t>, detection technique used</w:t>
      </w:r>
      <w:r w:rsidRPr="00BB079F">
        <w:rPr>
          <w:sz w:val="24"/>
          <w:szCs w:val="24"/>
        </w:rPr>
        <w:t xml:space="preserve"> and </w:t>
      </w:r>
      <w:r w:rsidR="00375EFF">
        <w:rPr>
          <w:sz w:val="24"/>
          <w:szCs w:val="24"/>
        </w:rPr>
        <w:t>location</w:t>
      </w:r>
      <w:r w:rsidR="00375EFF" w:rsidRPr="00BB079F">
        <w:rPr>
          <w:sz w:val="24"/>
          <w:szCs w:val="24"/>
        </w:rPr>
        <w:t xml:space="preserve"> </w:t>
      </w:r>
      <w:r w:rsidRPr="00BB079F">
        <w:rPr>
          <w:sz w:val="24"/>
          <w:szCs w:val="24"/>
        </w:rPr>
        <w:t xml:space="preserve">where the </w:t>
      </w:r>
      <w:r w:rsidR="00375EFF">
        <w:rPr>
          <w:sz w:val="24"/>
          <w:szCs w:val="24"/>
        </w:rPr>
        <w:t>study</w:t>
      </w:r>
      <w:r w:rsidR="00375EFF" w:rsidRPr="00BB079F">
        <w:rPr>
          <w:sz w:val="24"/>
          <w:szCs w:val="24"/>
        </w:rPr>
        <w:t xml:space="preserve"> </w:t>
      </w:r>
      <w:r w:rsidRPr="00BB079F">
        <w:rPr>
          <w:sz w:val="24"/>
          <w:szCs w:val="24"/>
        </w:rPr>
        <w:t xml:space="preserve">was </w:t>
      </w:r>
      <w:r w:rsidR="00375EFF">
        <w:rPr>
          <w:sz w:val="24"/>
          <w:szCs w:val="24"/>
        </w:rPr>
        <w:t>conducted</w:t>
      </w:r>
      <w:r w:rsidRPr="00BB079F">
        <w:rPr>
          <w:sz w:val="24"/>
          <w:szCs w:val="24"/>
        </w:rPr>
        <w:t xml:space="preserve">.   In </w:t>
      </w:r>
      <w:r w:rsidR="00375EFF">
        <w:rPr>
          <w:sz w:val="24"/>
          <w:szCs w:val="24"/>
        </w:rPr>
        <w:t xml:space="preserve">a </w:t>
      </w:r>
      <w:r w:rsidRPr="00BB079F">
        <w:rPr>
          <w:sz w:val="24"/>
          <w:szCs w:val="24"/>
        </w:rPr>
        <w:t>similar</w:t>
      </w:r>
      <w:r w:rsidR="00375EFF">
        <w:rPr>
          <w:sz w:val="24"/>
          <w:szCs w:val="24"/>
        </w:rPr>
        <w:t>,</w:t>
      </w:r>
      <w:r w:rsidRPr="00BB079F">
        <w:rPr>
          <w:sz w:val="24"/>
          <w:szCs w:val="24"/>
        </w:rPr>
        <w:t xml:space="preserve"> PCR based</w:t>
      </w:r>
      <w:r w:rsidR="00375EFF">
        <w:rPr>
          <w:sz w:val="24"/>
          <w:szCs w:val="24"/>
        </w:rPr>
        <w:t>,</w:t>
      </w:r>
      <w:r w:rsidRPr="00BB079F">
        <w:rPr>
          <w:sz w:val="24"/>
          <w:szCs w:val="24"/>
        </w:rPr>
        <w:t xml:space="preserve"> recent study 0.7% of </w:t>
      </w:r>
      <w:r w:rsidR="00BC2A84">
        <w:rPr>
          <w:i/>
          <w:sz w:val="24"/>
          <w:szCs w:val="24"/>
        </w:rPr>
        <w:t>Microtus</w:t>
      </w:r>
      <w:r w:rsidRPr="00BB079F">
        <w:rPr>
          <w:sz w:val="24"/>
          <w:szCs w:val="24"/>
        </w:rPr>
        <w:t xml:space="preserve"> </w:t>
      </w:r>
      <w:r w:rsidRPr="00BB079F">
        <w:rPr>
          <w:i/>
          <w:sz w:val="24"/>
          <w:szCs w:val="24"/>
        </w:rPr>
        <w:t>arvalis</w:t>
      </w:r>
      <w:r w:rsidRPr="00BB079F">
        <w:rPr>
          <w:sz w:val="24"/>
          <w:szCs w:val="24"/>
        </w:rPr>
        <w:t xml:space="preserve"> in Austria were positive </w:t>
      </w:r>
      <w:r w:rsidR="009B701E">
        <w:rPr>
          <w:sz w:val="24"/>
          <w:szCs w:val="24"/>
        </w:rPr>
        <w:t>(</w:t>
      </w:r>
      <w:r w:rsidR="00D137E6">
        <w:rPr>
          <w:sz w:val="24"/>
          <w:szCs w:val="24"/>
        </w:rPr>
        <w:t xml:space="preserve">Fuehrer </w:t>
      </w:r>
      <w:r w:rsidR="00D137E6">
        <w:rPr>
          <w:i/>
          <w:sz w:val="24"/>
          <w:szCs w:val="24"/>
        </w:rPr>
        <w:t xml:space="preserve">et al. </w:t>
      </w:r>
      <w:r w:rsidR="00D137E6">
        <w:rPr>
          <w:sz w:val="24"/>
          <w:szCs w:val="24"/>
        </w:rPr>
        <w:t>2010</w:t>
      </w:r>
      <w:r w:rsidR="009B701E">
        <w:rPr>
          <w:sz w:val="24"/>
          <w:szCs w:val="24"/>
        </w:rPr>
        <w:t>)</w:t>
      </w:r>
      <w:r w:rsidRPr="00BB079F">
        <w:rPr>
          <w:sz w:val="24"/>
          <w:szCs w:val="24"/>
        </w:rPr>
        <w:t>. Some serological studies show high prevalences in natural populations of small mammals, for example, in the Ardennes (France), the prevalence in shrews (</w:t>
      </w:r>
      <w:r w:rsidRPr="00BB079F">
        <w:rPr>
          <w:i/>
          <w:sz w:val="24"/>
          <w:szCs w:val="24"/>
        </w:rPr>
        <w:t>Sorex sp</w:t>
      </w:r>
      <w:r w:rsidR="00B02773">
        <w:rPr>
          <w:i/>
          <w:sz w:val="24"/>
          <w:szCs w:val="24"/>
        </w:rPr>
        <w:t>p</w:t>
      </w:r>
      <w:r w:rsidRPr="00BB079F">
        <w:rPr>
          <w:sz w:val="24"/>
          <w:szCs w:val="24"/>
        </w:rPr>
        <w:t>.) was 60%, moles (</w:t>
      </w:r>
      <w:r w:rsidRPr="00BB079F">
        <w:rPr>
          <w:i/>
          <w:sz w:val="24"/>
          <w:szCs w:val="24"/>
        </w:rPr>
        <w:t>Talpa europaea</w:t>
      </w:r>
      <w:r w:rsidR="00A60980">
        <w:rPr>
          <w:sz w:val="24"/>
          <w:szCs w:val="24"/>
        </w:rPr>
        <w:t>) 39%</w:t>
      </w:r>
      <w:r w:rsidRPr="00BB079F">
        <w:rPr>
          <w:sz w:val="24"/>
          <w:szCs w:val="24"/>
        </w:rPr>
        <w:t xml:space="preserve"> and voles (</w:t>
      </w:r>
      <w:r w:rsidRPr="00BB079F">
        <w:rPr>
          <w:i/>
          <w:sz w:val="24"/>
          <w:szCs w:val="24"/>
        </w:rPr>
        <w:t>Arvicola terrestris</w:t>
      </w:r>
      <w:r w:rsidRPr="00BB079F">
        <w:rPr>
          <w:sz w:val="24"/>
          <w:szCs w:val="24"/>
        </w:rPr>
        <w:t xml:space="preserve">) 39% </w:t>
      </w:r>
      <w:r w:rsidR="009B701E">
        <w:rPr>
          <w:sz w:val="24"/>
          <w:szCs w:val="24"/>
        </w:rPr>
        <w:t>(</w:t>
      </w:r>
      <w:r w:rsidR="00D137E6">
        <w:rPr>
          <w:sz w:val="24"/>
          <w:szCs w:val="24"/>
        </w:rPr>
        <w:t xml:space="preserve">Afonso </w:t>
      </w:r>
      <w:r w:rsidR="00D137E6">
        <w:rPr>
          <w:i/>
          <w:sz w:val="24"/>
          <w:szCs w:val="24"/>
        </w:rPr>
        <w:t>et al</w:t>
      </w:r>
      <w:r w:rsidR="00D137E6">
        <w:rPr>
          <w:sz w:val="24"/>
          <w:szCs w:val="24"/>
        </w:rPr>
        <w:t>. 2007</w:t>
      </w:r>
      <w:r w:rsidR="009B701E">
        <w:rPr>
          <w:sz w:val="24"/>
          <w:szCs w:val="24"/>
        </w:rPr>
        <w:t>)</w:t>
      </w:r>
      <w:r w:rsidR="00C43B29">
        <w:rPr>
          <w:sz w:val="24"/>
          <w:szCs w:val="24"/>
        </w:rPr>
        <w:t xml:space="preserve">, with a later study </w:t>
      </w:r>
      <w:r w:rsidR="00DF2CEC">
        <w:rPr>
          <w:sz w:val="24"/>
          <w:szCs w:val="24"/>
        </w:rPr>
        <w:t>by the same authors showing a lower</w:t>
      </w:r>
      <w:r w:rsidR="00C43B29">
        <w:rPr>
          <w:sz w:val="24"/>
          <w:szCs w:val="24"/>
        </w:rPr>
        <w:t xml:space="preserve"> </w:t>
      </w:r>
      <w:r w:rsidR="00DF2CEC">
        <w:rPr>
          <w:sz w:val="24"/>
          <w:szCs w:val="24"/>
        </w:rPr>
        <w:t xml:space="preserve">prevalence </w:t>
      </w:r>
      <w:r w:rsidR="00C43B29">
        <w:rPr>
          <w:sz w:val="24"/>
          <w:szCs w:val="24"/>
        </w:rPr>
        <w:t>in</w:t>
      </w:r>
      <w:r w:rsidR="00DF2CEC">
        <w:rPr>
          <w:sz w:val="24"/>
          <w:szCs w:val="24"/>
        </w:rPr>
        <w:t xml:space="preserve"> the aforementioned species and only 2.5% in</w:t>
      </w:r>
      <w:r w:rsidR="00C43B29">
        <w:rPr>
          <w:sz w:val="24"/>
          <w:szCs w:val="24"/>
        </w:rPr>
        <w:t xml:space="preserve"> </w:t>
      </w:r>
      <w:r w:rsidR="00DF2CEC">
        <w:rPr>
          <w:i/>
          <w:sz w:val="24"/>
          <w:szCs w:val="24"/>
        </w:rPr>
        <w:t>A</w:t>
      </w:r>
      <w:r w:rsidR="003649AE">
        <w:rPr>
          <w:i/>
          <w:sz w:val="24"/>
          <w:szCs w:val="24"/>
        </w:rPr>
        <w:t>.</w:t>
      </w:r>
      <w:r w:rsidR="00DF2CEC">
        <w:rPr>
          <w:i/>
          <w:sz w:val="24"/>
          <w:szCs w:val="24"/>
        </w:rPr>
        <w:t xml:space="preserve"> sylvaticus </w:t>
      </w:r>
      <w:r w:rsidR="009B701E">
        <w:rPr>
          <w:sz w:val="24"/>
          <w:szCs w:val="24"/>
        </w:rPr>
        <w:t>(</w:t>
      </w:r>
      <w:r w:rsidR="00A60980">
        <w:rPr>
          <w:sz w:val="24"/>
          <w:szCs w:val="24"/>
        </w:rPr>
        <w:t>Gotteland</w:t>
      </w:r>
      <w:r w:rsidR="00D137E6">
        <w:rPr>
          <w:i/>
          <w:sz w:val="24"/>
          <w:szCs w:val="24"/>
        </w:rPr>
        <w:t xml:space="preserve"> et al.</w:t>
      </w:r>
      <w:r w:rsidR="00D137E6">
        <w:rPr>
          <w:sz w:val="24"/>
          <w:szCs w:val="24"/>
        </w:rPr>
        <w:t xml:space="preserve"> 2014</w:t>
      </w:r>
      <w:r w:rsidR="009B701E">
        <w:rPr>
          <w:sz w:val="24"/>
          <w:szCs w:val="24"/>
        </w:rPr>
        <w:t>)</w:t>
      </w:r>
      <w:r w:rsidRPr="00BB079F">
        <w:rPr>
          <w:sz w:val="24"/>
          <w:szCs w:val="24"/>
        </w:rPr>
        <w:t xml:space="preserve">. Higher seroprevalence </w:t>
      </w:r>
      <w:r w:rsidR="00DF2CEC">
        <w:rPr>
          <w:sz w:val="24"/>
          <w:szCs w:val="24"/>
        </w:rPr>
        <w:t>was</w:t>
      </w:r>
      <w:r w:rsidR="00DF2CEC" w:rsidRPr="00BB079F">
        <w:rPr>
          <w:sz w:val="24"/>
          <w:szCs w:val="24"/>
        </w:rPr>
        <w:t xml:space="preserve"> </w:t>
      </w:r>
      <w:r w:rsidRPr="00BB079F">
        <w:rPr>
          <w:sz w:val="24"/>
          <w:szCs w:val="24"/>
        </w:rPr>
        <w:t xml:space="preserve">also observed in North America in </w:t>
      </w:r>
      <w:r w:rsidRPr="00BB079F">
        <w:rPr>
          <w:i/>
          <w:sz w:val="24"/>
          <w:szCs w:val="24"/>
        </w:rPr>
        <w:t>Peromyscus sp</w:t>
      </w:r>
      <w:r w:rsidR="00425092">
        <w:rPr>
          <w:i/>
          <w:sz w:val="24"/>
          <w:szCs w:val="24"/>
        </w:rPr>
        <w:t>p</w:t>
      </w:r>
      <w:r w:rsidRPr="00BB079F">
        <w:rPr>
          <w:sz w:val="24"/>
          <w:szCs w:val="24"/>
        </w:rPr>
        <w:t xml:space="preserve">., (between 23 – 31 %) while </w:t>
      </w:r>
      <w:r w:rsidR="00B02773">
        <w:rPr>
          <w:sz w:val="24"/>
          <w:szCs w:val="24"/>
        </w:rPr>
        <w:t xml:space="preserve">in another study </w:t>
      </w:r>
      <w:r w:rsidRPr="00BB079F">
        <w:rPr>
          <w:sz w:val="24"/>
          <w:szCs w:val="24"/>
        </w:rPr>
        <w:t xml:space="preserve">the species </w:t>
      </w:r>
      <w:r w:rsidRPr="00BB079F">
        <w:rPr>
          <w:i/>
          <w:sz w:val="24"/>
          <w:szCs w:val="24"/>
        </w:rPr>
        <w:t>M</w:t>
      </w:r>
      <w:r w:rsidR="003649AE">
        <w:rPr>
          <w:i/>
          <w:sz w:val="24"/>
          <w:szCs w:val="24"/>
        </w:rPr>
        <w:t>.</w:t>
      </w:r>
      <w:r w:rsidRPr="00BB079F">
        <w:rPr>
          <w:i/>
          <w:sz w:val="24"/>
          <w:szCs w:val="24"/>
        </w:rPr>
        <w:t xml:space="preserve"> musculus</w:t>
      </w:r>
      <w:r w:rsidRPr="00BB079F">
        <w:rPr>
          <w:sz w:val="24"/>
          <w:szCs w:val="24"/>
        </w:rPr>
        <w:t xml:space="preserve"> and </w:t>
      </w:r>
      <w:r w:rsidRPr="00BB079F">
        <w:rPr>
          <w:i/>
          <w:sz w:val="24"/>
          <w:szCs w:val="24"/>
        </w:rPr>
        <w:t>Microtus californicus</w:t>
      </w:r>
      <w:r w:rsidRPr="00BB079F">
        <w:rPr>
          <w:sz w:val="24"/>
          <w:szCs w:val="24"/>
        </w:rPr>
        <w:t xml:space="preserve"> were negative </w:t>
      </w:r>
      <w:r w:rsidR="009B701E">
        <w:rPr>
          <w:sz w:val="24"/>
          <w:szCs w:val="24"/>
        </w:rPr>
        <w:t>(</w:t>
      </w:r>
      <w:r w:rsidR="00D137E6">
        <w:rPr>
          <w:sz w:val="24"/>
          <w:szCs w:val="24"/>
        </w:rPr>
        <w:t xml:space="preserve">Dabritz </w:t>
      </w:r>
      <w:r w:rsidR="00D137E6">
        <w:rPr>
          <w:i/>
          <w:sz w:val="24"/>
          <w:szCs w:val="24"/>
        </w:rPr>
        <w:t xml:space="preserve"> et al</w:t>
      </w:r>
      <w:r w:rsidR="00D137E6">
        <w:rPr>
          <w:sz w:val="24"/>
          <w:szCs w:val="24"/>
        </w:rPr>
        <w:t>. 2008</w:t>
      </w:r>
      <w:r w:rsidR="009B701E">
        <w:rPr>
          <w:sz w:val="24"/>
          <w:szCs w:val="24"/>
        </w:rPr>
        <w:t>)</w:t>
      </w:r>
      <w:r w:rsidRPr="00BB079F">
        <w:rPr>
          <w:sz w:val="24"/>
          <w:szCs w:val="24"/>
        </w:rPr>
        <w:t xml:space="preserve">. </w:t>
      </w:r>
    </w:p>
    <w:p w:rsidR="00511A31" w:rsidRDefault="00BB079F" w:rsidP="00BB079F">
      <w:pPr>
        <w:spacing w:line="360" w:lineRule="auto"/>
        <w:jc w:val="both"/>
        <w:rPr>
          <w:sz w:val="24"/>
          <w:szCs w:val="24"/>
        </w:rPr>
      </w:pPr>
      <w:r w:rsidRPr="00BB079F">
        <w:rPr>
          <w:sz w:val="24"/>
          <w:szCs w:val="24"/>
        </w:rPr>
        <w:t xml:space="preserve">Little is known of genotypes of </w:t>
      </w:r>
      <w:r w:rsidRPr="00BB079F">
        <w:rPr>
          <w:i/>
          <w:sz w:val="24"/>
          <w:szCs w:val="24"/>
        </w:rPr>
        <w:t>T. gondii</w:t>
      </w:r>
      <w:r w:rsidRPr="00BB079F">
        <w:rPr>
          <w:sz w:val="24"/>
          <w:szCs w:val="24"/>
        </w:rPr>
        <w:t xml:space="preserve"> circulating in wild populations of </w:t>
      </w:r>
      <w:r w:rsidRPr="00BB079F">
        <w:rPr>
          <w:i/>
          <w:sz w:val="24"/>
          <w:szCs w:val="24"/>
        </w:rPr>
        <w:t>Apodemus</w:t>
      </w:r>
      <w:r w:rsidRPr="00BB079F">
        <w:rPr>
          <w:sz w:val="24"/>
          <w:szCs w:val="24"/>
        </w:rPr>
        <w:t xml:space="preserve">. In our study, </w:t>
      </w:r>
      <w:r w:rsidR="00D137E6">
        <w:rPr>
          <w:sz w:val="24"/>
          <w:szCs w:val="24"/>
        </w:rPr>
        <w:t>Type II and III banding patterns were the most common in the infected animals. However, interestingly, detailed analysis of banding patterns indicated</w:t>
      </w:r>
      <w:r w:rsidR="00296137">
        <w:rPr>
          <w:sz w:val="24"/>
          <w:szCs w:val="24"/>
        </w:rPr>
        <w:t xml:space="preserve"> that possible mixed strain infections might be occurring in this population of wood</w:t>
      </w:r>
      <w:r w:rsidR="00A60980">
        <w:rPr>
          <w:sz w:val="24"/>
          <w:szCs w:val="24"/>
        </w:rPr>
        <w:t xml:space="preserve"> </w:t>
      </w:r>
      <w:r w:rsidR="00296137">
        <w:rPr>
          <w:sz w:val="24"/>
          <w:szCs w:val="24"/>
        </w:rPr>
        <w:t>mice. I</w:t>
      </w:r>
      <w:r w:rsidRPr="00BB079F">
        <w:rPr>
          <w:sz w:val="24"/>
          <w:szCs w:val="24"/>
        </w:rPr>
        <w:t xml:space="preserve">t is commonplace to assign genotypes using a 10 RFLP system </w:t>
      </w:r>
      <w:r w:rsidR="009B701E">
        <w:rPr>
          <w:sz w:val="24"/>
          <w:szCs w:val="24"/>
        </w:rPr>
        <w:t>(</w:t>
      </w:r>
      <w:r w:rsidR="00296137">
        <w:rPr>
          <w:sz w:val="24"/>
          <w:szCs w:val="24"/>
        </w:rPr>
        <w:t xml:space="preserve">Su </w:t>
      </w:r>
      <w:r w:rsidR="00296137">
        <w:rPr>
          <w:i/>
          <w:sz w:val="24"/>
          <w:szCs w:val="24"/>
        </w:rPr>
        <w:t>et al</w:t>
      </w:r>
      <w:r w:rsidR="00296137">
        <w:rPr>
          <w:sz w:val="24"/>
          <w:szCs w:val="24"/>
        </w:rPr>
        <w:t xml:space="preserve">. 2006; Shwab </w:t>
      </w:r>
      <w:r w:rsidR="00296137">
        <w:rPr>
          <w:i/>
          <w:sz w:val="24"/>
          <w:szCs w:val="24"/>
        </w:rPr>
        <w:t>et al</w:t>
      </w:r>
      <w:r w:rsidR="00296137">
        <w:rPr>
          <w:sz w:val="24"/>
          <w:szCs w:val="24"/>
        </w:rPr>
        <w:t>. 2013</w:t>
      </w:r>
      <w:r w:rsidR="009B701E">
        <w:rPr>
          <w:sz w:val="24"/>
          <w:szCs w:val="24"/>
        </w:rPr>
        <w:t>)</w:t>
      </w:r>
      <w:r w:rsidRPr="00BB079F">
        <w:rPr>
          <w:sz w:val="24"/>
          <w:szCs w:val="24"/>
        </w:rPr>
        <w:t xml:space="preserve"> however; it was not possible for us to assign such a system to these mice due to an inability to </w:t>
      </w:r>
      <w:r w:rsidR="007A6D8D">
        <w:rPr>
          <w:sz w:val="24"/>
          <w:szCs w:val="24"/>
        </w:rPr>
        <w:t xml:space="preserve">consistently </w:t>
      </w:r>
      <w:r w:rsidRPr="00BB079F">
        <w:rPr>
          <w:sz w:val="24"/>
          <w:szCs w:val="24"/>
        </w:rPr>
        <w:t xml:space="preserve">amplify the other markers directly from these tissue samples. </w:t>
      </w:r>
      <w:r w:rsidR="00511A31">
        <w:rPr>
          <w:sz w:val="24"/>
          <w:szCs w:val="24"/>
        </w:rPr>
        <w:t>Furthermore, there was not the opportunity for us to isolate viable parasites to verify to presence of mixed strains</w:t>
      </w:r>
      <w:r w:rsidRPr="00BB079F">
        <w:rPr>
          <w:sz w:val="24"/>
          <w:szCs w:val="24"/>
        </w:rPr>
        <w:t xml:space="preserve">. </w:t>
      </w:r>
      <w:r w:rsidR="006D0AD9">
        <w:rPr>
          <w:sz w:val="24"/>
          <w:szCs w:val="24"/>
        </w:rPr>
        <w:t>As mixed genotypes have rarely</w:t>
      </w:r>
      <w:r w:rsidR="00BD3FF2">
        <w:rPr>
          <w:sz w:val="24"/>
          <w:szCs w:val="24"/>
        </w:rPr>
        <w:t xml:space="preserve"> been reported before, this is</w:t>
      </w:r>
      <w:r w:rsidR="006D0AD9">
        <w:rPr>
          <w:sz w:val="24"/>
          <w:szCs w:val="24"/>
        </w:rPr>
        <w:t xml:space="preserve"> potentially</w:t>
      </w:r>
      <w:r w:rsidR="00BD3FF2">
        <w:rPr>
          <w:sz w:val="24"/>
          <w:szCs w:val="24"/>
        </w:rPr>
        <w:t xml:space="preserve"> a</w:t>
      </w:r>
      <w:r w:rsidR="006D0AD9">
        <w:rPr>
          <w:sz w:val="24"/>
          <w:szCs w:val="24"/>
        </w:rPr>
        <w:t xml:space="preserve"> very interesting observation</w:t>
      </w:r>
      <w:r w:rsidR="00511A31">
        <w:rPr>
          <w:sz w:val="24"/>
          <w:szCs w:val="24"/>
        </w:rPr>
        <w:t xml:space="preserve"> but requires future investigation to explore in more detail</w:t>
      </w:r>
      <w:r w:rsidR="006D0AD9">
        <w:rPr>
          <w:sz w:val="24"/>
          <w:szCs w:val="24"/>
        </w:rPr>
        <w:t xml:space="preserve">. </w:t>
      </w:r>
    </w:p>
    <w:p w:rsidR="00BB079F" w:rsidRPr="00BB079F" w:rsidRDefault="00BB079F" w:rsidP="00BB079F">
      <w:pPr>
        <w:spacing w:line="360" w:lineRule="auto"/>
        <w:jc w:val="both"/>
        <w:rPr>
          <w:sz w:val="24"/>
          <w:szCs w:val="24"/>
        </w:rPr>
      </w:pPr>
      <w:r w:rsidRPr="00BB079F">
        <w:rPr>
          <w:sz w:val="24"/>
          <w:szCs w:val="24"/>
        </w:rPr>
        <w:lastRenderedPageBreak/>
        <w:t xml:space="preserve">The </w:t>
      </w:r>
      <w:r w:rsidR="00511A31">
        <w:rPr>
          <w:sz w:val="24"/>
          <w:szCs w:val="24"/>
        </w:rPr>
        <w:t>presence of</w:t>
      </w:r>
      <w:r w:rsidR="00BD3FF2">
        <w:rPr>
          <w:sz w:val="24"/>
          <w:szCs w:val="24"/>
        </w:rPr>
        <w:t xml:space="preserve"> putative</w:t>
      </w:r>
      <w:r w:rsidRPr="00BB079F">
        <w:rPr>
          <w:sz w:val="24"/>
          <w:szCs w:val="24"/>
        </w:rPr>
        <w:t xml:space="preserve"> mixed inf</w:t>
      </w:r>
      <w:r w:rsidR="00511A31">
        <w:rPr>
          <w:sz w:val="24"/>
          <w:szCs w:val="24"/>
        </w:rPr>
        <w:t xml:space="preserve">ections observed in these mice </w:t>
      </w:r>
      <w:r w:rsidRPr="00BB079F">
        <w:rPr>
          <w:sz w:val="24"/>
          <w:szCs w:val="24"/>
        </w:rPr>
        <w:t xml:space="preserve">could possibly be due to recombinant genotypes produced if the </w:t>
      </w:r>
      <w:r w:rsidR="00B02773">
        <w:rPr>
          <w:sz w:val="24"/>
          <w:szCs w:val="24"/>
        </w:rPr>
        <w:t>definitive</w:t>
      </w:r>
      <w:r w:rsidR="00B02773" w:rsidRPr="00BB079F">
        <w:rPr>
          <w:sz w:val="24"/>
          <w:szCs w:val="24"/>
        </w:rPr>
        <w:t xml:space="preserve"> </w:t>
      </w:r>
      <w:r w:rsidRPr="00BB079F">
        <w:rPr>
          <w:sz w:val="24"/>
          <w:szCs w:val="24"/>
        </w:rPr>
        <w:t xml:space="preserve">host is present within the transmission system. Interestingly, in the location studied here, this appears not to be the case as cats have been rarely reported </w:t>
      </w:r>
      <w:r w:rsidR="009B701E">
        <w:rPr>
          <w:sz w:val="24"/>
          <w:szCs w:val="24"/>
        </w:rPr>
        <w:t>(</w:t>
      </w:r>
      <w:r w:rsidR="00511A31">
        <w:rPr>
          <w:sz w:val="24"/>
          <w:szCs w:val="24"/>
        </w:rPr>
        <w:t xml:space="preserve">Hughes </w:t>
      </w:r>
      <w:r w:rsidR="00511A31">
        <w:rPr>
          <w:i/>
          <w:sz w:val="24"/>
          <w:szCs w:val="24"/>
        </w:rPr>
        <w:t>et al</w:t>
      </w:r>
      <w:r w:rsidR="00511A31">
        <w:rPr>
          <w:sz w:val="24"/>
          <w:szCs w:val="24"/>
        </w:rPr>
        <w:t>. 2008</w:t>
      </w:r>
      <w:r w:rsidR="009B701E">
        <w:rPr>
          <w:sz w:val="24"/>
          <w:szCs w:val="24"/>
        </w:rPr>
        <w:t>)</w:t>
      </w:r>
      <w:r w:rsidRPr="00BB079F">
        <w:rPr>
          <w:sz w:val="24"/>
          <w:szCs w:val="24"/>
        </w:rPr>
        <w:t xml:space="preserve">. The routes of transmission operating in this study location are unclear. The </w:t>
      </w:r>
      <w:r w:rsidR="00511A31">
        <w:rPr>
          <w:sz w:val="24"/>
          <w:szCs w:val="24"/>
        </w:rPr>
        <w:t xml:space="preserve">putative </w:t>
      </w:r>
      <w:r w:rsidRPr="00BB079F">
        <w:rPr>
          <w:sz w:val="24"/>
          <w:szCs w:val="24"/>
        </w:rPr>
        <w:t xml:space="preserve">mixed genotypes are suggestive of infection of the </w:t>
      </w:r>
      <w:r w:rsidRPr="00BB079F">
        <w:rPr>
          <w:i/>
          <w:sz w:val="24"/>
          <w:szCs w:val="24"/>
        </w:rPr>
        <w:t xml:space="preserve">Apodemus </w:t>
      </w:r>
      <w:r w:rsidRPr="00BB079F">
        <w:rPr>
          <w:sz w:val="24"/>
          <w:szCs w:val="24"/>
        </w:rPr>
        <w:t>by ingestion of oocysts. However, if that were the case then we would expect an increase in prevalence with age due to older animals having a greater opportunity to contract the infection. But in our study no significant age prevalence effect was observed</w:t>
      </w:r>
      <w:r w:rsidR="000C4570">
        <w:rPr>
          <w:sz w:val="24"/>
          <w:szCs w:val="24"/>
        </w:rPr>
        <w:t>, although this could be due to the difficulty in establishing age in wild wood mice</w:t>
      </w:r>
      <w:r w:rsidR="00A170F8">
        <w:rPr>
          <w:sz w:val="24"/>
          <w:szCs w:val="24"/>
        </w:rPr>
        <w:t xml:space="preserve"> or to other confounding effects</w:t>
      </w:r>
      <w:r w:rsidRPr="00BB079F">
        <w:rPr>
          <w:sz w:val="24"/>
          <w:szCs w:val="24"/>
        </w:rPr>
        <w:t xml:space="preserve">. Interestingly, also, our </w:t>
      </w:r>
      <w:r w:rsidRPr="00BB079F">
        <w:rPr>
          <w:rFonts w:ascii="Calibri" w:hAnsi="Calibri"/>
          <w:sz w:val="24"/>
          <w:szCs w:val="24"/>
        </w:rPr>
        <w:t xml:space="preserve">data suggest that the infection status of </w:t>
      </w:r>
      <w:r w:rsidRPr="00BB079F">
        <w:rPr>
          <w:rFonts w:ascii="Calibri" w:hAnsi="Calibri"/>
          <w:i/>
          <w:iCs/>
          <w:sz w:val="24"/>
          <w:szCs w:val="24"/>
        </w:rPr>
        <w:t>A. sylvaticus</w:t>
      </w:r>
      <w:r w:rsidRPr="00BB079F">
        <w:rPr>
          <w:rFonts w:ascii="Calibri" w:hAnsi="Calibri"/>
          <w:sz w:val="24"/>
          <w:szCs w:val="24"/>
        </w:rPr>
        <w:t xml:space="preserve"> is more closely linked to genetic population structure rather than location. There are several possible interpretations for this. Firstly, different populations have some genetic differences in susceptibility of infection. As far as we can ascertain, there are no examples of this reported</w:t>
      </w:r>
      <w:r w:rsidR="00BC3C6A">
        <w:rPr>
          <w:rFonts w:ascii="Calibri" w:hAnsi="Calibri"/>
          <w:sz w:val="24"/>
          <w:szCs w:val="24"/>
        </w:rPr>
        <w:t>, in wild rodents,</w:t>
      </w:r>
      <w:r w:rsidRPr="00BB079F">
        <w:rPr>
          <w:rFonts w:ascii="Calibri" w:hAnsi="Calibri"/>
          <w:sz w:val="24"/>
          <w:szCs w:val="24"/>
        </w:rPr>
        <w:t xml:space="preserve"> although laboratory studies have shown that inbred lines of rodents differ in their susceptibility to </w:t>
      </w:r>
      <w:r w:rsidRPr="00BB079F">
        <w:rPr>
          <w:rFonts w:ascii="Calibri" w:hAnsi="Calibri"/>
          <w:i/>
          <w:sz w:val="24"/>
          <w:szCs w:val="24"/>
        </w:rPr>
        <w:t>T. gondii</w:t>
      </w:r>
      <w:r w:rsidRPr="00BB079F">
        <w:rPr>
          <w:rFonts w:ascii="Calibri" w:hAnsi="Calibri"/>
          <w:sz w:val="24"/>
          <w:szCs w:val="24"/>
        </w:rPr>
        <w:t xml:space="preserve"> </w:t>
      </w:r>
      <w:r w:rsidR="009B701E">
        <w:rPr>
          <w:rFonts w:ascii="Calibri" w:hAnsi="Calibri"/>
          <w:sz w:val="24"/>
          <w:szCs w:val="24"/>
        </w:rPr>
        <w:t>(</w:t>
      </w:r>
      <w:r w:rsidR="00511A31">
        <w:rPr>
          <w:rFonts w:ascii="Calibri" w:hAnsi="Calibri"/>
          <w:sz w:val="24"/>
          <w:szCs w:val="24"/>
        </w:rPr>
        <w:t xml:space="preserve">Li </w:t>
      </w:r>
      <w:r w:rsidR="00511A31">
        <w:rPr>
          <w:rFonts w:ascii="Calibri" w:hAnsi="Calibri"/>
          <w:i/>
          <w:sz w:val="24"/>
          <w:szCs w:val="24"/>
        </w:rPr>
        <w:t>et al</w:t>
      </w:r>
      <w:r w:rsidR="00511A31">
        <w:rPr>
          <w:rFonts w:ascii="Calibri" w:hAnsi="Calibri"/>
          <w:sz w:val="24"/>
          <w:szCs w:val="24"/>
        </w:rPr>
        <w:t xml:space="preserve">. 2012; Zhao </w:t>
      </w:r>
      <w:r w:rsidR="00511A31">
        <w:rPr>
          <w:rFonts w:ascii="Calibri" w:hAnsi="Calibri"/>
          <w:i/>
          <w:sz w:val="24"/>
          <w:szCs w:val="24"/>
        </w:rPr>
        <w:t>et al</w:t>
      </w:r>
      <w:r w:rsidR="00511A31">
        <w:rPr>
          <w:rFonts w:ascii="Calibri" w:hAnsi="Calibri"/>
          <w:sz w:val="24"/>
          <w:szCs w:val="24"/>
        </w:rPr>
        <w:t>. 2013</w:t>
      </w:r>
      <w:r w:rsidR="00E90084">
        <w:rPr>
          <w:rFonts w:ascii="Calibri" w:hAnsi="Calibri"/>
          <w:sz w:val="24"/>
          <w:szCs w:val="24"/>
        </w:rPr>
        <w:t xml:space="preserve">; Lilue </w:t>
      </w:r>
      <w:r w:rsidR="00E90084">
        <w:rPr>
          <w:rFonts w:ascii="Calibri" w:hAnsi="Calibri"/>
          <w:i/>
          <w:sz w:val="24"/>
          <w:szCs w:val="24"/>
        </w:rPr>
        <w:t>et al</w:t>
      </w:r>
      <w:r w:rsidR="00E90084">
        <w:rPr>
          <w:rFonts w:ascii="Calibri" w:hAnsi="Calibri"/>
          <w:sz w:val="24"/>
          <w:szCs w:val="24"/>
        </w:rPr>
        <w:t>. 2013</w:t>
      </w:r>
      <w:r w:rsidR="009B701E">
        <w:rPr>
          <w:rFonts w:ascii="Calibri" w:hAnsi="Calibri"/>
          <w:sz w:val="24"/>
          <w:szCs w:val="24"/>
        </w:rPr>
        <w:t>)</w:t>
      </w:r>
      <w:r w:rsidRPr="00BB079F">
        <w:rPr>
          <w:rFonts w:ascii="Calibri" w:hAnsi="Calibri"/>
          <w:sz w:val="24"/>
          <w:szCs w:val="24"/>
        </w:rPr>
        <w:t xml:space="preserve">. Another interpretation is that vertical transmission is occurring and that </w:t>
      </w:r>
      <w:r w:rsidRPr="00BB079F">
        <w:rPr>
          <w:rFonts w:ascii="Calibri" w:hAnsi="Calibri"/>
          <w:i/>
          <w:sz w:val="24"/>
          <w:szCs w:val="24"/>
        </w:rPr>
        <w:t xml:space="preserve">T. gondii </w:t>
      </w:r>
      <w:r w:rsidRPr="00BB079F">
        <w:rPr>
          <w:rFonts w:ascii="Calibri" w:hAnsi="Calibri"/>
          <w:sz w:val="24"/>
          <w:szCs w:val="24"/>
        </w:rPr>
        <w:t>is being selectively transmitted through related lineages.</w:t>
      </w:r>
      <w:r w:rsidR="00176920">
        <w:rPr>
          <w:rFonts w:ascii="Calibri" w:hAnsi="Calibri"/>
          <w:sz w:val="24"/>
          <w:szCs w:val="24"/>
        </w:rPr>
        <w:t xml:space="preserve"> In this study, a possibility of addressing this could have been available by tracking parasite genotypes through host genetic populations. However, the mixed genotypes we observed prevented us from testing any association of parasite genotype with host genotype.</w:t>
      </w:r>
      <w:r w:rsidRPr="00BB079F">
        <w:rPr>
          <w:rFonts w:ascii="Calibri" w:hAnsi="Calibri"/>
          <w:sz w:val="24"/>
          <w:szCs w:val="24"/>
        </w:rPr>
        <w:t xml:space="preserve"> There is evidence that </w:t>
      </w:r>
      <w:r w:rsidR="00176920">
        <w:rPr>
          <w:rFonts w:ascii="Calibri" w:hAnsi="Calibri"/>
          <w:sz w:val="24"/>
          <w:szCs w:val="24"/>
        </w:rPr>
        <w:t>vertical transmission</w:t>
      </w:r>
      <w:r w:rsidR="00176920" w:rsidRPr="00BB079F">
        <w:rPr>
          <w:rFonts w:ascii="Calibri" w:hAnsi="Calibri"/>
          <w:sz w:val="24"/>
          <w:szCs w:val="24"/>
        </w:rPr>
        <w:t xml:space="preserve"> </w:t>
      </w:r>
      <w:r w:rsidRPr="00BB079F">
        <w:rPr>
          <w:rFonts w:ascii="Calibri" w:hAnsi="Calibri"/>
          <w:sz w:val="24"/>
          <w:szCs w:val="24"/>
        </w:rPr>
        <w:t xml:space="preserve">can occur in rodents </w:t>
      </w:r>
      <w:r w:rsidR="009B701E">
        <w:rPr>
          <w:rFonts w:ascii="Calibri" w:hAnsi="Calibri"/>
          <w:sz w:val="24"/>
          <w:szCs w:val="24"/>
        </w:rPr>
        <w:t>(</w:t>
      </w:r>
      <w:r w:rsidR="00BD55C6">
        <w:rPr>
          <w:rFonts w:ascii="Calibri" w:hAnsi="Calibri"/>
          <w:sz w:val="24"/>
          <w:szCs w:val="24"/>
        </w:rPr>
        <w:t xml:space="preserve">Marshall </w:t>
      </w:r>
      <w:r w:rsidR="00BD55C6">
        <w:rPr>
          <w:rFonts w:ascii="Calibri" w:hAnsi="Calibri"/>
          <w:i/>
          <w:sz w:val="24"/>
          <w:szCs w:val="24"/>
        </w:rPr>
        <w:t>et al.</w:t>
      </w:r>
      <w:r w:rsidR="00BD55C6">
        <w:rPr>
          <w:rFonts w:ascii="Calibri" w:hAnsi="Calibri"/>
          <w:sz w:val="24"/>
          <w:szCs w:val="24"/>
        </w:rPr>
        <w:t xml:space="preserve"> 2004; </w:t>
      </w:r>
      <w:r w:rsidR="00511A31">
        <w:rPr>
          <w:rFonts w:ascii="Calibri" w:hAnsi="Calibri"/>
          <w:sz w:val="24"/>
          <w:szCs w:val="24"/>
        </w:rPr>
        <w:t xml:space="preserve">Hide </w:t>
      </w:r>
      <w:r w:rsidR="00511A31">
        <w:rPr>
          <w:rFonts w:ascii="Calibri" w:hAnsi="Calibri"/>
          <w:i/>
          <w:sz w:val="24"/>
          <w:szCs w:val="24"/>
        </w:rPr>
        <w:t>et al.</w:t>
      </w:r>
      <w:r w:rsidR="00511A31">
        <w:rPr>
          <w:rFonts w:ascii="Calibri" w:hAnsi="Calibri"/>
          <w:sz w:val="24"/>
          <w:szCs w:val="24"/>
        </w:rPr>
        <w:t xml:space="preserve"> 2009</w:t>
      </w:r>
      <w:r w:rsidR="009B701E">
        <w:rPr>
          <w:rFonts w:ascii="Calibri" w:hAnsi="Calibri"/>
          <w:sz w:val="24"/>
          <w:szCs w:val="24"/>
        </w:rPr>
        <w:t>)</w:t>
      </w:r>
      <w:r w:rsidRPr="00BB079F">
        <w:rPr>
          <w:rFonts w:ascii="Calibri" w:hAnsi="Calibri"/>
          <w:sz w:val="24"/>
          <w:szCs w:val="24"/>
        </w:rPr>
        <w:t xml:space="preserve"> including in </w:t>
      </w:r>
      <w:r w:rsidRPr="00BB079F">
        <w:rPr>
          <w:rFonts w:ascii="Calibri" w:hAnsi="Calibri"/>
          <w:i/>
          <w:sz w:val="24"/>
          <w:szCs w:val="24"/>
        </w:rPr>
        <w:t>Apodemus</w:t>
      </w:r>
      <w:r w:rsidRPr="00BB079F">
        <w:rPr>
          <w:rFonts w:ascii="Calibri" w:hAnsi="Calibri"/>
          <w:sz w:val="24"/>
          <w:szCs w:val="24"/>
        </w:rPr>
        <w:t xml:space="preserve"> </w:t>
      </w:r>
      <w:r w:rsidR="009B701E">
        <w:rPr>
          <w:rFonts w:ascii="Calibri" w:hAnsi="Calibri"/>
          <w:sz w:val="24"/>
          <w:szCs w:val="24"/>
        </w:rPr>
        <w:t>(</w:t>
      </w:r>
      <w:r w:rsidR="00BD55C6">
        <w:rPr>
          <w:rFonts w:ascii="Calibri" w:hAnsi="Calibri"/>
          <w:sz w:val="24"/>
          <w:szCs w:val="24"/>
        </w:rPr>
        <w:t>Owen and Trees, 1998</w:t>
      </w:r>
      <w:r w:rsidR="009B701E">
        <w:rPr>
          <w:rFonts w:ascii="Calibri" w:hAnsi="Calibri"/>
          <w:sz w:val="24"/>
          <w:szCs w:val="24"/>
        </w:rPr>
        <w:t>)</w:t>
      </w:r>
      <w:r w:rsidRPr="00BB079F">
        <w:rPr>
          <w:rFonts w:ascii="Calibri" w:hAnsi="Calibri"/>
          <w:sz w:val="24"/>
          <w:szCs w:val="24"/>
        </w:rPr>
        <w:t xml:space="preserve">. Previous studies on sheep </w:t>
      </w:r>
      <w:r w:rsidR="009B701E">
        <w:rPr>
          <w:rFonts w:ascii="Calibri" w:hAnsi="Calibri"/>
          <w:sz w:val="24"/>
          <w:szCs w:val="24"/>
        </w:rPr>
        <w:t>(</w:t>
      </w:r>
      <w:r w:rsidR="00BD55C6">
        <w:rPr>
          <w:rFonts w:ascii="Calibri" w:hAnsi="Calibri"/>
          <w:sz w:val="24"/>
          <w:szCs w:val="24"/>
        </w:rPr>
        <w:t xml:space="preserve">Morley </w:t>
      </w:r>
      <w:r w:rsidR="00BD55C6">
        <w:rPr>
          <w:rFonts w:ascii="Calibri" w:hAnsi="Calibri"/>
          <w:i/>
          <w:sz w:val="24"/>
          <w:szCs w:val="24"/>
        </w:rPr>
        <w:t>et al</w:t>
      </w:r>
      <w:r w:rsidR="00BD55C6">
        <w:rPr>
          <w:rFonts w:ascii="Calibri" w:hAnsi="Calibri"/>
          <w:sz w:val="24"/>
          <w:szCs w:val="24"/>
        </w:rPr>
        <w:t>. 2005, 2008</w:t>
      </w:r>
      <w:r w:rsidR="009B701E">
        <w:rPr>
          <w:rFonts w:ascii="Calibri" w:hAnsi="Calibri"/>
          <w:sz w:val="24"/>
          <w:szCs w:val="24"/>
        </w:rPr>
        <w:t>)</w:t>
      </w:r>
      <w:r w:rsidRPr="00BB079F">
        <w:rPr>
          <w:rFonts w:ascii="Calibri" w:hAnsi="Calibri"/>
          <w:sz w:val="24"/>
          <w:szCs w:val="24"/>
        </w:rPr>
        <w:t xml:space="preserve"> have shown that when pedigree analysis is carried out on family lineages, there is evidence that the parasite is unevenly distributed amongst families even when they are exposed to the same environment (and therefore, presumably, at the same risk of infection from oocysts). In order to investigate this possibility further in this </w:t>
      </w:r>
      <w:r w:rsidRPr="00BB079F">
        <w:rPr>
          <w:rFonts w:ascii="Calibri" w:hAnsi="Calibri"/>
          <w:i/>
          <w:sz w:val="24"/>
          <w:szCs w:val="24"/>
        </w:rPr>
        <w:t>Apodemus</w:t>
      </w:r>
      <w:r w:rsidRPr="00BB079F">
        <w:rPr>
          <w:rFonts w:ascii="Calibri" w:hAnsi="Calibri"/>
          <w:sz w:val="24"/>
          <w:szCs w:val="24"/>
        </w:rPr>
        <w:t xml:space="preserve"> population, population genetic data was analysed using a program called COLONY which can use microsatellite genotypes to assign sibling pairs to enable construction of family relationships. Unfortunately, </w:t>
      </w:r>
      <w:r w:rsidR="007A6D8D">
        <w:rPr>
          <w:rFonts w:ascii="Calibri" w:hAnsi="Calibri"/>
          <w:sz w:val="24"/>
          <w:szCs w:val="24"/>
        </w:rPr>
        <w:t>many</w:t>
      </w:r>
      <w:r w:rsidRPr="00BB079F">
        <w:rPr>
          <w:rFonts w:ascii="Calibri" w:hAnsi="Calibri"/>
          <w:sz w:val="24"/>
          <w:szCs w:val="24"/>
        </w:rPr>
        <w:t xml:space="preserve"> families </w:t>
      </w:r>
      <w:r w:rsidR="007A6D8D">
        <w:rPr>
          <w:rFonts w:ascii="Calibri" w:hAnsi="Calibri"/>
          <w:sz w:val="24"/>
          <w:szCs w:val="24"/>
        </w:rPr>
        <w:t xml:space="preserve">were </w:t>
      </w:r>
      <w:r w:rsidRPr="00BB079F">
        <w:rPr>
          <w:rFonts w:ascii="Calibri" w:hAnsi="Calibri"/>
          <w:sz w:val="24"/>
          <w:szCs w:val="24"/>
        </w:rPr>
        <w:t>generated suggesting that it would not be possible to get large enough within family sample size</w:t>
      </w:r>
      <w:r w:rsidR="00741F9C">
        <w:rPr>
          <w:rFonts w:ascii="Calibri" w:hAnsi="Calibri"/>
          <w:sz w:val="24"/>
          <w:szCs w:val="24"/>
        </w:rPr>
        <w:t>s</w:t>
      </w:r>
      <w:r w:rsidRPr="00BB079F">
        <w:rPr>
          <w:rFonts w:ascii="Calibri" w:hAnsi="Calibri"/>
          <w:sz w:val="24"/>
          <w:szCs w:val="24"/>
        </w:rPr>
        <w:t xml:space="preserve"> to </w:t>
      </w:r>
      <w:r w:rsidR="00741F9C">
        <w:rPr>
          <w:rFonts w:ascii="Calibri" w:hAnsi="Calibri"/>
          <w:sz w:val="24"/>
          <w:szCs w:val="24"/>
        </w:rPr>
        <w:t xml:space="preserve">statistically </w:t>
      </w:r>
      <w:r w:rsidRPr="00BB079F">
        <w:rPr>
          <w:rFonts w:ascii="Calibri" w:hAnsi="Calibri"/>
          <w:sz w:val="24"/>
          <w:szCs w:val="24"/>
        </w:rPr>
        <w:t xml:space="preserve">address this question. Indeed, </w:t>
      </w:r>
      <w:r w:rsidRPr="00BB079F">
        <w:rPr>
          <w:sz w:val="24"/>
          <w:szCs w:val="24"/>
        </w:rPr>
        <w:t xml:space="preserve">there was no significant difference in prevalence of </w:t>
      </w:r>
      <w:r w:rsidRPr="00BB079F">
        <w:rPr>
          <w:i/>
          <w:iCs/>
          <w:sz w:val="24"/>
          <w:szCs w:val="24"/>
        </w:rPr>
        <w:t xml:space="preserve">T. gondii </w:t>
      </w:r>
      <w:r w:rsidRPr="00BB079F">
        <w:rPr>
          <w:sz w:val="24"/>
          <w:szCs w:val="24"/>
        </w:rPr>
        <w:t xml:space="preserve">between families and the very large 95% confidence intervals suggested that this was almost certainly due to </w:t>
      </w:r>
      <w:r w:rsidRPr="00BB079F">
        <w:rPr>
          <w:sz w:val="24"/>
          <w:szCs w:val="24"/>
        </w:rPr>
        <w:lastRenderedPageBreak/>
        <w:t>small sample sizes</w:t>
      </w:r>
      <w:r w:rsidR="00DF2CEC">
        <w:rPr>
          <w:sz w:val="24"/>
          <w:szCs w:val="24"/>
        </w:rPr>
        <w:t xml:space="preserve"> (n=2 to n=7) </w:t>
      </w:r>
      <w:r w:rsidRPr="00BB079F">
        <w:rPr>
          <w:sz w:val="24"/>
          <w:szCs w:val="24"/>
        </w:rPr>
        <w:t xml:space="preserve"> of mice in each family. To conduct future work on such a very detailed family based analysis like this, on natural populations of </w:t>
      </w:r>
      <w:r w:rsidRPr="00BB079F">
        <w:rPr>
          <w:i/>
          <w:sz w:val="24"/>
          <w:szCs w:val="24"/>
        </w:rPr>
        <w:t>Apodemus</w:t>
      </w:r>
      <w:r w:rsidRPr="00BB079F">
        <w:rPr>
          <w:sz w:val="24"/>
          <w:szCs w:val="24"/>
        </w:rPr>
        <w:t xml:space="preserve">, will involve sampling on a considerably greater scale. </w:t>
      </w:r>
    </w:p>
    <w:p w:rsidR="00BB079F" w:rsidRDefault="00BB079F" w:rsidP="00BB079F">
      <w:pPr>
        <w:spacing w:line="360" w:lineRule="auto"/>
        <w:jc w:val="both"/>
        <w:rPr>
          <w:sz w:val="24"/>
          <w:szCs w:val="24"/>
        </w:rPr>
      </w:pPr>
      <w:r w:rsidRPr="00BB079F">
        <w:rPr>
          <w:sz w:val="24"/>
          <w:szCs w:val="24"/>
        </w:rPr>
        <w:t>Despite the detailed analysis conducted here, it is clear t</w:t>
      </w:r>
      <w:r w:rsidR="004647A6">
        <w:rPr>
          <w:sz w:val="24"/>
          <w:szCs w:val="24"/>
        </w:rPr>
        <w:t xml:space="preserve">hat it will remain difficult to </w:t>
      </w:r>
      <w:r w:rsidRPr="00BB079F">
        <w:rPr>
          <w:sz w:val="24"/>
          <w:szCs w:val="24"/>
        </w:rPr>
        <w:t xml:space="preserve">investigate the importance of the different transmission routes of </w:t>
      </w:r>
      <w:r w:rsidRPr="00BB079F">
        <w:rPr>
          <w:i/>
          <w:sz w:val="24"/>
          <w:szCs w:val="24"/>
        </w:rPr>
        <w:t xml:space="preserve">T. gondii </w:t>
      </w:r>
      <w:r w:rsidRPr="00BB079F">
        <w:rPr>
          <w:sz w:val="24"/>
          <w:szCs w:val="24"/>
        </w:rPr>
        <w:t xml:space="preserve">infection in natural populations of wild animals. The link, reported here, to host genotype is interesting. Whether this reflects some underlying vertical transmission of the parasite or differences in host genetic susceptibility will require further research. It also demonstrates the need for a deeper insight into the mechanics of </w:t>
      </w:r>
      <w:r w:rsidRPr="00BB079F">
        <w:rPr>
          <w:i/>
          <w:sz w:val="24"/>
          <w:szCs w:val="24"/>
        </w:rPr>
        <w:t>T. gondii</w:t>
      </w:r>
      <w:r w:rsidRPr="00BB079F">
        <w:rPr>
          <w:sz w:val="24"/>
          <w:szCs w:val="24"/>
        </w:rPr>
        <w:t xml:space="preserve"> transmission</w:t>
      </w:r>
      <w:r w:rsidR="00741F9C">
        <w:rPr>
          <w:sz w:val="24"/>
          <w:szCs w:val="24"/>
        </w:rPr>
        <w:t>, at a localised level,</w:t>
      </w:r>
      <w:r w:rsidRPr="00BB079F">
        <w:rPr>
          <w:sz w:val="24"/>
          <w:szCs w:val="24"/>
        </w:rPr>
        <w:t xml:space="preserve"> in natural populations of</w:t>
      </w:r>
      <w:r w:rsidR="001E61D2">
        <w:rPr>
          <w:sz w:val="24"/>
          <w:szCs w:val="24"/>
        </w:rPr>
        <w:t xml:space="preserve"> wild</w:t>
      </w:r>
      <w:r w:rsidRPr="00BB079F">
        <w:rPr>
          <w:sz w:val="24"/>
          <w:szCs w:val="24"/>
        </w:rPr>
        <w:t xml:space="preserve"> animals.  </w:t>
      </w:r>
    </w:p>
    <w:p w:rsidR="002667D5" w:rsidRDefault="002667D5">
      <w:pPr>
        <w:rPr>
          <w:sz w:val="24"/>
          <w:szCs w:val="24"/>
        </w:rPr>
      </w:pPr>
      <w:r>
        <w:rPr>
          <w:sz w:val="24"/>
          <w:szCs w:val="24"/>
        </w:rPr>
        <w:br w:type="page"/>
      </w:r>
    </w:p>
    <w:p w:rsidR="00DA7625" w:rsidRPr="004647A6" w:rsidRDefault="004647A6" w:rsidP="00BB079F">
      <w:pPr>
        <w:autoSpaceDE w:val="0"/>
        <w:autoSpaceDN w:val="0"/>
        <w:adjustRightInd w:val="0"/>
        <w:spacing w:after="0" w:line="360" w:lineRule="auto"/>
        <w:jc w:val="both"/>
        <w:rPr>
          <w:sz w:val="24"/>
          <w:szCs w:val="24"/>
        </w:rPr>
      </w:pPr>
      <w:r w:rsidRPr="004647A6">
        <w:rPr>
          <w:sz w:val="24"/>
          <w:szCs w:val="24"/>
        </w:rPr>
        <w:lastRenderedPageBreak/>
        <w:t>ACKNOWLEDGEMENTS</w:t>
      </w:r>
    </w:p>
    <w:p w:rsidR="00DA7625" w:rsidRDefault="00C9484D" w:rsidP="00BB079F">
      <w:pPr>
        <w:autoSpaceDE w:val="0"/>
        <w:autoSpaceDN w:val="0"/>
        <w:adjustRightInd w:val="0"/>
        <w:spacing w:after="0" w:line="360" w:lineRule="auto"/>
        <w:jc w:val="both"/>
        <w:rPr>
          <w:sz w:val="24"/>
          <w:szCs w:val="24"/>
        </w:rPr>
      </w:pPr>
      <w:r>
        <w:rPr>
          <w:sz w:val="24"/>
          <w:szCs w:val="24"/>
        </w:rPr>
        <w:t>We acknowledge the help of undergraduate students at the University of Salford for their involvement in fieldwork</w:t>
      </w:r>
      <w:r w:rsidR="009E7255">
        <w:rPr>
          <w:sz w:val="24"/>
          <w:szCs w:val="24"/>
        </w:rPr>
        <w:t xml:space="preserve"> and analyses which led up to this work</w:t>
      </w:r>
      <w:r>
        <w:rPr>
          <w:sz w:val="24"/>
          <w:szCs w:val="24"/>
        </w:rPr>
        <w:t>.</w:t>
      </w:r>
      <w:r w:rsidR="00B02773">
        <w:rPr>
          <w:sz w:val="24"/>
          <w:szCs w:val="24"/>
        </w:rPr>
        <w:t xml:space="preserve"> We would like to thank Dr Belgees Boufana</w:t>
      </w:r>
      <w:r w:rsidR="00E93F69">
        <w:rPr>
          <w:sz w:val="24"/>
          <w:szCs w:val="24"/>
        </w:rPr>
        <w:t xml:space="preserve"> for help with genotyping and other assistance in the Laboratory. We would also like to thank Malham Tarn Field Centre, and its former Director, Adrian Pickles, for use of laboratory facilities and the National Trust for granting permission to sample within the Nature Reserve.</w:t>
      </w:r>
      <w:r w:rsidR="001A7431">
        <w:rPr>
          <w:sz w:val="24"/>
          <w:szCs w:val="24"/>
        </w:rPr>
        <w:t xml:space="preserve"> We would like to thank Dr Katarina Reiterova for the SR reference strain DNA.</w:t>
      </w:r>
    </w:p>
    <w:p w:rsidR="009E7255" w:rsidRDefault="009E7255" w:rsidP="00BB079F">
      <w:pPr>
        <w:autoSpaceDE w:val="0"/>
        <w:autoSpaceDN w:val="0"/>
        <w:adjustRightInd w:val="0"/>
        <w:spacing w:after="0" w:line="360" w:lineRule="auto"/>
        <w:jc w:val="both"/>
        <w:rPr>
          <w:sz w:val="24"/>
          <w:szCs w:val="24"/>
        </w:rPr>
      </w:pPr>
    </w:p>
    <w:p w:rsidR="009E7255" w:rsidRDefault="009E7255" w:rsidP="00BB079F">
      <w:pPr>
        <w:autoSpaceDE w:val="0"/>
        <w:autoSpaceDN w:val="0"/>
        <w:adjustRightInd w:val="0"/>
        <w:spacing w:after="0" w:line="360" w:lineRule="auto"/>
        <w:jc w:val="both"/>
        <w:rPr>
          <w:sz w:val="24"/>
          <w:szCs w:val="24"/>
        </w:rPr>
      </w:pPr>
      <w:r>
        <w:rPr>
          <w:sz w:val="24"/>
          <w:szCs w:val="24"/>
        </w:rPr>
        <w:t>FINANCIAL SUPPORT</w:t>
      </w:r>
    </w:p>
    <w:p w:rsidR="009E7255" w:rsidRPr="00DA7625" w:rsidRDefault="009E7255" w:rsidP="00BB079F">
      <w:pPr>
        <w:autoSpaceDE w:val="0"/>
        <w:autoSpaceDN w:val="0"/>
        <w:adjustRightInd w:val="0"/>
        <w:spacing w:after="0" w:line="360" w:lineRule="auto"/>
        <w:jc w:val="both"/>
        <w:rPr>
          <w:sz w:val="24"/>
          <w:szCs w:val="24"/>
        </w:rPr>
      </w:pPr>
      <w:r>
        <w:rPr>
          <w:sz w:val="24"/>
          <w:szCs w:val="24"/>
        </w:rPr>
        <w:t>We would like to acknowledge the University of Salford (GTA Scheme) for funding and the British Society of Parasitology (JB, KB).</w:t>
      </w:r>
    </w:p>
    <w:p w:rsidR="008A33B2" w:rsidRDefault="008A33B2">
      <w:pPr>
        <w:rPr>
          <w:sz w:val="24"/>
          <w:szCs w:val="24"/>
        </w:rPr>
      </w:pPr>
      <w:r>
        <w:rPr>
          <w:sz w:val="24"/>
          <w:szCs w:val="24"/>
        </w:rPr>
        <w:br w:type="page"/>
      </w:r>
    </w:p>
    <w:p w:rsidR="00DA7625" w:rsidRPr="003F6D8E" w:rsidRDefault="009E7255" w:rsidP="00BB079F">
      <w:pPr>
        <w:autoSpaceDE w:val="0"/>
        <w:autoSpaceDN w:val="0"/>
        <w:adjustRightInd w:val="0"/>
        <w:spacing w:after="0" w:line="360" w:lineRule="auto"/>
        <w:jc w:val="both"/>
        <w:rPr>
          <w:sz w:val="24"/>
          <w:szCs w:val="24"/>
        </w:rPr>
      </w:pPr>
      <w:r w:rsidRPr="003F6D8E">
        <w:rPr>
          <w:sz w:val="24"/>
          <w:szCs w:val="24"/>
        </w:rPr>
        <w:lastRenderedPageBreak/>
        <w:t>FIGURE LEGENDS</w:t>
      </w:r>
    </w:p>
    <w:p w:rsidR="008A33B2" w:rsidRDefault="008A33B2" w:rsidP="00F17E8E">
      <w:pPr>
        <w:spacing w:after="0" w:line="360" w:lineRule="auto"/>
        <w:jc w:val="both"/>
        <w:rPr>
          <w:b/>
          <w:sz w:val="24"/>
          <w:szCs w:val="24"/>
        </w:rPr>
      </w:pPr>
    </w:p>
    <w:p w:rsidR="008A33B2" w:rsidRPr="00F17E8E" w:rsidRDefault="008A33B2" w:rsidP="00F17E8E">
      <w:pPr>
        <w:spacing w:after="0" w:line="360" w:lineRule="auto"/>
        <w:jc w:val="both"/>
        <w:rPr>
          <w:rFonts w:ascii="Calibri" w:hAnsi="Calibri"/>
          <w:sz w:val="24"/>
          <w:szCs w:val="24"/>
        </w:rPr>
      </w:pPr>
      <w:r w:rsidRPr="009E7255">
        <w:rPr>
          <w:sz w:val="24"/>
          <w:szCs w:val="24"/>
        </w:rPr>
        <w:t>F</w:t>
      </w:r>
      <w:r w:rsidR="009E7255">
        <w:rPr>
          <w:rFonts w:ascii="Calibri" w:hAnsi="Calibri"/>
          <w:sz w:val="24"/>
          <w:szCs w:val="24"/>
        </w:rPr>
        <w:t>ig.</w:t>
      </w:r>
      <w:r w:rsidRPr="009E7255">
        <w:rPr>
          <w:rFonts w:ascii="Calibri" w:hAnsi="Calibri"/>
          <w:sz w:val="24"/>
          <w:szCs w:val="24"/>
        </w:rPr>
        <w:t xml:space="preserve"> 1</w:t>
      </w:r>
      <w:r w:rsidR="009E7255">
        <w:rPr>
          <w:rFonts w:ascii="Calibri" w:hAnsi="Calibri"/>
          <w:sz w:val="24"/>
          <w:szCs w:val="24"/>
        </w:rPr>
        <w:t>.</w:t>
      </w:r>
      <w:r w:rsidRPr="00F17E8E">
        <w:rPr>
          <w:rFonts w:ascii="Calibri" w:hAnsi="Calibri"/>
          <w:sz w:val="24"/>
          <w:szCs w:val="24"/>
        </w:rPr>
        <w:t xml:space="preserve"> The population structure of </w:t>
      </w:r>
      <w:r w:rsidRPr="00F17E8E">
        <w:rPr>
          <w:rFonts w:ascii="Calibri" w:hAnsi="Calibri"/>
          <w:i/>
          <w:sz w:val="24"/>
          <w:szCs w:val="24"/>
        </w:rPr>
        <w:t>Apodemus sylvaticus</w:t>
      </w:r>
      <w:r w:rsidRPr="00F17E8E">
        <w:rPr>
          <w:rFonts w:ascii="Calibri" w:hAnsi="Calibri"/>
          <w:sz w:val="24"/>
          <w:szCs w:val="24"/>
        </w:rPr>
        <w:t xml:space="preserve"> in four sampling areas (Spiggot Hill, Tarn Fen, Tarn Woods and Ha Mire) at the study site (Malham Tarn</w:t>
      </w:r>
      <w:r>
        <w:rPr>
          <w:rFonts w:ascii="Calibri" w:hAnsi="Calibri"/>
          <w:sz w:val="24"/>
          <w:szCs w:val="24"/>
        </w:rPr>
        <w:t>, Yorkshire, UK</w:t>
      </w:r>
      <w:r w:rsidRPr="00F17E8E">
        <w:rPr>
          <w:rFonts w:ascii="Calibri" w:hAnsi="Calibri"/>
          <w:sz w:val="24"/>
          <w:szCs w:val="24"/>
        </w:rPr>
        <w:t>). The pie charts represent the percentage of each genotype at each location. The cross specifically localizes the sampling site and each colour represents individual populations (R1, R2, B and G)</w:t>
      </w:r>
      <w:r w:rsidR="00616ADE">
        <w:rPr>
          <w:rFonts w:ascii="Calibri" w:hAnsi="Calibri"/>
          <w:sz w:val="24"/>
          <w:szCs w:val="24"/>
        </w:rPr>
        <w:t>.</w:t>
      </w:r>
      <w:r w:rsidRPr="00F17E8E">
        <w:rPr>
          <w:rFonts w:ascii="Calibri" w:hAnsi="Calibri"/>
          <w:sz w:val="24"/>
          <w:szCs w:val="24"/>
        </w:rPr>
        <w:t xml:space="preserve"> The overall distribution of genetic groups in relation to location is presented</w:t>
      </w:r>
      <w:r>
        <w:rPr>
          <w:rFonts w:ascii="Calibri" w:hAnsi="Calibri"/>
          <w:sz w:val="24"/>
          <w:szCs w:val="24"/>
        </w:rPr>
        <w:t>.</w:t>
      </w:r>
      <w:r w:rsidRPr="00F17E8E">
        <w:rPr>
          <w:rFonts w:ascii="Calibri" w:hAnsi="Calibri"/>
          <w:sz w:val="24"/>
          <w:szCs w:val="24"/>
        </w:rPr>
        <w:t xml:space="preserve"> </w:t>
      </w:r>
    </w:p>
    <w:p w:rsidR="008A33B2" w:rsidRDefault="008A33B2" w:rsidP="00BB079F">
      <w:pPr>
        <w:autoSpaceDE w:val="0"/>
        <w:autoSpaceDN w:val="0"/>
        <w:adjustRightInd w:val="0"/>
        <w:spacing w:after="0" w:line="360" w:lineRule="auto"/>
        <w:jc w:val="both"/>
        <w:rPr>
          <w:b/>
          <w:sz w:val="24"/>
          <w:szCs w:val="24"/>
        </w:rPr>
      </w:pPr>
    </w:p>
    <w:p w:rsidR="00A82FFE" w:rsidRPr="0086660F" w:rsidRDefault="0086660F" w:rsidP="00BB079F">
      <w:pPr>
        <w:autoSpaceDE w:val="0"/>
        <w:autoSpaceDN w:val="0"/>
        <w:adjustRightInd w:val="0"/>
        <w:spacing w:after="0" w:line="360" w:lineRule="auto"/>
        <w:jc w:val="both"/>
        <w:rPr>
          <w:rFonts w:ascii="Calibri" w:hAnsi="Calibri"/>
          <w:b/>
          <w:sz w:val="24"/>
          <w:szCs w:val="24"/>
        </w:rPr>
      </w:pPr>
      <w:r w:rsidRPr="0086660F">
        <w:rPr>
          <w:rFonts w:ascii="Calibri" w:hAnsi="Calibri"/>
          <w:sz w:val="24"/>
          <w:szCs w:val="24"/>
        </w:rPr>
        <w:t>Fig.</w:t>
      </w:r>
      <w:r w:rsidR="00A82FFE" w:rsidRPr="0086660F">
        <w:rPr>
          <w:rFonts w:ascii="Calibri" w:hAnsi="Calibri"/>
          <w:sz w:val="24"/>
          <w:szCs w:val="24"/>
        </w:rPr>
        <w:t xml:space="preserve"> </w:t>
      </w:r>
      <w:r w:rsidR="00A82FFE" w:rsidRPr="0086660F">
        <w:rPr>
          <w:rFonts w:ascii="Calibri" w:hAnsi="Calibri"/>
          <w:sz w:val="24"/>
          <w:szCs w:val="24"/>
        </w:rPr>
        <w:t>2</w:t>
      </w:r>
      <w:r w:rsidR="00A82FFE" w:rsidRPr="0086660F">
        <w:rPr>
          <w:rFonts w:ascii="Calibri" w:hAnsi="Calibri"/>
          <w:sz w:val="24"/>
          <w:szCs w:val="24"/>
        </w:rPr>
        <w:t xml:space="preserve">. Direct PCR amplification of a mixed genotype mouse (106) exhibiting Type I, II and III strain characteristics. Indicated band sizes are in base pairs. Lane 1. Hyperladder 50bp Marker (Bioline). Lane 2. Undigested SAG3 control (no enzyme added) – observed as a 226bp band. Lane 3. Mixture of Type I and III control DNA digested with </w:t>
      </w:r>
      <w:r w:rsidR="00A82FFE" w:rsidRPr="0086660F">
        <w:rPr>
          <w:rFonts w:ascii="Calibri" w:hAnsi="Calibri"/>
          <w:i/>
          <w:sz w:val="24"/>
          <w:szCs w:val="24"/>
        </w:rPr>
        <w:t>AlwNI</w:t>
      </w:r>
      <w:r w:rsidR="00A82FFE" w:rsidRPr="0086660F">
        <w:rPr>
          <w:rFonts w:ascii="Calibri" w:hAnsi="Calibri"/>
          <w:sz w:val="24"/>
          <w:szCs w:val="24"/>
        </w:rPr>
        <w:t xml:space="preserve">. This enzyme cuts only Type II sequences and not Types I or III. No digestion is observed in this mixture of Type I and III controls confirming that they do not contain Type II. Lane 4. Mixture of Type I and III control DNA digested with </w:t>
      </w:r>
      <w:r w:rsidR="00A82FFE" w:rsidRPr="0086660F">
        <w:rPr>
          <w:rFonts w:ascii="Calibri" w:hAnsi="Calibri"/>
          <w:i/>
          <w:sz w:val="24"/>
          <w:szCs w:val="24"/>
        </w:rPr>
        <w:t>NciI</w:t>
      </w:r>
      <w:r w:rsidR="00A82FFE" w:rsidRPr="0086660F">
        <w:rPr>
          <w:rFonts w:ascii="Calibri" w:hAnsi="Calibri"/>
          <w:sz w:val="24"/>
          <w:szCs w:val="24"/>
        </w:rPr>
        <w:t xml:space="preserve">. This enzyme cuts Type I strains twice generating three fragments of 99, 65 and 62bp. These bands are seen in this lane confirming the presence of Type I DNA. </w:t>
      </w:r>
      <w:r w:rsidR="00A82FFE" w:rsidRPr="0086660F">
        <w:rPr>
          <w:rFonts w:ascii="Calibri" w:hAnsi="Calibri"/>
          <w:i/>
          <w:sz w:val="24"/>
          <w:szCs w:val="24"/>
        </w:rPr>
        <w:t>NciI</w:t>
      </w:r>
      <w:r w:rsidR="00A82FFE" w:rsidRPr="0086660F">
        <w:rPr>
          <w:rFonts w:ascii="Calibri" w:hAnsi="Calibri"/>
          <w:sz w:val="24"/>
          <w:szCs w:val="24"/>
        </w:rPr>
        <w:t xml:space="preserve"> cuts Type III DNA only once and generates fragments of 161 and 65bp. These bands are also seen in this lane confirming that it also contains Type III DNA and therefore confirms that this control sample is indeed a mixture of Type I and III. Lane 5. Mouse 106 DNA (recorded as a mixture of Type I, II and III) DNA digested with </w:t>
      </w:r>
      <w:r w:rsidR="00A82FFE" w:rsidRPr="0086660F">
        <w:rPr>
          <w:rFonts w:ascii="Calibri" w:hAnsi="Calibri"/>
          <w:i/>
          <w:sz w:val="24"/>
          <w:szCs w:val="24"/>
        </w:rPr>
        <w:t>NciI</w:t>
      </w:r>
      <w:r w:rsidR="00A82FFE" w:rsidRPr="0086660F">
        <w:rPr>
          <w:rFonts w:ascii="Calibri" w:hAnsi="Calibri"/>
          <w:sz w:val="24"/>
          <w:szCs w:val="24"/>
        </w:rPr>
        <w:t xml:space="preserve">. Bands observed at 99, 65 and 62bp confirm the presence of Type I DNA, bands at 161 and 65bp confirm the presence of Type III DNA while the presence of a further band at 226 indicates the presence of non-Type I or –Type III in this sample. Digestion with </w:t>
      </w:r>
      <w:r w:rsidR="00A82FFE" w:rsidRPr="0086660F">
        <w:rPr>
          <w:rFonts w:ascii="Calibri" w:hAnsi="Calibri"/>
          <w:i/>
          <w:sz w:val="24"/>
          <w:szCs w:val="24"/>
        </w:rPr>
        <w:t>AlwNI</w:t>
      </w:r>
      <w:r w:rsidR="00A82FFE" w:rsidRPr="0086660F">
        <w:rPr>
          <w:rFonts w:ascii="Calibri" w:hAnsi="Calibri"/>
          <w:sz w:val="24"/>
          <w:szCs w:val="24"/>
        </w:rPr>
        <w:t xml:space="preserve"> confirms this is Type II DNA – see later. Lane 6. Mixture of Type I and III control DNA digested with </w:t>
      </w:r>
      <w:r w:rsidR="00A82FFE" w:rsidRPr="0086660F">
        <w:rPr>
          <w:rFonts w:ascii="Calibri" w:hAnsi="Calibri"/>
          <w:i/>
          <w:sz w:val="24"/>
          <w:szCs w:val="24"/>
        </w:rPr>
        <w:t>AlwNI</w:t>
      </w:r>
      <w:r w:rsidR="00A82FFE" w:rsidRPr="0086660F">
        <w:rPr>
          <w:rFonts w:ascii="Calibri" w:hAnsi="Calibri"/>
          <w:sz w:val="24"/>
          <w:szCs w:val="24"/>
        </w:rPr>
        <w:t xml:space="preserve">. This enzyme cuts only Type II sequences and not Types I or III. No digestion is observed in this mixture of Type I and III controls confirming that they do not contain Type II. Lane 7. Type II control DNA cut with </w:t>
      </w:r>
      <w:r w:rsidR="00A82FFE" w:rsidRPr="0086660F">
        <w:rPr>
          <w:rFonts w:ascii="Calibri" w:hAnsi="Calibri"/>
          <w:i/>
          <w:sz w:val="24"/>
          <w:szCs w:val="24"/>
        </w:rPr>
        <w:t>AlwNI</w:t>
      </w:r>
      <w:r w:rsidR="00A82FFE" w:rsidRPr="0086660F">
        <w:rPr>
          <w:rFonts w:ascii="Calibri" w:hAnsi="Calibri"/>
          <w:sz w:val="24"/>
          <w:szCs w:val="24"/>
        </w:rPr>
        <w:t xml:space="preserve">. This enzyme cuts Type II DNA once producing fragments of 128 and 98bp but does not cut either Type I or III. In this case the presence of bands at 128 and 98bp confirms the presence of the Type II control DNA. Lane 8. Mouse 106 DNA (recorded as a mixture of Type I, II and III) DNA digested with </w:t>
      </w:r>
      <w:r w:rsidR="00A82FFE" w:rsidRPr="0086660F">
        <w:rPr>
          <w:rFonts w:ascii="Calibri" w:hAnsi="Calibri"/>
          <w:i/>
          <w:sz w:val="24"/>
          <w:szCs w:val="24"/>
        </w:rPr>
        <w:t>AlwNI</w:t>
      </w:r>
      <w:r w:rsidR="00A82FFE" w:rsidRPr="0086660F">
        <w:rPr>
          <w:rFonts w:ascii="Calibri" w:hAnsi="Calibri"/>
          <w:sz w:val="24"/>
          <w:szCs w:val="24"/>
        </w:rPr>
        <w:t xml:space="preserve"> shows bands of 128 and 98bp, confirming the presence of Type II DNA but also contains a </w:t>
      </w:r>
      <w:r w:rsidR="00A82FFE" w:rsidRPr="0086660F">
        <w:rPr>
          <w:rFonts w:ascii="Calibri" w:hAnsi="Calibri"/>
          <w:sz w:val="24"/>
          <w:szCs w:val="24"/>
        </w:rPr>
        <w:lastRenderedPageBreak/>
        <w:t>band at 226bp confirming the presence of non-Type II DNA (shown earlier as Type I and Type III DNA).</w:t>
      </w:r>
    </w:p>
    <w:p w:rsidR="00A82FFE" w:rsidRDefault="00A82FFE" w:rsidP="00BB079F">
      <w:pPr>
        <w:autoSpaceDE w:val="0"/>
        <w:autoSpaceDN w:val="0"/>
        <w:adjustRightInd w:val="0"/>
        <w:spacing w:after="0" w:line="360" w:lineRule="auto"/>
        <w:jc w:val="both"/>
        <w:rPr>
          <w:b/>
          <w:sz w:val="24"/>
          <w:szCs w:val="24"/>
        </w:rPr>
      </w:pPr>
    </w:p>
    <w:p w:rsidR="002261E7" w:rsidRDefault="009E7255" w:rsidP="00F17E8E">
      <w:pPr>
        <w:spacing w:after="0" w:line="360" w:lineRule="auto"/>
        <w:jc w:val="both"/>
        <w:rPr>
          <w:rFonts w:eastAsia="Times New Roman" w:cs="Times New Roman"/>
          <w:color w:val="000000"/>
          <w:sz w:val="24"/>
          <w:szCs w:val="24"/>
          <w:lang w:eastAsia="en-GB"/>
        </w:rPr>
      </w:pPr>
      <w:r>
        <w:rPr>
          <w:rFonts w:eastAsia="Times New Roman" w:cs="Times New Roman"/>
          <w:color w:val="000000"/>
          <w:sz w:val="24"/>
          <w:szCs w:val="24"/>
          <w:lang w:eastAsia="en-GB"/>
        </w:rPr>
        <w:t>Fig.</w:t>
      </w:r>
      <w:r w:rsidR="008A33B2" w:rsidRPr="009E7255">
        <w:rPr>
          <w:rFonts w:eastAsia="Times New Roman" w:cs="Times New Roman"/>
          <w:color w:val="000000"/>
          <w:sz w:val="24"/>
          <w:szCs w:val="24"/>
          <w:lang w:eastAsia="en-GB"/>
        </w:rPr>
        <w:t xml:space="preserve"> </w:t>
      </w:r>
      <w:r w:rsidR="0086660F">
        <w:rPr>
          <w:rFonts w:eastAsia="Times New Roman" w:cs="Times New Roman"/>
          <w:color w:val="000000"/>
          <w:sz w:val="24"/>
          <w:szCs w:val="24"/>
          <w:lang w:eastAsia="en-GB"/>
        </w:rPr>
        <w:t>3</w:t>
      </w:r>
      <w:r w:rsidR="002261E7">
        <w:rPr>
          <w:rFonts w:eastAsia="Times New Roman" w:cs="Times New Roman"/>
          <w:color w:val="000000"/>
          <w:sz w:val="24"/>
          <w:szCs w:val="24"/>
          <w:lang w:eastAsia="en-GB"/>
        </w:rPr>
        <w:t xml:space="preserve"> </w:t>
      </w:r>
    </w:p>
    <w:p w:rsidR="008A33B2" w:rsidRDefault="002261E7" w:rsidP="00F17E8E">
      <w:pPr>
        <w:spacing w:after="0" w:line="360" w:lineRule="auto"/>
        <w:jc w:val="both"/>
        <w:rPr>
          <w:rFonts w:ascii="Calibri" w:eastAsia="Times New Roman" w:hAnsi="Calibri" w:cs="Times New Roman"/>
          <w:color w:val="000000"/>
          <w:sz w:val="24"/>
          <w:szCs w:val="24"/>
          <w:lang w:eastAsia="en-GB"/>
        </w:rPr>
      </w:pPr>
      <w:r>
        <w:rPr>
          <w:rFonts w:eastAsia="Times New Roman" w:cs="Times New Roman"/>
          <w:color w:val="000000"/>
          <w:sz w:val="24"/>
          <w:szCs w:val="24"/>
          <w:lang w:eastAsia="en-GB"/>
        </w:rPr>
        <w:t>Panel A</w:t>
      </w:r>
      <w:r w:rsidR="009E7255">
        <w:rPr>
          <w:rFonts w:eastAsia="Times New Roman" w:cs="Times New Roman"/>
          <w:color w:val="000000"/>
          <w:sz w:val="24"/>
          <w:szCs w:val="24"/>
          <w:lang w:eastAsia="en-GB"/>
        </w:rPr>
        <w:t>.</w:t>
      </w:r>
      <w:r w:rsidR="008A33B2" w:rsidRPr="00F17E8E">
        <w:rPr>
          <w:rFonts w:eastAsia="Times New Roman" w:cs="Times New Roman"/>
          <w:color w:val="000000"/>
          <w:sz w:val="24"/>
          <w:szCs w:val="24"/>
          <w:lang w:eastAsia="en-GB"/>
        </w:rPr>
        <w:t xml:space="preserve"> </w:t>
      </w:r>
      <w:r w:rsidR="008A33B2" w:rsidRPr="00F17E8E">
        <w:rPr>
          <w:sz w:val="24"/>
          <w:szCs w:val="24"/>
        </w:rPr>
        <w:t xml:space="preserve">Estimated population structure using microsatellite genotyping </w:t>
      </w:r>
      <w:r w:rsidR="008A33B2" w:rsidRPr="00F17E8E">
        <w:rPr>
          <w:i/>
          <w:sz w:val="24"/>
          <w:szCs w:val="24"/>
        </w:rPr>
        <w:t>(K</w:t>
      </w:r>
      <w:r w:rsidR="008A33B2" w:rsidRPr="00F17E8E">
        <w:rPr>
          <w:sz w:val="24"/>
          <w:szCs w:val="24"/>
        </w:rPr>
        <w:t xml:space="preserve">= 3). Analyses were performed using the admixture model provided by STRUCTURE software </w:t>
      </w:r>
      <w:r w:rsidR="009B701E">
        <w:rPr>
          <w:sz w:val="24"/>
          <w:szCs w:val="24"/>
        </w:rPr>
        <w:t>(</w:t>
      </w:r>
      <w:r w:rsidR="009E7255">
        <w:rPr>
          <w:sz w:val="24"/>
          <w:szCs w:val="24"/>
        </w:rPr>
        <w:t xml:space="preserve">Pritchard </w:t>
      </w:r>
      <w:r w:rsidR="009E7255">
        <w:rPr>
          <w:i/>
          <w:sz w:val="24"/>
          <w:szCs w:val="24"/>
        </w:rPr>
        <w:t>et al.</w:t>
      </w:r>
      <w:r w:rsidR="009E7255">
        <w:rPr>
          <w:sz w:val="24"/>
          <w:szCs w:val="24"/>
        </w:rPr>
        <w:t xml:space="preserve"> 2000; Evanno </w:t>
      </w:r>
      <w:r w:rsidR="009E7255">
        <w:rPr>
          <w:i/>
          <w:sz w:val="24"/>
          <w:szCs w:val="24"/>
        </w:rPr>
        <w:t>et al</w:t>
      </w:r>
      <w:r w:rsidR="009E7255">
        <w:rPr>
          <w:sz w:val="24"/>
          <w:szCs w:val="24"/>
        </w:rPr>
        <w:t>. 2005</w:t>
      </w:r>
      <w:r w:rsidR="009B701E">
        <w:rPr>
          <w:sz w:val="24"/>
          <w:szCs w:val="24"/>
        </w:rPr>
        <w:t>)</w:t>
      </w:r>
      <w:r w:rsidR="008A33B2" w:rsidRPr="00F17E8E">
        <w:rPr>
          <w:sz w:val="24"/>
          <w:szCs w:val="24"/>
        </w:rPr>
        <w:t>.  Each individual is represented by a vertical line broken into segments of different colours, with lengths proportional to its membership to each of the clusters (Red, Green and Blue).</w:t>
      </w:r>
      <w:r w:rsidR="008A33B2" w:rsidRPr="008A33B2">
        <w:rPr>
          <w:rFonts w:ascii="Calibri" w:eastAsia="Times New Roman" w:hAnsi="Calibri" w:cs="Times New Roman"/>
          <w:color w:val="000000"/>
          <w:sz w:val="24"/>
          <w:szCs w:val="24"/>
          <w:lang w:eastAsia="en-GB"/>
        </w:rPr>
        <w:t xml:space="preserve"> </w:t>
      </w:r>
    </w:p>
    <w:p w:rsidR="00DA7625" w:rsidRDefault="002261E7" w:rsidP="00BB079F">
      <w:pPr>
        <w:autoSpaceDE w:val="0"/>
        <w:autoSpaceDN w:val="0"/>
        <w:adjustRightInd w:val="0"/>
        <w:spacing w:after="0" w:line="360" w:lineRule="auto"/>
        <w:jc w:val="both"/>
        <w:rPr>
          <w:sz w:val="24"/>
          <w:szCs w:val="24"/>
        </w:rPr>
      </w:pPr>
      <w:r>
        <w:rPr>
          <w:rFonts w:ascii="Calibri" w:eastAsia="Times New Roman" w:hAnsi="Calibri" w:cs="Times New Roman"/>
          <w:color w:val="000000"/>
          <w:sz w:val="24"/>
          <w:szCs w:val="24"/>
          <w:lang w:eastAsia="en-GB"/>
        </w:rPr>
        <w:t>Panel B. Evaluation of the robustness of the grouping by STRUCTURE. Summary structure diagrams are shown for K = 3 (see Panel A) and can be compared with diagrams generated when K =4 and K =5. The three main groups remain present</w:t>
      </w:r>
      <w:r w:rsidR="006D7BA8">
        <w:rPr>
          <w:rFonts w:ascii="Calibri" w:eastAsia="Times New Roman" w:hAnsi="Calibri" w:cs="Times New Roman"/>
          <w:color w:val="000000"/>
          <w:sz w:val="24"/>
          <w:szCs w:val="24"/>
          <w:lang w:eastAsia="en-GB"/>
        </w:rPr>
        <w:t xml:space="preserve"> despite “forcing” the program to generate more groups. Detailed analysis of the composition of mice confirms the identities of the groupings. (Note, STRUCTURE automatically assigns colours to groups and can result in changes in colour as values of K change).</w:t>
      </w:r>
    </w:p>
    <w:p w:rsidR="006D7BA8" w:rsidRDefault="006D7BA8" w:rsidP="00F17E8E">
      <w:pPr>
        <w:spacing w:after="0" w:line="360" w:lineRule="auto"/>
        <w:rPr>
          <w:rFonts w:ascii="Calibri" w:eastAsia="Times New Roman" w:hAnsi="Calibri" w:cs="Times New Roman"/>
          <w:color w:val="000000"/>
          <w:sz w:val="24"/>
          <w:szCs w:val="24"/>
          <w:lang w:eastAsia="en-GB"/>
        </w:rPr>
      </w:pPr>
    </w:p>
    <w:p w:rsidR="008A33B2" w:rsidRPr="00F17E8E" w:rsidRDefault="009E7255" w:rsidP="00F17E8E">
      <w:pPr>
        <w:spacing w:after="0" w:line="36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Fig.</w:t>
      </w:r>
      <w:r w:rsidR="008A33B2" w:rsidRPr="009E7255">
        <w:rPr>
          <w:rFonts w:ascii="Calibri" w:eastAsia="Times New Roman" w:hAnsi="Calibri" w:cs="Times New Roman"/>
          <w:color w:val="000000"/>
          <w:sz w:val="24"/>
          <w:szCs w:val="24"/>
          <w:lang w:eastAsia="en-GB"/>
        </w:rPr>
        <w:t xml:space="preserve"> </w:t>
      </w:r>
      <w:r w:rsidR="0086660F">
        <w:rPr>
          <w:rFonts w:ascii="Calibri" w:eastAsia="Times New Roman" w:hAnsi="Calibri" w:cs="Times New Roman"/>
          <w:color w:val="000000"/>
          <w:sz w:val="24"/>
          <w:szCs w:val="24"/>
          <w:lang w:eastAsia="en-GB"/>
        </w:rPr>
        <w:t>4</w:t>
      </w:r>
      <w:r>
        <w:rPr>
          <w:rFonts w:ascii="Calibri" w:eastAsia="Times New Roman" w:hAnsi="Calibri" w:cs="Times New Roman"/>
          <w:color w:val="000000"/>
          <w:sz w:val="24"/>
          <w:szCs w:val="24"/>
          <w:lang w:eastAsia="en-GB"/>
        </w:rPr>
        <w:t>.</w:t>
      </w:r>
      <w:r w:rsidR="008A33B2" w:rsidRPr="00F17E8E">
        <w:rPr>
          <w:rFonts w:ascii="Calibri" w:eastAsia="Times New Roman" w:hAnsi="Calibri" w:cs="Times New Roman"/>
          <w:b/>
          <w:color w:val="000000"/>
          <w:sz w:val="24"/>
          <w:szCs w:val="24"/>
          <w:lang w:eastAsia="en-GB"/>
        </w:rPr>
        <w:t xml:space="preserve"> </w:t>
      </w:r>
      <w:r w:rsidR="008A33B2" w:rsidRPr="00F17E8E">
        <w:rPr>
          <w:rFonts w:ascii="Calibri" w:eastAsia="Times New Roman" w:hAnsi="Calibri" w:cs="Times New Roman"/>
          <w:color w:val="000000"/>
          <w:sz w:val="24"/>
          <w:szCs w:val="24"/>
          <w:lang w:eastAsia="en-GB"/>
        </w:rPr>
        <w:t xml:space="preserve">STRUCTURE plot showing that population R, when reanalysed by </w:t>
      </w:r>
      <w:r>
        <w:rPr>
          <w:rFonts w:ascii="Calibri" w:eastAsia="Times New Roman" w:hAnsi="Calibri" w:cs="Times New Roman"/>
          <w:color w:val="000000"/>
          <w:sz w:val="24"/>
          <w:szCs w:val="24"/>
          <w:lang w:eastAsia="en-GB"/>
        </w:rPr>
        <w:t>S</w:t>
      </w:r>
      <w:r w:rsidRPr="00F17E8E">
        <w:rPr>
          <w:rFonts w:ascii="Calibri" w:eastAsia="Times New Roman" w:hAnsi="Calibri" w:cs="Times New Roman"/>
          <w:color w:val="000000"/>
          <w:sz w:val="24"/>
          <w:szCs w:val="24"/>
          <w:lang w:eastAsia="en-GB"/>
        </w:rPr>
        <w:t>TRUCTURE</w:t>
      </w:r>
      <w:r w:rsidR="008A33B2" w:rsidRPr="00F17E8E">
        <w:rPr>
          <w:rFonts w:ascii="Calibri" w:eastAsia="Times New Roman" w:hAnsi="Calibri" w:cs="Times New Roman"/>
          <w:color w:val="000000"/>
          <w:sz w:val="24"/>
          <w:szCs w:val="24"/>
          <w:lang w:eastAsia="en-GB"/>
        </w:rPr>
        <w:t>, consists of two genetically distinct subpopulations, R1 (red) and R2 (green) (</w:t>
      </w:r>
      <w:r w:rsidR="008A33B2" w:rsidRPr="00F17E8E">
        <w:rPr>
          <w:rFonts w:ascii="Calibri" w:eastAsia="Times New Roman" w:hAnsi="Calibri" w:cs="Times New Roman"/>
          <w:i/>
          <w:color w:val="000000"/>
          <w:sz w:val="24"/>
          <w:szCs w:val="24"/>
          <w:lang w:eastAsia="en-GB"/>
        </w:rPr>
        <w:t>K</w:t>
      </w:r>
      <w:r w:rsidR="008A33B2" w:rsidRPr="00F17E8E">
        <w:rPr>
          <w:rFonts w:ascii="Calibri" w:eastAsia="Times New Roman" w:hAnsi="Calibri" w:cs="Times New Roman"/>
          <w:color w:val="000000"/>
          <w:sz w:val="24"/>
          <w:szCs w:val="24"/>
          <w:lang w:eastAsia="en-GB"/>
        </w:rPr>
        <w:t xml:space="preserve">=2). Analyses were carried out as described for Figure </w:t>
      </w:r>
      <w:r w:rsidR="006D7BA8">
        <w:rPr>
          <w:rFonts w:ascii="Calibri" w:eastAsia="Times New Roman" w:hAnsi="Calibri" w:cs="Times New Roman"/>
          <w:color w:val="000000"/>
          <w:sz w:val="24"/>
          <w:szCs w:val="24"/>
          <w:lang w:eastAsia="en-GB"/>
        </w:rPr>
        <w:t>3</w:t>
      </w:r>
      <w:bookmarkStart w:id="0" w:name="_GoBack"/>
      <w:bookmarkEnd w:id="0"/>
      <w:r w:rsidR="008A33B2" w:rsidRPr="00F17E8E">
        <w:rPr>
          <w:rFonts w:ascii="Calibri" w:eastAsia="Times New Roman" w:hAnsi="Calibri" w:cs="Times New Roman"/>
          <w:color w:val="000000"/>
          <w:sz w:val="24"/>
          <w:szCs w:val="24"/>
          <w:lang w:eastAsia="en-GB"/>
        </w:rPr>
        <w:t>.</w:t>
      </w:r>
    </w:p>
    <w:p w:rsidR="008A33B2" w:rsidRPr="00F17E8E" w:rsidRDefault="008A33B2" w:rsidP="00F17E8E">
      <w:pPr>
        <w:spacing w:after="0" w:line="360" w:lineRule="auto"/>
        <w:rPr>
          <w:sz w:val="24"/>
          <w:szCs w:val="24"/>
        </w:rPr>
      </w:pPr>
    </w:p>
    <w:p w:rsidR="00A90C8B" w:rsidRPr="003F6D8E" w:rsidRDefault="00A90C8B">
      <w:pPr>
        <w:rPr>
          <w:b/>
          <w:sz w:val="24"/>
          <w:szCs w:val="24"/>
        </w:rPr>
      </w:pPr>
      <w:r>
        <w:rPr>
          <w:b/>
        </w:rPr>
        <w:br w:type="page"/>
      </w:r>
    </w:p>
    <w:p w:rsidR="00BC2A84" w:rsidRPr="009B701E" w:rsidRDefault="009E7255">
      <w:pPr>
        <w:rPr>
          <w:sz w:val="24"/>
          <w:szCs w:val="24"/>
        </w:rPr>
      </w:pPr>
      <w:r w:rsidRPr="009B701E">
        <w:rPr>
          <w:sz w:val="24"/>
          <w:szCs w:val="24"/>
        </w:rPr>
        <w:lastRenderedPageBreak/>
        <w:t>REFERENCES</w:t>
      </w:r>
    </w:p>
    <w:p w:rsidR="00616ADE" w:rsidRPr="009B701E" w:rsidRDefault="00616ADE" w:rsidP="007311D9">
      <w:pPr>
        <w:jc w:val="both"/>
        <w:rPr>
          <w:sz w:val="24"/>
          <w:szCs w:val="24"/>
        </w:rPr>
      </w:pPr>
    </w:p>
    <w:p w:rsidR="00665285" w:rsidRPr="009B701E" w:rsidRDefault="00665285" w:rsidP="00665285">
      <w:pPr>
        <w:spacing w:line="480" w:lineRule="auto"/>
        <w:jc w:val="both"/>
        <w:rPr>
          <w:sz w:val="24"/>
          <w:szCs w:val="24"/>
        </w:rPr>
      </w:pPr>
      <w:r w:rsidRPr="00665285">
        <w:rPr>
          <w:b/>
          <w:sz w:val="24"/>
          <w:szCs w:val="24"/>
        </w:rPr>
        <w:t>Afonso, E., Poulle, M.L., Lemoine, M., Villena, I., Aubert, D. and Gilot-Fromont, E.</w:t>
      </w:r>
      <w:r>
        <w:rPr>
          <w:sz w:val="24"/>
          <w:szCs w:val="24"/>
        </w:rPr>
        <w:t xml:space="preserve"> (2007). </w:t>
      </w:r>
      <w:r w:rsidRPr="009B701E">
        <w:rPr>
          <w:sz w:val="24"/>
          <w:szCs w:val="24"/>
        </w:rPr>
        <w:t xml:space="preserve"> </w:t>
      </w:r>
      <w:r w:rsidRPr="00665285">
        <w:rPr>
          <w:sz w:val="24"/>
          <w:szCs w:val="24"/>
        </w:rPr>
        <w:t xml:space="preserve">Prevalence of </w:t>
      </w:r>
      <w:r w:rsidRPr="00665285">
        <w:rPr>
          <w:i/>
          <w:sz w:val="24"/>
          <w:szCs w:val="24"/>
        </w:rPr>
        <w:t xml:space="preserve">Toxoplasma gondii </w:t>
      </w:r>
      <w:r w:rsidRPr="00665285">
        <w:rPr>
          <w:sz w:val="24"/>
          <w:szCs w:val="24"/>
        </w:rPr>
        <w:t>in small mammals from the Ardennes region, France.</w:t>
      </w:r>
      <w:r w:rsidRPr="009B701E">
        <w:rPr>
          <w:i/>
          <w:sz w:val="24"/>
          <w:szCs w:val="24"/>
        </w:rPr>
        <w:t xml:space="preserve"> Folia Parasitologica (Praha)</w:t>
      </w:r>
      <w:r w:rsidRPr="009B701E">
        <w:rPr>
          <w:sz w:val="24"/>
          <w:szCs w:val="24"/>
        </w:rPr>
        <w:t xml:space="preserve"> </w:t>
      </w:r>
      <w:r>
        <w:rPr>
          <w:b/>
          <w:sz w:val="24"/>
          <w:szCs w:val="24"/>
        </w:rPr>
        <w:t xml:space="preserve">54, </w:t>
      </w:r>
      <w:r w:rsidRPr="009B701E">
        <w:rPr>
          <w:sz w:val="24"/>
          <w:szCs w:val="24"/>
        </w:rPr>
        <w:t>313 – 314.</w:t>
      </w:r>
    </w:p>
    <w:p w:rsidR="00A535FB" w:rsidRPr="00A535FB" w:rsidRDefault="00A535FB" w:rsidP="00A535FB">
      <w:pPr>
        <w:spacing w:line="480" w:lineRule="auto"/>
        <w:rPr>
          <w:sz w:val="24"/>
          <w:szCs w:val="24"/>
        </w:rPr>
      </w:pPr>
    </w:p>
    <w:p w:rsidR="00A535FB" w:rsidRDefault="00A535FB" w:rsidP="00A535FB">
      <w:pPr>
        <w:spacing w:line="480" w:lineRule="auto"/>
        <w:rPr>
          <w:sz w:val="24"/>
          <w:szCs w:val="24"/>
        </w:rPr>
      </w:pPr>
      <w:r w:rsidRPr="00A535FB">
        <w:rPr>
          <w:b/>
          <w:sz w:val="24"/>
          <w:szCs w:val="24"/>
        </w:rPr>
        <w:t>Beverley, J.K.A.</w:t>
      </w:r>
      <w:r w:rsidRPr="00A535FB">
        <w:rPr>
          <w:sz w:val="24"/>
          <w:szCs w:val="24"/>
        </w:rPr>
        <w:t xml:space="preserve"> (1959).  Congenital transmission of toxoplasmosis through successive generation of mice.  </w:t>
      </w:r>
      <w:r w:rsidRPr="00A535FB">
        <w:rPr>
          <w:i/>
          <w:sz w:val="24"/>
          <w:szCs w:val="24"/>
        </w:rPr>
        <w:t>Nature</w:t>
      </w:r>
      <w:r w:rsidRPr="00A535FB">
        <w:rPr>
          <w:sz w:val="24"/>
          <w:szCs w:val="24"/>
        </w:rPr>
        <w:t xml:space="preserve"> </w:t>
      </w:r>
      <w:r w:rsidRPr="00A535FB">
        <w:rPr>
          <w:b/>
          <w:sz w:val="24"/>
          <w:szCs w:val="24"/>
        </w:rPr>
        <w:t>183,</w:t>
      </w:r>
      <w:r w:rsidRPr="00A535FB">
        <w:rPr>
          <w:sz w:val="24"/>
          <w:szCs w:val="24"/>
        </w:rPr>
        <w:t xml:space="preserve"> 1348-1349.</w:t>
      </w:r>
    </w:p>
    <w:p w:rsidR="00CC757D" w:rsidRPr="00A535FB" w:rsidRDefault="00CC757D" w:rsidP="00A535FB">
      <w:pPr>
        <w:spacing w:line="480" w:lineRule="auto"/>
        <w:rPr>
          <w:sz w:val="24"/>
          <w:szCs w:val="24"/>
        </w:rPr>
      </w:pPr>
    </w:p>
    <w:p w:rsidR="00CC757D" w:rsidRDefault="00CC757D" w:rsidP="00CC757D">
      <w:pPr>
        <w:pStyle w:val="Heading3"/>
        <w:spacing w:before="0" w:line="480" w:lineRule="auto"/>
        <w:textAlignment w:val="baseline"/>
        <w:rPr>
          <w:rFonts w:asciiTheme="minorHAnsi" w:eastAsia="Arial Unicode MS" w:hAnsiTheme="minorHAnsi" w:cstheme="minorBidi"/>
          <w:b w:val="0"/>
          <w:bCs w:val="0"/>
          <w:color w:val="auto"/>
          <w:sz w:val="24"/>
          <w:szCs w:val="24"/>
        </w:rPr>
      </w:pPr>
      <w:r w:rsidRPr="00CC757D">
        <w:rPr>
          <w:rFonts w:asciiTheme="minorHAnsi" w:hAnsiTheme="minorHAnsi" w:cstheme="minorBidi"/>
          <w:color w:val="auto"/>
          <w:sz w:val="24"/>
          <w:szCs w:val="24"/>
        </w:rPr>
        <w:t>Boyce, K., Hide, G., Craig, P. S., Harris, P. D., Reynolds, C., Pickles, A. and Rogan, M. T.</w:t>
      </w:r>
      <w:r w:rsidRPr="00CC757D">
        <w:rPr>
          <w:rFonts w:asciiTheme="minorHAnsi" w:hAnsiTheme="minorHAnsi" w:cstheme="minorBidi"/>
          <w:b w:val="0"/>
          <w:bCs w:val="0"/>
          <w:color w:val="auto"/>
          <w:sz w:val="24"/>
          <w:szCs w:val="24"/>
        </w:rPr>
        <w:t xml:space="preserve"> (2012). </w:t>
      </w:r>
      <w:r w:rsidRPr="00CC757D">
        <w:rPr>
          <w:rFonts w:asciiTheme="minorHAnsi" w:eastAsia="Arial Unicode MS" w:hAnsiTheme="minorHAnsi" w:cstheme="minorBidi"/>
          <w:b w:val="0"/>
          <w:bCs w:val="0"/>
          <w:color w:val="auto"/>
          <w:sz w:val="24"/>
          <w:szCs w:val="24"/>
        </w:rPr>
        <w:t>Identification of a new species of digenean</w:t>
      </w:r>
      <w:r w:rsidRPr="00CC757D">
        <w:rPr>
          <w:rStyle w:val="apple-converted-space"/>
          <w:rFonts w:asciiTheme="minorHAnsi" w:eastAsia="Arial Unicode MS" w:hAnsiTheme="minorHAnsi" w:cstheme="minorBidi"/>
          <w:b w:val="0"/>
          <w:bCs w:val="0"/>
          <w:color w:val="auto"/>
          <w:sz w:val="24"/>
          <w:szCs w:val="24"/>
        </w:rPr>
        <w:t> </w:t>
      </w:r>
      <w:r w:rsidRPr="00CC757D">
        <w:rPr>
          <w:rStyle w:val="Emphasis"/>
          <w:rFonts w:asciiTheme="minorHAnsi" w:eastAsia="Arial Unicode MS" w:hAnsiTheme="minorHAnsi" w:cstheme="minorBidi"/>
          <w:b w:val="0"/>
          <w:bCs w:val="0"/>
          <w:color w:val="auto"/>
          <w:sz w:val="24"/>
          <w:szCs w:val="24"/>
          <w:bdr w:val="none" w:sz="0" w:space="0" w:color="auto" w:frame="1"/>
        </w:rPr>
        <w:t>Notocotylus malhamensis</w:t>
      </w:r>
      <w:r w:rsidRPr="00CC757D">
        <w:rPr>
          <w:rStyle w:val="apple-converted-space"/>
          <w:rFonts w:asciiTheme="minorHAnsi" w:eastAsia="Arial Unicode MS" w:hAnsiTheme="minorHAnsi" w:cstheme="minorBidi"/>
          <w:b w:val="0"/>
          <w:bCs w:val="0"/>
          <w:color w:val="auto"/>
          <w:sz w:val="24"/>
          <w:szCs w:val="24"/>
        </w:rPr>
        <w:t> </w:t>
      </w:r>
      <w:r w:rsidRPr="00CC757D">
        <w:rPr>
          <w:rFonts w:asciiTheme="minorHAnsi" w:eastAsia="Arial Unicode MS" w:hAnsiTheme="minorHAnsi" w:cstheme="minorBidi"/>
          <w:b w:val="0"/>
          <w:bCs w:val="0"/>
          <w:color w:val="auto"/>
          <w:sz w:val="24"/>
          <w:szCs w:val="24"/>
        </w:rPr>
        <w:t>n. sp. (Digenea: Notocotylidae) from the bank vole (</w:t>
      </w:r>
      <w:r w:rsidRPr="00CC757D">
        <w:rPr>
          <w:rStyle w:val="Emphasis"/>
          <w:rFonts w:asciiTheme="minorHAnsi" w:eastAsia="Arial Unicode MS" w:hAnsiTheme="minorHAnsi" w:cstheme="minorBidi"/>
          <w:b w:val="0"/>
          <w:bCs w:val="0"/>
          <w:color w:val="auto"/>
          <w:sz w:val="24"/>
          <w:szCs w:val="24"/>
          <w:bdr w:val="none" w:sz="0" w:space="0" w:color="auto" w:frame="1"/>
        </w:rPr>
        <w:t>Myodes glareolus</w:t>
      </w:r>
      <w:r w:rsidRPr="00CC757D">
        <w:rPr>
          <w:rFonts w:asciiTheme="minorHAnsi" w:eastAsia="Arial Unicode MS" w:hAnsiTheme="minorHAnsi" w:cstheme="minorBidi"/>
          <w:b w:val="0"/>
          <w:bCs w:val="0"/>
          <w:color w:val="auto"/>
          <w:sz w:val="24"/>
          <w:szCs w:val="24"/>
        </w:rPr>
        <w:t>) and the field vole (</w:t>
      </w:r>
      <w:r w:rsidRPr="00CC757D">
        <w:rPr>
          <w:rStyle w:val="Emphasis"/>
          <w:rFonts w:asciiTheme="minorHAnsi" w:eastAsia="Arial Unicode MS" w:hAnsiTheme="minorHAnsi" w:cstheme="minorBidi"/>
          <w:b w:val="0"/>
          <w:bCs w:val="0"/>
          <w:color w:val="auto"/>
          <w:sz w:val="24"/>
          <w:szCs w:val="24"/>
          <w:bdr w:val="none" w:sz="0" w:space="0" w:color="auto" w:frame="1"/>
        </w:rPr>
        <w:t>Microtus agrestis</w:t>
      </w:r>
      <w:r w:rsidRPr="00CC757D">
        <w:rPr>
          <w:rFonts w:asciiTheme="minorHAnsi" w:eastAsia="Arial Unicode MS" w:hAnsiTheme="minorHAnsi" w:cstheme="minorBidi"/>
          <w:b w:val="0"/>
          <w:bCs w:val="0"/>
          <w:color w:val="auto"/>
          <w:sz w:val="24"/>
          <w:szCs w:val="24"/>
        </w:rPr>
        <w:t xml:space="preserve">). </w:t>
      </w:r>
      <w:r w:rsidRPr="00CC757D">
        <w:rPr>
          <w:rFonts w:asciiTheme="minorHAnsi" w:eastAsia="Arial Unicode MS" w:hAnsiTheme="minorHAnsi" w:cstheme="minorBidi"/>
          <w:b w:val="0"/>
          <w:bCs w:val="0"/>
          <w:i/>
          <w:iCs/>
          <w:color w:val="auto"/>
          <w:sz w:val="24"/>
          <w:szCs w:val="24"/>
        </w:rPr>
        <w:t>Parasitology</w:t>
      </w:r>
      <w:r w:rsidRPr="00CC757D">
        <w:rPr>
          <w:rFonts w:asciiTheme="minorHAnsi" w:eastAsia="Arial Unicode MS" w:hAnsiTheme="minorHAnsi" w:cstheme="minorBidi"/>
          <w:b w:val="0"/>
          <w:bCs w:val="0"/>
          <w:color w:val="auto"/>
          <w:sz w:val="24"/>
          <w:szCs w:val="24"/>
        </w:rPr>
        <w:t xml:space="preserve">, </w:t>
      </w:r>
      <w:r>
        <w:rPr>
          <w:rFonts w:asciiTheme="minorHAnsi" w:eastAsia="Arial Unicode MS" w:hAnsiTheme="minorHAnsi" w:cstheme="minorBidi"/>
          <w:bCs w:val="0"/>
          <w:color w:val="auto"/>
          <w:sz w:val="24"/>
          <w:szCs w:val="24"/>
        </w:rPr>
        <w:t>139</w:t>
      </w:r>
      <w:r>
        <w:rPr>
          <w:rFonts w:asciiTheme="minorHAnsi" w:eastAsia="Arial Unicode MS" w:hAnsiTheme="minorHAnsi" w:cstheme="minorBidi"/>
          <w:b w:val="0"/>
          <w:bCs w:val="0"/>
          <w:color w:val="auto"/>
          <w:sz w:val="24"/>
          <w:szCs w:val="24"/>
        </w:rPr>
        <w:t>, 1630-1639</w:t>
      </w:r>
      <w:r w:rsidR="00030872">
        <w:rPr>
          <w:rFonts w:asciiTheme="minorHAnsi" w:eastAsia="Arial Unicode MS" w:hAnsiTheme="minorHAnsi" w:cstheme="minorBidi"/>
          <w:b w:val="0"/>
          <w:bCs w:val="0"/>
          <w:color w:val="auto"/>
          <w:sz w:val="24"/>
          <w:szCs w:val="24"/>
        </w:rPr>
        <w:t>.</w:t>
      </w:r>
    </w:p>
    <w:p w:rsidR="004D66D6" w:rsidRDefault="004D66D6" w:rsidP="004D66D6">
      <w:pPr>
        <w:rPr>
          <w:lang w:eastAsia="zh-CN"/>
        </w:rPr>
      </w:pPr>
    </w:p>
    <w:p w:rsidR="004D66D6" w:rsidRPr="009B701E" w:rsidRDefault="004D66D6" w:rsidP="004D66D6">
      <w:pPr>
        <w:spacing w:line="480" w:lineRule="auto"/>
        <w:jc w:val="both"/>
        <w:rPr>
          <w:sz w:val="24"/>
          <w:szCs w:val="24"/>
        </w:rPr>
      </w:pPr>
      <w:r w:rsidRPr="004D66D6">
        <w:rPr>
          <w:b/>
          <w:sz w:val="24"/>
          <w:szCs w:val="24"/>
        </w:rPr>
        <w:t>Boyce, K., Hide, G., Craig, P.S., Reynolds, C., Hussain, M., Bodell, A.J., Bradshaw, H., Pickles, A. and Rogan, M.T.</w:t>
      </w:r>
      <w:r>
        <w:rPr>
          <w:sz w:val="24"/>
          <w:szCs w:val="24"/>
        </w:rPr>
        <w:t xml:space="preserve"> (2013).</w:t>
      </w:r>
      <w:r w:rsidRPr="009B701E">
        <w:rPr>
          <w:sz w:val="24"/>
          <w:szCs w:val="24"/>
        </w:rPr>
        <w:t xml:space="preserve"> </w:t>
      </w:r>
      <w:r w:rsidRPr="004D66D6">
        <w:rPr>
          <w:sz w:val="24"/>
          <w:szCs w:val="24"/>
        </w:rPr>
        <w:t xml:space="preserve">A molecular and ecological analysis of the trematode </w:t>
      </w:r>
      <w:r w:rsidRPr="004D66D6">
        <w:rPr>
          <w:i/>
          <w:sz w:val="24"/>
          <w:szCs w:val="24"/>
        </w:rPr>
        <w:t>Plagiorchis elegans</w:t>
      </w:r>
      <w:r w:rsidRPr="004D66D6">
        <w:rPr>
          <w:sz w:val="24"/>
          <w:szCs w:val="24"/>
        </w:rPr>
        <w:t xml:space="preserve"> in the wood mouse </w:t>
      </w:r>
      <w:r w:rsidRPr="004D66D6">
        <w:rPr>
          <w:i/>
          <w:sz w:val="24"/>
          <w:szCs w:val="24"/>
        </w:rPr>
        <w:t>Apodemus sylvaticus</w:t>
      </w:r>
      <w:r w:rsidRPr="004D66D6">
        <w:rPr>
          <w:sz w:val="24"/>
          <w:szCs w:val="24"/>
        </w:rPr>
        <w:t xml:space="preserve"> from a periaquatic ecosystem in the UK. </w:t>
      </w:r>
      <w:r w:rsidRPr="009B701E">
        <w:rPr>
          <w:sz w:val="24"/>
          <w:szCs w:val="24"/>
        </w:rPr>
        <w:t xml:space="preserve"> </w:t>
      </w:r>
      <w:r w:rsidRPr="009B701E">
        <w:rPr>
          <w:i/>
          <w:sz w:val="24"/>
          <w:szCs w:val="24"/>
        </w:rPr>
        <w:t>J</w:t>
      </w:r>
      <w:r>
        <w:rPr>
          <w:i/>
          <w:sz w:val="24"/>
          <w:szCs w:val="24"/>
        </w:rPr>
        <w:t>ournal of</w:t>
      </w:r>
      <w:r w:rsidRPr="009B701E">
        <w:rPr>
          <w:i/>
          <w:sz w:val="24"/>
          <w:szCs w:val="24"/>
        </w:rPr>
        <w:t xml:space="preserve"> Helminthol</w:t>
      </w:r>
      <w:r>
        <w:rPr>
          <w:i/>
          <w:sz w:val="24"/>
          <w:szCs w:val="24"/>
        </w:rPr>
        <w:t>ogy</w:t>
      </w:r>
      <w:r w:rsidRPr="009B701E">
        <w:rPr>
          <w:i/>
          <w:sz w:val="24"/>
          <w:szCs w:val="24"/>
        </w:rPr>
        <w:t xml:space="preserve"> </w:t>
      </w:r>
      <w:r w:rsidRPr="009B701E">
        <w:rPr>
          <w:b/>
          <w:sz w:val="24"/>
          <w:szCs w:val="24"/>
        </w:rPr>
        <w:t>19</w:t>
      </w:r>
      <w:r>
        <w:rPr>
          <w:sz w:val="24"/>
          <w:szCs w:val="24"/>
        </w:rPr>
        <w:t xml:space="preserve">, </w:t>
      </w:r>
      <w:r w:rsidRPr="009B701E">
        <w:rPr>
          <w:sz w:val="24"/>
          <w:szCs w:val="24"/>
        </w:rPr>
        <w:t xml:space="preserve">1-11. </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Dabritz, H.A., Miller, M.A., Gardner, I.A., Packham, A.E., Atwill, E.R. and Conrad, P.A.</w:t>
      </w:r>
      <w:r w:rsidRPr="00A535FB">
        <w:rPr>
          <w:sz w:val="24"/>
          <w:szCs w:val="24"/>
        </w:rPr>
        <w:t xml:space="preserve"> (2008). Risk factors for </w:t>
      </w:r>
      <w:r w:rsidRPr="00A535FB">
        <w:rPr>
          <w:i/>
          <w:sz w:val="24"/>
          <w:szCs w:val="24"/>
        </w:rPr>
        <w:t>Toxoplasma gondii</w:t>
      </w:r>
      <w:r w:rsidRPr="00A535FB">
        <w:rPr>
          <w:sz w:val="24"/>
          <w:szCs w:val="24"/>
        </w:rPr>
        <w:t xml:space="preserve"> infection in wild rodents from central coastal </w:t>
      </w:r>
      <w:r w:rsidRPr="00A535FB">
        <w:rPr>
          <w:sz w:val="24"/>
          <w:szCs w:val="24"/>
        </w:rPr>
        <w:lastRenderedPageBreak/>
        <w:t xml:space="preserve">California and a review of </w:t>
      </w:r>
      <w:r w:rsidRPr="00A535FB">
        <w:rPr>
          <w:i/>
          <w:sz w:val="24"/>
          <w:szCs w:val="24"/>
        </w:rPr>
        <w:t>T. gondii</w:t>
      </w:r>
      <w:r w:rsidRPr="00A535FB">
        <w:rPr>
          <w:sz w:val="24"/>
          <w:szCs w:val="24"/>
        </w:rPr>
        <w:t xml:space="preserve"> prevalence in rodents. </w:t>
      </w:r>
      <w:r w:rsidRPr="00A535FB">
        <w:rPr>
          <w:i/>
          <w:sz w:val="24"/>
          <w:szCs w:val="24"/>
        </w:rPr>
        <w:t xml:space="preserve">Journal of Parasitology </w:t>
      </w:r>
      <w:r w:rsidRPr="00A535FB">
        <w:rPr>
          <w:b/>
          <w:sz w:val="24"/>
          <w:szCs w:val="24"/>
        </w:rPr>
        <w:t>94</w:t>
      </w:r>
      <w:r w:rsidRPr="00A535FB">
        <w:rPr>
          <w:sz w:val="24"/>
          <w:szCs w:val="24"/>
        </w:rPr>
        <w:t>, 675-683.</w:t>
      </w:r>
    </w:p>
    <w:p w:rsidR="00A535FB" w:rsidRDefault="00A535FB" w:rsidP="00A535FB">
      <w:pPr>
        <w:spacing w:line="480" w:lineRule="auto"/>
        <w:rPr>
          <w:sz w:val="24"/>
          <w:szCs w:val="24"/>
        </w:rPr>
      </w:pPr>
    </w:p>
    <w:p w:rsidR="00491B23" w:rsidRDefault="00491B23" w:rsidP="00491B23">
      <w:pPr>
        <w:spacing w:line="480" w:lineRule="auto"/>
        <w:rPr>
          <w:sz w:val="24"/>
          <w:szCs w:val="24"/>
        </w:rPr>
      </w:pPr>
      <w:r w:rsidRPr="00491B23">
        <w:rPr>
          <w:b/>
          <w:sz w:val="24"/>
          <w:szCs w:val="24"/>
        </w:rPr>
        <w:t>Dodd, N.S., Lord, J.S., Jehle, R., Parker, S., Parker, F., Brooks, D.R. and Hide, G.</w:t>
      </w:r>
      <w:r>
        <w:rPr>
          <w:sz w:val="24"/>
          <w:szCs w:val="24"/>
        </w:rPr>
        <w:t xml:space="preserve"> (2014). </w:t>
      </w:r>
      <w:r w:rsidRPr="00491B23">
        <w:rPr>
          <w:i/>
          <w:sz w:val="24"/>
          <w:szCs w:val="24"/>
        </w:rPr>
        <w:t>Toxoplasma gondii:</w:t>
      </w:r>
      <w:r>
        <w:rPr>
          <w:sz w:val="24"/>
          <w:szCs w:val="24"/>
        </w:rPr>
        <w:t xml:space="preserve"> </w:t>
      </w:r>
      <w:r w:rsidRPr="00491B23">
        <w:rPr>
          <w:sz w:val="24"/>
          <w:szCs w:val="24"/>
        </w:rPr>
        <w:t>Prevalence in species and genotype</w:t>
      </w:r>
      <w:r>
        <w:rPr>
          <w:sz w:val="24"/>
          <w:szCs w:val="24"/>
        </w:rPr>
        <w:t>s of British bats (</w:t>
      </w:r>
      <w:r w:rsidRPr="00491B23">
        <w:rPr>
          <w:i/>
          <w:sz w:val="24"/>
          <w:szCs w:val="24"/>
        </w:rPr>
        <w:t xml:space="preserve">Pipistrellus pipistrellus </w:t>
      </w:r>
      <w:r>
        <w:rPr>
          <w:sz w:val="24"/>
          <w:szCs w:val="24"/>
        </w:rPr>
        <w:t xml:space="preserve">and </w:t>
      </w:r>
      <w:r w:rsidRPr="00491B23">
        <w:rPr>
          <w:i/>
          <w:sz w:val="24"/>
          <w:szCs w:val="24"/>
        </w:rPr>
        <w:t>P. pygmaeus</w:t>
      </w:r>
      <w:r w:rsidRPr="00491B23">
        <w:rPr>
          <w:sz w:val="24"/>
          <w:szCs w:val="24"/>
        </w:rPr>
        <w:t xml:space="preserve">). </w:t>
      </w:r>
      <w:r w:rsidRPr="00491B23">
        <w:rPr>
          <w:i/>
          <w:sz w:val="24"/>
          <w:szCs w:val="24"/>
        </w:rPr>
        <w:t>Exp</w:t>
      </w:r>
      <w:r>
        <w:rPr>
          <w:i/>
          <w:sz w:val="24"/>
          <w:szCs w:val="24"/>
        </w:rPr>
        <w:t>erimental</w:t>
      </w:r>
      <w:r w:rsidRPr="00491B23">
        <w:rPr>
          <w:i/>
          <w:sz w:val="24"/>
          <w:szCs w:val="24"/>
        </w:rPr>
        <w:t xml:space="preserve"> Parasitology </w:t>
      </w:r>
      <w:r>
        <w:rPr>
          <w:sz w:val="24"/>
          <w:szCs w:val="24"/>
        </w:rPr>
        <w:t xml:space="preserve">139, 6-11. </w:t>
      </w:r>
    </w:p>
    <w:p w:rsidR="00491B23" w:rsidRDefault="00491B23" w:rsidP="00491B23">
      <w:pPr>
        <w:spacing w:line="480" w:lineRule="auto"/>
        <w:rPr>
          <w:sz w:val="24"/>
          <w:szCs w:val="24"/>
        </w:rPr>
      </w:pPr>
    </w:p>
    <w:p w:rsidR="00A535FB" w:rsidRPr="00A535FB" w:rsidRDefault="00A535FB" w:rsidP="00491B23">
      <w:pPr>
        <w:spacing w:line="480" w:lineRule="auto"/>
        <w:rPr>
          <w:sz w:val="24"/>
          <w:szCs w:val="24"/>
        </w:rPr>
      </w:pPr>
      <w:r w:rsidRPr="00A535FB">
        <w:rPr>
          <w:b/>
          <w:sz w:val="24"/>
          <w:szCs w:val="24"/>
        </w:rPr>
        <w:t>Dubey, J.P., Weigel, R.M., Siegel, A.M., Thulliez, P., Kitron, U.D., Mitchell, M.A., Mannelli, A., Mateuspinillia, N.E., Shen, S.K., Kwok, O.C.H. and Todd, K.S.</w:t>
      </w:r>
      <w:r w:rsidRPr="00A535FB">
        <w:rPr>
          <w:sz w:val="24"/>
          <w:szCs w:val="24"/>
        </w:rPr>
        <w:t xml:space="preserve"> (1995).  Sources and reservoirs of </w:t>
      </w:r>
      <w:r w:rsidRPr="00A535FB">
        <w:rPr>
          <w:i/>
          <w:sz w:val="24"/>
          <w:szCs w:val="24"/>
        </w:rPr>
        <w:t>Toxoplasma gondii</w:t>
      </w:r>
      <w:r w:rsidRPr="00A535FB">
        <w:rPr>
          <w:sz w:val="24"/>
          <w:szCs w:val="24"/>
        </w:rPr>
        <w:t xml:space="preserve"> infection on 47 swine farms in Illinois.  </w:t>
      </w:r>
      <w:r w:rsidRPr="00A535FB">
        <w:rPr>
          <w:i/>
          <w:sz w:val="24"/>
          <w:szCs w:val="24"/>
        </w:rPr>
        <w:t xml:space="preserve">Journal of Parasitology </w:t>
      </w:r>
      <w:r w:rsidRPr="00A535FB">
        <w:rPr>
          <w:sz w:val="24"/>
          <w:szCs w:val="24"/>
        </w:rPr>
        <w:t xml:space="preserve"> </w:t>
      </w:r>
      <w:r w:rsidRPr="00A535FB">
        <w:rPr>
          <w:b/>
          <w:sz w:val="24"/>
          <w:szCs w:val="24"/>
        </w:rPr>
        <w:t>81,</w:t>
      </w:r>
      <w:r w:rsidRPr="00A535FB">
        <w:rPr>
          <w:sz w:val="24"/>
          <w:szCs w:val="24"/>
        </w:rPr>
        <w:t xml:space="preserve"> 723-729.</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Dubey, J.P., Shen, S.K., Kwok, O.C. and Thulliez,</w:t>
      </w:r>
      <w:r w:rsidRPr="00A535FB">
        <w:rPr>
          <w:sz w:val="24"/>
          <w:szCs w:val="24"/>
        </w:rPr>
        <w:t xml:space="preserve"> P. (1997). Toxoplasmosis in rats (</w:t>
      </w:r>
      <w:r w:rsidRPr="00A535FB">
        <w:rPr>
          <w:i/>
          <w:sz w:val="24"/>
          <w:szCs w:val="24"/>
        </w:rPr>
        <w:t>Rattus norvegicus</w:t>
      </w:r>
      <w:r w:rsidRPr="00A535FB">
        <w:rPr>
          <w:sz w:val="24"/>
          <w:szCs w:val="24"/>
        </w:rPr>
        <w:t xml:space="preserve">): congenital transmission to first and second generation offspring and isolation </w:t>
      </w:r>
      <w:r w:rsidRPr="00A535FB">
        <w:rPr>
          <w:i/>
          <w:sz w:val="24"/>
          <w:szCs w:val="24"/>
        </w:rPr>
        <w:t>Toxoplasma</w:t>
      </w:r>
      <w:r w:rsidRPr="00A535FB">
        <w:rPr>
          <w:sz w:val="24"/>
          <w:szCs w:val="24"/>
        </w:rPr>
        <w:t xml:space="preserve"> </w:t>
      </w:r>
      <w:r w:rsidRPr="00A535FB">
        <w:rPr>
          <w:i/>
          <w:sz w:val="24"/>
          <w:szCs w:val="24"/>
        </w:rPr>
        <w:t>gondii</w:t>
      </w:r>
      <w:r w:rsidRPr="00A535FB">
        <w:rPr>
          <w:sz w:val="24"/>
          <w:szCs w:val="24"/>
        </w:rPr>
        <w:t xml:space="preserve"> from seronegative rats. </w:t>
      </w:r>
      <w:r w:rsidRPr="00A535FB">
        <w:rPr>
          <w:i/>
          <w:sz w:val="24"/>
          <w:szCs w:val="24"/>
        </w:rPr>
        <w:t>Parasitology</w:t>
      </w:r>
      <w:r w:rsidRPr="00A535FB">
        <w:rPr>
          <w:sz w:val="24"/>
          <w:szCs w:val="24"/>
        </w:rPr>
        <w:t xml:space="preserve"> </w:t>
      </w:r>
      <w:r w:rsidRPr="00A535FB">
        <w:rPr>
          <w:rStyle w:val="Strong"/>
          <w:sz w:val="24"/>
          <w:szCs w:val="24"/>
        </w:rPr>
        <w:t>115</w:t>
      </w:r>
      <w:r w:rsidRPr="00A535FB">
        <w:rPr>
          <w:b/>
          <w:sz w:val="24"/>
          <w:szCs w:val="24"/>
        </w:rPr>
        <w:t>,</w:t>
      </w:r>
      <w:r w:rsidRPr="00A535FB">
        <w:rPr>
          <w:sz w:val="24"/>
          <w:szCs w:val="24"/>
        </w:rPr>
        <w:t xml:space="preserve"> 9-14.</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Dubey J.P., and Jones, J.L.</w:t>
      </w:r>
      <w:r w:rsidRPr="00A535FB">
        <w:rPr>
          <w:sz w:val="24"/>
          <w:szCs w:val="24"/>
        </w:rPr>
        <w:t xml:space="preserve"> (2008). </w:t>
      </w:r>
      <w:r w:rsidRPr="00A535FB">
        <w:rPr>
          <w:i/>
          <w:sz w:val="24"/>
          <w:szCs w:val="24"/>
        </w:rPr>
        <w:t>Toxoplasma gondii</w:t>
      </w:r>
      <w:r w:rsidRPr="00A535FB">
        <w:rPr>
          <w:sz w:val="24"/>
          <w:szCs w:val="24"/>
        </w:rPr>
        <w:t xml:space="preserve"> infection in humans and animals in the United States. </w:t>
      </w:r>
      <w:r w:rsidRPr="00A535FB">
        <w:rPr>
          <w:i/>
          <w:sz w:val="24"/>
          <w:szCs w:val="24"/>
        </w:rPr>
        <w:t>International Journal of Parasitology</w:t>
      </w:r>
      <w:r w:rsidRPr="00A535FB">
        <w:rPr>
          <w:sz w:val="24"/>
          <w:szCs w:val="24"/>
        </w:rPr>
        <w:t xml:space="preserve"> </w:t>
      </w:r>
      <w:r w:rsidRPr="00A535FB">
        <w:rPr>
          <w:b/>
          <w:sz w:val="24"/>
          <w:szCs w:val="24"/>
        </w:rPr>
        <w:t>38</w:t>
      </w:r>
      <w:r w:rsidRPr="00A535FB">
        <w:rPr>
          <w:sz w:val="24"/>
          <w:szCs w:val="24"/>
        </w:rPr>
        <w:t>,</w:t>
      </w:r>
      <w:r w:rsidR="00030872">
        <w:rPr>
          <w:sz w:val="24"/>
          <w:szCs w:val="24"/>
        </w:rPr>
        <w:t xml:space="preserve"> </w:t>
      </w:r>
      <w:r w:rsidRPr="00A535FB">
        <w:rPr>
          <w:sz w:val="24"/>
          <w:szCs w:val="24"/>
        </w:rPr>
        <w:t xml:space="preserve">1257-1278. </w:t>
      </w:r>
    </w:p>
    <w:p w:rsidR="00A535FB" w:rsidRPr="00A535FB" w:rsidRDefault="00A535FB" w:rsidP="00A535FB">
      <w:pPr>
        <w:spacing w:line="480" w:lineRule="auto"/>
        <w:rPr>
          <w:sz w:val="24"/>
          <w:szCs w:val="24"/>
        </w:rPr>
      </w:pPr>
    </w:p>
    <w:p w:rsidR="00A535FB" w:rsidRPr="00A535FB" w:rsidRDefault="00A535FB" w:rsidP="00A535FB">
      <w:pPr>
        <w:pStyle w:val="NormalWeb"/>
        <w:spacing w:after="0" w:line="480" w:lineRule="auto"/>
        <w:rPr>
          <w:rFonts w:asciiTheme="minorHAnsi" w:eastAsia="SimSun" w:hAnsiTheme="minorHAnsi"/>
        </w:rPr>
      </w:pPr>
      <w:r w:rsidRPr="00A535FB">
        <w:rPr>
          <w:rFonts w:asciiTheme="minorHAnsi" w:hAnsiTheme="minorHAnsi"/>
          <w:b/>
        </w:rPr>
        <w:lastRenderedPageBreak/>
        <w:t>Dubey, J.P.</w:t>
      </w:r>
      <w:r w:rsidRPr="00A535FB">
        <w:rPr>
          <w:rFonts w:asciiTheme="minorHAnsi" w:hAnsiTheme="minorHAnsi"/>
        </w:rPr>
        <w:t xml:space="preserve"> (</w:t>
      </w:r>
      <w:r>
        <w:rPr>
          <w:rFonts w:asciiTheme="minorHAnsi" w:hAnsiTheme="minorHAnsi"/>
        </w:rPr>
        <w:t>2010</w:t>
      </w:r>
      <w:r w:rsidRPr="00A535FB">
        <w:rPr>
          <w:rFonts w:asciiTheme="minorHAnsi" w:hAnsiTheme="minorHAnsi"/>
        </w:rPr>
        <w:t xml:space="preserve">). </w:t>
      </w:r>
      <w:r w:rsidRPr="00A535FB">
        <w:rPr>
          <w:rFonts w:asciiTheme="minorHAnsi" w:eastAsia="SimSun" w:hAnsiTheme="minorHAnsi"/>
          <w:i/>
        </w:rPr>
        <w:t>Toxoplasmosis of animals and humans</w:t>
      </w:r>
      <w:r>
        <w:rPr>
          <w:rFonts w:asciiTheme="minorHAnsi" w:eastAsia="SimSun" w:hAnsiTheme="minorHAnsi"/>
        </w:rPr>
        <w:t>, 2nd Edn.</w:t>
      </w:r>
      <w:r w:rsidRPr="00A535FB">
        <w:rPr>
          <w:rFonts w:asciiTheme="minorHAnsi" w:eastAsia="SimSun" w:hAnsiTheme="minorHAnsi"/>
        </w:rPr>
        <w:t xml:space="preserve"> CRC Press</w:t>
      </w:r>
      <w:r>
        <w:rPr>
          <w:rFonts w:asciiTheme="minorHAnsi" w:eastAsia="SimSun" w:hAnsiTheme="minorHAnsi"/>
        </w:rPr>
        <w:t>, Boca Raton, Florida, USA.</w:t>
      </w:r>
    </w:p>
    <w:p w:rsidR="00A535FB" w:rsidRPr="00A535FB" w:rsidRDefault="00A535FB" w:rsidP="00A535FB">
      <w:pPr>
        <w:pStyle w:val="NormalWeb"/>
        <w:spacing w:after="0" w:line="480" w:lineRule="auto"/>
        <w:rPr>
          <w:rFonts w:asciiTheme="minorHAnsi" w:eastAsia="SimSun" w:hAnsiTheme="minorHAnsi"/>
        </w:rPr>
      </w:pPr>
    </w:p>
    <w:p w:rsidR="00A535FB" w:rsidRPr="00A535FB" w:rsidRDefault="00A535FB" w:rsidP="00A535FB">
      <w:pPr>
        <w:spacing w:line="480" w:lineRule="auto"/>
        <w:rPr>
          <w:sz w:val="24"/>
          <w:szCs w:val="24"/>
        </w:rPr>
      </w:pPr>
      <w:r w:rsidRPr="00A535FB">
        <w:rPr>
          <w:b/>
          <w:sz w:val="24"/>
          <w:szCs w:val="24"/>
        </w:rPr>
        <w:t>Duncanson, P., Terry, R.S., Smith, J.E. and Hide, G.</w:t>
      </w:r>
      <w:r w:rsidRPr="00A535FB">
        <w:rPr>
          <w:sz w:val="24"/>
          <w:szCs w:val="24"/>
        </w:rPr>
        <w:t xml:space="preserve"> (2001). High levels of congenital transmission of </w:t>
      </w:r>
      <w:r w:rsidRPr="00A535FB">
        <w:rPr>
          <w:i/>
          <w:sz w:val="24"/>
          <w:szCs w:val="24"/>
        </w:rPr>
        <w:t>Toxoplasma gondii</w:t>
      </w:r>
      <w:r w:rsidRPr="00A535FB">
        <w:rPr>
          <w:sz w:val="24"/>
          <w:szCs w:val="24"/>
        </w:rPr>
        <w:t xml:space="preserve"> in a commercial sheep flock. </w:t>
      </w:r>
      <w:r w:rsidRPr="00A535FB">
        <w:rPr>
          <w:i/>
          <w:sz w:val="24"/>
          <w:szCs w:val="24"/>
        </w:rPr>
        <w:t>International Journal for Parasitology</w:t>
      </w:r>
      <w:r w:rsidRPr="00A535FB">
        <w:rPr>
          <w:sz w:val="24"/>
          <w:szCs w:val="24"/>
        </w:rPr>
        <w:t xml:space="preserve"> </w:t>
      </w:r>
      <w:r w:rsidRPr="00A535FB">
        <w:rPr>
          <w:b/>
          <w:sz w:val="24"/>
          <w:szCs w:val="24"/>
        </w:rPr>
        <w:t>31</w:t>
      </w:r>
      <w:r w:rsidRPr="00A535FB">
        <w:rPr>
          <w:sz w:val="24"/>
          <w:szCs w:val="24"/>
        </w:rPr>
        <w:t>, 1699-1703.</w:t>
      </w:r>
    </w:p>
    <w:p w:rsidR="00DB672F" w:rsidRDefault="00DB672F" w:rsidP="00DB672F">
      <w:pPr>
        <w:spacing w:line="480" w:lineRule="auto"/>
        <w:jc w:val="both"/>
        <w:rPr>
          <w:b/>
          <w:sz w:val="24"/>
          <w:szCs w:val="24"/>
        </w:rPr>
      </w:pPr>
    </w:p>
    <w:p w:rsidR="00DB672F" w:rsidRPr="009B701E" w:rsidRDefault="00DB672F" w:rsidP="00DB672F">
      <w:pPr>
        <w:spacing w:line="480" w:lineRule="auto"/>
        <w:jc w:val="both"/>
        <w:rPr>
          <w:sz w:val="24"/>
          <w:szCs w:val="24"/>
        </w:rPr>
      </w:pPr>
      <w:r w:rsidRPr="00DB672F">
        <w:rPr>
          <w:b/>
          <w:sz w:val="24"/>
          <w:szCs w:val="24"/>
        </w:rPr>
        <w:t>Elsaid</w:t>
      </w:r>
      <w:r>
        <w:rPr>
          <w:b/>
          <w:sz w:val="24"/>
          <w:szCs w:val="24"/>
        </w:rPr>
        <w:t>,</w:t>
      </w:r>
      <w:r w:rsidRPr="00DB672F">
        <w:rPr>
          <w:b/>
          <w:sz w:val="24"/>
          <w:szCs w:val="24"/>
        </w:rPr>
        <w:t xml:space="preserve"> M</w:t>
      </w:r>
      <w:r>
        <w:rPr>
          <w:b/>
          <w:sz w:val="24"/>
          <w:szCs w:val="24"/>
        </w:rPr>
        <w:t>.</w:t>
      </w:r>
      <w:r w:rsidRPr="00DB672F">
        <w:rPr>
          <w:b/>
          <w:sz w:val="24"/>
          <w:szCs w:val="24"/>
        </w:rPr>
        <w:t>M</w:t>
      </w:r>
      <w:r>
        <w:rPr>
          <w:b/>
          <w:sz w:val="24"/>
          <w:szCs w:val="24"/>
        </w:rPr>
        <w:t>.</w:t>
      </w:r>
      <w:r w:rsidRPr="00DB672F">
        <w:rPr>
          <w:b/>
          <w:sz w:val="24"/>
          <w:szCs w:val="24"/>
        </w:rPr>
        <w:t>A</w:t>
      </w:r>
      <w:r>
        <w:rPr>
          <w:b/>
          <w:sz w:val="24"/>
          <w:szCs w:val="24"/>
        </w:rPr>
        <w:t>.</w:t>
      </w:r>
      <w:r w:rsidRPr="00DB672F">
        <w:rPr>
          <w:b/>
          <w:sz w:val="24"/>
          <w:szCs w:val="24"/>
        </w:rPr>
        <w:t>, Martins</w:t>
      </w:r>
      <w:r>
        <w:rPr>
          <w:b/>
          <w:sz w:val="24"/>
          <w:szCs w:val="24"/>
        </w:rPr>
        <w:t>,</w:t>
      </w:r>
      <w:r w:rsidRPr="00DB672F">
        <w:rPr>
          <w:b/>
          <w:sz w:val="24"/>
          <w:szCs w:val="24"/>
        </w:rPr>
        <w:t xml:space="preserve"> M</w:t>
      </w:r>
      <w:r>
        <w:rPr>
          <w:b/>
          <w:sz w:val="24"/>
          <w:szCs w:val="24"/>
        </w:rPr>
        <w:t>.</w:t>
      </w:r>
      <w:r w:rsidRPr="00DB672F">
        <w:rPr>
          <w:b/>
          <w:sz w:val="24"/>
          <w:szCs w:val="24"/>
        </w:rPr>
        <w:t>S</w:t>
      </w:r>
      <w:r>
        <w:rPr>
          <w:b/>
          <w:sz w:val="24"/>
          <w:szCs w:val="24"/>
        </w:rPr>
        <w:t>.</w:t>
      </w:r>
      <w:r w:rsidRPr="00DB672F">
        <w:rPr>
          <w:b/>
          <w:sz w:val="24"/>
          <w:szCs w:val="24"/>
        </w:rPr>
        <w:t>, Frézard</w:t>
      </w:r>
      <w:r>
        <w:rPr>
          <w:b/>
          <w:sz w:val="24"/>
          <w:szCs w:val="24"/>
        </w:rPr>
        <w:t>,</w:t>
      </w:r>
      <w:r w:rsidRPr="00DB672F">
        <w:rPr>
          <w:b/>
          <w:sz w:val="24"/>
          <w:szCs w:val="24"/>
        </w:rPr>
        <w:t xml:space="preserve"> F</w:t>
      </w:r>
      <w:r>
        <w:rPr>
          <w:b/>
          <w:sz w:val="24"/>
          <w:szCs w:val="24"/>
        </w:rPr>
        <w:t>.</w:t>
      </w:r>
      <w:r w:rsidRPr="00DB672F">
        <w:rPr>
          <w:b/>
          <w:sz w:val="24"/>
          <w:szCs w:val="24"/>
        </w:rPr>
        <w:t>, Braga</w:t>
      </w:r>
      <w:r>
        <w:rPr>
          <w:b/>
          <w:sz w:val="24"/>
          <w:szCs w:val="24"/>
        </w:rPr>
        <w:t>,</w:t>
      </w:r>
      <w:r w:rsidRPr="00DB672F">
        <w:rPr>
          <w:b/>
          <w:sz w:val="24"/>
          <w:szCs w:val="24"/>
        </w:rPr>
        <w:t xml:space="preserve"> E</w:t>
      </w:r>
      <w:r>
        <w:rPr>
          <w:b/>
          <w:sz w:val="24"/>
          <w:szCs w:val="24"/>
        </w:rPr>
        <w:t>.</w:t>
      </w:r>
      <w:r w:rsidRPr="00DB672F">
        <w:rPr>
          <w:b/>
          <w:sz w:val="24"/>
          <w:szCs w:val="24"/>
        </w:rPr>
        <w:t>M</w:t>
      </w:r>
      <w:r>
        <w:rPr>
          <w:b/>
          <w:sz w:val="24"/>
          <w:szCs w:val="24"/>
        </w:rPr>
        <w:t>. and</w:t>
      </w:r>
      <w:r w:rsidRPr="00DB672F">
        <w:rPr>
          <w:b/>
          <w:sz w:val="24"/>
          <w:szCs w:val="24"/>
        </w:rPr>
        <w:t xml:space="preserve"> Vitor RWA</w:t>
      </w:r>
      <w:r>
        <w:rPr>
          <w:b/>
          <w:sz w:val="24"/>
          <w:szCs w:val="24"/>
        </w:rPr>
        <w:t xml:space="preserve">. </w:t>
      </w:r>
      <w:r>
        <w:rPr>
          <w:sz w:val="24"/>
          <w:szCs w:val="24"/>
        </w:rPr>
        <w:t>(2001).</w:t>
      </w:r>
      <w:r w:rsidRPr="009B701E">
        <w:rPr>
          <w:b/>
          <w:sz w:val="24"/>
          <w:szCs w:val="24"/>
        </w:rPr>
        <w:t xml:space="preserve"> </w:t>
      </w:r>
      <w:r w:rsidRPr="00DB672F">
        <w:rPr>
          <w:sz w:val="24"/>
          <w:szCs w:val="24"/>
        </w:rPr>
        <w:t xml:space="preserve">Vertical toxoplasmosis in a murine model. Protection after immunization with antigens of </w:t>
      </w:r>
      <w:r w:rsidRPr="00DB672F">
        <w:rPr>
          <w:i/>
          <w:sz w:val="24"/>
          <w:szCs w:val="24"/>
        </w:rPr>
        <w:t>Toxoplasma gondii</w:t>
      </w:r>
      <w:r w:rsidRPr="00DB672F">
        <w:rPr>
          <w:sz w:val="24"/>
          <w:szCs w:val="24"/>
        </w:rPr>
        <w:t xml:space="preserve"> incorporated into liposomes. </w:t>
      </w:r>
      <w:r w:rsidRPr="009B701E">
        <w:rPr>
          <w:i/>
          <w:sz w:val="24"/>
          <w:szCs w:val="24"/>
        </w:rPr>
        <w:t>Mem</w:t>
      </w:r>
      <w:r>
        <w:rPr>
          <w:i/>
          <w:sz w:val="24"/>
          <w:szCs w:val="24"/>
        </w:rPr>
        <w:t>oirs</w:t>
      </w:r>
      <w:r w:rsidRPr="009B701E">
        <w:rPr>
          <w:i/>
          <w:sz w:val="24"/>
          <w:szCs w:val="24"/>
        </w:rPr>
        <w:t xml:space="preserve"> Inst</w:t>
      </w:r>
      <w:r>
        <w:rPr>
          <w:i/>
          <w:sz w:val="24"/>
          <w:szCs w:val="24"/>
        </w:rPr>
        <w:t>itute</w:t>
      </w:r>
      <w:r w:rsidRPr="009B701E">
        <w:rPr>
          <w:i/>
          <w:sz w:val="24"/>
          <w:szCs w:val="24"/>
        </w:rPr>
        <w:t xml:space="preserve"> Oswaldo Cruz</w:t>
      </w:r>
      <w:r w:rsidRPr="009B701E">
        <w:rPr>
          <w:sz w:val="24"/>
          <w:szCs w:val="24"/>
        </w:rPr>
        <w:t xml:space="preserve"> </w:t>
      </w:r>
      <w:r w:rsidRPr="009B701E">
        <w:rPr>
          <w:b/>
          <w:sz w:val="24"/>
          <w:szCs w:val="24"/>
        </w:rPr>
        <w:t>96</w:t>
      </w:r>
      <w:r>
        <w:rPr>
          <w:sz w:val="24"/>
          <w:szCs w:val="24"/>
        </w:rPr>
        <w:t>,</w:t>
      </w:r>
      <w:r w:rsidRPr="009B701E">
        <w:rPr>
          <w:sz w:val="24"/>
          <w:szCs w:val="24"/>
        </w:rPr>
        <w:t xml:space="preserve"> 99-104.</w:t>
      </w:r>
    </w:p>
    <w:p w:rsidR="00A535FB" w:rsidRPr="00A535FB" w:rsidRDefault="00A535FB" w:rsidP="00A535FB">
      <w:pPr>
        <w:spacing w:line="480" w:lineRule="auto"/>
        <w:rPr>
          <w:sz w:val="24"/>
          <w:szCs w:val="24"/>
        </w:rPr>
      </w:pPr>
    </w:p>
    <w:p w:rsidR="00F706E7" w:rsidRPr="009B701E" w:rsidRDefault="00F706E7" w:rsidP="00F706E7">
      <w:pPr>
        <w:spacing w:line="480" w:lineRule="auto"/>
        <w:jc w:val="both"/>
        <w:rPr>
          <w:sz w:val="24"/>
          <w:szCs w:val="24"/>
        </w:rPr>
      </w:pPr>
      <w:r w:rsidRPr="00F706E7">
        <w:rPr>
          <w:b/>
          <w:sz w:val="24"/>
          <w:szCs w:val="24"/>
        </w:rPr>
        <w:t>Evanno, G., Regnaut, S. and Goudet, J. (2005).</w:t>
      </w:r>
      <w:r w:rsidRPr="009B701E">
        <w:rPr>
          <w:sz w:val="24"/>
          <w:szCs w:val="24"/>
        </w:rPr>
        <w:t xml:space="preserve"> </w:t>
      </w:r>
      <w:r w:rsidRPr="00F706E7">
        <w:rPr>
          <w:sz w:val="24"/>
          <w:szCs w:val="24"/>
        </w:rPr>
        <w:t>Detecting the number of clusters of individuals using the software STRUCTURE: a simulation study</w:t>
      </w:r>
      <w:r w:rsidRPr="00F706E7">
        <w:rPr>
          <w:i/>
          <w:sz w:val="24"/>
          <w:szCs w:val="24"/>
        </w:rPr>
        <w:t>.</w:t>
      </w:r>
      <w:r>
        <w:rPr>
          <w:i/>
          <w:sz w:val="24"/>
          <w:szCs w:val="24"/>
        </w:rPr>
        <w:t xml:space="preserve"> Molecular</w:t>
      </w:r>
      <w:r w:rsidRPr="009B701E">
        <w:rPr>
          <w:i/>
          <w:sz w:val="24"/>
          <w:szCs w:val="24"/>
        </w:rPr>
        <w:t xml:space="preserve"> Ecol</w:t>
      </w:r>
      <w:r>
        <w:rPr>
          <w:i/>
          <w:sz w:val="24"/>
          <w:szCs w:val="24"/>
        </w:rPr>
        <w:t>ogy</w:t>
      </w:r>
      <w:r w:rsidRPr="009B701E">
        <w:rPr>
          <w:sz w:val="24"/>
          <w:szCs w:val="24"/>
        </w:rPr>
        <w:t xml:space="preserve"> </w:t>
      </w:r>
      <w:r w:rsidRPr="009B701E">
        <w:rPr>
          <w:b/>
          <w:sz w:val="24"/>
          <w:szCs w:val="24"/>
        </w:rPr>
        <w:t>14</w:t>
      </w:r>
      <w:r>
        <w:rPr>
          <w:sz w:val="24"/>
          <w:szCs w:val="24"/>
        </w:rPr>
        <w:t xml:space="preserve">, </w:t>
      </w:r>
      <w:r w:rsidRPr="009B701E">
        <w:rPr>
          <w:sz w:val="24"/>
          <w:szCs w:val="24"/>
        </w:rPr>
        <w:t>2611–2620.</w:t>
      </w:r>
    </w:p>
    <w:p w:rsidR="00F706E7" w:rsidRDefault="00F706E7" w:rsidP="00A535FB">
      <w:pPr>
        <w:pStyle w:val="Heading2"/>
        <w:spacing w:line="480" w:lineRule="auto"/>
        <w:rPr>
          <w:rFonts w:asciiTheme="minorHAnsi" w:hAnsiTheme="minorHAnsi"/>
          <w:b/>
          <w:color w:val="auto"/>
        </w:rPr>
      </w:pPr>
    </w:p>
    <w:p w:rsidR="00A535FB" w:rsidRDefault="00A535FB" w:rsidP="00A535FB">
      <w:pPr>
        <w:pStyle w:val="Heading2"/>
        <w:spacing w:line="480" w:lineRule="auto"/>
        <w:rPr>
          <w:rFonts w:asciiTheme="minorHAnsi" w:hAnsiTheme="minorHAnsi"/>
          <w:color w:val="auto"/>
        </w:rPr>
      </w:pPr>
      <w:r w:rsidRPr="00A535FB">
        <w:rPr>
          <w:rFonts w:asciiTheme="minorHAnsi" w:hAnsiTheme="minorHAnsi"/>
          <w:b/>
          <w:color w:val="auto"/>
        </w:rPr>
        <w:t>Franti, C.E., Riemann, H.P., Behmeyer, D.E., Suther, D., Howarth, J.A. and Ruppanner, R</w:t>
      </w:r>
      <w:r w:rsidRPr="00A535FB">
        <w:rPr>
          <w:rFonts w:asciiTheme="minorHAnsi" w:hAnsiTheme="minorHAnsi"/>
          <w:color w:val="auto"/>
        </w:rPr>
        <w:t xml:space="preserve">. (1976). Prevalence of </w:t>
      </w:r>
      <w:r w:rsidRPr="00A535FB">
        <w:rPr>
          <w:rFonts w:asciiTheme="minorHAnsi" w:hAnsiTheme="minorHAnsi"/>
          <w:i/>
          <w:color w:val="auto"/>
        </w:rPr>
        <w:t>Toxoplasma gondii</w:t>
      </w:r>
      <w:r w:rsidRPr="00A535FB">
        <w:rPr>
          <w:rFonts w:asciiTheme="minorHAnsi" w:hAnsiTheme="minorHAnsi"/>
          <w:color w:val="auto"/>
        </w:rPr>
        <w:t xml:space="preserve"> antibodies in wild and domestic animals in northern California. </w:t>
      </w:r>
      <w:r w:rsidRPr="00A535FB">
        <w:rPr>
          <w:rFonts w:asciiTheme="minorHAnsi" w:hAnsiTheme="minorHAnsi"/>
          <w:i/>
          <w:color w:val="auto"/>
        </w:rPr>
        <w:t>Journal of the American Veterinary Medical Association</w:t>
      </w:r>
      <w:r w:rsidRPr="00A535FB">
        <w:rPr>
          <w:rFonts w:asciiTheme="minorHAnsi" w:hAnsiTheme="minorHAnsi"/>
          <w:color w:val="auto"/>
        </w:rPr>
        <w:t xml:space="preserve">.  </w:t>
      </w:r>
      <w:r w:rsidRPr="00A535FB">
        <w:rPr>
          <w:rFonts w:asciiTheme="minorHAnsi" w:hAnsiTheme="minorHAnsi"/>
          <w:b/>
          <w:color w:val="auto"/>
        </w:rPr>
        <w:t>169</w:t>
      </w:r>
      <w:r w:rsidRPr="00A535FB">
        <w:rPr>
          <w:rFonts w:asciiTheme="minorHAnsi" w:hAnsiTheme="minorHAnsi"/>
          <w:color w:val="auto"/>
        </w:rPr>
        <w:t>, 901-906</w:t>
      </w:r>
      <w:r w:rsidR="00030872">
        <w:rPr>
          <w:rFonts w:asciiTheme="minorHAnsi" w:hAnsiTheme="minorHAnsi"/>
          <w:color w:val="auto"/>
        </w:rPr>
        <w:t>.</w:t>
      </w:r>
    </w:p>
    <w:p w:rsidR="00A442C2" w:rsidRDefault="00A442C2" w:rsidP="00A442C2">
      <w:pPr>
        <w:rPr>
          <w:lang w:eastAsia="zh-CN"/>
        </w:rPr>
      </w:pPr>
    </w:p>
    <w:p w:rsidR="00A442C2" w:rsidRPr="00A442C2" w:rsidRDefault="00A442C2" w:rsidP="00A442C2">
      <w:pPr>
        <w:autoSpaceDE w:val="0"/>
        <w:autoSpaceDN w:val="0"/>
        <w:adjustRightInd w:val="0"/>
        <w:spacing w:line="480" w:lineRule="auto"/>
        <w:rPr>
          <w:rFonts w:eastAsia="SimSun" w:cs="Arial"/>
          <w:sz w:val="24"/>
          <w:szCs w:val="24"/>
          <w:lang w:eastAsia="zh-CN"/>
        </w:rPr>
      </w:pPr>
      <w:r w:rsidRPr="00A442C2">
        <w:rPr>
          <w:rFonts w:eastAsia="SimSun" w:cs="Arial"/>
          <w:b/>
          <w:bCs/>
          <w:sz w:val="24"/>
          <w:szCs w:val="24"/>
          <w:lang w:eastAsia="zh-CN"/>
        </w:rPr>
        <w:t>Frenkel, J.K., Dubey, J.P. and Miller, N.L.</w:t>
      </w:r>
      <w:r w:rsidRPr="00A442C2">
        <w:rPr>
          <w:rFonts w:eastAsia="SimSun" w:cs="Arial"/>
          <w:sz w:val="24"/>
          <w:szCs w:val="24"/>
          <w:lang w:eastAsia="zh-CN"/>
        </w:rPr>
        <w:t xml:space="preserve"> (1970). </w:t>
      </w:r>
      <w:r w:rsidRPr="00A442C2">
        <w:rPr>
          <w:rFonts w:eastAsia="SimSun" w:cs="Arial"/>
          <w:i/>
          <w:iCs/>
          <w:sz w:val="24"/>
          <w:szCs w:val="24"/>
          <w:lang w:eastAsia="zh-CN"/>
        </w:rPr>
        <w:t>Toxoplasma gondii</w:t>
      </w:r>
      <w:r w:rsidRPr="00A442C2">
        <w:rPr>
          <w:rFonts w:eastAsia="SimSun" w:cs="Arial"/>
          <w:sz w:val="24"/>
          <w:szCs w:val="24"/>
          <w:lang w:eastAsia="zh-CN"/>
        </w:rPr>
        <w:t xml:space="preserve"> in cats: fecal stages identified as coccidian oocysts. </w:t>
      </w:r>
      <w:r w:rsidRPr="00A442C2">
        <w:rPr>
          <w:rFonts w:eastAsia="SimSun" w:cs="Arial"/>
          <w:i/>
          <w:iCs/>
          <w:sz w:val="24"/>
          <w:szCs w:val="24"/>
          <w:lang w:eastAsia="zh-CN"/>
        </w:rPr>
        <w:t>Science</w:t>
      </w:r>
      <w:r w:rsidRPr="00A442C2">
        <w:rPr>
          <w:rFonts w:eastAsia="SimSun" w:cs="Arial"/>
          <w:sz w:val="24"/>
          <w:szCs w:val="24"/>
          <w:lang w:eastAsia="zh-CN"/>
        </w:rPr>
        <w:t xml:space="preserve"> </w:t>
      </w:r>
      <w:r w:rsidRPr="00A442C2">
        <w:rPr>
          <w:rFonts w:eastAsia="SimSun" w:cs="Arial"/>
          <w:b/>
          <w:bCs/>
          <w:sz w:val="24"/>
          <w:szCs w:val="24"/>
          <w:lang w:eastAsia="zh-CN"/>
        </w:rPr>
        <w:t>167,</w:t>
      </w:r>
      <w:r w:rsidRPr="00A442C2">
        <w:rPr>
          <w:rFonts w:eastAsia="SimSun" w:cs="Arial"/>
          <w:sz w:val="24"/>
          <w:szCs w:val="24"/>
          <w:lang w:eastAsia="zh-CN"/>
        </w:rPr>
        <w:t xml:space="preserve"> 893</w:t>
      </w:r>
      <w:r w:rsidRPr="00A442C2">
        <w:rPr>
          <w:rFonts w:cs="Arial"/>
          <w:sz w:val="24"/>
          <w:szCs w:val="24"/>
        </w:rPr>
        <w:t>-</w:t>
      </w:r>
      <w:r w:rsidRPr="00A442C2">
        <w:rPr>
          <w:rFonts w:eastAsia="SimSun" w:cs="Arial"/>
          <w:sz w:val="24"/>
          <w:szCs w:val="24"/>
          <w:lang w:eastAsia="zh-CN"/>
        </w:rPr>
        <w:t>896.</w:t>
      </w:r>
    </w:p>
    <w:p w:rsidR="00D235A2" w:rsidRDefault="00D235A2" w:rsidP="00D235A2">
      <w:pPr>
        <w:spacing w:line="480" w:lineRule="auto"/>
        <w:jc w:val="both"/>
        <w:rPr>
          <w:sz w:val="24"/>
          <w:szCs w:val="24"/>
        </w:rPr>
      </w:pPr>
    </w:p>
    <w:p w:rsidR="00D235A2" w:rsidRPr="009B701E" w:rsidRDefault="00D235A2" w:rsidP="00D235A2">
      <w:pPr>
        <w:spacing w:line="480" w:lineRule="auto"/>
        <w:jc w:val="both"/>
        <w:rPr>
          <w:sz w:val="24"/>
          <w:szCs w:val="24"/>
        </w:rPr>
      </w:pPr>
      <w:r w:rsidRPr="00D235A2">
        <w:rPr>
          <w:b/>
          <w:sz w:val="24"/>
          <w:szCs w:val="24"/>
        </w:rPr>
        <w:lastRenderedPageBreak/>
        <w:t>Fuehrer, H,P., Bloschl, I., Siehs, C. and Hassl. A.</w:t>
      </w:r>
      <w:r>
        <w:rPr>
          <w:b/>
          <w:sz w:val="24"/>
          <w:szCs w:val="24"/>
        </w:rPr>
        <w:t xml:space="preserve"> </w:t>
      </w:r>
      <w:r w:rsidRPr="00D235A2">
        <w:rPr>
          <w:sz w:val="24"/>
          <w:szCs w:val="24"/>
        </w:rPr>
        <w:t xml:space="preserve">(2010). Detection of </w:t>
      </w:r>
      <w:r w:rsidRPr="00D235A2">
        <w:rPr>
          <w:i/>
          <w:sz w:val="24"/>
          <w:szCs w:val="24"/>
        </w:rPr>
        <w:t>Toxoplasma gondii</w:t>
      </w:r>
      <w:r w:rsidRPr="00D235A2">
        <w:rPr>
          <w:sz w:val="24"/>
          <w:szCs w:val="24"/>
        </w:rPr>
        <w:t xml:space="preserve">, </w:t>
      </w:r>
      <w:r w:rsidRPr="00D235A2">
        <w:rPr>
          <w:i/>
          <w:sz w:val="24"/>
          <w:szCs w:val="24"/>
        </w:rPr>
        <w:t>Neospora caninum</w:t>
      </w:r>
      <w:r w:rsidRPr="00D235A2">
        <w:rPr>
          <w:sz w:val="24"/>
          <w:szCs w:val="24"/>
        </w:rPr>
        <w:t xml:space="preserve">, and </w:t>
      </w:r>
      <w:r w:rsidRPr="00D235A2">
        <w:rPr>
          <w:i/>
          <w:sz w:val="24"/>
          <w:szCs w:val="24"/>
        </w:rPr>
        <w:t>Encephalitozoon cuniculi</w:t>
      </w:r>
      <w:r w:rsidRPr="00D235A2">
        <w:rPr>
          <w:sz w:val="24"/>
          <w:szCs w:val="24"/>
        </w:rPr>
        <w:t xml:space="preserve"> in the brains of common voles (</w:t>
      </w:r>
      <w:r w:rsidRPr="00D235A2">
        <w:rPr>
          <w:i/>
          <w:sz w:val="24"/>
          <w:szCs w:val="24"/>
        </w:rPr>
        <w:t>Microtus arvalis</w:t>
      </w:r>
      <w:r w:rsidRPr="00D235A2">
        <w:rPr>
          <w:sz w:val="24"/>
          <w:szCs w:val="24"/>
        </w:rPr>
        <w:t>) and water voles (</w:t>
      </w:r>
      <w:r w:rsidRPr="00D235A2">
        <w:rPr>
          <w:i/>
          <w:sz w:val="24"/>
          <w:szCs w:val="24"/>
        </w:rPr>
        <w:t>Arvicola terrestris</w:t>
      </w:r>
      <w:r w:rsidRPr="00D235A2">
        <w:rPr>
          <w:sz w:val="24"/>
          <w:szCs w:val="24"/>
        </w:rPr>
        <w:t>) by gene amplification techniques in western Austria (Vorarlberg).</w:t>
      </w:r>
      <w:r w:rsidRPr="009B701E">
        <w:rPr>
          <w:sz w:val="24"/>
          <w:szCs w:val="24"/>
        </w:rPr>
        <w:t xml:space="preserve"> </w:t>
      </w:r>
      <w:r w:rsidRPr="009B701E">
        <w:rPr>
          <w:i/>
          <w:sz w:val="24"/>
          <w:szCs w:val="24"/>
        </w:rPr>
        <w:t>Parasitology Research</w:t>
      </w:r>
      <w:r>
        <w:rPr>
          <w:sz w:val="24"/>
          <w:szCs w:val="24"/>
        </w:rPr>
        <w:t xml:space="preserve"> </w:t>
      </w:r>
      <w:r w:rsidRPr="009B701E">
        <w:rPr>
          <w:b/>
          <w:sz w:val="24"/>
          <w:szCs w:val="24"/>
        </w:rPr>
        <w:t>107</w:t>
      </w:r>
      <w:r>
        <w:rPr>
          <w:sz w:val="24"/>
          <w:szCs w:val="24"/>
        </w:rPr>
        <w:t>,</w:t>
      </w:r>
      <w:r w:rsidRPr="009B701E">
        <w:rPr>
          <w:sz w:val="24"/>
          <w:szCs w:val="24"/>
        </w:rPr>
        <w:t xml:space="preserve"> 469 – 473.</w:t>
      </w:r>
    </w:p>
    <w:p w:rsidR="00A535FB" w:rsidRDefault="00A535FB" w:rsidP="00A535FB">
      <w:pPr>
        <w:spacing w:line="480" w:lineRule="auto"/>
        <w:rPr>
          <w:sz w:val="24"/>
          <w:szCs w:val="24"/>
        </w:rPr>
      </w:pPr>
    </w:p>
    <w:p w:rsidR="004D66D6" w:rsidRPr="009B701E" w:rsidRDefault="004D66D6" w:rsidP="004D66D6">
      <w:pPr>
        <w:spacing w:line="480" w:lineRule="auto"/>
        <w:jc w:val="both"/>
        <w:rPr>
          <w:sz w:val="24"/>
          <w:szCs w:val="24"/>
        </w:rPr>
      </w:pPr>
      <w:r w:rsidRPr="004D66D6">
        <w:rPr>
          <w:b/>
          <w:sz w:val="24"/>
          <w:szCs w:val="24"/>
        </w:rPr>
        <w:t>Fuentes, I., Rubio, J.M., Ramírez, C. and Alvar, J.</w:t>
      </w:r>
      <w:r>
        <w:rPr>
          <w:sz w:val="24"/>
          <w:szCs w:val="24"/>
        </w:rPr>
        <w:t xml:space="preserve"> (2001).</w:t>
      </w:r>
      <w:r w:rsidRPr="009B701E">
        <w:rPr>
          <w:sz w:val="24"/>
          <w:szCs w:val="24"/>
        </w:rPr>
        <w:t xml:space="preserve"> </w:t>
      </w:r>
      <w:r w:rsidRPr="004D66D6">
        <w:rPr>
          <w:sz w:val="24"/>
          <w:szCs w:val="24"/>
        </w:rPr>
        <w:t xml:space="preserve">Genotypic Characterization of </w:t>
      </w:r>
      <w:r w:rsidRPr="004D66D6">
        <w:rPr>
          <w:i/>
          <w:sz w:val="24"/>
          <w:szCs w:val="24"/>
        </w:rPr>
        <w:t>Toxoplasma gondii</w:t>
      </w:r>
      <w:r w:rsidRPr="004D66D6">
        <w:rPr>
          <w:sz w:val="24"/>
          <w:szCs w:val="24"/>
        </w:rPr>
        <w:t xml:space="preserve"> Strains Associated with Human Toxoplasmosis in Spain: Direct Analysis from Clinical Samples.</w:t>
      </w:r>
      <w:r w:rsidRPr="009B701E">
        <w:rPr>
          <w:sz w:val="24"/>
          <w:szCs w:val="24"/>
        </w:rPr>
        <w:t xml:space="preserve"> </w:t>
      </w:r>
      <w:r w:rsidRPr="009B701E">
        <w:rPr>
          <w:i/>
          <w:sz w:val="24"/>
          <w:szCs w:val="24"/>
        </w:rPr>
        <w:t>J</w:t>
      </w:r>
      <w:r w:rsidR="005070B2">
        <w:rPr>
          <w:i/>
          <w:sz w:val="24"/>
          <w:szCs w:val="24"/>
        </w:rPr>
        <w:t>ournal of</w:t>
      </w:r>
      <w:r w:rsidRPr="009B701E">
        <w:rPr>
          <w:i/>
          <w:sz w:val="24"/>
          <w:szCs w:val="24"/>
        </w:rPr>
        <w:t xml:space="preserve"> Clin</w:t>
      </w:r>
      <w:r w:rsidR="005070B2">
        <w:rPr>
          <w:i/>
          <w:sz w:val="24"/>
          <w:szCs w:val="24"/>
        </w:rPr>
        <w:t>ical</w:t>
      </w:r>
      <w:r w:rsidRPr="009B701E">
        <w:rPr>
          <w:i/>
          <w:sz w:val="24"/>
          <w:szCs w:val="24"/>
        </w:rPr>
        <w:t xml:space="preserve"> Microbiol</w:t>
      </w:r>
      <w:r w:rsidR="005070B2">
        <w:rPr>
          <w:i/>
          <w:sz w:val="24"/>
          <w:szCs w:val="24"/>
        </w:rPr>
        <w:t>ogy</w:t>
      </w:r>
      <w:r w:rsidRPr="009B701E">
        <w:rPr>
          <w:sz w:val="24"/>
          <w:szCs w:val="24"/>
        </w:rPr>
        <w:t xml:space="preserve"> </w:t>
      </w:r>
      <w:r w:rsidR="005070B2">
        <w:rPr>
          <w:b/>
          <w:sz w:val="24"/>
          <w:szCs w:val="24"/>
        </w:rPr>
        <w:t>39,</w:t>
      </w:r>
      <w:r w:rsidRPr="009B701E">
        <w:rPr>
          <w:sz w:val="24"/>
          <w:szCs w:val="24"/>
        </w:rPr>
        <w:t xml:space="preserve"> 1566–1570.</w:t>
      </w:r>
    </w:p>
    <w:p w:rsidR="004D66D6" w:rsidRDefault="004D66D6" w:rsidP="00A535FB">
      <w:pPr>
        <w:spacing w:line="480" w:lineRule="auto"/>
        <w:rPr>
          <w:sz w:val="24"/>
          <w:szCs w:val="24"/>
        </w:rPr>
      </w:pPr>
    </w:p>
    <w:p w:rsidR="00F706E7" w:rsidRPr="009B701E" w:rsidRDefault="00F706E7" w:rsidP="00F706E7">
      <w:pPr>
        <w:spacing w:line="480" w:lineRule="auto"/>
        <w:jc w:val="both"/>
        <w:rPr>
          <w:sz w:val="24"/>
          <w:szCs w:val="24"/>
        </w:rPr>
      </w:pPr>
      <w:r w:rsidRPr="00F706E7">
        <w:rPr>
          <w:b/>
          <w:sz w:val="24"/>
          <w:szCs w:val="24"/>
        </w:rPr>
        <w:t>Gelanew, T., Kuhls, K., Hurissa, Z., Weldegebreal, T., Hailu, W., Kassahun,  A., Tamrat,  A., Abebe,  T., Hailu, A. and Schönian, G.</w:t>
      </w:r>
      <w:r w:rsidRPr="009B701E">
        <w:rPr>
          <w:sz w:val="24"/>
          <w:szCs w:val="24"/>
        </w:rPr>
        <w:t xml:space="preserve"> </w:t>
      </w:r>
      <w:r>
        <w:rPr>
          <w:sz w:val="24"/>
          <w:szCs w:val="24"/>
        </w:rPr>
        <w:t xml:space="preserve">(2010). </w:t>
      </w:r>
      <w:r w:rsidRPr="00F706E7">
        <w:rPr>
          <w:sz w:val="24"/>
          <w:szCs w:val="24"/>
        </w:rPr>
        <w:t xml:space="preserve">Inference of Population Structure of </w:t>
      </w:r>
      <w:r w:rsidRPr="00F706E7">
        <w:rPr>
          <w:i/>
          <w:sz w:val="24"/>
          <w:szCs w:val="24"/>
        </w:rPr>
        <w:t>Leishmania donovani</w:t>
      </w:r>
      <w:r w:rsidRPr="00F706E7">
        <w:rPr>
          <w:sz w:val="24"/>
          <w:szCs w:val="24"/>
        </w:rPr>
        <w:t xml:space="preserve"> Strains Isolated from different Ethiopian Visceral Leishmaniasis Endemic Areas.</w:t>
      </w:r>
      <w:r w:rsidRPr="009B701E">
        <w:rPr>
          <w:sz w:val="24"/>
          <w:szCs w:val="24"/>
        </w:rPr>
        <w:t xml:space="preserve"> </w:t>
      </w:r>
      <w:r w:rsidRPr="009B701E">
        <w:rPr>
          <w:i/>
          <w:sz w:val="24"/>
          <w:szCs w:val="24"/>
        </w:rPr>
        <w:t>PLoS Negl</w:t>
      </w:r>
      <w:r>
        <w:rPr>
          <w:i/>
          <w:sz w:val="24"/>
          <w:szCs w:val="24"/>
        </w:rPr>
        <w:t>ected</w:t>
      </w:r>
      <w:r w:rsidRPr="009B701E">
        <w:rPr>
          <w:i/>
          <w:sz w:val="24"/>
          <w:szCs w:val="24"/>
        </w:rPr>
        <w:t xml:space="preserve"> Trop</w:t>
      </w:r>
      <w:r>
        <w:rPr>
          <w:i/>
          <w:sz w:val="24"/>
          <w:szCs w:val="24"/>
        </w:rPr>
        <w:t>ical</w:t>
      </w:r>
      <w:r w:rsidRPr="009B701E">
        <w:rPr>
          <w:i/>
          <w:sz w:val="24"/>
          <w:szCs w:val="24"/>
        </w:rPr>
        <w:t xml:space="preserve"> Dis</w:t>
      </w:r>
      <w:r>
        <w:rPr>
          <w:i/>
          <w:sz w:val="24"/>
          <w:szCs w:val="24"/>
        </w:rPr>
        <w:t>eases</w:t>
      </w:r>
      <w:r w:rsidRPr="009B701E">
        <w:rPr>
          <w:sz w:val="24"/>
          <w:szCs w:val="24"/>
        </w:rPr>
        <w:t xml:space="preserve"> </w:t>
      </w:r>
      <w:r w:rsidRPr="009B701E">
        <w:rPr>
          <w:b/>
          <w:sz w:val="24"/>
          <w:szCs w:val="24"/>
        </w:rPr>
        <w:t>4</w:t>
      </w:r>
      <w:r w:rsidR="007311D9">
        <w:rPr>
          <w:sz w:val="24"/>
          <w:szCs w:val="24"/>
        </w:rPr>
        <w:t>,</w:t>
      </w:r>
      <w:r w:rsidRPr="009B701E">
        <w:rPr>
          <w:sz w:val="24"/>
          <w:szCs w:val="24"/>
        </w:rPr>
        <w:t xml:space="preserve"> e889. </w:t>
      </w:r>
    </w:p>
    <w:p w:rsidR="00665285" w:rsidRDefault="00665285" w:rsidP="00665285">
      <w:pPr>
        <w:spacing w:line="480" w:lineRule="auto"/>
        <w:jc w:val="both"/>
        <w:rPr>
          <w:sz w:val="24"/>
          <w:szCs w:val="24"/>
        </w:rPr>
      </w:pPr>
    </w:p>
    <w:p w:rsidR="00665285" w:rsidRPr="009B701E" w:rsidRDefault="00665285" w:rsidP="00665285">
      <w:pPr>
        <w:spacing w:line="480" w:lineRule="auto"/>
        <w:jc w:val="both"/>
        <w:rPr>
          <w:sz w:val="24"/>
          <w:szCs w:val="24"/>
        </w:rPr>
      </w:pPr>
      <w:r w:rsidRPr="007311D9">
        <w:rPr>
          <w:b/>
          <w:sz w:val="24"/>
          <w:szCs w:val="24"/>
        </w:rPr>
        <w:t>Gotteland, C., Chaval, Y., Villena, I., Galan, M., Geers, R., Aubert, D., Poulle, M.L., Charbonnel, N.</w:t>
      </w:r>
      <w:r w:rsidR="007311D9" w:rsidRPr="007311D9">
        <w:rPr>
          <w:b/>
          <w:sz w:val="24"/>
          <w:szCs w:val="24"/>
        </w:rPr>
        <w:t xml:space="preserve"> and</w:t>
      </w:r>
      <w:r w:rsidRPr="007311D9">
        <w:rPr>
          <w:b/>
          <w:sz w:val="24"/>
          <w:szCs w:val="24"/>
        </w:rPr>
        <w:t xml:space="preserve"> Gilot-Fromont, E.</w:t>
      </w:r>
      <w:r w:rsidR="007311D9">
        <w:rPr>
          <w:sz w:val="24"/>
          <w:szCs w:val="24"/>
        </w:rPr>
        <w:t xml:space="preserve"> (2014).</w:t>
      </w:r>
      <w:r w:rsidRPr="009B701E">
        <w:rPr>
          <w:sz w:val="24"/>
          <w:szCs w:val="24"/>
        </w:rPr>
        <w:t xml:space="preserve"> </w:t>
      </w:r>
      <w:r w:rsidRPr="007311D9">
        <w:rPr>
          <w:sz w:val="24"/>
          <w:szCs w:val="24"/>
        </w:rPr>
        <w:t xml:space="preserve">Species or local environment, what determines the infection of rodents by </w:t>
      </w:r>
      <w:r w:rsidRPr="007311D9">
        <w:rPr>
          <w:i/>
          <w:sz w:val="24"/>
          <w:szCs w:val="24"/>
        </w:rPr>
        <w:t>Toxoplasma gondii</w:t>
      </w:r>
      <w:r w:rsidRPr="007311D9">
        <w:rPr>
          <w:sz w:val="24"/>
          <w:szCs w:val="24"/>
        </w:rPr>
        <w:t>?</w:t>
      </w:r>
      <w:r w:rsidRPr="009B701E">
        <w:rPr>
          <w:sz w:val="24"/>
          <w:szCs w:val="24"/>
        </w:rPr>
        <w:t xml:space="preserve"> </w:t>
      </w:r>
      <w:r w:rsidRPr="009B701E">
        <w:rPr>
          <w:i/>
          <w:sz w:val="24"/>
          <w:szCs w:val="24"/>
        </w:rPr>
        <w:t>Parasitol</w:t>
      </w:r>
      <w:r w:rsidR="007311D9">
        <w:rPr>
          <w:i/>
          <w:sz w:val="24"/>
          <w:szCs w:val="24"/>
        </w:rPr>
        <w:t>ogy</w:t>
      </w:r>
      <w:r w:rsidR="007311D9">
        <w:rPr>
          <w:sz w:val="24"/>
          <w:szCs w:val="24"/>
        </w:rPr>
        <w:t xml:space="preserve"> </w:t>
      </w:r>
      <w:r w:rsidRPr="009B701E">
        <w:rPr>
          <w:b/>
          <w:sz w:val="24"/>
          <w:szCs w:val="24"/>
        </w:rPr>
        <w:t>141</w:t>
      </w:r>
      <w:r w:rsidRPr="009B701E">
        <w:rPr>
          <w:sz w:val="24"/>
          <w:szCs w:val="24"/>
        </w:rPr>
        <w:t>, 259-268.</w:t>
      </w:r>
    </w:p>
    <w:p w:rsidR="00F706E7" w:rsidRPr="00A535FB" w:rsidRDefault="00F706E7"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Grigg, M.E., Ganatra, J., Boothroyd, J.C. and Margolis, T.P.</w:t>
      </w:r>
      <w:r w:rsidRPr="00A535FB">
        <w:rPr>
          <w:sz w:val="24"/>
          <w:szCs w:val="24"/>
        </w:rPr>
        <w:t xml:space="preserve"> (2001). Unusual abundance of atypical strains associated with human ocular toxoplasmosis. </w:t>
      </w:r>
      <w:r w:rsidRPr="00A535FB">
        <w:rPr>
          <w:i/>
          <w:sz w:val="24"/>
          <w:szCs w:val="24"/>
        </w:rPr>
        <w:t>Journal of Infectious Diseases</w:t>
      </w:r>
      <w:r w:rsidRPr="00A535FB">
        <w:rPr>
          <w:sz w:val="24"/>
          <w:szCs w:val="24"/>
        </w:rPr>
        <w:t xml:space="preserve"> </w:t>
      </w:r>
      <w:r w:rsidRPr="00A535FB">
        <w:rPr>
          <w:b/>
          <w:sz w:val="24"/>
          <w:szCs w:val="24"/>
        </w:rPr>
        <w:t>184</w:t>
      </w:r>
      <w:r w:rsidRPr="00A535FB">
        <w:rPr>
          <w:sz w:val="24"/>
          <w:szCs w:val="24"/>
        </w:rPr>
        <w:t>, 633-639.</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Hejlicek, K., Literak, I. and Nezval, J.</w:t>
      </w:r>
      <w:r w:rsidRPr="00A535FB">
        <w:rPr>
          <w:sz w:val="24"/>
          <w:szCs w:val="24"/>
        </w:rPr>
        <w:t xml:space="preserve"> (1997). Toxoplasmosis in wild mammals from the Czech Republic. </w:t>
      </w:r>
      <w:r w:rsidRPr="00A535FB">
        <w:rPr>
          <w:i/>
          <w:sz w:val="24"/>
          <w:szCs w:val="24"/>
        </w:rPr>
        <w:t>Journal of Wildlife Diseases</w:t>
      </w:r>
      <w:r w:rsidRPr="00A535FB">
        <w:rPr>
          <w:sz w:val="24"/>
          <w:szCs w:val="24"/>
        </w:rPr>
        <w:t xml:space="preserve"> </w:t>
      </w:r>
      <w:r w:rsidRPr="00A535FB">
        <w:rPr>
          <w:b/>
          <w:sz w:val="24"/>
          <w:szCs w:val="24"/>
        </w:rPr>
        <w:t>33</w:t>
      </w:r>
      <w:r w:rsidRPr="00A535FB">
        <w:rPr>
          <w:sz w:val="24"/>
          <w:szCs w:val="24"/>
        </w:rPr>
        <w:t>, 480-485.</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Hejlicek, K. and Literak, I.</w:t>
      </w:r>
      <w:r w:rsidRPr="00A535FB">
        <w:rPr>
          <w:sz w:val="24"/>
          <w:szCs w:val="24"/>
        </w:rPr>
        <w:t xml:space="preserve"> (1998). Long-term study of </w:t>
      </w:r>
      <w:r w:rsidRPr="00A535FB">
        <w:rPr>
          <w:i/>
          <w:sz w:val="24"/>
          <w:szCs w:val="24"/>
        </w:rPr>
        <w:t>Toxoplasma gondii</w:t>
      </w:r>
      <w:r w:rsidRPr="00A535FB">
        <w:rPr>
          <w:sz w:val="24"/>
          <w:szCs w:val="24"/>
        </w:rPr>
        <w:t xml:space="preserve"> prevalence in small mammals (Insectivora and Rodentia). </w:t>
      </w:r>
      <w:r w:rsidRPr="00A535FB">
        <w:rPr>
          <w:i/>
          <w:sz w:val="24"/>
          <w:szCs w:val="24"/>
        </w:rPr>
        <w:t>Folia Zoologica</w:t>
      </w:r>
      <w:r w:rsidRPr="00A535FB">
        <w:rPr>
          <w:sz w:val="24"/>
          <w:szCs w:val="24"/>
        </w:rPr>
        <w:t xml:space="preserve"> </w:t>
      </w:r>
      <w:r w:rsidRPr="00A535FB">
        <w:rPr>
          <w:b/>
          <w:sz w:val="24"/>
          <w:szCs w:val="24"/>
        </w:rPr>
        <w:t>47</w:t>
      </w:r>
      <w:r w:rsidRPr="00A535FB">
        <w:rPr>
          <w:sz w:val="24"/>
          <w:szCs w:val="24"/>
        </w:rPr>
        <w:t>, 93-101.</w:t>
      </w:r>
    </w:p>
    <w:p w:rsidR="00D235A2" w:rsidRDefault="00D235A2" w:rsidP="00D235A2">
      <w:pPr>
        <w:spacing w:line="480" w:lineRule="auto"/>
        <w:ind w:left="357"/>
        <w:jc w:val="both"/>
        <w:rPr>
          <w:sz w:val="24"/>
          <w:szCs w:val="24"/>
        </w:rPr>
      </w:pPr>
    </w:p>
    <w:p w:rsidR="00D235A2" w:rsidRPr="009B701E" w:rsidRDefault="00D235A2" w:rsidP="00D235A2">
      <w:pPr>
        <w:spacing w:line="480" w:lineRule="auto"/>
        <w:jc w:val="both"/>
        <w:rPr>
          <w:sz w:val="24"/>
          <w:szCs w:val="24"/>
        </w:rPr>
      </w:pPr>
      <w:r w:rsidRPr="00D235A2">
        <w:rPr>
          <w:b/>
          <w:sz w:val="24"/>
          <w:szCs w:val="24"/>
        </w:rPr>
        <w:t>Herrmann, D.C., Maksimov, P., Maksimov, A.,  Sutor,  A., Schwarz, S., Jaschke, W., Schliephake,  A.,  Denzin, N., Conraths, F.J. and Schares, G</w:t>
      </w:r>
      <w:r>
        <w:rPr>
          <w:sz w:val="24"/>
          <w:szCs w:val="24"/>
        </w:rPr>
        <w:t>. (2012).</w:t>
      </w:r>
      <w:r w:rsidRPr="009B701E">
        <w:rPr>
          <w:sz w:val="24"/>
          <w:szCs w:val="24"/>
        </w:rPr>
        <w:t xml:space="preserve"> </w:t>
      </w:r>
      <w:r w:rsidRPr="00D235A2">
        <w:rPr>
          <w:i/>
          <w:sz w:val="24"/>
          <w:szCs w:val="24"/>
        </w:rPr>
        <w:t>Toxoplasma gondii</w:t>
      </w:r>
      <w:r w:rsidRPr="00D235A2">
        <w:rPr>
          <w:sz w:val="24"/>
          <w:szCs w:val="24"/>
        </w:rPr>
        <w:t xml:space="preserve"> in foxes and rodents from the German Federal States of Brandenburg and Saxony - Anhalt: Seroprevalence and genotypes.</w:t>
      </w:r>
      <w:r w:rsidRPr="009B701E">
        <w:rPr>
          <w:sz w:val="24"/>
          <w:szCs w:val="24"/>
        </w:rPr>
        <w:t xml:space="preserve"> </w:t>
      </w:r>
      <w:r w:rsidRPr="009B701E">
        <w:rPr>
          <w:i/>
          <w:sz w:val="24"/>
          <w:szCs w:val="24"/>
        </w:rPr>
        <w:t>Vet</w:t>
      </w:r>
      <w:r>
        <w:rPr>
          <w:i/>
          <w:sz w:val="24"/>
          <w:szCs w:val="24"/>
        </w:rPr>
        <w:t>erinary Parasitology</w:t>
      </w:r>
      <w:r w:rsidRPr="009B701E">
        <w:rPr>
          <w:sz w:val="24"/>
          <w:szCs w:val="24"/>
        </w:rPr>
        <w:t xml:space="preserve"> </w:t>
      </w:r>
      <w:r w:rsidRPr="009B701E">
        <w:rPr>
          <w:b/>
          <w:sz w:val="24"/>
          <w:szCs w:val="24"/>
        </w:rPr>
        <w:t>185</w:t>
      </w:r>
      <w:r>
        <w:rPr>
          <w:sz w:val="24"/>
          <w:szCs w:val="24"/>
        </w:rPr>
        <w:t xml:space="preserve">, </w:t>
      </w:r>
      <w:r w:rsidRPr="009B701E">
        <w:rPr>
          <w:sz w:val="24"/>
          <w:szCs w:val="24"/>
        </w:rPr>
        <w:t>78 – 85.</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Hide, G., Morley, E.K., Hughes, J.M., Gerwash, O., Elmahaishi, M.S., Elmahaishi, K.H., Thomasson, D., Wright, E.A., Williams, R.H., Murphy, R.G. and Smith, J.E.</w:t>
      </w:r>
      <w:r w:rsidRPr="00A535FB">
        <w:rPr>
          <w:sz w:val="24"/>
          <w:szCs w:val="24"/>
        </w:rPr>
        <w:t xml:space="preserve"> (2009). Evidence for high levels of vertical transmission in </w:t>
      </w:r>
      <w:r w:rsidRPr="00A535FB">
        <w:rPr>
          <w:i/>
          <w:sz w:val="24"/>
          <w:szCs w:val="24"/>
        </w:rPr>
        <w:t>Toxoplasma gondii</w:t>
      </w:r>
      <w:r w:rsidRPr="00A535FB">
        <w:rPr>
          <w:sz w:val="24"/>
          <w:szCs w:val="24"/>
        </w:rPr>
        <w:t xml:space="preserve">. </w:t>
      </w:r>
      <w:r w:rsidRPr="00A535FB">
        <w:rPr>
          <w:i/>
          <w:sz w:val="24"/>
          <w:szCs w:val="24"/>
        </w:rPr>
        <w:t>Parasitology</w:t>
      </w:r>
      <w:r w:rsidRPr="00A535FB">
        <w:rPr>
          <w:sz w:val="24"/>
          <w:szCs w:val="24"/>
        </w:rPr>
        <w:t xml:space="preserve"> </w:t>
      </w:r>
      <w:r w:rsidRPr="00A535FB">
        <w:rPr>
          <w:b/>
          <w:sz w:val="24"/>
          <w:szCs w:val="24"/>
        </w:rPr>
        <w:t>136</w:t>
      </w:r>
      <w:r w:rsidRPr="00A535FB">
        <w:rPr>
          <w:sz w:val="24"/>
          <w:szCs w:val="24"/>
        </w:rPr>
        <w:t>, 1877-1885.</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Higgs, S. and Nowell, F.</w:t>
      </w:r>
      <w:r w:rsidRPr="00A535FB">
        <w:rPr>
          <w:sz w:val="24"/>
          <w:szCs w:val="24"/>
        </w:rPr>
        <w:t xml:space="preserve"> (2000). Population biology of </w:t>
      </w:r>
      <w:r w:rsidRPr="00A535FB">
        <w:rPr>
          <w:i/>
          <w:sz w:val="24"/>
          <w:szCs w:val="24"/>
        </w:rPr>
        <w:t>Eimeria</w:t>
      </w:r>
      <w:r w:rsidRPr="00A535FB">
        <w:rPr>
          <w:sz w:val="24"/>
          <w:szCs w:val="24"/>
        </w:rPr>
        <w:t xml:space="preserve"> (protozoa: Apicomplexa) in </w:t>
      </w:r>
      <w:r w:rsidRPr="00A535FB">
        <w:rPr>
          <w:i/>
          <w:sz w:val="24"/>
          <w:szCs w:val="24"/>
        </w:rPr>
        <w:t>Apodemus sylvaticus</w:t>
      </w:r>
      <w:r w:rsidRPr="00A535FB">
        <w:rPr>
          <w:sz w:val="24"/>
          <w:szCs w:val="24"/>
        </w:rPr>
        <w:t xml:space="preserve">: a capture study. </w:t>
      </w:r>
      <w:r w:rsidRPr="00A535FB">
        <w:rPr>
          <w:i/>
          <w:sz w:val="24"/>
          <w:szCs w:val="24"/>
        </w:rPr>
        <w:t>Parasitology</w:t>
      </w:r>
      <w:r w:rsidRPr="00A535FB">
        <w:rPr>
          <w:sz w:val="24"/>
          <w:szCs w:val="24"/>
        </w:rPr>
        <w:t xml:space="preserve"> </w:t>
      </w:r>
      <w:r w:rsidRPr="00A535FB">
        <w:rPr>
          <w:b/>
          <w:sz w:val="24"/>
          <w:szCs w:val="24"/>
        </w:rPr>
        <w:t>120</w:t>
      </w:r>
      <w:r w:rsidRPr="00A535FB">
        <w:rPr>
          <w:sz w:val="24"/>
          <w:szCs w:val="24"/>
        </w:rPr>
        <w:t>, 355-363.</w:t>
      </w:r>
    </w:p>
    <w:p w:rsidR="004D66D6" w:rsidRDefault="004D66D6" w:rsidP="004D66D6">
      <w:pPr>
        <w:spacing w:line="480" w:lineRule="auto"/>
        <w:jc w:val="both"/>
        <w:rPr>
          <w:sz w:val="24"/>
          <w:szCs w:val="24"/>
        </w:rPr>
      </w:pPr>
    </w:p>
    <w:p w:rsidR="004D66D6" w:rsidRPr="009B701E" w:rsidRDefault="004D66D6" w:rsidP="004D66D6">
      <w:pPr>
        <w:spacing w:line="480" w:lineRule="auto"/>
        <w:jc w:val="both"/>
        <w:rPr>
          <w:sz w:val="24"/>
          <w:szCs w:val="24"/>
        </w:rPr>
      </w:pPr>
      <w:r w:rsidRPr="004D66D6">
        <w:rPr>
          <w:b/>
          <w:sz w:val="24"/>
          <w:szCs w:val="24"/>
        </w:rPr>
        <w:lastRenderedPageBreak/>
        <w:t>Howe, D.K., Honore, S., Derouin, F. and Sibley, L.D.</w:t>
      </w:r>
      <w:r w:rsidRPr="009B701E">
        <w:rPr>
          <w:sz w:val="24"/>
          <w:szCs w:val="24"/>
        </w:rPr>
        <w:t xml:space="preserve"> </w:t>
      </w:r>
      <w:r>
        <w:rPr>
          <w:sz w:val="24"/>
          <w:szCs w:val="24"/>
        </w:rPr>
        <w:t xml:space="preserve">(1997). </w:t>
      </w:r>
      <w:r w:rsidRPr="004D66D6">
        <w:rPr>
          <w:sz w:val="24"/>
          <w:szCs w:val="24"/>
        </w:rPr>
        <w:t xml:space="preserve">Determination of genotypes of </w:t>
      </w:r>
      <w:r w:rsidRPr="004D66D6">
        <w:rPr>
          <w:i/>
          <w:sz w:val="24"/>
          <w:szCs w:val="24"/>
        </w:rPr>
        <w:t>Toxoplasma gondii</w:t>
      </w:r>
      <w:r w:rsidRPr="004D66D6">
        <w:rPr>
          <w:sz w:val="24"/>
          <w:szCs w:val="24"/>
        </w:rPr>
        <w:t xml:space="preserve"> strains isolated from patients with toxoplasmosis</w:t>
      </w:r>
      <w:r w:rsidRPr="009B701E">
        <w:rPr>
          <w:b/>
          <w:sz w:val="24"/>
          <w:szCs w:val="24"/>
        </w:rPr>
        <w:t>.</w:t>
      </w:r>
      <w:r w:rsidRPr="009B701E">
        <w:rPr>
          <w:sz w:val="24"/>
          <w:szCs w:val="24"/>
        </w:rPr>
        <w:t xml:space="preserve"> </w:t>
      </w:r>
      <w:r>
        <w:rPr>
          <w:i/>
          <w:sz w:val="24"/>
          <w:szCs w:val="24"/>
        </w:rPr>
        <w:t>Journal</w:t>
      </w:r>
      <w:r w:rsidRPr="009B701E">
        <w:rPr>
          <w:i/>
          <w:sz w:val="24"/>
          <w:szCs w:val="24"/>
        </w:rPr>
        <w:t xml:space="preserve"> of Clin</w:t>
      </w:r>
      <w:r>
        <w:rPr>
          <w:i/>
          <w:sz w:val="24"/>
          <w:szCs w:val="24"/>
        </w:rPr>
        <w:t>ical</w:t>
      </w:r>
      <w:r w:rsidRPr="009B701E">
        <w:rPr>
          <w:i/>
          <w:sz w:val="24"/>
          <w:szCs w:val="24"/>
        </w:rPr>
        <w:t xml:space="preserve"> Microbiol</w:t>
      </w:r>
      <w:r>
        <w:rPr>
          <w:i/>
          <w:sz w:val="24"/>
          <w:szCs w:val="24"/>
        </w:rPr>
        <w:t>ogy</w:t>
      </w:r>
      <w:r w:rsidRPr="009B701E">
        <w:rPr>
          <w:sz w:val="24"/>
          <w:szCs w:val="24"/>
        </w:rPr>
        <w:t xml:space="preserve"> </w:t>
      </w:r>
      <w:r w:rsidRPr="009B701E">
        <w:rPr>
          <w:b/>
          <w:sz w:val="24"/>
          <w:szCs w:val="24"/>
        </w:rPr>
        <w:t>35</w:t>
      </w:r>
      <w:r>
        <w:rPr>
          <w:sz w:val="24"/>
          <w:szCs w:val="24"/>
        </w:rPr>
        <w:t>,</w:t>
      </w:r>
      <w:r w:rsidRPr="009B701E">
        <w:rPr>
          <w:sz w:val="24"/>
          <w:szCs w:val="24"/>
        </w:rPr>
        <w:t xml:space="preserve"> 1411–1414.</w:t>
      </w:r>
    </w:p>
    <w:p w:rsidR="004D66D6" w:rsidRPr="00A535FB" w:rsidRDefault="004D66D6" w:rsidP="00A535FB">
      <w:pPr>
        <w:spacing w:line="480" w:lineRule="auto"/>
        <w:rPr>
          <w:sz w:val="24"/>
          <w:szCs w:val="24"/>
        </w:rPr>
      </w:pPr>
    </w:p>
    <w:p w:rsidR="00A535FB" w:rsidRPr="00A535FB" w:rsidRDefault="00A535FB" w:rsidP="00A535FB">
      <w:pPr>
        <w:pStyle w:val="NormalWeb"/>
        <w:spacing w:after="0" w:line="480" w:lineRule="auto"/>
        <w:rPr>
          <w:rFonts w:asciiTheme="minorHAnsi" w:hAnsiTheme="minorHAnsi"/>
          <w:lang w:val="en"/>
        </w:rPr>
      </w:pPr>
      <w:r w:rsidRPr="00A535FB">
        <w:rPr>
          <w:rFonts w:asciiTheme="minorHAnsi" w:hAnsiTheme="minorHAnsi"/>
          <w:b/>
          <w:lang w:val="en"/>
        </w:rPr>
        <w:t>Hughes, J.M., Williams, R.H., Morley, E.K., Cook, D.A.N., Terry, R.S., Murphy, R.G., Smith, J.E. and</w:t>
      </w:r>
      <w:r w:rsidRPr="00A535FB">
        <w:rPr>
          <w:rFonts w:asciiTheme="minorHAnsi" w:hAnsiTheme="minorHAnsi"/>
          <w:lang w:val="en"/>
        </w:rPr>
        <w:t xml:space="preserve"> </w:t>
      </w:r>
      <w:r w:rsidRPr="00A535FB">
        <w:rPr>
          <w:rStyle w:val="Strong"/>
          <w:rFonts w:asciiTheme="minorHAnsi" w:hAnsiTheme="minorHAnsi"/>
          <w:lang w:val="en"/>
        </w:rPr>
        <w:t xml:space="preserve">Hide, G. </w:t>
      </w:r>
      <w:r w:rsidRPr="00A535FB">
        <w:rPr>
          <w:rStyle w:val="Strong"/>
          <w:rFonts w:asciiTheme="minorHAnsi" w:hAnsiTheme="minorHAnsi"/>
          <w:b w:val="0"/>
          <w:lang w:val="en"/>
        </w:rPr>
        <w:t>(2006).</w:t>
      </w:r>
      <w:r w:rsidRPr="00A535FB">
        <w:rPr>
          <w:rFonts w:asciiTheme="minorHAnsi" w:hAnsiTheme="minorHAnsi"/>
          <w:lang w:val="en"/>
        </w:rPr>
        <w:t xml:space="preserve"> The Prevalence of </w:t>
      </w:r>
      <w:r w:rsidRPr="00A535FB">
        <w:rPr>
          <w:rFonts w:asciiTheme="minorHAnsi" w:hAnsiTheme="minorHAnsi"/>
          <w:i/>
          <w:lang w:val="en"/>
        </w:rPr>
        <w:t>Neospora caninum</w:t>
      </w:r>
      <w:r w:rsidRPr="00A535FB">
        <w:rPr>
          <w:rFonts w:asciiTheme="minorHAnsi" w:hAnsiTheme="minorHAnsi"/>
          <w:lang w:val="en"/>
        </w:rPr>
        <w:t xml:space="preserve"> and co-infection with </w:t>
      </w:r>
      <w:r w:rsidRPr="00A535FB">
        <w:rPr>
          <w:rFonts w:asciiTheme="minorHAnsi" w:hAnsiTheme="minorHAnsi"/>
          <w:i/>
          <w:lang w:val="en"/>
        </w:rPr>
        <w:t>Toxoplasma gondii</w:t>
      </w:r>
      <w:r w:rsidRPr="00A535FB">
        <w:rPr>
          <w:rFonts w:asciiTheme="minorHAnsi" w:hAnsiTheme="minorHAnsi"/>
          <w:lang w:val="en"/>
        </w:rPr>
        <w:t xml:space="preserve"> by PCR analysis in naturally occurring mammal populations. </w:t>
      </w:r>
      <w:r w:rsidRPr="00A535FB">
        <w:rPr>
          <w:rFonts w:asciiTheme="minorHAnsi" w:hAnsiTheme="minorHAnsi"/>
          <w:i/>
          <w:lang w:val="en"/>
        </w:rPr>
        <w:t>Parasitology</w:t>
      </w:r>
      <w:r w:rsidRPr="00A535FB">
        <w:rPr>
          <w:rFonts w:asciiTheme="minorHAnsi" w:hAnsiTheme="minorHAnsi"/>
          <w:lang w:val="en"/>
        </w:rPr>
        <w:t xml:space="preserve"> </w:t>
      </w:r>
      <w:r w:rsidRPr="00A535FB">
        <w:rPr>
          <w:rFonts w:asciiTheme="minorHAnsi" w:hAnsiTheme="minorHAnsi"/>
          <w:b/>
          <w:lang w:val="en"/>
        </w:rPr>
        <w:t>132</w:t>
      </w:r>
      <w:r w:rsidRPr="00A535FB">
        <w:rPr>
          <w:rFonts w:asciiTheme="minorHAnsi" w:hAnsiTheme="minorHAnsi"/>
          <w:lang w:val="en"/>
        </w:rPr>
        <w:t>, 29-36.</w:t>
      </w:r>
    </w:p>
    <w:p w:rsidR="00A535FB" w:rsidRPr="00A535FB" w:rsidRDefault="00A535FB" w:rsidP="00A535FB">
      <w:pPr>
        <w:spacing w:line="480" w:lineRule="auto"/>
        <w:rPr>
          <w:sz w:val="24"/>
          <w:szCs w:val="24"/>
        </w:rPr>
      </w:pPr>
    </w:p>
    <w:p w:rsidR="00A535FB" w:rsidRPr="00A535FB" w:rsidRDefault="00A535FB" w:rsidP="00A535FB">
      <w:pPr>
        <w:adjustRightInd w:val="0"/>
        <w:snapToGrid w:val="0"/>
        <w:spacing w:line="480" w:lineRule="auto"/>
        <w:rPr>
          <w:sz w:val="24"/>
          <w:szCs w:val="24"/>
        </w:rPr>
      </w:pPr>
      <w:r w:rsidRPr="00A535FB">
        <w:rPr>
          <w:b/>
          <w:sz w:val="24"/>
          <w:szCs w:val="24"/>
        </w:rPr>
        <w:t>Hughes, J.M., Thomasson, D., Craig, P.S., Georgin, S., Pickles, A. and Hide, G.</w:t>
      </w:r>
      <w:r w:rsidRPr="00A535FB">
        <w:rPr>
          <w:sz w:val="24"/>
          <w:szCs w:val="24"/>
        </w:rPr>
        <w:t xml:space="preserve"> (2008).  </w:t>
      </w:r>
      <w:r w:rsidRPr="00A535FB">
        <w:rPr>
          <w:i/>
          <w:sz w:val="24"/>
          <w:szCs w:val="24"/>
        </w:rPr>
        <w:t>Neospora caninum</w:t>
      </w:r>
      <w:r w:rsidRPr="00A535FB">
        <w:rPr>
          <w:sz w:val="24"/>
          <w:szCs w:val="24"/>
        </w:rPr>
        <w:t xml:space="preserve">: detection in wild rabbits and investigation of co-infection with </w:t>
      </w:r>
      <w:r w:rsidRPr="00A535FB">
        <w:rPr>
          <w:i/>
          <w:sz w:val="24"/>
          <w:szCs w:val="24"/>
        </w:rPr>
        <w:t>Toxoplasma gondii</w:t>
      </w:r>
      <w:r w:rsidRPr="00A535FB">
        <w:rPr>
          <w:sz w:val="24"/>
          <w:szCs w:val="24"/>
        </w:rPr>
        <w:t xml:space="preserve"> by PCR analysis. </w:t>
      </w:r>
      <w:r w:rsidRPr="00A535FB">
        <w:rPr>
          <w:i/>
          <w:sz w:val="24"/>
          <w:szCs w:val="24"/>
        </w:rPr>
        <w:t>Experimental Parasitology</w:t>
      </w:r>
      <w:r w:rsidRPr="00A535FB">
        <w:rPr>
          <w:sz w:val="24"/>
          <w:szCs w:val="24"/>
        </w:rPr>
        <w:t xml:space="preserve"> </w:t>
      </w:r>
      <w:r w:rsidRPr="00A535FB">
        <w:rPr>
          <w:b/>
          <w:sz w:val="24"/>
          <w:szCs w:val="24"/>
        </w:rPr>
        <w:t>120,</w:t>
      </w:r>
      <w:r w:rsidRPr="00A535FB">
        <w:rPr>
          <w:sz w:val="24"/>
          <w:szCs w:val="24"/>
        </w:rPr>
        <w:t xml:space="preserve"> 255-260. </w:t>
      </w:r>
    </w:p>
    <w:p w:rsidR="00A714E1" w:rsidRPr="009B701E" w:rsidRDefault="00A714E1" w:rsidP="00A714E1">
      <w:pPr>
        <w:spacing w:line="480" w:lineRule="auto"/>
        <w:jc w:val="both"/>
        <w:rPr>
          <w:sz w:val="24"/>
          <w:szCs w:val="24"/>
        </w:rPr>
      </w:pPr>
      <w:r w:rsidRPr="00A714E1">
        <w:rPr>
          <w:b/>
          <w:sz w:val="24"/>
          <w:szCs w:val="24"/>
        </w:rPr>
        <w:t>Hutchison, W.M</w:t>
      </w:r>
      <w:r>
        <w:rPr>
          <w:b/>
          <w:sz w:val="24"/>
          <w:szCs w:val="24"/>
        </w:rPr>
        <w:t>.</w:t>
      </w:r>
      <w:r w:rsidRPr="009B701E">
        <w:rPr>
          <w:b/>
          <w:sz w:val="24"/>
          <w:szCs w:val="24"/>
        </w:rPr>
        <w:t xml:space="preserve"> </w:t>
      </w:r>
      <w:r w:rsidRPr="00A714E1">
        <w:rPr>
          <w:sz w:val="24"/>
          <w:szCs w:val="24"/>
        </w:rPr>
        <w:t>(1965).</w:t>
      </w:r>
      <w:r>
        <w:rPr>
          <w:b/>
          <w:sz w:val="24"/>
          <w:szCs w:val="24"/>
        </w:rPr>
        <w:t xml:space="preserve"> </w:t>
      </w:r>
      <w:r w:rsidRPr="00A714E1">
        <w:rPr>
          <w:sz w:val="24"/>
          <w:szCs w:val="24"/>
        </w:rPr>
        <w:t xml:space="preserve">Experimental transmission of </w:t>
      </w:r>
      <w:r w:rsidRPr="00A714E1">
        <w:rPr>
          <w:i/>
          <w:sz w:val="24"/>
          <w:szCs w:val="24"/>
        </w:rPr>
        <w:t>Toxoplasma gondii</w:t>
      </w:r>
      <w:r w:rsidRPr="00A714E1">
        <w:rPr>
          <w:sz w:val="24"/>
          <w:szCs w:val="24"/>
        </w:rPr>
        <w:t>.</w:t>
      </w:r>
      <w:r w:rsidRPr="009B701E">
        <w:rPr>
          <w:b/>
          <w:sz w:val="24"/>
          <w:szCs w:val="24"/>
        </w:rPr>
        <w:t xml:space="preserve"> </w:t>
      </w:r>
      <w:r w:rsidRPr="009B701E">
        <w:rPr>
          <w:i/>
          <w:sz w:val="24"/>
          <w:szCs w:val="24"/>
        </w:rPr>
        <w:t xml:space="preserve">Nature </w:t>
      </w:r>
      <w:r>
        <w:rPr>
          <w:b/>
          <w:sz w:val="24"/>
          <w:szCs w:val="24"/>
        </w:rPr>
        <w:t>206,</w:t>
      </w:r>
      <w:r w:rsidRPr="009B701E">
        <w:rPr>
          <w:b/>
          <w:sz w:val="24"/>
          <w:szCs w:val="24"/>
        </w:rPr>
        <w:t xml:space="preserve"> </w:t>
      </w:r>
      <w:r w:rsidRPr="009B701E">
        <w:rPr>
          <w:sz w:val="24"/>
          <w:szCs w:val="24"/>
        </w:rPr>
        <w:t>961–962.</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Innes, E. A., Bartley, P. M., Buxton, D. and Katzer, F.</w:t>
      </w:r>
      <w:r w:rsidRPr="00A535FB">
        <w:rPr>
          <w:sz w:val="24"/>
          <w:szCs w:val="24"/>
        </w:rPr>
        <w:t xml:space="preserve"> (2009). Ovine toxoplasmosis. </w:t>
      </w:r>
      <w:r w:rsidRPr="00A535FB">
        <w:rPr>
          <w:i/>
          <w:iCs/>
          <w:sz w:val="24"/>
          <w:szCs w:val="24"/>
        </w:rPr>
        <w:t>Parasitology</w:t>
      </w:r>
      <w:r w:rsidRPr="00A535FB">
        <w:rPr>
          <w:sz w:val="24"/>
          <w:szCs w:val="24"/>
        </w:rPr>
        <w:t xml:space="preserve"> </w:t>
      </w:r>
      <w:r w:rsidRPr="00A535FB">
        <w:rPr>
          <w:b/>
          <w:sz w:val="24"/>
          <w:szCs w:val="24"/>
        </w:rPr>
        <w:t>136</w:t>
      </w:r>
      <w:r w:rsidRPr="00A535FB">
        <w:rPr>
          <w:sz w:val="24"/>
          <w:szCs w:val="24"/>
        </w:rPr>
        <w:t>, 1887–1894.</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Jackson, M.H., Hutchison, W.M. and Siim, J.C.</w:t>
      </w:r>
      <w:r w:rsidRPr="00A535FB">
        <w:rPr>
          <w:sz w:val="24"/>
          <w:szCs w:val="24"/>
        </w:rPr>
        <w:t xml:space="preserve"> (1986). Toxoplasmosis in a wild rodent population of Central Scotland and a possible explanation of the mode of transmission. </w:t>
      </w:r>
      <w:r w:rsidRPr="00A535FB">
        <w:rPr>
          <w:i/>
          <w:sz w:val="24"/>
          <w:szCs w:val="24"/>
        </w:rPr>
        <w:t>Journal of Zoology</w:t>
      </w:r>
      <w:r w:rsidRPr="00A535FB">
        <w:rPr>
          <w:sz w:val="24"/>
          <w:szCs w:val="24"/>
        </w:rPr>
        <w:t xml:space="preserve"> </w:t>
      </w:r>
      <w:r w:rsidRPr="00A535FB">
        <w:rPr>
          <w:b/>
          <w:sz w:val="24"/>
          <w:szCs w:val="24"/>
        </w:rPr>
        <w:t>209</w:t>
      </w:r>
      <w:r w:rsidRPr="00A535FB">
        <w:rPr>
          <w:sz w:val="24"/>
          <w:szCs w:val="24"/>
        </w:rPr>
        <w:t>, 549-557.</w:t>
      </w:r>
    </w:p>
    <w:p w:rsidR="00A535FB" w:rsidRPr="00A535FB" w:rsidRDefault="00A535FB" w:rsidP="00A535FB">
      <w:pPr>
        <w:spacing w:line="480" w:lineRule="auto"/>
        <w:rPr>
          <w:b/>
          <w:sz w:val="24"/>
          <w:szCs w:val="24"/>
        </w:rPr>
      </w:pPr>
    </w:p>
    <w:p w:rsidR="00A535FB" w:rsidRDefault="00A535FB" w:rsidP="00A535FB">
      <w:pPr>
        <w:spacing w:line="480" w:lineRule="auto"/>
        <w:rPr>
          <w:sz w:val="24"/>
          <w:szCs w:val="24"/>
        </w:rPr>
      </w:pPr>
      <w:r w:rsidRPr="00A535FB">
        <w:rPr>
          <w:b/>
          <w:sz w:val="24"/>
          <w:szCs w:val="24"/>
        </w:rPr>
        <w:t>Jeon, S.H. and Yong, T.S.</w:t>
      </w:r>
      <w:r w:rsidRPr="00A535FB">
        <w:rPr>
          <w:sz w:val="24"/>
          <w:szCs w:val="24"/>
        </w:rPr>
        <w:t xml:space="preserve"> (2000). Serological observation of </w:t>
      </w:r>
      <w:r w:rsidRPr="00A535FB">
        <w:rPr>
          <w:i/>
          <w:sz w:val="24"/>
          <w:szCs w:val="24"/>
        </w:rPr>
        <w:t>Toxoplasma gondii</w:t>
      </w:r>
      <w:r w:rsidRPr="00A535FB">
        <w:rPr>
          <w:sz w:val="24"/>
          <w:szCs w:val="24"/>
        </w:rPr>
        <w:t xml:space="preserve"> prevalence in </w:t>
      </w:r>
      <w:r w:rsidRPr="00A535FB">
        <w:rPr>
          <w:i/>
          <w:sz w:val="24"/>
          <w:szCs w:val="24"/>
        </w:rPr>
        <w:t>Apodemus agrarius</w:t>
      </w:r>
      <w:r w:rsidRPr="00A535FB">
        <w:rPr>
          <w:sz w:val="24"/>
          <w:szCs w:val="24"/>
        </w:rPr>
        <w:t xml:space="preserve">, a dominant species of field rodents in Korea. </w:t>
      </w:r>
      <w:r w:rsidRPr="00A535FB">
        <w:rPr>
          <w:i/>
          <w:sz w:val="24"/>
          <w:szCs w:val="24"/>
        </w:rPr>
        <w:t>Yonsei Medical Journal</w:t>
      </w:r>
      <w:r w:rsidRPr="00A535FB">
        <w:rPr>
          <w:sz w:val="24"/>
          <w:szCs w:val="24"/>
        </w:rPr>
        <w:t xml:space="preserve"> </w:t>
      </w:r>
      <w:r w:rsidRPr="00A535FB">
        <w:rPr>
          <w:b/>
          <w:sz w:val="24"/>
          <w:szCs w:val="24"/>
        </w:rPr>
        <w:t>41</w:t>
      </w:r>
      <w:r w:rsidRPr="00A535FB">
        <w:rPr>
          <w:sz w:val="24"/>
          <w:szCs w:val="24"/>
        </w:rPr>
        <w:t>, 491-496.</w:t>
      </w:r>
    </w:p>
    <w:p w:rsidR="005070B2" w:rsidRPr="00A535FB" w:rsidRDefault="005070B2" w:rsidP="00A535FB">
      <w:pPr>
        <w:spacing w:line="480" w:lineRule="auto"/>
        <w:rPr>
          <w:sz w:val="24"/>
          <w:szCs w:val="24"/>
        </w:rPr>
      </w:pPr>
    </w:p>
    <w:p w:rsidR="005070B2" w:rsidRPr="009B701E" w:rsidRDefault="005070B2" w:rsidP="005070B2">
      <w:pPr>
        <w:spacing w:line="480" w:lineRule="auto"/>
        <w:jc w:val="both"/>
        <w:rPr>
          <w:sz w:val="24"/>
          <w:szCs w:val="24"/>
        </w:rPr>
      </w:pPr>
      <w:r w:rsidRPr="005070B2">
        <w:rPr>
          <w:b/>
          <w:sz w:val="24"/>
          <w:szCs w:val="24"/>
        </w:rPr>
        <w:t>Khan, A., Su, C., German, M., Storch, G.A., Clifford, D.B. and Sibley, L.D.</w:t>
      </w:r>
      <w:r>
        <w:rPr>
          <w:sz w:val="24"/>
          <w:szCs w:val="24"/>
        </w:rPr>
        <w:t xml:space="preserve"> (2005).</w:t>
      </w:r>
      <w:r w:rsidRPr="009B701E">
        <w:rPr>
          <w:sz w:val="24"/>
          <w:szCs w:val="24"/>
        </w:rPr>
        <w:t xml:space="preserve"> </w:t>
      </w:r>
      <w:r w:rsidRPr="005070B2">
        <w:rPr>
          <w:sz w:val="24"/>
          <w:szCs w:val="24"/>
        </w:rPr>
        <w:t xml:space="preserve">Genotyping of </w:t>
      </w:r>
      <w:r w:rsidRPr="005070B2">
        <w:rPr>
          <w:i/>
          <w:sz w:val="24"/>
          <w:szCs w:val="24"/>
        </w:rPr>
        <w:t>Toxoplasma gondii</w:t>
      </w:r>
      <w:r w:rsidRPr="005070B2">
        <w:rPr>
          <w:sz w:val="24"/>
          <w:szCs w:val="24"/>
        </w:rPr>
        <w:t xml:space="preserve"> strains from immunocompromised patients reveals high prevalence of type I strains.</w:t>
      </w:r>
      <w:r w:rsidRPr="009B701E">
        <w:rPr>
          <w:sz w:val="24"/>
          <w:szCs w:val="24"/>
        </w:rPr>
        <w:t xml:space="preserve"> </w:t>
      </w:r>
      <w:r>
        <w:rPr>
          <w:i/>
          <w:sz w:val="24"/>
          <w:szCs w:val="24"/>
        </w:rPr>
        <w:t>Journal</w:t>
      </w:r>
      <w:r w:rsidRPr="009B701E">
        <w:rPr>
          <w:i/>
          <w:sz w:val="24"/>
          <w:szCs w:val="24"/>
        </w:rPr>
        <w:t xml:space="preserve"> of Clin</w:t>
      </w:r>
      <w:r>
        <w:rPr>
          <w:i/>
          <w:sz w:val="24"/>
          <w:szCs w:val="24"/>
        </w:rPr>
        <w:t>ical</w:t>
      </w:r>
      <w:r w:rsidRPr="009B701E">
        <w:rPr>
          <w:i/>
          <w:sz w:val="24"/>
          <w:szCs w:val="24"/>
        </w:rPr>
        <w:t xml:space="preserve"> Microbiol</w:t>
      </w:r>
      <w:r>
        <w:rPr>
          <w:i/>
          <w:sz w:val="24"/>
          <w:szCs w:val="24"/>
        </w:rPr>
        <w:t>ogy</w:t>
      </w:r>
      <w:r w:rsidRPr="009B701E">
        <w:rPr>
          <w:sz w:val="24"/>
          <w:szCs w:val="24"/>
        </w:rPr>
        <w:t xml:space="preserve"> </w:t>
      </w:r>
      <w:r>
        <w:rPr>
          <w:b/>
          <w:sz w:val="24"/>
          <w:szCs w:val="24"/>
        </w:rPr>
        <w:t>43,</w:t>
      </w:r>
      <w:r w:rsidRPr="009B701E">
        <w:rPr>
          <w:sz w:val="24"/>
          <w:szCs w:val="24"/>
        </w:rPr>
        <w:t xml:space="preserve"> 5881–5887. </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Kijlstra, A., Meerburg, B., Cornelissen, J., De Craeye, S., Vereijken, P. and Jongert, E.</w:t>
      </w:r>
      <w:r w:rsidRPr="00A535FB">
        <w:rPr>
          <w:sz w:val="24"/>
          <w:szCs w:val="24"/>
        </w:rPr>
        <w:t xml:space="preserve"> (2008). The role of rodents and shrews in the transmission of </w:t>
      </w:r>
      <w:r w:rsidRPr="00A535FB">
        <w:rPr>
          <w:i/>
          <w:sz w:val="24"/>
          <w:szCs w:val="24"/>
        </w:rPr>
        <w:t>Toxoplasma gondii</w:t>
      </w:r>
      <w:r w:rsidRPr="00A535FB">
        <w:rPr>
          <w:sz w:val="24"/>
          <w:szCs w:val="24"/>
        </w:rPr>
        <w:t xml:space="preserve"> to pigs. </w:t>
      </w:r>
      <w:r w:rsidRPr="00A535FB">
        <w:rPr>
          <w:i/>
          <w:sz w:val="24"/>
          <w:szCs w:val="24"/>
        </w:rPr>
        <w:t>Veterinary Parasitology</w:t>
      </w:r>
      <w:r w:rsidRPr="00A535FB">
        <w:rPr>
          <w:sz w:val="24"/>
          <w:szCs w:val="24"/>
        </w:rPr>
        <w:t xml:space="preserve"> </w:t>
      </w:r>
      <w:r w:rsidRPr="00A535FB">
        <w:rPr>
          <w:b/>
          <w:sz w:val="24"/>
          <w:szCs w:val="24"/>
        </w:rPr>
        <w:t>156,</w:t>
      </w:r>
      <w:r w:rsidRPr="00A535FB">
        <w:rPr>
          <w:sz w:val="24"/>
          <w:szCs w:val="24"/>
        </w:rPr>
        <w:t xml:space="preserve"> 183-190.</w:t>
      </w:r>
    </w:p>
    <w:p w:rsidR="005070B2" w:rsidRDefault="005070B2" w:rsidP="005070B2">
      <w:pPr>
        <w:spacing w:line="480" w:lineRule="auto"/>
        <w:jc w:val="both"/>
        <w:rPr>
          <w:sz w:val="24"/>
          <w:szCs w:val="24"/>
        </w:rPr>
      </w:pPr>
    </w:p>
    <w:p w:rsidR="007311D9" w:rsidRPr="007311D9" w:rsidRDefault="007311D9" w:rsidP="007311D9">
      <w:pPr>
        <w:spacing w:line="480" w:lineRule="auto"/>
        <w:jc w:val="both"/>
        <w:rPr>
          <w:sz w:val="24"/>
          <w:szCs w:val="24"/>
        </w:rPr>
      </w:pPr>
      <w:r w:rsidRPr="007311D9">
        <w:rPr>
          <w:b/>
          <w:sz w:val="24"/>
          <w:szCs w:val="24"/>
        </w:rPr>
        <w:t>Li, Z., Zhao, Z.J., Zhu, X.Q., Ren, Q.S., Nie, F.F., Gao, J.M., Gao, X.J., Yang, T.B., Zhou, W.L., Shen, J.L., Wang, Y., Lu, F.L., Chen, X.G., Hide, G., Ayala, F.J. and Lun, Z.R.</w:t>
      </w:r>
      <w:r w:rsidRPr="007311D9">
        <w:rPr>
          <w:sz w:val="24"/>
          <w:szCs w:val="24"/>
        </w:rPr>
        <w:t xml:space="preserve"> (2012).</w:t>
      </w:r>
      <w:r w:rsidRPr="009B701E">
        <w:rPr>
          <w:b/>
          <w:sz w:val="24"/>
          <w:szCs w:val="24"/>
        </w:rPr>
        <w:t xml:space="preserve"> </w:t>
      </w:r>
      <w:r w:rsidRPr="007311D9">
        <w:rPr>
          <w:sz w:val="24"/>
          <w:szCs w:val="24"/>
        </w:rPr>
        <w:t xml:space="preserve">Differences in iNOS and arginase expression and activity in the macrophages of rats are responsible for the resistance against </w:t>
      </w:r>
      <w:r w:rsidRPr="007311D9">
        <w:rPr>
          <w:i/>
          <w:sz w:val="24"/>
          <w:szCs w:val="24"/>
        </w:rPr>
        <w:t>T. gondii</w:t>
      </w:r>
      <w:r w:rsidRPr="007311D9">
        <w:rPr>
          <w:sz w:val="24"/>
          <w:szCs w:val="24"/>
        </w:rPr>
        <w:t xml:space="preserve"> infection.</w:t>
      </w:r>
      <w:r w:rsidRPr="009B701E">
        <w:rPr>
          <w:sz w:val="24"/>
          <w:szCs w:val="24"/>
        </w:rPr>
        <w:t xml:space="preserve"> </w:t>
      </w:r>
      <w:r>
        <w:rPr>
          <w:i/>
          <w:sz w:val="24"/>
          <w:szCs w:val="24"/>
        </w:rPr>
        <w:t>PLoS One</w:t>
      </w:r>
      <w:r w:rsidRPr="009B701E">
        <w:rPr>
          <w:sz w:val="24"/>
          <w:szCs w:val="24"/>
        </w:rPr>
        <w:t xml:space="preserve"> </w:t>
      </w:r>
      <w:r>
        <w:rPr>
          <w:b/>
          <w:sz w:val="24"/>
          <w:szCs w:val="24"/>
        </w:rPr>
        <w:t xml:space="preserve">7, </w:t>
      </w:r>
      <w:r>
        <w:rPr>
          <w:sz w:val="24"/>
          <w:szCs w:val="24"/>
        </w:rPr>
        <w:t>e35834.</w:t>
      </w:r>
    </w:p>
    <w:p w:rsidR="007311D9" w:rsidRDefault="007311D9" w:rsidP="005070B2">
      <w:pPr>
        <w:spacing w:line="480" w:lineRule="auto"/>
        <w:jc w:val="both"/>
        <w:rPr>
          <w:b/>
          <w:sz w:val="24"/>
          <w:szCs w:val="24"/>
        </w:rPr>
      </w:pPr>
    </w:p>
    <w:p w:rsidR="00E90084" w:rsidRPr="00854B4E" w:rsidRDefault="00E90084" w:rsidP="005070B2">
      <w:pPr>
        <w:spacing w:line="480" w:lineRule="auto"/>
        <w:jc w:val="both"/>
        <w:rPr>
          <w:sz w:val="24"/>
          <w:szCs w:val="24"/>
        </w:rPr>
      </w:pPr>
      <w:r>
        <w:rPr>
          <w:b/>
          <w:sz w:val="24"/>
          <w:szCs w:val="24"/>
        </w:rPr>
        <w:t xml:space="preserve">Lilue, J., Muller, U.B., Steinfeld, T. and Howard, J.C. </w:t>
      </w:r>
      <w:r>
        <w:rPr>
          <w:sz w:val="24"/>
          <w:szCs w:val="24"/>
        </w:rPr>
        <w:t xml:space="preserve">(2013). </w:t>
      </w:r>
      <w:r w:rsidRPr="00E90084">
        <w:rPr>
          <w:sz w:val="24"/>
          <w:szCs w:val="24"/>
        </w:rPr>
        <w:t xml:space="preserve">Reciprocal virulence and resistance polymorphism in the relationship between </w:t>
      </w:r>
      <w:r w:rsidRPr="00854B4E">
        <w:rPr>
          <w:i/>
          <w:sz w:val="24"/>
          <w:szCs w:val="24"/>
        </w:rPr>
        <w:t>Toxoplasma gondii</w:t>
      </w:r>
      <w:r w:rsidRPr="00E90084">
        <w:rPr>
          <w:sz w:val="24"/>
          <w:szCs w:val="24"/>
        </w:rPr>
        <w:t xml:space="preserve"> and the house mouse</w:t>
      </w:r>
      <w:r>
        <w:rPr>
          <w:sz w:val="24"/>
          <w:szCs w:val="24"/>
        </w:rPr>
        <w:t xml:space="preserve">. </w:t>
      </w:r>
      <w:r w:rsidRPr="00854B4E">
        <w:rPr>
          <w:i/>
          <w:sz w:val="24"/>
          <w:szCs w:val="24"/>
        </w:rPr>
        <w:t>Elife</w:t>
      </w:r>
      <w:r>
        <w:rPr>
          <w:i/>
          <w:sz w:val="24"/>
          <w:szCs w:val="24"/>
        </w:rPr>
        <w:t xml:space="preserve"> </w:t>
      </w:r>
      <w:r w:rsidRPr="00854B4E">
        <w:rPr>
          <w:b/>
          <w:i/>
          <w:sz w:val="24"/>
          <w:szCs w:val="24"/>
        </w:rPr>
        <w:t>2</w:t>
      </w:r>
      <w:r>
        <w:rPr>
          <w:i/>
          <w:sz w:val="24"/>
          <w:szCs w:val="24"/>
        </w:rPr>
        <w:t xml:space="preserve">, </w:t>
      </w:r>
      <w:r w:rsidRPr="00E90084">
        <w:rPr>
          <w:i/>
          <w:sz w:val="24"/>
          <w:szCs w:val="24"/>
        </w:rPr>
        <w:t>e01298</w:t>
      </w:r>
    </w:p>
    <w:p w:rsidR="00E90084" w:rsidRDefault="00E90084" w:rsidP="005070B2">
      <w:pPr>
        <w:spacing w:line="480" w:lineRule="auto"/>
        <w:jc w:val="both"/>
        <w:rPr>
          <w:b/>
          <w:sz w:val="24"/>
          <w:szCs w:val="24"/>
        </w:rPr>
      </w:pPr>
    </w:p>
    <w:p w:rsidR="005070B2" w:rsidRPr="009B701E" w:rsidRDefault="005070B2" w:rsidP="005070B2">
      <w:pPr>
        <w:spacing w:line="480" w:lineRule="auto"/>
        <w:jc w:val="both"/>
        <w:rPr>
          <w:sz w:val="24"/>
          <w:szCs w:val="24"/>
        </w:rPr>
      </w:pPr>
      <w:r w:rsidRPr="005070B2">
        <w:rPr>
          <w:b/>
          <w:sz w:val="24"/>
          <w:szCs w:val="24"/>
        </w:rPr>
        <w:t>Makova, K.D., Patton, J.C., Krysanov, E.Yu., Chesser, R.K. and Baker, R.J.</w:t>
      </w:r>
      <w:r>
        <w:rPr>
          <w:b/>
          <w:sz w:val="24"/>
          <w:szCs w:val="24"/>
        </w:rPr>
        <w:t xml:space="preserve"> </w:t>
      </w:r>
      <w:r w:rsidRPr="005070B2">
        <w:rPr>
          <w:sz w:val="24"/>
          <w:szCs w:val="24"/>
        </w:rPr>
        <w:t xml:space="preserve">(1998). Microsatellite markers in wood mouse and striped field mouse (genus </w:t>
      </w:r>
      <w:r w:rsidRPr="005070B2">
        <w:rPr>
          <w:i/>
          <w:sz w:val="24"/>
          <w:szCs w:val="24"/>
        </w:rPr>
        <w:t>Apodemus</w:t>
      </w:r>
      <w:r w:rsidRPr="005070B2">
        <w:rPr>
          <w:sz w:val="24"/>
          <w:szCs w:val="24"/>
        </w:rPr>
        <w:t>).</w:t>
      </w:r>
      <w:r w:rsidRPr="009B701E">
        <w:rPr>
          <w:sz w:val="24"/>
          <w:szCs w:val="24"/>
        </w:rPr>
        <w:t xml:space="preserve"> </w:t>
      </w:r>
      <w:r w:rsidRPr="009B701E">
        <w:rPr>
          <w:i/>
          <w:sz w:val="24"/>
          <w:szCs w:val="24"/>
        </w:rPr>
        <w:t>Mol</w:t>
      </w:r>
      <w:r>
        <w:rPr>
          <w:i/>
          <w:sz w:val="24"/>
          <w:szCs w:val="24"/>
        </w:rPr>
        <w:t>ecular  Ecology</w:t>
      </w:r>
      <w:r w:rsidRPr="009B701E">
        <w:rPr>
          <w:sz w:val="24"/>
          <w:szCs w:val="24"/>
        </w:rPr>
        <w:t xml:space="preserve"> </w:t>
      </w:r>
      <w:r w:rsidRPr="009B701E">
        <w:rPr>
          <w:b/>
          <w:sz w:val="24"/>
          <w:szCs w:val="24"/>
        </w:rPr>
        <w:t>7</w:t>
      </w:r>
      <w:r>
        <w:rPr>
          <w:sz w:val="24"/>
          <w:szCs w:val="24"/>
        </w:rPr>
        <w:t xml:space="preserve">, </w:t>
      </w:r>
      <w:r w:rsidRPr="009B701E">
        <w:rPr>
          <w:sz w:val="24"/>
          <w:szCs w:val="24"/>
        </w:rPr>
        <w:t xml:space="preserve">247-249. </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Marshall, P.A., Hughes, J.M., Williams, R.H., Smith, J.E., Murphy, R.G. and Hide, G.</w:t>
      </w:r>
      <w:r w:rsidRPr="00A535FB">
        <w:rPr>
          <w:sz w:val="24"/>
          <w:szCs w:val="24"/>
        </w:rPr>
        <w:t xml:space="preserve"> (2004). Detection of high levels of congenital transmission of </w:t>
      </w:r>
      <w:r w:rsidRPr="00A535FB">
        <w:rPr>
          <w:i/>
          <w:sz w:val="24"/>
          <w:szCs w:val="24"/>
        </w:rPr>
        <w:t>Toxoplasma gondii</w:t>
      </w:r>
      <w:r w:rsidRPr="00A535FB">
        <w:rPr>
          <w:sz w:val="24"/>
          <w:szCs w:val="24"/>
        </w:rPr>
        <w:t xml:space="preserve"> in natural urban populations of </w:t>
      </w:r>
      <w:r w:rsidRPr="00A535FB">
        <w:rPr>
          <w:i/>
          <w:sz w:val="24"/>
          <w:szCs w:val="24"/>
        </w:rPr>
        <w:t>Mus domesticus</w:t>
      </w:r>
      <w:r w:rsidRPr="00A535FB">
        <w:rPr>
          <w:sz w:val="24"/>
          <w:szCs w:val="24"/>
        </w:rPr>
        <w:t xml:space="preserve">. </w:t>
      </w:r>
      <w:r w:rsidRPr="00A535FB">
        <w:rPr>
          <w:i/>
          <w:sz w:val="24"/>
          <w:szCs w:val="24"/>
        </w:rPr>
        <w:t>Parasitology</w:t>
      </w:r>
      <w:r w:rsidRPr="00A535FB">
        <w:rPr>
          <w:sz w:val="24"/>
          <w:szCs w:val="24"/>
        </w:rPr>
        <w:t xml:space="preserve"> </w:t>
      </w:r>
      <w:r w:rsidRPr="00A535FB">
        <w:rPr>
          <w:b/>
          <w:sz w:val="24"/>
          <w:szCs w:val="24"/>
        </w:rPr>
        <w:t>128</w:t>
      </w:r>
      <w:r w:rsidRPr="00A535FB">
        <w:rPr>
          <w:sz w:val="24"/>
          <w:szCs w:val="24"/>
        </w:rPr>
        <w:t>, 39-42.</w:t>
      </w:r>
    </w:p>
    <w:p w:rsidR="005070B2" w:rsidRDefault="005070B2" w:rsidP="00A714E1">
      <w:pPr>
        <w:spacing w:line="480" w:lineRule="auto"/>
        <w:jc w:val="both"/>
        <w:rPr>
          <w:b/>
          <w:sz w:val="24"/>
          <w:szCs w:val="24"/>
        </w:rPr>
      </w:pPr>
    </w:p>
    <w:p w:rsidR="00A714E1" w:rsidRPr="009B701E" w:rsidRDefault="00A714E1" w:rsidP="00A714E1">
      <w:pPr>
        <w:spacing w:line="480" w:lineRule="auto"/>
        <w:jc w:val="both"/>
        <w:rPr>
          <w:b/>
          <w:sz w:val="24"/>
          <w:szCs w:val="24"/>
        </w:rPr>
      </w:pPr>
      <w:r w:rsidRPr="00A714E1">
        <w:rPr>
          <w:b/>
          <w:sz w:val="24"/>
          <w:szCs w:val="24"/>
        </w:rPr>
        <w:t>Meerburg</w:t>
      </w:r>
      <w:r>
        <w:rPr>
          <w:b/>
          <w:sz w:val="24"/>
          <w:szCs w:val="24"/>
        </w:rPr>
        <w:t>,</w:t>
      </w:r>
      <w:r w:rsidRPr="00A714E1">
        <w:rPr>
          <w:b/>
          <w:sz w:val="24"/>
          <w:szCs w:val="24"/>
        </w:rPr>
        <w:t xml:space="preserve"> B</w:t>
      </w:r>
      <w:r>
        <w:rPr>
          <w:b/>
          <w:sz w:val="24"/>
          <w:szCs w:val="24"/>
        </w:rPr>
        <w:t>.</w:t>
      </w:r>
      <w:r w:rsidRPr="00A714E1">
        <w:rPr>
          <w:b/>
          <w:sz w:val="24"/>
          <w:szCs w:val="24"/>
        </w:rPr>
        <w:t>G</w:t>
      </w:r>
      <w:r>
        <w:rPr>
          <w:b/>
          <w:sz w:val="24"/>
          <w:szCs w:val="24"/>
        </w:rPr>
        <w:t>.</w:t>
      </w:r>
      <w:r w:rsidRPr="00A714E1">
        <w:rPr>
          <w:b/>
          <w:sz w:val="24"/>
          <w:szCs w:val="24"/>
        </w:rPr>
        <w:t xml:space="preserve">, De </w:t>
      </w:r>
      <w:r>
        <w:rPr>
          <w:b/>
          <w:sz w:val="24"/>
          <w:szCs w:val="24"/>
        </w:rPr>
        <w:t xml:space="preserve">Craeye, S., Dierick, K. and Kijlstra, A. </w:t>
      </w:r>
      <w:r w:rsidRPr="00A714E1">
        <w:rPr>
          <w:sz w:val="24"/>
          <w:szCs w:val="24"/>
        </w:rPr>
        <w:t xml:space="preserve">(2012). </w:t>
      </w:r>
      <w:r w:rsidRPr="00A714E1">
        <w:rPr>
          <w:i/>
          <w:sz w:val="24"/>
          <w:szCs w:val="24"/>
        </w:rPr>
        <w:t>Neospora caninum</w:t>
      </w:r>
      <w:r w:rsidRPr="00A714E1">
        <w:rPr>
          <w:sz w:val="24"/>
          <w:szCs w:val="24"/>
        </w:rPr>
        <w:t xml:space="preserve"> and </w:t>
      </w:r>
      <w:r w:rsidRPr="00A714E1">
        <w:rPr>
          <w:i/>
          <w:sz w:val="24"/>
          <w:szCs w:val="24"/>
        </w:rPr>
        <w:t>Toxoplasma gondii</w:t>
      </w:r>
      <w:r w:rsidRPr="00A714E1">
        <w:rPr>
          <w:sz w:val="24"/>
          <w:szCs w:val="24"/>
        </w:rPr>
        <w:t xml:space="preserve"> in brain tissue of feral rodents and insectivores caught on farms in the Netherlands.</w:t>
      </w:r>
      <w:r w:rsidRPr="009B701E">
        <w:rPr>
          <w:b/>
          <w:sz w:val="24"/>
          <w:szCs w:val="24"/>
        </w:rPr>
        <w:t xml:space="preserve"> </w:t>
      </w:r>
      <w:r w:rsidRPr="009B701E">
        <w:rPr>
          <w:i/>
          <w:sz w:val="24"/>
          <w:szCs w:val="24"/>
        </w:rPr>
        <w:t>Vet</w:t>
      </w:r>
      <w:r>
        <w:rPr>
          <w:i/>
          <w:sz w:val="24"/>
          <w:szCs w:val="24"/>
        </w:rPr>
        <w:t>erinary Parasitology</w:t>
      </w:r>
      <w:r w:rsidRPr="009B701E">
        <w:rPr>
          <w:b/>
          <w:sz w:val="24"/>
          <w:szCs w:val="24"/>
        </w:rPr>
        <w:t xml:space="preserve"> </w:t>
      </w:r>
      <w:r w:rsidRPr="009B701E">
        <w:rPr>
          <w:sz w:val="24"/>
          <w:szCs w:val="24"/>
        </w:rPr>
        <w:t xml:space="preserve"> </w:t>
      </w:r>
      <w:r>
        <w:rPr>
          <w:b/>
          <w:sz w:val="24"/>
          <w:szCs w:val="24"/>
        </w:rPr>
        <w:t xml:space="preserve">184, </w:t>
      </w:r>
      <w:r w:rsidRPr="009B701E">
        <w:rPr>
          <w:sz w:val="24"/>
          <w:szCs w:val="24"/>
        </w:rPr>
        <w:t xml:space="preserve">317-320. </w:t>
      </w:r>
    </w:p>
    <w:p w:rsidR="00A535FB" w:rsidRDefault="00A535FB" w:rsidP="00A535FB">
      <w:pPr>
        <w:spacing w:line="480" w:lineRule="auto"/>
        <w:rPr>
          <w:sz w:val="24"/>
          <w:szCs w:val="24"/>
        </w:rPr>
      </w:pPr>
    </w:p>
    <w:p w:rsidR="00852F74" w:rsidRPr="00852F74" w:rsidRDefault="00852F74" w:rsidP="00852F74">
      <w:pPr>
        <w:spacing w:line="480" w:lineRule="auto"/>
        <w:rPr>
          <w:sz w:val="24"/>
          <w:szCs w:val="24"/>
        </w:rPr>
      </w:pPr>
      <w:r>
        <w:rPr>
          <w:b/>
          <w:sz w:val="24"/>
          <w:szCs w:val="24"/>
        </w:rPr>
        <w:t xml:space="preserve">Morger, J., Bajnok, J., Boyce, K., Craig, P.S., Rogan, M.T., Lun, Z.R., Hide, G. and Tschirren, B. </w:t>
      </w:r>
      <w:r>
        <w:rPr>
          <w:sz w:val="24"/>
          <w:szCs w:val="24"/>
        </w:rPr>
        <w:t xml:space="preserve">(2014). </w:t>
      </w:r>
      <w:r w:rsidRPr="00852F74">
        <w:rPr>
          <w:sz w:val="24"/>
          <w:szCs w:val="24"/>
        </w:rPr>
        <w:t>Naturally occurring Toll-like receptor 11</w:t>
      </w:r>
      <w:r>
        <w:rPr>
          <w:sz w:val="24"/>
          <w:szCs w:val="24"/>
        </w:rPr>
        <w:t xml:space="preserve"> (</w:t>
      </w:r>
      <w:r w:rsidRPr="009A682F">
        <w:rPr>
          <w:i/>
          <w:sz w:val="24"/>
          <w:szCs w:val="24"/>
        </w:rPr>
        <w:t>TLR11</w:t>
      </w:r>
      <w:r>
        <w:rPr>
          <w:sz w:val="24"/>
          <w:szCs w:val="24"/>
        </w:rPr>
        <w:t>) and Toll-like receptor 12 (</w:t>
      </w:r>
      <w:r w:rsidRPr="009A682F">
        <w:rPr>
          <w:i/>
          <w:sz w:val="24"/>
          <w:szCs w:val="24"/>
        </w:rPr>
        <w:t>TLR12</w:t>
      </w:r>
      <w:r>
        <w:rPr>
          <w:sz w:val="24"/>
          <w:szCs w:val="24"/>
        </w:rPr>
        <w:t xml:space="preserve">) </w:t>
      </w:r>
      <w:r w:rsidRPr="00852F74">
        <w:rPr>
          <w:sz w:val="24"/>
          <w:szCs w:val="24"/>
        </w:rPr>
        <w:t>polymorphisms are not as</w:t>
      </w:r>
      <w:r>
        <w:rPr>
          <w:sz w:val="24"/>
          <w:szCs w:val="24"/>
        </w:rPr>
        <w:t xml:space="preserve">sociated with </w:t>
      </w:r>
      <w:r w:rsidRPr="009A682F">
        <w:rPr>
          <w:i/>
          <w:sz w:val="24"/>
          <w:szCs w:val="24"/>
        </w:rPr>
        <w:t>Toxoplasma gondii</w:t>
      </w:r>
      <w:r>
        <w:rPr>
          <w:sz w:val="24"/>
          <w:szCs w:val="24"/>
        </w:rPr>
        <w:t xml:space="preserve"> </w:t>
      </w:r>
      <w:r w:rsidRPr="00852F74">
        <w:rPr>
          <w:sz w:val="24"/>
          <w:szCs w:val="24"/>
        </w:rPr>
        <w:t>infection in wild wood mice</w:t>
      </w:r>
      <w:r>
        <w:rPr>
          <w:sz w:val="24"/>
          <w:szCs w:val="24"/>
        </w:rPr>
        <w:t xml:space="preserve">. </w:t>
      </w:r>
      <w:r>
        <w:rPr>
          <w:i/>
          <w:sz w:val="24"/>
          <w:szCs w:val="24"/>
        </w:rPr>
        <w:t>Infection, Genetics and Evolution</w:t>
      </w:r>
      <w:r>
        <w:rPr>
          <w:sz w:val="24"/>
          <w:szCs w:val="24"/>
        </w:rPr>
        <w:t xml:space="preserve"> </w:t>
      </w:r>
      <w:r>
        <w:rPr>
          <w:b/>
          <w:sz w:val="24"/>
          <w:szCs w:val="24"/>
        </w:rPr>
        <w:t xml:space="preserve">26, </w:t>
      </w:r>
      <w:r>
        <w:rPr>
          <w:sz w:val="24"/>
          <w:szCs w:val="24"/>
        </w:rPr>
        <w:t>180-184.</w:t>
      </w:r>
    </w:p>
    <w:p w:rsidR="00852F74" w:rsidRPr="00A535FB" w:rsidRDefault="00852F74" w:rsidP="00A535FB">
      <w:pPr>
        <w:spacing w:line="480" w:lineRule="auto"/>
        <w:rPr>
          <w:sz w:val="24"/>
          <w:szCs w:val="24"/>
        </w:rPr>
      </w:pPr>
    </w:p>
    <w:p w:rsidR="00A535FB" w:rsidRPr="00A535FB" w:rsidRDefault="00A535FB" w:rsidP="00A535FB">
      <w:pPr>
        <w:tabs>
          <w:tab w:val="left" w:pos="360"/>
        </w:tabs>
        <w:spacing w:line="480" w:lineRule="auto"/>
        <w:rPr>
          <w:sz w:val="24"/>
          <w:szCs w:val="24"/>
        </w:rPr>
      </w:pPr>
      <w:r w:rsidRPr="00A535FB">
        <w:rPr>
          <w:b/>
          <w:sz w:val="24"/>
          <w:szCs w:val="24"/>
        </w:rPr>
        <w:t>Morley, E.K., Williams, R.H., Hughes, J.M., Terry, R.S., Duncanson, P., Smith, J.E. and Hide, G.</w:t>
      </w:r>
      <w:r w:rsidRPr="00A535FB">
        <w:rPr>
          <w:sz w:val="24"/>
          <w:szCs w:val="24"/>
        </w:rPr>
        <w:t xml:space="preserve"> (2005). Significant familial differences in the frequency of abortion and </w:t>
      </w:r>
      <w:r w:rsidRPr="00A535FB">
        <w:rPr>
          <w:i/>
          <w:sz w:val="24"/>
          <w:szCs w:val="24"/>
        </w:rPr>
        <w:t>Toxoplasma gondii</w:t>
      </w:r>
      <w:r w:rsidRPr="00A535FB">
        <w:rPr>
          <w:sz w:val="24"/>
          <w:szCs w:val="24"/>
        </w:rPr>
        <w:t xml:space="preserve"> infection within a flock of Charollais sheep. </w:t>
      </w:r>
      <w:r w:rsidRPr="00A535FB">
        <w:rPr>
          <w:i/>
          <w:sz w:val="24"/>
          <w:szCs w:val="24"/>
        </w:rPr>
        <w:t>Parasitology</w:t>
      </w:r>
      <w:r w:rsidRPr="00A535FB">
        <w:rPr>
          <w:b/>
          <w:sz w:val="24"/>
          <w:szCs w:val="24"/>
        </w:rPr>
        <w:t xml:space="preserve"> 131, </w:t>
      </w:r>
      <w:r w:rsidRPr="00A535FB">
        <w:rPr>
          <w:sz w:val="24"/>
          <w:szCs w:val="24"/>
        </w:rPr>
        <w:t>181-185.</w:t>
      </w:r>
    </w:p>
    <w:p w:rsidR="00A535FB" w:rsidRPr="00A535FB" w:rsidRDefault="00A535FB" w:rsidP="00A535FB">
      <w:pPr>
        <w:spacing w:line="480" w:lineRule="auto"/>
        <w:rPr>
          <w:sz w:val="24"/>
          <w:szCs w:val="24"/>
        </w:rPr>
      </w:pPr>
    </w:p>
    <w:p w:rsidR="00A535FB" w:rsidRPr="00CC7FAE" w:rsidRDefault="00A535FB" w:rsidP="00A535FB">
      <w:pPr>
        <w:spacing w:line="480" w:lineRule="auto"/>
        <w:rPr>
          <w:sz w:val="24"/>
          <w:szCs w:val="24"/>
        </w:rPr>
      </w:pPr>
      <w:r w:rsidRPr="00A535FB">
        <w:rPr>
          <w:b/>
          <w:sz w:val="24"/>
          <w:szCs w:val="24"/>
        </w:rPr>
        <w:t xml:space="preserve">Morley, E.K., Williams, R.H., Hughes, J.M., Thomasson, D., Terry, R.S., Duncanson, P., Smith, J.E. and Hide, G. </w:t>
      </w:r>
      <w:r w:rsidRPr="00A535FB">
        <w:rPr>
          <w:sz w:val="24"/>
          <w:szCs w:val="24"/>
        </w:rPr>
        <w:t xml:space="preserve">(2008). Evidence that primary infection of Charollais sheep with </w:t>
      </w:r>
      <w:r w:rsidRPr="00A535FB">
        <w:rPr>
          <w:i/>
          <w:sz w:val="24"/>
          <w:szCs w:val="24"/>
        </w:rPr>
        <w:t>Toxoplasma gondii</w:t>
      </w:r>
      <w:r w:rsidRPr="00A535FB">
        <w:rPr>
          <w:sz w:val="24"/>
          <w:szCs w:val="24"/>
        </w:rPr>
        <w:t xml:space="preserve"> may not prevent foetal infection and abortion in subsequent lambings. </w:t>
      </w:r>
      <w:r w:rsidRPr="00A535FB">
        <w:rPr>
          <w:i/>
          <w:sz w:val="24"/>
          <w:szCs w:val="24"/>
        </w:rPr>
        <w:t>Parasitology</w:t>
      </w:r>
      <w:r w:rsidRPr="00A535FB">
        <w:rPr>
          <w:sz w:val="24"/>
          <w:szCs w:val="24"/>
        </w:rPr>
        <w:t xml:space="preserve"> </w:t>
      </w:r>
      <w:r w:rsidRPr="00A535FB">
        <w:rPr>
          <w:b/>
          <w:sz w:val="24"/>
          <w:szCs w:val="24"/>
        </w:rPr>
        <w:t>135,</w:t>
      </w:r>
      <w:r w:rsidRPr="00A535FB">
        <w:rPr>
          <w:sz w:val="24"/>
          <w:szCs w:val="24"/>
        </w:rPr>
        <w:t xml:space="preserve"> 169-173. </w:t>
      </w:r>
    </w:p>
    <w:p w:rsidR="00CC7FAE" w:rsidRPr="00CC7FAE" w:rsidRDefault="00CC7FAE" w:rsidP="00A535FB">
      <w:pPr>
        <w:spacing w:line="480" w:lineRule="auto"/>
        <w:rPr>
          <w:sz w:val="24"/>
          <w:szCs w:val="24"/>
        </w:rPr>
      </w:pPr>
    </w:p>
    <w:p w:rsidR="00CC7FAE" w:rsidRPr="00CC7FAE" w:rsidRDefault="00CC7FAE" w:rsidP="00CC7FAE">
      <w:pPr>
        <w:autoSpaceDE w:val="0"/>
        <w:autoSpaceDN w:val="0"/>
        <w:adjustRightInd w:val="0"/>
        <w:spacing w:line="480" w:lineRule="auto"/>
        <w:jc w:val="both"/>
        <w:rPr>
          <w:sz w:val="24"/>
        </w:rPr>
      </w:pPr>
      <w:r w:rsidRPr="00CC7FAE">
        <w:rPr>
          <w:b/>
          <w:sz w:val="24"/>
        </w:rPr>
        <w:t>Murphy, R.G., Williams, R.H., Hughes, J.M., Hide, G., Ford, N.J. and Oldbury, D.J.</w:t>
      </w:r>
      <w:r w:rsidRPr="00CC7FAE">
        <w:rPr>
          <w:sz w:val="24"/>
        </w:rPr>
        <w:t xml:space="preserve"> (2008). The urban house mouse (</w:t>
      </w:r>
      <w:r w:rsidRPr="00CC7FAE">
        <w:rPr>
          <w:i/>
          <w:sz w:val="24"/>
        </w:rPr>
        <w:t>Mus domesticus</w:t>
      </w:r>
      <w:r w:rsidRPr="00CC7FAE">
        <w:rPr>
          <w:sz w:val="24"/>
        </w:rPr>
        <w:t xml:space="preserve">) as a reservoir of infection for the human parasite </w:t>
      </w:r>
      <w:r w:rsidRPr="00CC7FAE">
        <w:rPr>
          <w:i/>
          <w:sz w:val="24"/>
        </w:rPr>
        <w:t>Toxoplasma gondii</w:t>
      </w:r>
      <w:r w:rsidRPr="00CC7FAE">
        <w:rPr>
          <w:sz w:val="24"/>
        </w:rPr>
        <w:t xml:space="preserve">: an unrecognised public health issue? </w:t>
      </w:r>
      <w:r w:rsidRPr="00CC7FAE">
        <w:rPr>
          <w:i/>
          <w:sz w:val="24"/>
        </w:rPr>
        <w:t xml:space="preserve">International Journal of Environmental Health Research </w:t>
      </w:r>
      <w:r w:rsidRPr="00CC7FAE">
        <w:rPr>
          <w:b/>
          <w:sz w:val="24"/>
        </w:rPr>
        <w:t>18,</w:t>
      </w:r>
      <w:r w:rsidRPr="00CC7FAE">
        <w:rPr>
          <w:sz w:val="24"/>
        </w:rPr>
        <w:t xml:space="preserve"> 177-185.</w:t>
      </w:r>
    </w:p>
    <w:p w:rsidR="00A535FB" w:rsidRPr="00CC7FAE"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Owen, M.R. and Trees, A.J.</w:t>
      </w:r>
      <w:r w:rsidRPr="00A535FB">
        <w:rPr>
          <w:sz w:val="24"/>
          <w:szCs w:val="24"/>
        </w:rPr>
        <w:t xml:space="preserve"> (1998). Vertical transmission of </w:t>
      </w:r>
      <w:r w:rsidRPr="00A535FB">
        <w:rPr>
          <w:i/>
          <w:sz w:val="24"/>
          <w:szCs w:val="24"/>
        </w:rPr>
        <w:t>Toxoplasma gondii</w:t>
      </w:r>
      <w:r w:rsidRPr="00A535FB">
        <w:rPr>
          <w:sz w:val="24"/>
          <w:szCs w:val="24"/>
        </w:rPr>
        <w:t xml:space="preserve"> from chronically infected house (</w:t>
      </w:r>
      <w:r w:rsidRPr="00A535FB">
        <w:rPr>
          <w:i/>
          <w:sz w:val="24"/>
          <w:szCs w:val="24"/>
        </w:rPr>
        <w:t>Mus musculus</w:t>
      </w:r>
      <w:r w:rsidRPr="00A535FB">
        <w:rPr>
          <w:sz w:val="24"/>
          <w:szCs w:val="24"/>
        </w:rPr>
        <w:t>) and field (</w:t>
      </w:r>
      <w:r w:rsidRPr="00A535FB">
        <w:rPr>
          <w:i/>
          <w:sz w:val="24"/>
          <w:szCs w:val="24"/>
        </w:rPr>
        <w:t>Apodemus sylvaticus</w:t>
      </w:r>
      <w:r w:rsidRPr="00A535FB">
        <w:rPr>
          <w:sz w:val="24"/>
          <w:szCs w:val="24"/>
        </w:rPr>
        <w:t xml:space="preserve">) mice determined by polymerase chain reaction.  </w:t>
      </w:r>
      <w:r w:rsidRPr="00A535FB">
        <w:rPr>
          <w:i/>
          <w:sz w:val="24"/>
          <w:szCs w:val="24"/>
        </w:rPr>
        <w:t>Parasitology</w:t>
      </w:r>
      <w:r w:rsidRPr="00A535FB">
        <w:rPr>
          <w:sz w:val="24"/>
          <w:szCs w:val="24"/>
        </w:rPr>
        <w:t xml:space="preserve"> </w:t>
      </w:r>
      <w:r w:rsidRPr="00A535FB">
        <w:rPr>
          <w:b/>
          <w:sz w:val="24"/>
          <w:szCs w:val="24"/>
        </w:rPr>
        <w:t>116,</w:t>
      </w:r>
      <w:r w:rsidRPr="00A535FB">
        <w:rPr>
          <w:sz w:val="24"/>
          <w:szCs w:val="24"/>
        </w:rPr>
        <w:t xml:space="preserve"> 299-304.</w:t>
      </w:r>
    </w:p>
    <w:p w:rsidR="00F706E7" w:rsidRDefault="00F706E7" w:rsidP="00F706E7">
      <w:pPr>
        <w:spacing w:line="480" w:lineRule="auto"/>
        <w:jc w:val="both"/>
        <w:rPr>
          <w:b/>
          <w:sz w:val="24"/>
          <w:szCs w:val="24"/>
        </w:rPr>
      </w:pPr>
    </w:p>
    <w:p w:rsidR="00F706E7" w:rsidRPr="009B701E" w:rsidRDefault="00F706E7" w:rsidP="00F706E7">
      <w:pPr>
        <w:spacing w:line="480" w:lineRule="auto"/>
        <w:jc w:val="both"/>
        <w:rPr>
          <w:sz w:val="24"/>
          <w:szCs w:val="24"/>
        </w:rPr>
      </w:pPr>
      <w:r w:rsidRPr="00F706E7">
        <w:rPr>
          <w:b/>
          <w:sz w:val="24"/>
          <w:szCs w:val="24"/>
        </w:rPr>
        <w:t>Pritchard, J.K., Stephens, M. and Donnelly, P.</w:t>
      </w:r>
      <w:r>
        <w:rPr>
          <w:sz w:val="24"/>
          <w:szCs w:val="24"/>
        </w:rPr>
        <w:t xml:space="preserve"> (2000).</w:t>
      </w:r>
      <w:r w:rsidRPr="009B701E">
        <w:rPr>
          <w:b/>
          <w:sz w:val="24"/>
          <w:szCs w:val="24"/>
        </w:rPr>
        <w:t xml:space="preserve"> </w:t>
      </w:r>
      <w:r w:rsidRPr="00F706E7">
        <w:rPr>
          <w:sz w:val="24"/>
          <w:szCs w:val="24"/>
        </w:rPr>
        <w:t xml:space="preserve">Inference of population structure using multilocus genotype data. </w:t>
      </w:r>
      <w:r w:rsidRPr="009B701E">
        <w:rPr>
          <w:i/>
          <w:sz w:val="24"/>
          <w:szCs w:val="24"/>
        </w:rPr>
        <w:t>Genetics</w:t>
      </w:r>
      <w:r w:rsidRPr="009B701E">
        <w:rPr>
          <w:sz w:val="24"/>
          <w:szCs w:val="24"/>
        </w:rPr>
        <w:t xml:space="preserve"> </w:t>
      </w:r>
      <w:r w:rsidRPr="009B701E">
        <w:rPr>
          <w:b/>
          <w:sz w:val="24"/>
          <w:szCs w:val="24"/>
        </w:rPr>
        <w:t>155</w:t>
      </w:r>
      <w:r>
        <w:rPr>
          <w:sz w:val="24"/>
          <w:szCs w:val="24"/>
        </w:rPr>
        <w:t xml:space="preserve">, </w:t>
      </w:r>
      <w:r w:rsidRPr="009B701E">
        <w:rPr>
          <w:sz w:val="24"/>
          <w:szCs w:val="24"/>
        </w:rPr>
        <w:t>945–959.</w:t>
      </w:r>
    </w:p>
    <w:p w:rsidR="00F706E7" w:rsidRDefault="00F706E7" w:rsidP="006321AA">
      <w:pPr>
        <w:spacing w:line="480" w:lineRule="auto"/>
        <w:jc w:val="both"/>
        <w:rPr>
          <w:b/>
          <w:sz w:val="24"/>
          <w:szCs w:val="24"/>
        </w:rPr>
      </w:pPr>
    </w:p>
    <w:p w:rsidR="006321AA" w:rsidRDefault="006321AA" w:rsidP="006321AA">
      <w:pPr>
        <w:spacing w:line="480" w:lineRule="auto"/>
        <w:jc w:val="both"/>
        <w:rPr>
          <w:sz w:val="24"/>
          <w:szCs w:val="24"/>
        </w:rPr>
      </w:pPr>
      <w:r w:rsidRPr="006321AA">
        <w:rPr>
          <w:b/>
          <w:sz w:val="24"/>
          <w:szCs w:val="24"/>
        </w:rPr>
        <w:t xml:space="preserve">Savva, D., Morris, J.C., Johnson, J.D. and Holliman, R.E. </w:t>
      </w:r>
      <w:r w:rsidRPr="006321AA">
        <w:rPr>
          <w:sz w:val="24"/>
          <w:szCs w:val="24"/>
        </w:rPr>
        <w:t>(1990).</w:t>
      </w:r>
      <w:r w:rsidRPr="009B701E">
        <w:rPr>
          <w:sz w:val="24"/>
          <w:szCs w:val="24"/>
        </w:rPr>
        <w:t xml:space="preserve"> </w:t>
      </w:r>
      <w:r w:rsidRPr="006321AA">
        <w:rPr>
          <w:sz w:val="24"/>
          <w:szCs w:val="24"/>
        </w:rPr>
        <w:t xml:space="preserve">Polymerase chain reaction for detection of </w:t>
      </w:r>
      <w:r w:rsidRPr="006321AA">
        <w:rPr>
          <w:i/>
          <w:sz w:val="24"/>
          <w:szCs w:val="24"/>
        </w:rPr>
        <w:t>Toxoplasma gondii</w:t>
      </w:r>
      <w:r w:rsidRPr="006321AA">
        <w:rPr>
          <w:sz w:val="24"/>
          <w:szCs w:val="24"/>
        </w:rPr>
        <w:t>.</w:t>
      </w:r>
      <w:r w:rsidRPr="009B701E">
        <w:rPr>
          <w:sz w:val="24"/>
          <w:szCs w:val="24"/>
        </w:rPr>
        <w:t xml:space="preserve"> </w:t>
      </w:r>
      <w:r>
        <w:rPr>
          <w:i/>
          <w:sz w:val="24"/>
          <w:szCs w:val="24"/>
        </w:rPr>
        <w:t>Journal</w:t>
      </w:r>
      <w:r w:rsidRPr="009B701E">
        <w:rPr>
          <w:i/>
          <w:sz w:val="24"/>
          <w:szCs w:val="24"/>
        </w:rPr>
        <w:t xml:space="preserve"> of M</w:t>
      </w:r>
      <w:r>
        <w:rPr>
          <w:i/>
          <w:sz w:val="24"/>
          <w:szCs w:val="24"/>
        </w:rPr>
        <w:t>edical</w:t>
      </w:r>
      <w:r w:rsidRPr="009B701E">
        <w:rPr>
          <w:i/>
          <w:sz w:val="24"/>
          <w:szCs w:val="24"/>
        </w:rPr>
        <w:t xml:space="preserve"> Microbiol</w:t>
      </w:r>
      <w:r>
        <w:rPr>
          <w:i/>
          <w:sz w:val="24"/>
          <w:szCs w:val="24"/>
        </w:rPr>
        <w:t xml:space="preserve">ogy </w:t>
      </w:r>
      <w:r w:rsidRPr="009B701E">
        <w:rPr>
          <w:b/>
          <w:sz w:val="24"/>
          <w:szCs w:val="24"/>
        </w:rPr>
        <w:t>32</w:t>
      </w:r>
      <w:r>
        <w:rPr>
          <w:sz w:val="24"/>
          <w:szCs w:val="24"/>
        </w:rPr>
        <w:t>,</w:t>
      </w:r>
      <w:r w:rsidRPr="009B701E">
        <w:rPr>
          <w:sz w:val="24"/>
          <w:szCs w:val="24"/>
        </w:rPr>
        <w:t xml:space="preserve"> 25–31. </w:t>
      </w:r>
    </w:p>
    <w:p w:rsidR="006321AA" w:rsidRPr="009B701E" w:rsidRDefault="006321AA" w:rsidP="006321AA">
      <w:pPr>
        <w:spacing w:line="480" w:lineRule="auto"/>
        <w:jc w:val="both"/>
        <w:rPr>
          <w:sz w:val="24"/>
          <w:szCs w:val="24"/>
        </w:rPr>
      </w:pPr>
    </w:p>
    <w:p w:rsidR="006321AA" w:rsidRPr="009B701E" w:rsidRDefault="006321AA" w:rsidP="006321AA">
      <w:pPr>
        <w:spacing w:line="480" w:lineRule="auto"/>
        <w:jc w:val="both"/>
        <w:rPr>
          <w:sz w:val="24"/>
          <w:szCs w:val="24"/>
        </w:rPr>
      </w:pPr>
      <w:r w:rsidRPr="006321AA">
        <w:rPr>
          <w:b/>
          <w:sz w:val="24"/>
          <w:szCs w:val="24"/>
        </w:rPr>
        <w:t>Shwab, E.K., Zhu, X.Q., Majumdar, D., Pena, H.F., Gennari, S.M., Dubey, J.P., and Su, C.</w:t>
      </w:r>
      <w:r>
        <w:rPr>
          <w:b/>
          <w:sz w:val="24"/>
          <w:szCs w:val="24"/>
        </w:rPr>
        <w:t xml:space="preserve"> </w:t>
      </w:r>
      <w:r w:rsidRPr="006321AA">
        <w:rPr>
          <w:sz w:val="24"/>
          <w:szCs w:val="24"/>
        </w:rPr>
        <w:t>(2013).</w:t>
      </w:r>
      <w:r w:rsidRPr="009B701E">
        <w:rPr>
          <w:b/>
          <w:sz w:val="24"/>
          <w:szCs w:val="24"/>
        </w:rPr>
        <w:t xml:space="preserve"> </w:t>
      </w:r>
      <w:r w:rsidRPr="006321AA">
        <w:rPr>
          <w:sz w:val="24"/>
          <w:szCs w:val="24"/>
        </w:rPr>
        <w:t xml:space="preserve">Geographical patterns of </w:t>
      </w:r>
      <w:r w:rsidRPr="006321AA">
        <w:rPr>
          <w:i/>
          <w:sz w:val="24"/>
          <w:szCs w:val="24"/>
        </w:rPr>
        <w:t>Toxoplasma gondii</w:t>
      </w:r>
      <w:r w:rsidRPr="006321AA">
        <w:rPr>
          <w:sz w:val="24"/>
          <w:szCs w:val="24"/>
        </w:rPr>
        <w:t xml:space="preserve"> genetic diversity revealed by multilocus PCR-RFLP genotyping.</w:t>
      </w:r>
      <w:r w:rsidRPr="009B701E">
        <w:rPr>
          <w:sz w:val="24"/>
          <w:szCs w:val="24"/>
        </w:rPr>
        <w:t xml:space="preserve"> </w:t>
      </w:r>
      <w:r>
        <w:rPr>
          <w:i/>
          <w:sz w:val="24"/>
          <w:szCs w:val="24"/>
        </w:rPr>
        <w:t>Parasitology</w:t>
      </w:r>
      <w:r w:rsidRPr="009B701E">
        <w:rPr>
          <w:sz w:val="24"/>
          <w:szCs w:val="24"/>
        </w:rPr>
        <w:t xml:space="preserve"> </w:t>
      </w:r>
      <w:r w:rsidRPr="009B701E">
        <w:rPr>
          <w:b/>
          <w:sz w:val="24"/>
          <w:szCs w:val="24"/>
        </w:rPr>
        <w:t>5</w:t>
      </w:r>
      <w:r>
        <w:rPr>
          <w:sz w:val="24"/>
          <w:szCs w:val="24"/>
        </w:rPr>
        <w:t xml:space="preserve">, </w:t>
      </w:r>
      <w:r w:rsidRPr="009B701E">
        <w:rPr>
          <w:sz w:val="24"/>
          <w:szCs w:val="24"/>
        </w:rPr>
        <w:t xml:space="preserve">453-461. </w:t>
      </w:r>
    </w:p>
    <w:p w:rsidR="00A535FB" w:rsidRPr="00A535FB" w:rsidRDefault="00A535FB" w:rsidP="00A535FB">
      <w:pPr>
        <w:spacing w:line="480" w:lineRule="auto"/>
        <w:rPr>
          <w:b/>
          <w:sz w:val="24"/>
          <w:szCs w:val="24"/>
        </w:rPr>
      </w:pPr>
    </w:p>
    <w:p w:rsidR="00A535FB" w:rsidRDefault="00A535FB" w:rsidP="00A535FB">
      <w:pPr>
        <w:spacing w:line="480" w:lineRule="auto"/>
        <w:rPr>
          <w:sz w:val="24"/>
          <w:szCs w:val="24"/>
        </w:rPr>
      </w:pPr>
      <w:r w:rsidRPr="00A535FB">
        <w:rPr>
          <w:b/>
          <w:sz w:val="24"/>
          <w:szCs w:val="24"/>
        </w:rPr>
        <w:t>Smith, D.D. and Frenkel, J.K.</w:t>
      </w:r>
      <w:r w:rsidRPr="00A535FB">
        <w:rPr>
          <w:sz w:val="24"/>
          <w:szCs w:val="24"/>
        </w:rPr>
        <w:t xml:space="preserve"> (1995). Prevalence of antibodies to </w:t>
      </w:r>
      <w:r w:rsidRPr="00A535FB">
        <w:rPr>
          <w:i/>
          <w:sz w:val="24"/>
          <w:szCs w:val="24"/>
        </w:rPr>
        <w:t>Toxoplasma gondii</w:t>
      </w:r>
      <w:r w:rsidRPr="00A535FB">
        <w:rPr>
          <w:sz w:val="24"/>
          <w:szCs w:val="24"/>
        </w:rPr>
        <w:t xml:space="preserve"> in wild mammals of Missouri and East Central Kansas - biologic and ecologic considerations of transmission. </w:t>
      </w:r>
      <w:r w:rsidRPr="00A535FB">
        <w:rPr>
          <w:i/>
          <w:sz w:val="24"/>
          <w:szCs w:val="24"/>
        </w:rPr>
        <w:t xml:space="preserve">Journal of Wildlife Diseases </w:t>
      </w:r>
      <w:r w:rsidRPr="00A535FB">
        <w:rPr>
          <w:b/>
          <w:sz w:val="24"/>
          <w:szCs w:val="24"/>
        </w:rPr>
        <w:t>31</w:t>
      </w:r>
      <w:r w:rsidRPr="00A535FB">
        <w:rPr>
          <w:sz w:val="24"/>
          <w:szCs w:val="24"/>
        </w:rPr>
        <w:t>, 15-21.</w:t>
      </w:r>
    </w:p>
    <w:p w:rsidR="006321AA" w:rsidRPr="00A535FB" w:rsidRDefault="006321AA" w:rsidP="00A535FB">
      <w:pPr>
        <w:spacing w:line="480" w:lineRule="auto"/>
        <w:rPr>
          <w:sz w:val="24"/>
          <w:szCs w:val="24"/>
        </w:rPr>
      </w:pPr>
    </w:p>
    <w:p w:rsidR="00DB672F" w:rsidRDefault="00DB672F" w:rsidP="00DB672F">
      <w:pPr>
        <w:spacing w:line="480" w:lineRule="auto"/>
        <w:jc w:val="both"/>
        <w:rPr>
          <w:sz w:val="24"/>
          <w:szCs w:val="24"/>
        </w:rPr>
      </w:pPr>
      <w:r w:rsidRPr="00DB672F">
        <w:rPr>
          <w:b/>
          <w:sz w:val="24"/>
          <w:szCs w:val="24"/>
        </w:rPr>
        <w:t>Stahl, W., Sekiguchi, M. and Kaneda Y.</w:t>
      </w:r>
      <w:r w:rsidRPr="009B701E">
        <w:rPr>
          <w:sz w:val="24"/>
          <w:szCs w:val="24"/>
        </w:rPr>
        <w:t xml:space="preserve"> </w:t>
      </w:r>
      <w:r>
        <w:rPr>
          <w:sz w:val="24"/>
          <w:szCs w:val="24"/>
        </w:rPr>
        <w:t xml:space="preserve">(200). </w:t>
      </w:r>
      <w:r w:rsidRPr="00DB672F">
        <w:rPr>
          <w:sz w:val="24"/>
          <w:szCs w:val="24"/>
        </w:rPr>
        <w:t>Cerebellar anomalies in congenital murine toxoplasmosis.</w:t>
      </w:r>
      <w:r w:rsidRPr="009B701E">
        <w:rPr>
          <w:sz w:val="24"/>
          <w:szCs w:val="24"/>
        </w:rPr>
        <w:t xml:space="preserve"> </w:t>
      </w:r>
      <w:r w:rsidRPr="009B701E">
        <w:rPr>
          <w:i/>
          <w:sz w:val="24"/>
          <w:szCs w:val="24"/>
        </w:rPr>
        <w:t>Parasitol</w:t>
      </w:r>
      <w:r>
        <w:rPr>
          <w:i/>
          <w:sz w:val="24"/>
          <w:szCs w:val="24"/>
        </w:rPr>
        <w:t>ogy</w:t>
      </w:r>
      <w:r w:rsidRPr="009B701E">
        <w:rPr>
          <w:i/>
          <w:sz w:val="24"/>
          <w:szCs w:val="24"/>
        </w:rPr>
        <w:t xml:space="preserve"> Res</w:t>
      </w:r>
      <w:r>
        <w:rPr>
          <w:i/>
          <w:sz w:val="24"/>
          <w:szCs w:val="24"/>
        </w:rPr>
        <w:t xml:space="preserve">earch </w:t>
      </w:r>
      <w:r w:rsidRPr="009B701E">
        <w:rPr>
          <w:b/>
          <w:sz w:val="24"/>
          <w:szCs w:val="24"/>
        </w:rPr>
        <w:t>88</w:t>
      </w:r>
      <w:r>
        <w:rPr>
          <w:sz w:val="24"/>
          <w:szCs w:val="24"/>
        </w:rPr>
        <w:t xml:space="preserve">, </w:t>
      </w:r>
      <w:r w:rsidRPr="009B701E">
        <w:rPr>
          <w:sz w:val="24"/>
          <w:szCs w:val="24"/>
        </w:rPr>
        <w:t>507-512.</w:t>
      </w:r>
    </w:p>
    <w:p w:rsidR="00491B23" w:rsidRPr="009B701E" w:rsidRDefault="00491B23" w:rsidP="00DB672F">
      <w:pPr>
        <w:spacing w:line="480" w:lineRule="auto"/>
        <w:jc w:val="both"/>
        <w:rPr>
          <w:sz w:val="24"/>
          <w:szCs w:val="24"/>
        </w:rPr>
      </w:pPr>
    </w:p>
    <w:p w:rsidR="006321AA" w:rsidRPr="009B701E" w:rsidRDefault="006321AA" w:rsidP="006321AA">
      <w:pPr>
        <w:spacing w:line="480" w:lineRule="auto"/>
        <w:jc w:val="both"/>
        <w:rPr>
          <w:sz w:val="24"/>
          <w:szCs w:val="24"/>
        </w:rPr>
      </w:pPr>
      <w:r w:rsidRPr="006321AA">
        <w:rPr>
          <w:b/>
          <w:sz w:val="24"/>
          <w:szCs w:val="24"/>
        </w:rPr>
        <w:t>Spisak, F., Turcekova, L., Reiterova, K., Spilovska, S. and Dubinsky, P.</w:t>
      </w:r>
      <w:r>
        <w:rPr>
          <w:sz w:val="24"/>
          <w:szCs w:val="24"/>
        </w:rPr>
        <w:t xml:space="preserve"> (2010).</w:t>
      </w:r>
      <w:r w:rsidRPr="009B701E">
        <w:rPr>
          <w:sz w:val="24"/>
          <w:szCs w:val="24"/>
        </w:rPr>
        <w:t xml:space="preserve"> </w:t>
      </w:r>
      <w:r w:rsidRPr="006321AA">
        <w:rPr>
          <w:sz w:val="24"/>
          <w:szCs w:val="24"/>
        </w:rPr>
        <w:t xml:space="preserve">Prevalence estimation and genotypization of </w:t>
      </w:r>
      <w:r w:rsidRPr="006321AA">
        <w:rPr>
          <w:i/>
          <w:sz w:val="24"/>
          <w:szCs w:val="24"/>
        </w:rPr>
        <w:t>Toxoplasma gondii</w:t>
      </w:r>
      <w:r w:rsidRPr="006321AA">
        <w:rPr>
          <w:sz w:val="24"/>
          <w:szCs w:val="24"/>
        </w:rPr>
        <w:t xml:space="preserve"> in goats.</w:t>
      </w:r>
      <w:r w:rsidRPr="009B701E">
        <w:rPr>
          <w:b/>
          <w:sz w:val="24"/>
          <w:szCs w:val="24"/>
        </w:rPr>
        <w:t xml:space="preserve"> </w:t>
      </w:r>
      <w:r w:rsidRPr="009B701E">
        <w:rPr>
          <w:i/>
          <w:sz w:val="24"/>
          <w:szCs w:val="24"/>
        </w:rPr>
        <w:t xml:space="preserve">Biologia </w:t>
      </w:r>
      <w:r w:rsidRPr="009B701E">
        <w:rPr>
          <w:sz w:val="24"/>
          <w:szCs w:val="24"/>
        </w:rPr>
        <w:t xml:space="preserve"> </w:t>
      </w:r>
      <w:r w:rsidRPr="009B701E">
        <w:rPr>
          <w:b/>
          <w:sz w:val="24"/>
          <w:szCs w:val="24"/>
        </w:rPr>
        <w:t>65</w:t>
      </w:r>
      <w:r>
        <w:rPr>
          <w:sz w:val="24"/>
          <w:szCs w:val="24"/>
        </w:rPr>
        <w:t xml:space="preserve">, </w:t>
      </w:r>
      <w:r w:rsidRPr="009B701E">
        <w:rPr>
          <w:sz w:val="24"/>
          <w:szCs w:val="24"/>
        </w:rPr>
        <w:t>670-674.</w:t>
      </w:r>
    </w:p>
    <w:p w:rsidR="006321AA" w:rsidRPr="009B701E" w:rsidRDefault="006321AA" w:rsidP="00491B23">
      <w:pPr>
        <w:spacing w:line="480" w:lineRule="auto"/>
        <w:jc w:val="both"/>
        <w:rPr>
          <w:sz w:val="24"/>
          <w:szCs w:val="24"/>
        </w:rPr>
      </w:pPr>
      <w:r w:rsidRPr="00491B23">
        <w:rPr>
          <w:b/>
          <w:sz w:val="24"/>
          <w:szCs w:val="24"/>
        </w:rPr>
        <w:t>Su</w:t>
      </w:r>
      <w:r w:rsidR="00491B23" w:rsidRPr="00491B23">
        <w:rPr>
          <w:b/>
          <w:sz w:val="24"/>
          <w:szCs w:val="24"/>
        </w:rPr>
        <w:t>,</w:t>
      </w:r>
      <w:r w:rsidRPr="00491B23">
        <w:rPr>
          <w:b/>
          <w:sz w:val="24"/>
          <w:szCs w:val="24"/>
        </w:rPr>
        <w:t xml:space="preserve"> C</w:t>
      </w:r>
      <w:r w:rsidR="00491B23" w:rsidRPr="00491B23">
        <w:rPr>
          <w:b/>
          <w:sz w:val="24"/>
          <w:szCs w:val="24"/>
        </w:rPr>
        <w:t>.</w:t>
      </w:r>
      <w:r w:rsidRPr="00491B23">
        <w:rPr>
          <w:b/>
          <w:sz w:val="24"/>
          <w:szCs w:val="24"/>
        </w:rPr>
        <w:t>, Zhang</w:t>
      </w:r>
      <w:r w:rsidR="00491B23" w:rsidRPr="00491B23">
        <w:rPr>
          <w:b/>
          <w:sz w:val="24"/>
          <w:szCs w:val="24"/>
        </w:rPr>
        <w:t>,</w:t>
      </w:r>
      <w:r w:rsidRPr="00491B23">
        <w:rPr>
          <w:b/>
          <w:sz w:val="24"/>
          <w:szCs w:val="24"/>
        </w:rPr>
        <w:t xml:space="preserve"> X</w:t>
      </w:r>
      <w:r w:rsidR="00491B23" w:rsidRPr="00491B23">
        <w:rPr>
          <w:b/>
          <w:sz w:val="24"/>
          <w:szCs w:val="24"/>
        </w:rPr>
        <w:t>. and</w:t>
      </w:r>
      <w:r w:rsidRPr="00491B23">
        <w:rPr>
          <w:b/>
          <w:sz w:val="24"/>
          <w:szCs w:val="24"/>
        </w:rPr>
        <w:t xml:space="preserve"> Dubey</w:t>
      </w:r>
      <w:r w:rsidR="00491B23" w:rsidRPr="00491B23">
        <w:rPr>
          <w:b/>
          <w:sz w:val="24"/>
          <w:szCs w:val="24"/>
        </w:rPr>
        <w:t>,</w:t>
      </w:r>
      <w:r w:rsidRPr="00491B23">
        <w:rPr>
          <w:b/>
          <w:sz w:val="24"/>
          <w:szCs w:val="24"/>
        </w:rPr>
        <w:t xml:space="preserve"> J</w:t>
      </w:r>
      <w:r w:rsidR="00491B23" w:rsidRPr="00491B23">
        <w:rPr>
          <w:b/>
          <w:sz w:val="24"/>
          <w:szCs w:val="24"/>
        </w:rPr>
        <w:t>.</w:t>
      </w:r>
      <w:r w:rsidRPr="00491B23">
        <w:rPr>
          <w:b/>
          <w:sz w:val="24"/>
          <w:szCs w:val="24"/>
        </w:rPr>
        <w:t>P</w:t>
      </w:r>
      <w:r w:rsidR="00491B23" w:rsidRPr="00491B23">
        <w:rPr>
          <w:b/>
          <w:sz w:val="24"/>
          <w:szCs w:val="24"/>
        </w:rPr>
        <w:t>.</w:t>
      </w:r>
      <w:r w:rsidR="00491B23" w:rsidRPr="00491B23">
        <w:rPr>
          <w:sz w:val="24"/>
          <w:szCs w:val="24"/>
        </w:rPr>
        <w:t xml:space="preserve"> (2006).</w:t>
      </w:r>
      <w:r w:rsidRPr="009B701E">
        <w:rPr>
          <w:b/>
          <w:sz w:val="24"/>
          <w:szCs w:val="24"/>
        </w:rPr>
        <w:t xml:space="preserve"> </w:t>
      </w:r>
      <w:r w:rsidRPr="00491B23">
        <w:rPr>
          <w:sz w:val="24"/>
          <w:szCs w:val="24"/>
        </w:rPr>
        <w:t xml:space="preserve">Genotyping of </w:t>
      </w:r>
      <w:r w:rsidRPr="00491B23">
        <w:rPr>
          <w:i/>
          <w:sz w:val="24"/>
          <w:szCs w:val="24"/>
        </w:rPr>
        <w:t>Toxoplasma gondii</w:t>
      </w:r>
      <w:r w:rsidRPr="00491B23">
        <w:rPr>
          <w:sz w:val="24"/>
          <w:szCs w:val="24"/>
        </w:rPr>
        <w:t xml:space="preserve"> by multilocus PCR-RFLP markers: a high resolution and simple method for identification of parasites.</w:t>
      </w:r>
      <w:r w:rsidRPr="009B701E">
        <w:rPr>
          <w:sz w:val="24"/>
          <w:szCs w:val="24"/>
        </w:rPr>
        <w:t xml:space="preserve"> </w:t>
      </w:r>
      <w:r w:rsidRPr="009B701E">
        <w:rPr>
          <w:i/>
          <w:sz w:val="24"/>
          <w:szCs w:val="24"/>
        </w:rPr>
        <w:t>Int</w:t>
      </w:r>
      <w:r w:rsidR="00491B23">
        <w:rPr>
          <w:i/>
          <w:sz w:val="24"/>
          <w:szCs w:val="24"/>
        </w:rPr>
        <w:t>ernational</w:t>
      </w:r>
      <w:r w:rsidRPr="009B701E">
        <w:rPr>
          <w:i/>
          <w:sz w:val="24"/>
          <w:szCs w:val="24"/>
        </w:rPr>
        <w:t xml:space="preserve"> J</w:t>
      </w:r>
      <w:r w:rsidR="00491B23">
        <w:rPr>
          <w:i/>
          <w:sz w:val="24"/>
          <w:szCs w:val="24"/>
        </w:rPr>
        <w:t>ournal of</w:t>
      </w:r>
      <w:r w:rsidRPr="009B701E">
        <w:rPr>
          <w:i/>
          <w:sz w:val="24"/>
          <w:szCs w:val="24"/>
        </w:rPr>
        <w:t xml:space="preserve"> Parasitol</w:t>
      </w:r>
      <w:r w:rsidR="00491B23">
        <w:rPr>
          <w:i/>
          <w:sz w:val="24"/>
          <w:szCs w:val="24"/>
        </w:rPr>
        <w:t>ogy</w:t>
      </w:r>
      <w:r w:rsidRPr="009B701E">
        <w:rPr>
          <w:sz w:val="24"/>
          <w:szCs w:val="24"/>
        </w:rPr>
        <w:t xml:space="preserve"> </w:t>
      </w:r>
      <w:r w:rsidRPr="009B701E">
        <w:rPr>
          <w:b/>
          <w:sz w:val="24"/>
          <w:szCs w:val="24"/>
        </w:rPr>
        <w:t>36</w:t>
      </w:r>
      <w:r w:rsidR="00491B23">
        <w:rPr>
          <w:sz w:val="24"/>
          <w:szCs w:val="24"/>
        </w:rPr>
        <w:t>,</w:t>
      </w:r>
      <w:r w:rsidRPr="009B701E">
        <w:rPr>
          <w:sz w:val="24"/>
          <w:szCs w:val="24"/>
        </w:rPr>
        <w:t xml:space="preserve"> 841 – 848. </w:t>
      </w:r>
    </w:p>
    <w:p w:rsidR="00A535FB" w:rsidRPr="00CC7FAE" w:rsidRDefault="00A535FB" w:rsidP="00A535FB">
      <w:pPr>
        <w:spacing w:line="480" w:lineRule="auto"/>
        <w:rPr>
          <w:b/>
          <w:sz w:val="24"/>
          <w:szCs w:val="24"/>
        </w:rPr>
      </w:pPr>
    </w:p>
    <w:p w:rsidR="00A535FB" w:rsidRPr="00A535FB" w:rsidRDefault="00A535FB" w:rsidP="00A535FB">
      <w:pPr>
        <w:spacing w:line="480" w:lineRule="auto"/>
        <w:rPr>
          <w:sz w:val="24"/>
          <w:szCs w:val="24"/>
        </w:rPr>
      </w:pPr>
      <w:r w:rsidRPr="00A535FB">
        <w:rPr>
          <w:b/>
          <w:sz w:val="24"/>
          <w:szCs w:val="24"/>
        </w:rPr>
        <w:t>Tenter, A.M., Heckeroth, A.R. and Weiss, L.M.</w:t>
      </w:r>
      <w:r w:rsidRPr="00A535FB">
        <w:rPr>
          <w:sz w:val="24"/>
          <w:szCs w:val="24"/>
        </w:rPr>
        <w:t xml:space="preserve"> (2000).  </w:t>
      </w:r>
      <w:r w:rsidRPr="00A535FB">
        <w:rPr>
          <w:i/>
          <w:sz w:val="24"/>
          <w:szCs w:val="24"/>
        </w:rPr>
        <w:t>Toxoplasma gondii</w:t>
      </w:r>
      <w:r w:rsidRPr="00A535FB">
        <w:rPr>
          <w:sz w:val="24"/>
          <w:szCs w:val="24"/>
        </w:rPr>
        <w:t xml:space="preserve">: from animals to humans.  </w:t>
      </w:r>
      <w:r w:rsidRPr="00A535FB">
        <w:rPr>
          <w:i/>
          <w:sz w:val="24"/>
          <w:szCs w:val="24"/>
        </w:rPr>
        <w:t>International Journal for Parasitology</w:t>
      </w:r>
      <w:r w:rsidRPr="00A535FB">
        <w:rPr>
          <w:sz w:val="24"/>
          <w:szCs w:val="24"/>
        </w:rPr>
        <w:t xml:space="preserve"> </w:t>
      </w:r>
      <w:r w:rsidRPr="00A535FB">
        <w:rPr>
          <w:b/>
          <w:sz w:val="24"/>
          <w:szCs w:val="24"/>
        </w:rPr>
        <w:t>30,</w:t>
      </w:r>
      <w:r w:rsidRPr="00A535FB">
        <w:rPr>
          <w:sz w:val="24"/>
          <w:szCs w:val="24"/>
        </w:rPr>
        <w:t xml:space="preserve"> 1217-1258.</w:t>
      </w:r>
    </w:p>
    <w:p w:rsidR="00A535FB" w:rsidRPr="00A535FB" w:rsidRDefault="00A535FB" w:rsidP="00A535FB">
      <w:pPr>
        <w:spacing w:line="480" w:lineRule="auto"/>
        <w:rPr>
          <w:sz w:val="24"/>
          <w:szCs w:val="24"/>
        </w:rPr>
      </w:pPr>
    </w:p>
    <w:p w:rsidR="00A535FB" w:rsidRDefault="00A535FB" w:rsidP="00A535FB">
      <w:pPr>
        <w:spacing w:line="480" w:lineRule="auto"/>
        <w:rPr>
          <w:sz w:val="24"/>
          <w:szCs w:val="24"/>
        </w:rPr>
      </w:pPr>
      <w:r w:rsidRPr="00A535FB">
        <w:rPr>
          <w:b/>
          <w:sz w:val="24"/>
          <w:szCs w:val="24"/>
        </w:rPr>
        <w:t>Terry, R.S., Smith, J.E., Duncanson, P. and Hide, G.</w:t>
      </w:r>
      <w:r w:rsidRPr="00A535FB">
        <w:rPr>
          <w:sz w:val="24"/>
          <w:szCs w:val="24"/>
        </w:rPr>
        <w:t xml:space="preserve"> (2001). MGE-PCR: a novel approach to the analysis of </w:t>
      </w:r>
      <w:r w:rsidRPr="00A535FB">
        <w:rPr>
          <w:i/>
          <w:sz w:val="24"/>
          <w:szCs w:val="24"/>
        </w:rPr>
        <w:t>Toxoplasma gondii</w:t>
      </w:r>
      <w:r w:rsidRPr="00A535FB">
        <w:rPr>
          <w:sz w:val="24"/>
          <w:szCs w:val="24"/>
        </w:rPr>
        <w:t xml:space="preserve"> strain differentiation using mobile genetic elements</w:t>
      </w:r>
      <w:r w:rsidRPr="00A535FB">
        <w:rPr>
          <w:i/>
          <w:sz w:val="24"/>
          <w:szCs w:val="24"/>
        </w:rPr>
        <w:t>. International Journal for Parasitology</w:t>
      </w:r>
      <w:r w:rsidRPr="00A535FB">
        <w:rPr>
          <w:sz w:val="24"/>
          <w:szCs w:val="24"/>
        </w:rPr>
        <w:t xml:space="preserve"> </w:t>
      </w:r>
      <w:r w:rsidRPr="00A535FB">
        <w:rPr>
          <w:b/>
          <w:sz w:val="24"/>
          <w:szCs w:val="24"/>
        </w:rPr>
        <w:t>31</w:t>
      </w:r>
      <w:r w:rsidRPr="00A535FB">
        <w:rPr>
          <w:sz w:val="24"/>
          <w:szCs w:val="24"/>
        </w:rPr>
        <w:t>, 155-161.</w:t>
      </w:r>
    </w:p>
    <w:p w:rsidR="00CC757D" w:rsidRPr="00A535FB" w:rsidRDefault="00CC757D" w:rsidP="00A535FB">
      <w:pPr>
        <w:spacing w:line="480" w:lineRule="auto"/>
        <w:rPr>
          <w:sz w:val="24"/>
          <w:szCs w:val="24"/>
        </w:rPr>
      </w:pPr>
    </w:p>
    <w:p w:rsidR="00CC7FAE" w:rsidRPr="00CC7FAE" w:rsidRDefault="00CC7FAE" w:rsidP="00CC7FAE">
      <w:pPr>
        <w:spacing w:line="480" w:lineRule="auto"/>
        <w:rPr>
          <w:b/>
          <w:bCs/>
          <w:sz w:val="24"/>
          <w:szCs w:val="24"/>
        </w:rPr>
      </w:pPr>
      <w:r w:rsidRPr="00CC7FAE">
        <w:rPr>
          <w:b/>
          <w:bCs/>
          <w:sz w:val="24"/>
          <w:szCs w:val="24"/>
        </w:rPr>
        <w:t>Thomasson, D.,  Wright, E. A.,  Hughes, J. M., Dodd, N.S., Cox, A. P., Boyce, K., Gerwash, O., Abushahma, M., Lun, Z. R., Murphy, R.G., Rogan, M. T. and Hide. G.</w:t>
      </w:r>
      <w:r w:rsidRPr="00CC7FAE">
        <w:rPr>
          <w:sz w:val="24"/>
          <w:szCs w:val="24"/>
        </w:rPr>
        <w:t xml:space="preserve"> (2011). Prevalence and Co-infection of </w:t>
      </w:r>
      <w:r w:rsidRPr="00CC7FAE">
        <w:rPr>
          <w:i/>
          <w:iCs/>
          <w:sz w:val="24"/>
          <w:szCs w:val="24"/>
        </w:rPr>
        <w:t xml:space="preserve">Toxoplasma gondii </w:t>
      </w:r>
      <w:r w:rsidRPr="00CC7FAE">
        <w:rPr>
          <w:sz w:val="24"/>
          <w:szCs w:val="24"/>
        </w:rPr>
        <w:t xml:space="preserve">and </w:t>
      </w:r>
      <w:r w:rsidRPr="00CC7FAE">
        <w:rPr>
          <w:i/>
          <w:iCs/>
          <w:sz w:val="24"/>
          <w:szCs w:val="24"/>
        </w:rPr>
        <w:t>Neospora caninum</w:t>
      </w:r>
      <w:r w:rsidRPr="00CC7FAE">
        <w:rPr>
          <w:sz w:val="24"/>
          <w:szCs w:val="24"/>
        </w:rPr>
        <w:t xml:space="preserve"> in </w:t>
      </w:r>
      <w:r w:rsidRPr="00CC7FAE">
        <w:rPr>
          <w:i/>
          <w:iCs/>
          <w:sz w:val="24"/>
          <w:szCs w:val="24"/>
        </w:rPr>
        <w:t>Apodemus sylvaticus</w:t>
      </w:r>
      <w:r w:rsidRPr="00CC7FAE">
        <w:rPr>
          <w:sz w:val="24"/>
          <w:szCs w:val="24"/>
        </w:rPr>
        <w:t xml:space="preserve"> in an area relatively free of cats. </w:t>
      </w:r>
      <w:r w:rsidRPr="00CC7FAE">
        <w:rPr>
          <w:i/>
          <w:iCs/>
          <w:sz w:val="24"/>
          <w:szCs w:val="24"/>
        </w:rPr>
        <w:t>Parasitology</w:t>
      </w:r>
      <w:r w:rsidRPr="00CC7FAE">
        <w:rPr>
          <w:sz w:val="24"/>
          <w:szCs w:val="24"/>
        </w:rPr>
        <w:t xml:space="preserve"> </w:t>
      </w:r>
      <w:r w:rsidRPr="00CC7FAE">
        <w:rPr>
          <w:b/>
          <w:bCs/>
          <w:sz w:val="24"/>
          <w:szCs w:val="24"/>
        </w:rPr>
        <w:t>138</w:t>
      </w:r>
      <w:r w:rsidRPr="00CC7FAE">
        <w:rPr>
          <w:sz w:val="24"/>
          <w:szCs w:val="24"/>
        </w:rPr>
        <w:t>, 1117-1123.</w:t>
      </w:r>
    </w:p>
    <w:p w:rsidR="008B70F8" w:rsidRDefault="008B70F8" w:rsidP="008B70F8">
      <w:pPr>
        <w:spacing w:line="480" w:lineRule="auto"/>
        <w:jc w:val="both"/>
        <w:rPr>
          <w:sz w:val="24"/>
          <w:szCs w:val="24"/>
        </w:rPr>
      </w:pPr>
    </w:p>
    <w:p w:rsidR="008B70F8" w:rsidRDefault="008B70F8" w:rsidP="008B70F8">
      <w:pPr>
        <w:spacing w:line="480" w:lineRule="auto"/>
        <w:jc w:val="both"/>
        <w:rPr>
          <w:sz w:val="24"/>
          <w:szCs w:val="24"/>
        </w:rPr>
      </w:pPr>
      <w:r w:rsidRPr="00D235A2">
        <w:rPr>
          <w:b/>
          <w:sz w:val="24"/>
          <w:szCs w:val="24"/>
        </w:rPr>
        <w:t>Van Oosterhout</w:t>
      </w:r>
      <w:r w:rsidR="00D235A2" w:rsidRPr="00D235A2">
        <w:rPr>
          <w:b/>
          <w:sz w:val="24"/>
          <w:szCs w:val="24"/>
        </w:rPr>
        <w:t>,</w:t>
      </w:r>
      <w:r w:rsidRPr="00D235A2">
        <w:rPr>
          <w:b/>
          <w:sz w:val="24"/>
          <w:szCs w:val="24"/>
        </w:rPr>
        <w:t xml:space="preserve"> C</w:t>
      </w:r>
      <w:r w:rsidR="00D235A2" w:rsidRPr="00D235A2">
        <w:rPr>
          <w:b/>
          <w:sz w:val="24"/>
          <w:szCs w:val="24"/>
        </w:rPr>
        <w:t>.</w:t>
      </w:r>
      <w:r w:rsidRPr="00D235A2">
        <w:rPr>
          <w:b/>
          <w:sz w:val="24"/>
          <w:szCs w:val="24"/>
        </w:rPr>
        <w:t>, Hutchinson</w:t>
      </w:r>
      <w:r w:rsidR="00D235A2" w:rsidRPr="00D235A2">
        <w:rPr>
          <w:b/>
          <w:sz w:val="24"/>
          <w:szCs w:val="24"/>
        </w:rPr>
        <w:t>,</w:t>
      </w:r>
      <w:r w:rsidRPr="00D235A2">
        <w:rPr>
          <w:b/>
          <w:sz w:val="24"/>
          <w:szCs w:val="24"/>
        </w:rPr>
        <w:t xml:space="preserve"> W</w:t>
      </w:r>
      <w:r w:rsidR="00D235A2" w:rsidRPr="00D235A2">
        <w:rPr>
          <w:b/>
          <w:sz w:val="24"/>
          <w:szCs w:val="24"/>
        </w:rPr>
        <w:t>.</w:t>
      </w:r>
      <w:r w:rsidRPr="00D235A2">
        <w:rPr>
          <w:b/>
          <w:sz w:val="24"/>
          <w:szCs w:val="24"/>
        </w:rPr>
        <w:t>, Wills</w:t>
      </w:r>
      <w:r w:rsidR="00D235A2" w:rsidRPr="00D235A2">
        <w:rPr>
          <w:b/>
          <w:sz w:val="24"/>
          <w:szCs w:val="24"/>
        </w:rPr>
        <w:t>,</w:t>
      </w:r>
      <w:r w:rsidRPr="00D235A2">
        <w:rPr>
          <w:b/>
          <w:sz w:val="24"/>
          <w:szCs w:val="24"/>
        </w:rPr>
        <w:t xml:space="preserve"> D</w:t>
      </w:r>
      <w:r w:rsidR="00D235A2" w:rsidRPr="00D235A2">
        <w:rPr>
          <w:b/>
          <w:sz w:val="24"/>
          <w:szCs w:val="24"/>
        </w:rPr>
        <w:t>. and</w:t>
      </w:r>
      <w:r w:rsidRPr="00D235A2">
        <w:rPr>
          <w:b/>
          <w:sz w:val="24"/>
          <w:szCs w:val="24"/>
        </w:rPr>
        <w:t xml:space="preserve"> Shipley</w:t>
      </w:r>
      <w:r w:rsidR="00D235A2" w:rsidRPr="00D235A2">
        <w:rPr>
          <w:b/>
          <w:sz w:val="24"/>
          <w:szCs w:val="24"/>
        </w:rPr>
        <w:t>,</w:t>
      </w:r>
      <w:r w:rsidRPr="00D235A2">
        <w:rPr>
          <w:b/>
          <w:sz w:val="24"/>
          <w:szCs w:val="24"/>
        </w:rPr>
        <w:t xml:space="preserve"> P</w:t>
      </w:r>
      <w:r w:rsidR="00D235A2" w:rsidRPr="00D235A2">
        <w:rPr>
          <w:b/>
          <w:sz w:val="24"/>
          <w:szCs w:val="24"/>
        </w:rPr>
        <w:t>.</w:t>
      </w:r>
      <w:r w:rsidR="00D235A2">
        <w:rPr>
          <w:sz w:val="24"/>
          <w:szCs w:val="24"/>
        </w:rPr>
        <w:t xml:space="preserve"> (2004).</w:t>
      </w:r>
      <w:r w:rsidRPr="009B701E">
        <w:rPr>
          <w:sz w:val="24"/>
          <w:szCs w:val="24"/>
        </w:rPr>
        <w:t xml:space="preserve"> </w:t>
      </w:r>
      <w:r w:rsidRPr="00D235A2">
        <w:rPr>
          <w:sz w:val="24"/>
          <w:szCs w:val="24"/>
        </w:rPr>
        <w:t>MICRO-CHECKER: software for identifying and correcting genotyping errors in microsatellite data.</w:t>
      </w:r>
      <w:r w:rsidRPr="009B701E">
        <w:rPr>
          <w:sz w:val="24"/>
          <w:szCs w:val="24"/>
        </w:rPr>
        <w:t xml:space="preserve"> </w:t>
      </w:r>
      <w:r w:rsidRPr="009B701E">
        <w:rPr>
          <w:i/>
          <w:sz w:val="24"/>
          <w:szCs w:val="24"/>
        </w:rPr>
        <w:t>Mol</w:t>
      </w:r>
      <w:r w:rsidR="00D235A2">
        <w:rPr>
          <w:i/>
          <w:sz w:val="24"/>
          <w:szCs w:val="24"/>
        </w:rPr>
        <w:t>ecular</w:t>
      </w:r>
      <w:r w:rsidRPr="009B701E">
        <w:rPr>
          <w:i/>
          <w:sz w:val="24"/>
          <w:szCs w:val="24"/>
        </w:rPr>
        <w:t xml:space="preserve"> Ecol</w:t>
      </w:r>
      <w:r w:rsidR="00D235A2">
        <w:rPr>
          <w:i/>
          <w:sz w:val="24"/>
          <w:szCs w:val="24"/>
        </w:rPr>
        <w:t>ogy Notes</w:t>
      </w:r>
      <w:r w:rsidRPr="009B701E">
        <w:rPr>
          <w:sz w:val="24"/>
          <w:szCs w:val="24"/>
        </w:rPr>
        <w:t xml:space="preserve"> </w:t>
      </w:r>
      <w:r w:rsidR="00D235A2">
        <w:rPr>
          <w:b/>
          <w:sz w:val="24"/>
          <w:szCs w:val="24"/>
        </w:rPr>
        <w:t>4,</w:t>
      </w:r>
      <w:r w:rsidRPr="009B701E">
        <w:rPr>
          <w:sz w:val="24"/>
          <w:szCs w:val="24"/>
        </w:rPr>
        <w:t xml:space="preserve"> 535–538. </w:t>
      </w:r>
    </w:p>
    <w:p w:rsidR="00D235A2" w:rsidRDefault="00D235A2" w:rsidP="008B70F8">
      <w:pPr>
        <w:spacing w:line="480" w:lineRule="auto"/>
        <w:jc w:val="both"/>
        <w:rPr>
          <w:sz w:val="24"/>
          <w:szCs w:val="24"/>
        </w:rPr>
      </w:pPr>
    </w:p>
    <w:p w:rsidR="008B70F8" w:rsidRPr="009B701E" w:rsidRDefault="008B70F8" w:rsidP="008B70F8">
      <w:pPr>
        <w:spacing w:line="480" w:lineRule="auto"/>
        <w:jc w:val="both"/>
        <w:rPr>
          <w:sz w:val="24"/>
          <w:szCs w:val="24"/>
        </w:rPr>
      </w:pPr>
      <w:r w:rsidRPr="006321AA">
        <w:rPr>
          <w:b/>
          <w:sz w:val="24"/>
          <w:szCs w:val="24"/>
        </w:rPr>
        <w:t xml:space="preserve">Vujanić, M., Ivović, V., Kataranovski, M., Nikolić, A., Bobić, B., Klun, I., Villena, I., Kataranovski, D. and Djurković-Djaković, O. </w:t>
      </w:r>
      <w:r w:rsidRPr="006321AA">
        <w:rPr>
          <w:sz w:val="24"/>
          <w:szCs w:val="24"/>
        </w:rPr>
        <w:t>(2012). Toxoplasmosis in naturally infected rodents in Belgrade, Serbia.</w:t>
      </w:r>
      <w:r w:rsidRPr="009B701E">
        <w:rPr>
          <w:b/>
          <w:sz w:val="24"/>
          <w:szCs w:val="24"/>
        </w:rPr>
        <w:t xml:space="preserve"> </w:t>
      </w:r>
      <w:r w:rsidRPr="009B701E">
        <w:rPr>
          <w:i/>
          <w:sz w:val="24"/>
          <w:szCs w:val="24"/>
        </w:rPr>
        <w:t>Vector Borne Zoonotic Dis</w:t>
      </w:r>
      <w:r>
        <w:rPr>
          <w:i/>
          <w:sz w:val="24"/>
          <w:szCs w:val="24"/>
        </w:rPr>
        <w:t xml:space="preserve">eases </w:t>
      </w:r>
      <w:r>
        <w:rPr>
          <w:b/>
          <w:sz w:val="24"/>
          <w:szCs w:val="24"/>
        </w:rPr>
        <w:t xml:space="preserve">11, </w:t>
      </w:r>
      <w:r w:rsidRPr="009B701E">
        <w:rPr>
          <w:sz w:val="24"/>
          <w:szCs w:val="24"/>
        </w:rPr>
        <w:t>1209-1211.</w:t>
      </w:r>
    </w:p>
    <w:p w:rsidR="008B70F8" w:rsidRPr="009B701E" w:rsidRDefault="008B70F8" w:rsidP="008B70F8">
      <w:pPr>
        <w:spacing w:line="480" w:lineRule="auto"/>
        <w:ind w:left="357"/>
        <w:jc w:val="both"/>
        <w:rPr>
          <w:sz w:val="24"/>
          <w:szCs w:val="24"/>
        </w:rPr>
      </w:pPr>
    </w:p>
    <w:p w:rsidR="008B70F8" w:rsidRPr="009B701E" w:rsidRDefault="00D235A2" w:rsidP="00D235A2">
      <w:pPr>
        <w:spacing w:line="480" w:lineRule="auto"/>
        <w:jc w:val="both"/>
        <w:rPr>
          <w:sz w:val="24"/>
          <w:szCs w:val="24"/>
        </w:rPr>
      </w:pPr>
      <w:r w:rsidRPr="00D235A2">
        <w:rPr>
          <w:b/>
          <w:sz w:val="24"/>
          <w:szCs w:val="24"/>
        </w:rPr>
        <w:t>Wang, J.</w:t>
      </w:r>
      <w:r>
        <w:rPr>
          <w:sz w:val="24"/>
          <w:szCs w:val="24"/>
        </w:rPr>
        <w:t xml:space="preserve"> (2004).</w:t>
      </w:r>
      <w:r w:rsidR="008B70F8" w:rsidRPr="009B701E">
        <w:rPr>
          <w:sz w:val="24"/>
          <w:szCs w:val="24"/>
        </w:rPr>
        <w:t xml:space="preserve"> </w:t>
      </w:r>
      <w:r w:rsidR="008B70F8" w:rsidRPr="00D235A2">
        <w:rPr>
          <w:sz w:val="24"/>
          <w:szCs w:val="24"/>
        </w:rPr>
        <w:t>Sibship reconstruction from genetic data with typing errors</w:t>
      </w:r>
      <w:r w:rsidR="008B70F8" w:rsidRPr="00D235A2">
        <w:rPr>
          <w:i/>
          <w:sz w:val="24"/>
          <w:szCs w:val="24"/>
        </w:rPr>
        <w:t>.</w:t>
      </w:r>
      <w:r w:rsidR="008B70F8" w:rsidRPr="009B701E">
        <w:rPr>
          <w:i/>
          <w:sz w:val="24"/>
          <w:szCs w:val="24"/>
        </w:rPr>
        <w:t xml:space="preserve"> Genetics</w:t>
      </w:r>
      <w:r w:rsidR="008B70F8" w:rsidRPr="009B701E">
        <w:rPr>
          <w:sz w:val="24"/>
          <w:szCs w:val="24"/>
        </w:rPr>
        <w:t xml:space="preserve"> </w:t>
      </w:r>
      <w:r>
        <w:rPr>
          <w:b/>
          <w:sz w:val="24"/>
          <w:szCs w:val="24"/>
        </w:rPr>
        <w:t>166,</w:t>
      </w:r>
      <w:r w:rsidR="008B70F8" w:rsidRPr="009B701E">
        <w:rPr>
          <w:sz w:val="24"/>
          <w:szCs w:val="24"/>
        </w:rPr>
        <w:t xml:space="preserve"> 1963-1979.</w:t>
      </w:r>
    </w:p>
    <w:p w:rsidR="00A535FB" w:rsidRPr="00CC7FAE"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Williams, R.H., Morley, E.K., Hughes, J.M., Duncanson, P., Terry, R.S., Smith, J.E. and Hide, G.</w:t>
      </w:r>
      <w:r w:rsidRPr="00A535FB">
        <w:rPr>
          <w:sz w:val="24"/>
          <w:szCs w:val="24"/>
        </w:rPr>
        <w:t xml:space="preserve"> (2005). High levels of congenital transmission of </w:t>
      </w:r>
      <w:r w:rsidRPr="00A535FB">
        <w:rPr>
          <w:i/>
          <w:sz w:val="24"/>
          <w:szCs w:val="24"/>
        </w:rPr>
        <w:t>Toxoplasma gondii</w:t>
      </w:r>
      <w:r w:rsidRPr="00A535FB">
        <w:rPr>
          <w:sz w:val="24"/>
          <w:szCs w:val="24"/>
        </w:rPr>
        <w:t xml:space="preserve"> in longitudinal and cross-sectional studies on sheep farms provides evidence of vertical transmission in ovine hosts. </w:t>
      </w:r>
      <w:r w:rsidRPr="00A535FB">
        <w:rPr>
          <w:i/>
          <w:sz w:val="24"/>
          <w:szCs w:val="24"/>
        </w:rPr>
        <w:t>Parasitology</w:t>
      </w:r>
      <w:r w:rsidRPr="00A535FB">
        <w:rPr>
          <w:sz w:val="24"/>
          <w:szCs w:val="24"/>
        </w:rPr>
        <w:t xml:space="preserve"> </w:t>
      </w:r>
      <w:r w:rsidRPr="00A535FB">
        <w:rPr>
          <w:b/>
          <w:sz w:val="24"/>
          <w:szCs w:val="24"/>
        </w:rPr>
        <w:t>130</w:t>
      </w:r>
      <w:r w:rsidRPr="00A535FB">
        <w:rPr>
          <w:sz w:val="24"/>
          <w:szCs w:val="24"/>
        </w:rPr>
        <w:t>, 301-307.</w:t>
      </w:r>
    </w:p>
    <w:p w:rsidR="00491B23" w:rsidRDefault="00491B23" w:rsidP="006321AA">
      <w:pPr>
        <w:spacing w:line="480" w:lineRule="auto"/>
        <w:jc w:val="both"/>
        <w:rPr>
          <w:b/>
          <w:sz w:val="24"/>
          <w:szCs w:val="24"/>
        </w:rPr>
      </w:pPr>
    </w:p>
    <w:p w:rsidR="006321AA" w:rsidRPr="009B701E" w:rsidRDefault="006321AA" w:rsidP="006321AA">
      <w:pPr>
        <w:spacing w:line="480" w:lineRule="auto"/>
        <w:jc w:val="both"/>
        <w:rPr>
          <w:sz w:val="24"/>
          <w:szCs w:val="24"/>
        </w:rPr>
      </w:pPr>
      <w:r w:rsidRPr="006321AA">
        <w:rPr>
          <w:b/>
          <w:sz w:val="24"/>
          <w:szCs w:val="24"/>
        </w:rPr>
        <w:t>Yin, C.C., He, Y., Zhou, D.H., Yan, C., He, X.H., Wu, S.M., Zhou, Y., Yuan, Z.G., Lin, R.Q. and Zhu, X.Q. (2010).</w:t>
      </w:r>
      <w:r w:rsidRPr="009B701E">
        <w:rPr>
          <w:sz w:val="24"/>
          <w:szCs w:val="24"/>
        </w:rPr>
        <w:t xml:space="preserve"> </w:t>
      </w:r>
      <w:r w:rsidRPr="006321AA">
        <w:rPr>
          <w:sz w:val="24"/>
          <w:szCs w:val="24"/>
        </w:rPr>
        <w:t xml:space="preserve">Seroprevalence of </w:t>
      </w:r>
      <w:r w:rsidRPr="006321AA">
        <w:rPr>
          <w:i/>
          <w:sz w:val="24"/>
          <w:szCs w:val="24"/>
        </w:rPr>
        <w:t>Toxoplasma gondii</w:t>
      </w:r>
      <w:r w:rsidRPr="006321AA">
        <w:rPr>
          <w:sz w:val="24"/>
          <w:szCs w:val="24"/>
        </w:rPr>
        <w:t xml:space="preserve"> in rats in southern China.</w:t>
      </w:r>
      <w:r w:rsidRPr="009B701E">
        <w:rPr>
          <w:b/>
          <w:sz w:val="24"/>
          <w:szCs w:val="24"/>
        </w:rPr>
        <w:t xml:space="preserve">  </w:t>
      </w:r>
      <w:r w:rsidRPr="009B701E">
        <w:rPr>
          <w:i/>
          <w:sz w:val="24"/>
          <w:szCs w:val="24"/>
        </w:rPr>
        <w:t>J</w:t>
      </w:r>
      <w:r>
        <w:rPr>
          <w:i/>
          <w:sz w:val="24"/>
          <w:szCs w:val="24"/>
        </w:rPr>
        <w:t>ournal of Parasitology</w:t>
      </w:r>
      <w:r>
        <w:rPr>
          <w:sz w:val="24"/>
          <w:szCs w:val="24"/>
        </w:rPr>
        <w:t xml:space="preserve"> </w:t>
      </w:r>
      <w:r w:rsidRPr="009B701E">
        <w:rPr>
          <w:b/>
          <w:sz w:val="24"/>
          <w:szCs w:val="24"/>
        </w:rPr>
        <w:t>96</w:t>
      </w:r>
      <w:r>
        <w:rPr>
          <w:sz w:val="24"/>
          <w:szCs w:val="24"/>
        </w:rPr>
        <w:t xml:space="preserve">, </w:t>
      </w:r>
      <w:r w:rsidRPr="009B701E">
        <w:rPr>
          <w:sz w:val="24"/>
          <w:szCs w:val="24"/>
        </w:rPr>
        <w:t>1233-1234.</w:t>
      </w:r>
    </w:p>
    <w:p w:rsidR="00A535FB" w:rsidRPr="00A535FB" w:rsidRDefault="00A535FB" w:rsidP="00A535FB">
      <w:pPr>
        <w:spacing w:line="480" w:lineRule="auto"/>
        <w:rPr>
          <w:sz w:val="24"/>
          <w:szCs w:val="24"/>
        </w:rPr>
      </w:pPr>
    </w:p>
    <w:p w:rsidR="00A535FB" w:rsidRPr="00A535FB" w:rsidRDefault="00A535FB" w:rsidP="00A535FB">
      <w:pPr>
        <w:spacing w:line="480" w:lineRule="auto"/>
        <w:rPr>
          <w:sz w:val="24"/>
          <w:szCs w:val="24"/>
        </w:rPr>
      </w:pPr>
      <w:r w:rsidRPr="00A535FB">
        <w:rPr>
          <w:b/>
          <w:sz w:val="24"/>
          <w:szCs w:val="24"/>
        </w:rPr>
        <w:t>Zhang, S.Y., Jiang, S.F., He, Y.Y., Pan, C.E., Zhu, M. and Wei, M.X.</w:t>
      </w:r>
      <w:r w:rsidRPr="00A535FB">
        <w:rPr>
          <w:sz w:val="24"/>
          <w:szCs w:val="24"/>
        </w:rPr>
        <w:t xml:space="preserve"> (2004). Serologic prevalence of </w:t>
      </w:r>
      <w:r w:rsidRPr="00A535FB">
        <w:rPr>
          <w:i/>
          <w:sz w:val="24"/>
          <w:szCs w:val="24"/>
        </w:rPr>
        <w:t>Toxoplasma gondii</w:t>
      </w:r>
      <w:r w:rsidRPr="00A535FB">
        <w:rPr>
          <w:sz w:val="24"/>
          <w:szCs w:val="24"/>
        </w:rPr>
        <w:t xml:space="preserve"> in field mice, </w:t>
      </w:r>
      <w:r w:rsidRPr="00A535FB">
        <w:rPr>
          <w:i/>
          <w:sz w:val="24"/>
          <w:szCs w:val="24"/>
        </w:rPr>
        <w:t>Microtus fortis</w:t>
      </w:r>
      <w:r w:rsidRPr="00A535FB">
        <w:rPr>
          <w:sz w:val="24"/>
          <w:szCs w:val="24"/>
        </w:rPr>
        <w:t xml:space="preserve">, from Yuanjiang, Hunan province, People's Republic of China. </w:t>
      </w:r>
      <w:r w:rsidRPr="00A535FB">
        <w:rPr>
          <w:i/>
          <w:sz w:val="24"/>
          <w:szCs w:val="24"/>
        </w:rPr>
        <w:t>Journal of Parasitology</w:t>
      </w:r>
      <w:r w:rsidRPr="00A535FB">
        <w:rPr>
          <w:sz w:val="24"/>
          <w:szCs w:val="24"/>
        </w:rPr>
        <w:t xml:space="preserve"> </w:t>
      </w:r>
      <w:r w:rsidRPr="00A535FB">
        <w:rPr>
          <w:b/>
          <w:sz w:val="24"/>
          <w:szCs w:val="24"/>
        </w:rPr>
        <w:t>90</w:t>
      </w:r>
      <w:r w:rsidRPr="00A535FB">
        <w:rPr>
          <w:sz w:val="24"/>
          <w:szCs w:val="24"/>
        </w:rPr>
        <w:t>, 437-438</w:t>
      </w:r>
      <w:r w:rsidR="006E3A74">
        <w:rPr>
          <w:sz w:val="24"/>
          <w:szCs w:val="24"/>
        </w:rPr>
        <w:t>.</w:t>
      </w:r>
      <w:r w:rsidRPr="00A535FB">
        <w:rPr>
          <w:sz w:val="24"/>
          <w:szCs w:val="24"/>
        </w:rPr>
        <w:t xml:space="preserve">  </w:t>
      </w:r>
    </w:p>
    <w:p w:rsidR="00A535FB" w:rsidRPr="00A535FB" w:rsidRDefault="00A535FB" w:rsidP="00A535FB">
      <w:pPr>
        <w:spacing w:line="480" w:lineRule="auto"/>
        <w:rPr>
          <w:b/>
          <w:sz w:val="24"/>
          <w:szCs w:val="24"/>
        </w:rPr>
      </w:pPr>
    </w:p>
    <w:p w:rsidR="007311D9" w:rsidRPr="009B701E" w:rsidRDefault="007311D9" w:rsidP="007311D9">
      <w:pPr>
        <w:spacing w:line="480" w:lineRule="auto"/>
        <w:jc w:val="both"/>
        <w:rPr>
          <w:sz w:val="24"/>
          <w:szCs w:val="24"/>
        </w:rPr>
      </w:pPr>
      <w:r w:rsidRPr="007311D9">
        <w:rPr>
          <w:b/>
          <w:sz w:val="24"/>
          <w:szCs w:val="24"/>
        </w:rPr>
        <w:t>Zhao, Z.J., Zhang, J., Wei, J., Li, Z., Wang, T., Yi, S.Q., Shen, J.L., Yang, T.B., Hide, G. and Lun Z.R.</w:t>
      </w:r>
      <w:r>
        <w:rPr>
          <w:sz w:val="24"/>
          <w:szCs w:val="24"/>
        </w:rPr>
        <w:t xml:space="preserve"> (2013).</w:t>
      </w:r>
      <w:r w:rsidRPr="009B701E">
        <w:rPr>
          <w:sz w:val="24"/>
          <w:szCs w:val="24"/>
        </w:rPr>
        <w:t xml:space="preserve"> </w:t>
      </w:r>
      <w:r w:rsidRPr="007311D9">
        <w:rPr>
          <w:sz w:val="24"/>
          <w:szCs w:val="24"/>
        </w:rPr>
        <w:t xml:space="preserve">Lower expression of inducible nitric oxide synthase and higher expression of arginase in rat alveolar macrophages are linked to their susceptibility to </w:t>
      </w:r>
      <w:r w:rsidRPr="007311D9">
        <w:rPr>
          <w:i/>
          <w:sz w:val="24"/>
          <w:szCs w:val="24"/>
        </w:rPr>
        <w:t>Toxoplasma gondii</w:t>
      </w:r>
      <w:r w:rsidRPr="007311D9">
        <w:rPr>
          <w:sz w:val="24"/>
          <w:szCs w:val="24"/>
        </w:rPr>
        <w:t xml:space="preserve"> infection.</w:t>
      </w:r>
      <w:r>
        <w:rPr>
          <w:sz w:val="24"/>
          <w:szCs w:val="24"/>
        </w:rPr>
        <w:t xml:space="preserve"> PLoS One</w:t>
      </w:r>
      <w:r>
        <w:rPr>
          <w:b/>
          <w:sz w:val="24"/>
          <w:szCs w:val="24"/>
        </w:rPr>
        <w:t xml:space="preserve"> </w:t>
      </w:r>
      <w:r w:rsidRPr="007311D9">
        <w:rPr>
          <w:b/>
          <w:sz w:val="24"/>
          <w:szCs w:val="24"/>
        </w:rPr>
        <w:t>8</w:t>
      </w:r>
      <w:r>
        <w:rPr>
          <w:b/>
          <w:sz w:val="24"/>
          <w:szCs w:val="24"/>
        </w:rPr>
        <w:t xml:space="preserve">, </w:t>
      </w:r>
      <w:r w:rsidRPr="009B701E">
        <w:rPr>
          <w:sz w:val="24"/>
          <w:szCs w:val="24"/>
        </w:rPr>
        <w:t>e63650.</w:t>
      </w:r>
    </w:p>
    <w:p w:rsidR="00616ADE" w:rsidRPr="00A535FB" w:rsidRDefault="00616ADE" w:rsidP="00616ADE">
      <w:pPr>
        <w:ind w:left="360"/>
        <w:jc w:val="both"/>
        <w:rPr>
          <w:sz w:val="24"/>
          <w:szCs w:val="24"/>
        </w:rPr>
      </w:pPr>
    </w:p>
    <w:p w:rsidR="00616ADE" w:rsidRPr="00A535FB" w:rsidRDefault="00616ADE" w:rsidP="00616ADE">
      <w:pPr>
        <w:rPr>
          <w:sz w:val="24"/>
          <w:szCs w:val="24"/>
        </w:rPr>
      </w:pPr>
    </w:p>
    <w:p w:rsidR="00BC2A84" w:rsidRPr="00A535FB" w:rsidRDefault="00BC2A84">
      <w:pPr>
        <w:rPr>
          <w:sz w:val="24"/>
          <w:szCs w:val="24"/>
        </w:rPr>
      </w:pPr>
    </w:p>
    <w:p w:rsidR="009456D4" w:rsidRPr="00A535FB" w:rsidRDefault="009456D4">
      <w:pPr>
        <w:rPr>
          <w:sz w:val="24"/>
          <w:szCs w:val="24"/>
        </w:rPr>
      </w:pPr>
    </w:p>
    <w:sectPr w:rsidR="009456D4" w:rsidRPr="00A535FB" w:rsidSect="00B33E6B">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410" w:rsidRDefault="00D86410" w:rsidP="00B33E6B">
      <w:pPr>
        <w:spacing w:after="0" w:line="240" w:lineRule="auto"/>
      </w:pPr>
      <w:r>
        <w:separator/>
      </w:r>
    </w:p>
  </w:endnote>
  <w:endnote w:type="continuationSeparator" w:id="0">
    <w:p w:rsidR="00D86410" w:rsidRDefault="00D86410" w:rsidP="00B3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Tf90d833a.I+03">
    <w:altName w:val="Times New Roman"/>
    <w:panose1 w:val="00000000000000000000"/>
    <w:charset w:val="A1"/>
    <w:family w:val="auto"/>
    <w:notTrueType/>
    <w:pitch w:val="default"/>
    <w:sig w:usb0="00000081" w:usb1="00000000" w:usb2="00000000" w:usb3="00000000" w:csb0="00000008" w:csb1="00000000"/>
  </w:font>
  <w:font w:name="AdvOT54604583">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229825"/>
      <w:docPartObj>
        <w:docPartGallery w:val="Page Numbers (Bottom of Page)"/>
        <w:docPartUnique/>
      </w:docPartObj>
    </w:sdtPr>
    <w:sdtEndPr>
      <w:rPr>
        <w:noProof/>
      </w:rPr>
    </w:sdtEndPr>
    <w:sdtContent>
      <w:p w:rsidR="00055E6A" w:rsidRDefault="00055E6A">
        <w:pPr>
          <w:pStyle w:val="Footer"/>
          <w:jc w:val="right"/>
        </w:pPr>
        <w:r>
          <w:fldChar w:fldCharType="begin"/>
        </w:r>
        <w:r>
          <w:instrText xml:space="preserve"> PAGE   \* MERGEFORMAT </w:instrText>
        </w:r>
        <w:r>
          <w:fldChar w:fldCharType="separate"/>
        </w:r>
        <w:r w:rsidR="00473795">
          <w:rPr>
            <w:noProof/>
          </w:rPr>
          <w:t>20</w:t>
        </w:r>
        <w:r>
          <w:rPr>
            <w:noProof/>
          </w:rPr>
          <w:fldChar w:fldCharType="end"/>
        </w:r>
      </w:p>
    </w:sdtContent>
  </w:sdt>
  <w:p w:rsidR="00055E6A" w:rsidRDefault="0005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410" w:rsidRDefault="00D86410" w:rsidP="00B33E6B">
      <w:pPr>
        <w:spacing w:after="0" w:line="240" w:lineRule="auto"/>
      </w:pPr>
      <w:r>
        <w:separator/>
      </w:r>
    </w:p>
  </w:footnote>
  <w:footnote w:type="continuationSeparator" w:id="0">
    <w:p w:rsidR="00D86410" w:rsidRDefault="00D86410" w:rsidP="00B33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3E80"/>
    <w:multiLevelType w:val="hybridMultilevel"/>
    <w:tmpl w:val="E3BC22D6"/>
    <w:lvl w:ilvl="0" w:tplc="7F520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7F"/>
    <w:rsid w:val="0000128E"/>
    <w:rsid w:val="0000155C"/>
    <w:rsid w:val="0001080A"/>
    <w:rsid w:val="00030872"/>
    <w:rsid w:val="00032008"/>
    <w:rsid w:val="00044DE6"/>
    <w:rsid w:val="00055E6A"/>
    <w:rsid w:val="00082E9C"/>
    <w:rsid w:val="000A0D0A"/>
    <w:rsid w:val="000A1D6F"/>
    <w:rsid w:val="000C4570"/>
    <w:rsid w:val="000D0A9B"/>
    <w:rsid w:val="000D4DBB"/>
    <w:rsid w:val="000E7919"/>
    <w:rsid w:val="000F49DB"/>
    <w:rsid w:val="000F51EA"/>
    <w:rsid w:val="00112522"/>
    <w:rsid w:val="00114726"/>
    <w:rsid w:val="00161ECD"/>
    <w:rsid w:val="001630B1"/>
    <w:rsid w:val="00165ACA"/>
    <w:rsid w:val="00174B2E"/>
    <w:rsid w:val="00176920"/>
    <w:rsid w:val="00192C7F"/>
    <w:rsid w:val="00196FB4"/>
    <w:rsid w:val="001A593B"/>
    <w:rsid w:val="001A69CA"/>
    <w:rsid w:val="001A7431"/>
    <w:rsid w:val="001C5C76"/>
    <w:rsid w:val="001E1377"/>
    <w:rsid w:val="001E61D2"/>
    <w:rsid w:val="002261E7"/>
    <w:rsid w:val="00255B49"/>
    <w:rsid w:val="002667D5"/>
    <w:rsid w:val="00272DE1"/>
    <w:rsid w:val="00284620"/>
    <w:rsid w:val="00292603"/>
    <w:rsid w:val="00296137"/>
    <w:rsid w:val="002A4847"/>
    <w:rsid w:val="002B74C5"/>
    <w:rsid w:val="002E76B0"/>
    <w:rsid w:val="00320139"/>
    <w:rsid w:val="00320BA3"/>
    <w:rsid w:val="00332D00"/>
    <w:rsid w:val="003548BB"/>
    <w:rsid w:val="003603B4"/>
    <w:rsid w:val="003649AE"/>
    <w:rsid w:val="00366D21"/>
    <w:rsid w:val="00375A11"/>
    <w:rsid w:val="00375EFF"/>
    <w:rsid w:val="003851D3"/>
    <w:rsid w:val="003952D4"/>
    <w:rsid w:val="003B725F"/>
    <w:rsid w:val="003D19AA"/>
    <w:rsid w:val="003D6AA1"/>
    <w:rsid w:val="003E684E"/>
    <w:rsid w:val="003F69D3"/>
    <w:rsid w:val="003F6CC1"/>
    <w:rsid w:val="003F6D8E"/>
    <w:rsid w:val="00402FF8"/>
    <w:rsid w:val="00414D3A"/>
    <w:rsid w:val="00416AB8"/>
    <w:rsid w:val="00425092"/>
    <w:rsid w:val="00452879"/>
    <w:rsid w:val="00453901"/>
    <w:rsid w:val="0045491A"/>
    <w:rsid w:val="004647A6"/>
    <w:rsid w:val="004713A7"/>
    <w:rsid w:val="00473795"/>
    <w:rsid w:val="004751A3"/>
    <w:rsid w:val="0048461F"/>
    <w:rsid w:val="00491B23"/>
    <w:rsid w:val="0049786E"/>
    <w:rsid w:val="004B0F43"/>
    <w:rsid w:val="004D66D6"/>
    <w:rsid w:val="004D787A"/>
    <w:rsid w:val="004D7BF5"/>
    <w:rsid w:val="004E2DB1"/>
    <w:rsid w:val="0050475D"/>
    <w:rsid w:val="005070B2"/>
    <w:rsid w:val="00511A31"/>
    <w:rsid w:val="00521FE1"/>
    <w:rsid w:val="00536AC4"/>
    <w:rsid w:val="00565BDF"/>
    <w:rsid w:val="00570DF8"/>
    <w:rsid w:val="00581468"/>
    <w:rsid w:val="0058310A"/>
    <w:rsid w:val="00587A5B"/>
    <w:rsid w:val="005B7579"/>
    <w:rsid w:val="005C069D"/>
    <w:rsid w:val="00616ADE"/>
    <w:rsid w:val="0062182E"/>
    <w:rsid w:val="006321AA"/>
    <w:rsid w:val="00636EDD"/>
    <w:rsid w:val="0063727E"/>
    <w:rsid w:val="00660214"/>
    <w:rsid w:val="00665285"/>
    <w:rsid w:val="006910DF"/>
    <w:rsid w:val="006A1AAD"/>
    <w:rsid w:val="006B0C1A"/>
    <w:rsid w:val="006C7D31"/>
    <w:rsid w:val="006D0AD9"/>
    <w:rsid w:val="006D7BA8"/>
    <w:rsid w:val="006E0498"/>
    <w:rsid w:val="006E3A74"/>
    <w:rsid w:val="006F5F8C"/>
    <w:rsid w:val="00702E7D"/>
    <w:rsid w:val="0070650A"/>
    <w:rsid w:val="00725C91"/>
    <w:rsid w:val="007311D9"/>
    <w:rsid w:val="0073547F"/>
    <w:rsid w:val="00741F9C"/>
    <w:rsid w:val="00752A4C"/>
    <w:rsid w:val="007534C2"/>
    <w:rsid w:val="00770EC0"/>
    <w:rsid w:val="00784912"/>
    <w:rsid w:val="00795AF9"/>
    <w:rsid w:val="007A598C"/>
    <w:rsid w:val="007A6D8D"/>
    <w:rsid w:val="007B5545"/>
    <w:rsid w:val="007F18A2"/>
    <w:rsid w:val="00831FDD"/>
    <w:rsid w:val="00852F74"/>
    <w:rsid w:val="00854B4E"/>
    <w:rsid w:val="00862016"/>
    <w:rsid w:val="0086660F"/>
    <w:rsid w:val="0087372E"/>
    <w:rsid w:val="00886D06"/>
    <w:rsid w:val="00896DF5"/>
    <w:rsid w:val="008A33B2"/>
    <w:rsid w:val="008B4DE4"/>
    <w:rsid w:val="008B70F8"/>
    <w:rsid w:val="008C7FA6"/>
    <w:rsid w:val="008D1CCE"/>
    <w:rsid w:val="008D3C8D"/>
    <w:rsid w:val="008E580F"/>
    <w:rsid w:val="008E642B"/>
    <w:rsid w:val="0091472F"/>
    <w:rsid w:val="00921A7E"/>
    <w:rsid w:val="00924BA9"/>
    <w:rsid w:val="009456D4"/>
    <w:rsid w:val="00960A94"/>
    <w:rsid w:val="00975984"/>
    <w:rsid w:val="009769B6"/>
    <w:rsid w:val="00977891"/>
    <w:rsid w:val="0098729C"/>
    <w:rsid w:val="009A682F"/>
    <w:rsid w:val="009B0C0F"/>
    <w:rsid w:val="009B30D5"/>
    <w:rsid w:val="009B644E"/>
    <w:rsid w:val="009B701E"/>
    <w:rsid w:val="009C3EF7"/>
    <w:rsid w:val="009C48B5"/>
    <w:rsid w:val="009E7255"/>
    <w:rsid w:val="009E7FE6"/>
    <w:rsid w:val="009F3607"/>
    <w:rsid w:val="009F5596"/>
    <w:rsid w:val="00A170F8"/>
    <w:rsid w:val="00A27F12"/>
    <w:rsid w:val="00A32346"/>
    <w:rsid w:val="00A442C2"/>
    <w:rsid w:val="00A44893"/>
    <w:rsid w:val="00A50346"/>
    <w:rsid w:val="00A535FB"/>
    <w:rsid w:val="00A60980"/>
    <w:rsid w:val="00A714E1"/>
    <w:rsid w:val="00A773F3"/>
    <w:rsid w:val="00A7761F"/>
    <w:rsid w:val="00A778E9"/>
    <w:rsid w:val="00A82FFE"/>
    <w:rsid w:val="00A90C8B"/>
    <w:rsid w:val="00AC284E"/>
    <w:rsid w:val="00AC2C85"/>
    <w:rsid w:val="00B02773"/>
    <w:rsid w:val="00B1554D"/>
    <w:rsid w:val="00B33070"/>
    <w:rsid w:val="00B33E6B"/>
    <w:rsid w:val="00B4001F"/>
    <w:rsid w:val="00B547D7"/>
    <w:rsid w:val="00B57565"/>
    <w:rsid w:val="00B75090"/>
    <w:rsid w:val="00BA1865"/>
    <w:rsid w:val="00BB079F"/>
    <w:rsid w:val="00BB403A"/>
    <w:rsid w:val="00BC2A84"/>
    <w:rsid w:val="00BC3C6A"/>
    <w:rsid w:val="00BD155E"/>
    <w:rsid w:val="00BD3FF2"/>
    <w:rsid w:val="00BD55C6"/>
    <w:rsid w:val="00BE7946"/>
    <w:rsid w:val="00BF18D9"/>
    <w:rsid w:val="00BF4366"/>
    <w:rsid w:val="00BF4D9B"/>
    <w:rsid w:val="00C06F6B"/>
    <w:rsid w:val="00C24909"/>
    <w:rsid w:val="00C2617F"/>
    <w:rsid w:val="00C43B29"/>
    <w:rsid w:val="00C441B0"/>
    <w:rsid w:val="00C512CC"/>
    <w:rsid w:val="00C55261"/>
    <w:rsid w:val="00C64B73"/>
    <w:rsid w:val="00C77BC7"/>
    <w:rsid w:val="00C859F5"/>
    <w:rsid w:val="00C9484D"/>
    <w:rsid w:val="00CA0E26"/>
    <w:rsid w:val="00CA22E0"/>
    <w:rsid w:val="00CA7F33"/>
    <w:rsid w:val="00CC4DA6"/>
    <w:rsid w:val="00CC757D"/>
    <w:rsid w:val="00CC7FAE"/>
    <w:rsid w:val="00CD0D0D"/>
    <w:rsid w:val="00CD5A46"/>
    <w:rsid w:val="00D137E6"/>
    <w:rsid w:val="00D235A2"/>
    <w:rsid w:val="00D24E8A"/>
    <w:rsid w:val="00D83EAF"/>
    <w:rsid w:val="00D86410"/>
    <w:rsid w:val="00D926D8"/>
    <w:rsid w:val="00DA7625"/>
    <w:rsid w:val="00DB1114"/>
    <w:rsid w:val="00DB3098"/>
    <w:rsid w:val="00DB359A"/>
    <w:rsid w:val="00DB672F"/>
    <w:rsid w:val="00DD174F"/>
    <w:rsid w:val="00DD35F5"/>
    <w:rsid w:val="00DD49F4"/>
    <w:rsid w:val="00DF2CEC"/>
    <w:rsid w:val="00DF4FBC"/>
    <w:rsid w:val="00E3118E"/>
    <w:rsid w:val="00E57331"/>
    <w:rsid w:val="00E57D28"/>
    <w:rsid w:val="00E71675"/>
    <w:rsid w:val="00E81005"/>
    <w:rsid w:val="00E90084"/>
    <w:rsid w:val="00E93F69"/>
    <w:rsid w:val="00EA0C30"/>
    <w:rsid w:val="00EA1A97"/>
    <w:rsid w:val="00EA1CF5"/>
    <w:rsid w:val="00EA3003"/>
    <w:rsid w:val="00ED19D2"/>
    <w:rsid w:val="00EE5415"/>
    <w:rsid w:val="00EE76BC"/>
    <w:rsid w:val="00F17E8E"/>
    <w:rsid w:val="00F45CD0"/>
    <w:rsid w:val="00F706E7"/>
    <w:rsid w:val="00F708D0"/>
    <w:rsid w:val="00FA280D"/>
    <w:rsid w:val="00FB054B"/>
    <w:rsid w:val="00FB4EEC"/>
    <w:rsid w:val="00FB7B33"/>
    <w:rsid w:val="00FB7F65"/>
    <w:rsid w:val="00FE60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98"/>
  </w:style>
  <w:style w:type="paragraph" w:styleId="Heading2">
    <w:name w:val="heading 2"/>
    <w:basedOn w:val="Normal"/>
    <w:next w:val="Normal"/>
    <w:link w:val="Heading2Char"/>
    <w:qFormat/>
    <w:rsid w:val="00A535FB"/>
    <w:pPr>
      <w:keepNext/>
      <w:spacing w:after="0" w:line="360" w:lineRule="auto"/>
      <w:outlineLvl w:val="1"/>
    </w:pPr>
    <w:rPr>
      <w:rFonts w:ascii="Arial" w:eastAsia="Times New Roman" w:hAnsi="Arial" w:cs="Arial"/>
      <w:color w:val="FF0000"/>
      <w:sz w:val="24"/>
      <w:szCs w:val="24"/>
      <w:lang w:eastAsia="zh-CN"/>
    </w:rPr>
  </w:style>
  <w:style w:type="paragraph" w:styleId="Heading3">
    <w:name w:val="heading 3"/>
    <w:basedOn w:val="Normal"/>
    <w:next w:val="Normal"/>
    <w:link w:val="Heading3Char"/>
    <w:unhideWhenUsed/>
    <w:qFormat/>
    <w:rsid w:val="00CC757D"/>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6D4"/>
    <w:rPr>
      <w:rFonts w:ascii="Tahoma" w:hAnsi="Tahoma" w:cs="Tahoma"/>
      <w:sz w:val="16"/>
      <w:szCs w:val="16"/>
    </w:rPr>
  </w:style>
  <w:style w:type="paragraph" w:styleId="NormalWeb">
    <w:name w:val="Normal (Web)"/>
    <w:basedOn w:val="Normal"/>
    <w:semiHidden/>
    <w:unhideWhenUsed/>
    <w:rsid w:val="009456D4"/>
    <w:rPr>
      <w:rFonts w:ascii="Times New Roman" w:hAnsi="Times New Roman" w:cs="Times New Roman"/>
      <w:sz w:val="24"/>
      <w:szCs w:val="24"/>
    </w:rPr>
  </w:style>
  <w:style w:type="table" w:customStyle="1" w:styleId="TableGrid1">
    <w:name w:val="Table Grid1"/>
    <w:basedOn w:val="TableNormal"/>
    <w:next w:val="TableGrid"/>
    <w:uiPriority w:val="59"/>
    <w:rsid w:val="0094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4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A84"/>
    <w:pPr>
      <w:ind w:left="720"/>
      <w:contextualSpacing/>
    </w:pPr>
  </w:style>
  <w:style w:type="character" w:styleId="CommentReference">
    <w:name w:val="annotation reference"/>
    <w:basedOn w:val="DefaultParagraphFont"/>
    <w:uiPriority w:val="99"/>
    <w:semiHidden/>
    <w:unhideWhenUsed/>
    <w:rsid w:val="000D0A9B"/>
    <w:rPr>
      <w:sz w:val="16"/>
      <w:szCs w:val="16"/>
    </w:rPr>
  </w:style>
  <w:style w:type="paragraph" w:styleId="CommentText">
    <w:name w:val="annotation text"/>
    <w:basedOn w:val="Normal"/>
    <w:link w:val="CommentTextChar"/>
    <w:uiPriority w:val="99"/>
    <w:semiHidden/>
    <w:unhideWhenUsed/>
    <w:rsid w:val="000D0A9B"/>
    <w:pPr>
      <w:spacing w:line="240" w:lineRule="auto"/>
    </w:pPr>
    <w:rPr>
      <w:sz w:val="20"/>
      <w:szCs w:val="20"/>
    </w:rPr>
  </w:style>
  <w:style w:type="character" w:customStyle="1" w:styleId="CommentTextChar">
    <w:name w:val="Comment Text Char"/>
    <w:basedOn w:val="DefaultParagraphFont"/>
    <w:link w:val="CommentText"/>
    <w:uiPriority w:val="99"/>
    <w:semiHidden/>
    <w:rsid w:val="000D0A9B"/>
    <w:rPr>
      <w:sz w:val="20"/>
      <w:szCs w:val="20"/>
    </w:rPr>
  </w:style>
  <w:style w:type="paragraph" w:styleId="CommentSubject">
    <w:name w:val="annotation subject"/>
    <w:basedOn w:val="CommentText"/>
    <w:next w:val="CommentText"/>
    <w:link w:val="CommentSubjectChar"/>
    <w:uiPriority w:val="99"/>
    <w:semiHidden/>
    <w:unhideWhenUsed/>
    <w:rsid w:val="000D0A9B"/>
    <w:rPr>
      <w:b/>
      <w:bCs/>
    </w:rPr>
  </w:style>
  <w:style w:type="character" w:customStyle="1" w:styleId="CommentSubjectChar">
    <w:name w:val="Comment Subject Char"/>
    <w:basedOn w:val="CommentTextChar"/>
    <w:link w:val="CommentSubject"/>
    <w:uiPriority w:val="99"/>
    <w:semiHidden/>
    <w:rsid w:val="000D0A9B"/>
    <w:rPr>
      <w:b/>
      <w:bCs/>
      <w:sz w:val="20"/>
      <w:szCs w:val="20"/>
    </w:rPr>
  </w:style>
  <w:style w:type="paragraph" w:styleId="Header">
    <w:name w:val="header"/>
    <w:basedOn w:val="Normal"/>
    <w:link w:val="HeaderChar"/>
    <w:uiPriority w:val="99"/>
    <w:unhideWhenUsed/>
    <w:rsid w:val="00B33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E6B"/>
  </w:style>
  <w:style w:type="paragraph" w:styleId="Footer">
    <w:name w:val="footer"/>
    <w:basedOn w:val="Normal"/>
    <w:link w:val="FooterChar"/>
    <w:uiPriority w:val="99"/>
    <w:unhideWhenUsed/>
    <w:rsid w:val="00B33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E6B"/>
  </w:style>
  <w:style w:type="character" w:styleId="LineNumber">
    <w:name w:val="line number"/>
    <w:basedOn w:val="DefaultParagraphFont"/>
    <w:uiPriority w:val="99"/>
    <w:semiHidden/>
    <w:unhideWhenUsed/>
    <w:rsid w:val="00B33E6B"/>
  </w:style>
  <w:style w:type="character" w:customStyle="1" w:styleId="Heading2Char">
    <w:name w:val="Heading 2 Char"/>
    <w:basedOn w:val="DefaultParagraphFont"/>
    <w:link w:val="Heading2"/>
    <w:rsid w:val="00A535FB"/>
    <w:rPr>
      <w:rFonts w:ascii="Arial" w:eastAsia="Times New Roman" w:hAnsi="Arial" w:cs="Arial"/>
      <w:color w:val="FF0000"/>
      <w:sz w:val="24"/>
      <w:szCs w:val="24"/>
      <w:lang w:eastAsia="zh-CN"/>
    </w:rPr>
  </w:style>
  <w:style w:type="character" w:styleId="Strong">
    <w:name w:val="Strong"/>
    <w:basedOn w:val="DefaultParagraphFont"/>
    <w:qFormat/>
    <w:rsid w:val="00A535FB"/>
    <w:rPr>
      <w:b/>
      <w:bCs/>
    </w:rPr>
  </w:style>
  <w:style w:type="character" w:customStyle="1" w:styleId="Heading3Char">
    <w:name w:val="Heading 3 Char"/>
    <w:basedOn w:val="DefaultParagraphFont"/>
    <w:link w:val="Heading3"/>
    <w:rsid w:val="00CC757D"/>
    <w:rPr>
      <w:rFonts w:asciiTheme="majorHAnsi" w:eastAsiaTheme="majorEastAsia" w:hAnsiTheme="majorHAnsi" w:cstheme="majorBidi"/>
      <w:b/>
      <w:bCs/>
      <w:color w:val="4F81BD" w:themeColor="accent1"/>
      <w:sz w:val="20"/>
      <w:szCs w:val="20"/>
      <w:lang w:eastAsia="zh-CN"/>
    </w:rPr>
  </w:style>
  <w:style w:type="character" w:styleId="Emphasis">
    <w:name w:val="Emphasis"/>
    <w:basedOn w:val="DefaultParagraphFont"/>
    <w:uiPriority w:val="20"/>
    <w:qFormat/>
    <w:rsid w:val="00CC757D"/>
    <w:rPr>
      <w:i/>
      <w:iCs/>
    </w:rPr>
  </w:style>
  <w:style w:type="character" w:customStyle="1" w:styleId="apple-converted-space">
    <w:name w:val="apple-converted-space"/>
    <w:basedOn w:val="DefaultParagraphFont"/>
    <w:rsid w:val="00CC7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98"/>
  </w:style>
  <w:style w:type="paragraph" w:styleId="Heading2">
    <w:name w:val="heading 2"/>
    <w:basedOn w:val="Normal"/>
    <w:next w:val="Normal"/>
    <w:link w:val="Heading2Char"/>
    <w:qFormat/>
    <w:rsid w:val="00A535FB"/>
    <w:pPr>
      <w:keepNext/>
      <w:spacing w:after="0" w:line="360" w:lineRule="auto"/>
      <w:outlineLvl w:val="1"/>
    </w:pPr>
    <w:rPr>
      <w:rFonts w:ascii="Arial" w:eastAsia="Times New Roman" w:hAnsi="Arial" w:cs="Arial"/>
      <w:color w:val="FF0000"/>
      <w:sz w:val="24"/>
      <w:szCs w:val="24"/>
      <w:lang w:eastAsia="zh-CN"/>
    </w:rPr>
  </w:style>
  <w:style w:type="paragraph" w:styleId="Heading3">
    <w:name w:val="heading 3"/>
    <w:basedOn w:val="Normal"/>
    <w:next w:val="Normal"/>
    <w:link w:val="Heading3Char"/>
    <w:unhideWhenUsed/>
    <w:qFormat/>
    <w:rsid w:val="00CC757D"/>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6D4"/>
    <w:rPr>
      <w:rFonts w:ascii="Tahoma" w:hAnsi="Tahoma" w:cs="Tahoma"/>
      <w:sz w:val="16"/>
      <w:szCs w:val="16"/>
    </w:rPr>
  </w:style>
  <w:style w:type="paragraph" w:styleId="NormalWeb">
    <w:name w:val="Normal (Web)"/>
    <w:basedOn w:val="Normal"/>
    <w:semiHidden/>
    <w:unhideWhenUsed/>
    <w:rsid w:val="009456D4"/>
    <w:rPr>
      <w:rFonts w:ascii="Times New Roman" w:hAnsi="Times New Roman" w:cs="Times New Roman"/>
      <w:sz w:val="24"/>
      <w:szCs w:val="24"/>
    </w:rPr>
  </w:style>
  <w:style w:type="table" w:customStyle="1" w:styleId="TableGrid1">
    <w:name w:val="Table Grid1"/>
    <w:basedOn w:val="TableNormal"/>
    <w:next w:val="TableGrid"/>
    <w:uiPriority w:val="59"/>
    <w:rsid w:val="0094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4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A84"/>
    <w:pPr>
      <w:ind w:left="720"/>
      <w:contextualSpacing/>
    </w:pPr>
  </w:style>
  <w:style w:type="character" w:styleId="CommentReference">
    <w:name w:val="annotation reference"/>
    <w:basedOn w:val="DefaultParagraphFont"/>
    <w:uiPriority w:val="99"/>
    <w:semiHidden/>
    <w:unhideWhenUsed/>
    <w:rsid w:val="000D0A9B"/>
    <w:rPr>
      <w:sz w:val="16"/>
      <w:szCs w:val="16"/>
    </w:rPr>
  </w:style>
  <w:style w:type="paragraph" w:styleId="CommentText">
    <w:name w:val="annotation text"/>
    <w:basedOn w:val="Normal"/>
    <w:link w:val="CommentTextChar"/>
    <w:uiPriority w:val="99"/>
    <w:semiHidden/>
    <w:unhideWhenUsed/>
    <w:rsid w:val="000D0A9B"/>
    <w:pPr>
      <w:spacing w:line="240" w:lineRule="auto"/>
    </w:pPr>
    <w:rPr>
      <w:sz w:val="20"/>
      <w:szCs w:val="20"/>
    </w:rPr>
  </w:style>
  <w:style w:type="character" w:customStyle="1" w:styleId="CommentTextChar">
    <w:name w:val="Comment Text Char"/>
    <w:basedOn w:val="DefaultParagraphFont"/>
    <w:link w:val="CommentText"/>
    <w:uiPriority w:val="99"/>
    <w:semiHidden/>
    <w:rsid w:val="000D0A9B"/>
    <w:rPr>
      <w:sz w:val="20"/>
      <w:szCs w:val="20"/>
    </w:rPr>
  </w:style>
  <w:style w:type="paragraph" w:styleId="CommentSubject">
    <w:name w:val="annotation subject"/>
    <w:basedOn w:val="CommentText"/>
    <w:next w:val="CommentText"/>
    <w:link w:val="CommentSubjectChar"/>
    <w:uiPriority w:val="99"/>
    <w:semiHidden/>
    <w:unhideWhenUsed/>
    <w:rsid w:val="000D0A9B"/>
    <w:rPr>
      <w:b/>
      <w:bCs/>
    </w:rPr>
  </w:style>
  <w:style w:type="character" w:customStyle="1" w:styleId="CommentSubjectChar">
    <w:name w:val="Comment Subject Char"/>
    <w:basedOn w:val="CommentTextChar"/>
    <w:link w:val="CommentSubject"/>
    <w:uiPriority w:val="99"/>
    <w:semiHidden/>
    <w:rsid w:val="000D0A9B"/>
    <w:rPr>
      <w:b/>
      <w:bCs/>
      <w:sz w:val="20"/>
      <w:szCs w:val="20"/>
    </w:rPr>
  </w:style>
  <w:style w:type="paragraph" w:styleId="Header">
    <w:name w:val="header"/>
    <w:basedOn w:val="Normal"/>
    <w:link w:val="HeaderChar"/>
    <w:uiPriority w:val="99"/>
    <w:unhideWhenUsed/>
    <w:rsid w:val="00B33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E6B"/>
  </w:style>
  <w:style w:type="paragraph" w:styleId="Footer">
    <w:name w:val="footer"/>
    <w:basedOn w:val="Normal"/>
    <w:link w:val="FooterChar"/>
    <w:uiPriority w:val="99"/>
    <w:unhideWhenUsed/>
    <w:rsid w:val="00B33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E6B"/>
  </w:style>
  <w:style w:type="character" w:styleId="LineNumber">
    <w:name w:val="line number"/>
    <w:basedOn w:val="DefaultParagraphFont"/>
    <w:uiPriority w:val="99"/>
    <w:semiHidden/>
    <w:unhideWhenUsed/>
    <w:rsid w:val="00B33E6B"/>
  </w:style>
  <w:style w:type="character" w:customStyle="1" w:styleId="Heading2Char">
    <w:name w:val="Heading 2 Char"/>
    <w:basedOn w:val="DefaultParagraphFont"/>
    <w:link w:val="Heading2"/>
    <w:rsid w:val="00A535FB"/>
    <w:rPr>
      <w:rFonts w:ascii="Arial" w:eastAsia="Times New Roman" w:hAnsi="Arial" w:cs="Arial"/>
      <w:color w:val="FF0000"/>
      <w:sz w:val="24"/>
      <w:szCs w:val="24"/>
      <w:lang w:eastAsia="zh-CN"/>
    </w:rPr>
  </w:style>
  <w:style w:type="character" w:styleId="Strong">
    <w:name w:val="Strong"/>
    <w:basedOn w:val="DefaultParagraphFont"/>
    <w:qFormat/>
    <w:rsid w:val="00A535FB"/>
    <w:rPr>
      <w:b/>
      <w:bCs/>
    </w:rPr>
  </w:style>
  <w:style w:type="character" w:customStyle="1" w:styleId="Heading3Char">
    <w:name w:val="Heading 3 Char"/>
    <w:basedOn w:val="DefaultParagraphFont"/>
    <w:link w:val="Heading3"/>
    <w:rsid w:val="00CC757D"/>
    <w:rPr>
      <w:rFonts w:asciiTheme="majorHAnsi" w:eastAsiaTheme="majorEastAsia" w:hAnsiTheme="majorHAnsi" w:cstheme="majorBidi"/>
      <w:b/>
      <w:bCs/>
      <w:color w:val="4F81BD" w:themeColor="accent1"/>
      <w:sz w:val="20"/>
      <w:szCs w:val="20"/>
      <w:lang w:eastAsia="zh-CN"/>
    </w:rPr>
  </w:style>
  <w:style w:type="character" w:styleId="Emphasis">
    <w:name w:val="Emphasis"/>
    <w:basedOn w:val="DefaultParagraphFont"/>
    <w:uiPriority w:val="20"/>
    <w:qFormat/>
    <w:rsid w:val="00CC757D"/>
    <w:rPr>
      <w:i/>
      <w:iCs/>
    </w:rPr>
  </w:style>
  <w:style w:type="character" w:customStyle="1" w:styleId="apple-converted-space">
    <w:name w:val="apple-converted-space"/>
    <w:basedOn w:val="DefaultParagraphFont"/>
    <w:rsid w:val="00CC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7652</Words>
  <Characters>43620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51170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dc:creator>
  <cp:lastModifiedBy>IT Services</cp:lastModifiedBy>
  <cp:revision>2</cp:revision>
  <cp:lastPrinted>2014-02-28T10:29:00Z</cp:lastPrinted>
  <dcterms:created xsi:type="dcterms:W3CDTF">2014-10-01T20:09:00Z</dcterms:created>
  <dcterms:modified xsi:type="dcterms:W3CDTF">2014-10-01T20:09:00Z</dcterms:modified>
</cp:coreProperties>
</file>