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918" w:rsidRPr="009E7255" w:rsidRDefault="001F6918" w:rsidP="001F6918">
      <w:pPr>
        <w:spacing w:after="0"/>
        <w:rPr>
          <w:sz w:val="24"/>
          <w:szCs w:val="24"/>
        </w:rPr>
      </w:pPr>
      <w:r w:rsidRPr="009E7255">
        <w:rPr>
          <w:sz w:val="24"/>
          <w:szCs w:val="24"/>
        </w:rPr>
        <w:t>TABLE 2</w:t>
      </w:r>
    </w:p>
    <w:p w:rsidR="001F6918" w:rsidRPr="00BB079F" w:rsidRDefault="001F6918" w:rsidP="001F6918">
      <w:pPr>
        <w:spacing w:after="0"/>
        <w:rPr>
          <w:sz w:val="24"/>
          <w:szCs w:val="24"/>
        </w:rPr>
      </w:pPr>
      <w:r w:rsidRPr="00BB079F">
        <w:rPr>
          <w:sz w:val="24"/>
          <w:szCs w:val="24"/>
        </w:rPr>
        <w:t xml:space="preserve">Genotypes of </w:t>
      </w:r>
      <w:r w:rsidRPr="00BB079F">
        <w:rPr>
          <w:i/>
          <w:sz w:val="24"/>
          <w:szCs w:val="24"/>
        </w:rPr>
        <w:t xml:space="preserve">Toxoplasma </w:t>
      </w:r>
      <w:proofErr w:type="spellStart"/>
      <w:r w:rsidRPr="00BB079F">
        <w:rPr>
          <w:i/>
          <w:sz w:val="24"/>
          <w:szCs w:val="24"/>
        </w:rPr>
        <w:t>gondii</w:t>
      </w:r>
      <w:proofErr w:type="spellEnd"/>
      <w:r w:rsidRPr="00BB079F">
        <w:rPr>
          <w:sz w:val="24"/>
          <w:szCs w:val="24"/>
        </w:rPr>
        <w:t xml:space="preserve"> in wood mice from </w:t>
      </w:r>
      <w:r>
        <w:rPr>
          <w:sz w:val="24"/>
          <w:szCs w:val="24"/>
        </w:rPr>
        <w:t>the study site</w:t>
      </w:r>
      <w:r w:rsidRPr="00BB079F">
        <w:rPr>
          <w:sz w:val="24"/>
          <w:szCs w:val="24"/>
        </w:rPr>
        <w:t xml:space="preserve"> (NA – marker was not able to be amplified</w:t>
      </w:r>
      <w:r w:rsidR="008E542F">
        <w:rPr>
          <w:sz w:val="24"/>
          <w:szCs w:val="24"/>
        </w:rPr>
        <w:t xml:space="preserve"> to a sufficient level for RFLP genotyping</w:t>
      </w:r>
      <w:r w:rsidR="00BE6BBB">
        <w:rPr>
          <w:sz w:val="24"/>
          <w:szCs w:val="24"/>
        </w:rPr>
        <w:t xml:space="preserve"> or in the case of SAG2, one </w:t>
      </w:r>
      <w:r w:rsidR="00811174">
        <w:rPr>
          <w:sz w:val="24"/>
          <w:szCs w:val="24"/>
        </w:rPr>
        <w:t xml:space="preserve">diagnostic </w:t>
      </w:r>
      <w:r w:rsidR="00BE6BBB">
        <w:rPr>
          <w:sz w:val="24"/>
          <w:szCs w:val="24"/>
        </w:rPr>
        <w:t>end could not be amplified</w:t>
      </w:r>
      <w:r w:rsidR="008E542F">
        <w:rPr>
          <w:sz w:val="24"/>
          <w:szCs w:val="24"/>
        </w:rPr>
        <w:t xml:space="preserve"> sufficiently</w:t>
      </w:r>
      <w:bookmarkStart w:id="0" w:name="_GoBack"/>
      <w:bookmarkEnd w:id="0"/>
      <w:r w:rsidR="00811174">
        <w:rPr>
          <w:sz w:val="24"/>
          <w:szCs w:val="24"/>
        </w:rPr>
        <w:t xml:space="preserve">; </w:t>
      </w:r>
      <w:r w:rsidR="00DB1FC9">
        <w:rPr>
          <w:sz w:val="24"/>
          <w:szCs w:val="24"/>
        </w:rPr>
        <w:t>*</w:t>
      </w:r>
      <w:r w:rsidR="00811174">
        <w:rPr>
          <w:sz w:val="24"/>
          <w:szCs w:val="24"/>
        </w:rPr>
        <w:t>Not II or III – indicates that the marker excludes types (e.g. II and III in this case) but cannot definitively confirm a type</w:t>
      </w:r>
      <w:r w:rsidRPr="00BB079F">
        <w:rPr>
          <w:sz w:val="24"/>
          <w:szCs w:val="24"/>
        </w:rPr>
        <w:t xml:space="preserve">). </w:t>
      </w:r>
      <w:r>
        <w:rPr>
          <w:sz w:val="24"/>
          <w:szCs w:val="24"/>
        </w:rPr>
        <w:t>Genotypes defined as listed previously (</w:t>
      </w:r>
      <w:r w:rsidR="00A67EB9">
        <w:rPr>
          <w:sz w:val="24"/>
          <w:szCs w:val="24"/>
        </w:rPr>
        <w:t xml:space="preserve">Fuentes </w:t>
      </w:r>
      <w:r w:rsidR="00A67EB9">
        <w:rPr>
          <w:i/>
          <w:sz w:val="24"/>
          <w:szCs w:val="24"/>
        </w:rPr>
        <w:t>et al</w:t>
      </w:r>
      <w:r w:rsidR="00A67EB9">
        <w:rPr>
          <w:sz w:val="24"/>
          <w:szCs w:val="24"/>
        </w:rPr>
        <w:t xml:space="preserve">. 2001; </w:t>
      </w:r>
      <w:proofErr w:type="spellStart"/>
      <w:r w:rsidR="00A67EB9">
        <w:rPr>
          <w:sz w:val="24"/>
          <w:szCs w:val="24"/>
        </w:rPr>
        <w:t>Grigg</w:t>
      </w:r>
      <w:proofErr w:type="spellEnd"/>
      <w:r w:rsidR="00A67EB9">
        <w:rPr>
          <w:sz w:val="24"/>
          <w:szCs w:val="24"/>
        </w:rPr>
        <w:t xml:space="preserve"> </w:t>
      </w:r>
      <w:r w:rsidR="00A67EB9">
        <w:rPr>
          <w:i/>
          <w:sz w:val="24"/>
          <w:szCs w:val="24"/>
        </w:rPr>
        <w:t>et al</w:t>
      </w:r>
      <w:r w:rsidR="00A67EB9">
        <w:rPr>
          <w:sz w:val="24"/>
          <w:szCs w:val="24"/>
        </w:rPr>
        <w:t xml:space="preserve">. 2001; Khan </w:t>
      </w:r>
      <w:r w:rsidR="00A67EB9">
        <w:rPr>
          <w:i/>
          <w:sz w:val="24"/>
          <w:szCs w:val="24"/>
        </w:rPr>
        <w:t xml:space="preserve">et al. </w:t>
      </w:r>
      <w:r w:rsidR="00A67EB9">
        <w:rPr>
          <w:sz w:val="24"/>
          <w:szCs w:val="24"/>
        </w:rPr>
        <w:t xml:space="preserve">2005; </w:t>
      </w:r>
      <w:r>
        <w:rPr>
          <w:sz w:val="24"/>
          <w:szCs w:val="24"/>
        </w:rPr>
        <w:t xml:space="preserve">Su </w:t>
      </w:r>
      <w:r>
        <w:rPr>
          <w:i/>
          <w:sz w:val="24"/>
          <w:szCs w:val="24"/>
        </w:rPr>
        <w:t>et al</w:t>
      </w:r>
      <w:r>
        <w:rPr>
          <w:sz w:val="24"/>
          <w:szCs w:val="24"/>
        </w:rPr>
        <w:t>. 2006)</w:t>
      </w:r>
      <w:r w:rsidR="00DB1FC9">
        <w:rPr>
          <w:sz w:val="24"/>
          <w:szCs w:val="24"/>
        </w:rPr>
        <w:t>.</w:t>
      </w:r>
    </w:p>
    <w:p w:rsidR="001F6918" w:rsidRDefault="001F6918" w:rsidP="001F6918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:rsidR="001F6918" w:rsidRPr="009456D4" w:rsidRDefault="001F6918" w:rsidP="001F6918">
      <w:pPr>
        <w:spacing w:after="0"/>
        <w:jc w:val="center"/>
        <w:rPr>
          <w:sz w:val="24"/>
          <w:szCs w:val="24"/>
        </w:rPr>
      </w:pPr>
    </w:p>
    <w:p w:rsidR="001F6918" w:rsidRPr="009456D4" w:rsidRDefault="001F6918" w:rsidP="001F6918">
      <w:pPr>
        <w:rPr>
          <w:sz w:val="18"/>
          <w:szCs w:val="18"/>
        </w:rPr>
      </w:pPr>
      <w:r w:rsidRPr="009456D4">
        <w:rPr>
          <w:sz w:val="24"/>
          <w:szCs w:val="24"/>
        </w:rPr>
        <w:t xml:space="preserve">                                                  </w:t>
      </w:r>
    </w:p>
    <w:tbl>
      <w:tblPr>
        <w:tblW w:w="6918" w:type="dxa"/>
        <w:jc w:val="center"/>
        <w:tblInd w:w="-747" w:type="dxa"/>
        <w:tblLook w:val="04A0" w:firstRow="1" w:lastRow="0" w:firstColumn="1" w:lastColumn="0" w:noHBand="0" w:noVBand="1"/>
      </w:tblPr>
      <w:tblGrid>
        <w:gridCol w:w="1418"/>
        <w:gridCol w:w="1814"/>
        <w:gridCol w:w="2235"/>
        <w:gridCol w:w="1451"/>
      </w:tblGrid>
      <w:tr w:rsidR="00A67EB9" w:rsidRPr="009456D4" w:rsidTr="00A67EB9">
        <w:trPr>
          <w:trHeight w:val="323"/>
          <w:jc w:val="center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9456D4">
              <w:rPr>
                <w:sz w:val="18"/>
                <w:szCs w:val="18"/>
              </w:rPr>
              <w:t xml:space="preserve">Mouse No.          </w:t>
            </w:r>
          </w:p>
        </w:tc>
        <w:tc>
          <w:tcPr>
            <w:tcW w:w="1814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9456D4">
              <w:rPr>
                <w:rFonts w:ascii="Calibri" w:hAnsi="Calibri"/>
                <w:bCs/>
                <w:color w:val="000000"/>
                <w:sz w:val="18"/>
                <w:szCs w:val="18"/>
              </w:rPr>
              <w:t>GRA6</w:t>
            </w:r>
          </w:p>
        </w:tc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:rsidR="00A67EB9" w:rsidRDefault="00A67EB9" w:rsidP="001B59D7">
            <w:pPr>
              <w:jc w:val="center"/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>PCR-RFLP Markers</w:t>
            </w:r>
          </w:p>
          <w:p w:rsidR="00A67EB9" w:rsidRPr="009456D4" w:rsidRDefault="00A67EB9" w:rsidP="001B59D7">
            <w:pPr>
              <w:jc w:val="center"/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9456D4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SAG2 </w:t>
            </w:r>
            <w:r>
              <w:rPr>
                <w:rFonts w:ascii="Calibri" w:hAnsi="Calibri"/>
                <w:bCs/>
                <w:color w:val="000000"/>
                <w:sz w:val="18"/>
                <w:szCs w:val="18"/>
              </w:rPr>
              <w:t>(Combined 5’ and 3’)</w:t>
            </w:r>
          </w:p>
        </w:tc>
        <w:tc>
          <w:tcPr>
            <w:tcW w:w="1451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9456D4">
              <w:rPr>
                <w:rFonts w:ascii="Calibri" w:hAnsi="Calibri"/>
                <w:bCs/>
                <w:color w:val="000000"/>
                <w:sz w:val="18"/>
                <w:szCs w:val="18"/>
              </w:rPr>
              <w:t>SAG3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tcBorders>
              <w:top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14" w:type="dxa"/>
            <w:tcBorders>
              <w:top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tcBorders>
              <w:top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 xml:space="preserve">II </w:t>
            </w:r>
          </w:p>
        </w:tc>
        <w:tc>
          <w:tcPr>
            <w:tcW w:w="1451" w:type="dxa"/>
            <w:tcBorders>
              <w:top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D0D0D"/>
                <w:sz w:val="20"/>
                <w:szCs w:val="20"/>
              </w:rPr>
            </w:pPr>
            <w:r w:rsidRPr="009456D4">
              <w:rPr>
                <w:color w:val="0D0D0D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NA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NA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 xml:space="preserve">II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59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NA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NA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lastRenderedPageBreak/>
              <w:t>86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 xml:space="preserve">II 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 xml:space="preserve">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103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 &amp;</w:t>
            </w: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111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Not II or III</w:t>
            </w:r>
            <w:r w:rsidR="00DB1FC9">
              <w:rPr>
                <w:bCs/>
                <w:color w:val="000000"/>
                <w:sz w:val="20"/>
                <w:szCs w:val="20"/>
              </w:rPr>
              <w:t>*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 &amp;III</w:t>
            </w:r>
          </w:p>
        </w:tc>
      </w:tr>
      <w:tr w:rsidR="00A67EB9" w:rsidRPr="009456D4" w:rsidTr="00A67EB9">
        <w:trPr>
          <w:trHeight w:val="291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112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 &amp;III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115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116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117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118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119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1814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III</w:t>
            </w:r>
          </w:p>
        </w:tc>
        <w:tc>
          <w:tcPr>
            <w:tcW w:w="2235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  <w:tr w:rsidR="00A67EB9" w:rsidRPr="009456D4" w:rsidTr="00A67EB9">
        <w:trPr>
          <w:trHeight w:val="306"/>
          <w:jc w:val="center"/>
        </w:trPr>
        <w:tc>
          <w:tcPr>
            <w:tcW w:w="1418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1814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color w:val="000000"/>
                <w:sz w:val="20"/>
                <w:szCs w:val="20"/>
              </w:rPr>
            </w:pPr>
            <w:r w:rsidRPr="009456D4">
              <w:rPr>
                <w:color w:val="000000"/>
                <w:sz w:val="20"/>
                <w:szCs w:val="20"/>
              </w:rPr>
              <w:t>II  &amp;III</w:t>
            </w:r>
          </w:p>
        </w:tc>
        <w:tc>
          <w:tcPr>
            <w:tcW w:w="2235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II</w:t>
            </w:r>
          </w:p>
        </w:tc>
        <w:tc>
          <w:tcPr>
            <w:tcW w:w="1451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A67EB9" w:rsidRPr="009456D4" w:rsidRDefault="00A67EB9" w:rsidP="005110A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9456D4">
              <w:rPr>
                <w:bCs/>
                <w:color w:val="000000"/>
                <w:sz w:val="20"/>
                <w:szCs w:val="20"/>
              </w:rPr>
              <w:t>I, II &amp;III</w:t>
            </w:r>
          </w:p>
        </w:tc>
      </w:tr>
    </w:tbl>
    <w:p w:rsidR="001F6918" w:rsidRDefault="001F6918" w:rsidP="001F6918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:rsidR="00EE3627" w:rsidRDefault="00EE3627"/>
    <w:sectPr w:rsidR="00EE36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918"/>
    <w:rsid w:val="001B59D7"/>
    <w:rsid w:val="001F6918"/>
    <w:rsid w:val="00646B4C"/>
    <w:rsid w:val="00811174"/>
    <w:rsid w:val="008E542F"/>
    <w:rsid w:val="00A67EB9"/>
    <w:rsid w:val="00A97F34"/>
    <w:rsid w:val="00BE6BBB"/>
    <w:rsid w:val="00DB1FC9"/>
    <w:rsid w:val="00EE3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918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918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Salford</Company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 Services</dc:creator>
  <cp:lastModifiedBy>IT Services</cp:lastModifiedBy>
  <cp:revision>3</cp:revision>
  <dcterms:created xsi:type="dcterms:W3CDTF">2014-09-19T10:45:00Z</dcterms:created>
  <dcterms:modified xsi:type="dcterms:W3CDTF">2014-09-19T10:46:00Z</dcterms:modified>
</cp:coreProperties>
</file>