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3C" w:rsidRDefault="00171C3C" w:rsidP="00EC09EB"/>
    <w:p w:rsidR="00171C3C" w:rsidRDefault="00171C3C" w:rsidP="00171C3C">
      <w:pPr>
        <w:jc w:val="center"/>
        <w:rPr>
          <w:b/>
          <w:caps/>
        </w:rPr>
      </w:pPr>
      <w:r w:rsidRPr="00AD46DA">
        <w:rPr>
          <w:b/>
          <w:caps/>
        </w:rPr>
        <w:t>Access to GP Services Supported by IT Infrastructure Readiness: Analysing publically available GP practice data</w:t>
      </w:r>
    </w:p>
    <w:p w:rsidR="00171C3C" w:rsidRDefault="00171C3C" w:rsidP="00EC09EB"/>
    <w:p w:rsidR="00171C3C" w:rsidRDefault="00171C3C" w:rsidP="00EC09EB"/>
    <w:tbl>
      <w:tblPr>
        <w:tblW w:w="9608" w:type="dxa"/>
        <w:tblLook w:val="01E0"/>
      </w:tblPr>
      <w:tblGrid>
        <w:gridCol w:w="4804"/>
        <w:gridCol w:w="4804"/>
      </w:tblGrid>
      <w:tr w:rsidR="00171C3C" w:rsidRPr="007B4962" w:rsidTr="00EC09EB">
        <w:tc>
          <w:tcPr>
            <w:tcW w:w="4804" w:type="dxa"/>
          </w:tcPr>
          <w:p w:rsidR="00171C3C" w:rsidRPr="0094356B" w:rsidRDefault="00171C3C" w:rsidP="00EC09EB">
            <w:pPr>
              <w:jc w:val="center"/>
              <w:rPr>
                <w:i/>
              </w:rPr>
            </w:pPr>
            <w:r w:rsidRPr="0094356B">
              <w:rPr>
                <w:i/>
              </w:rPr>
              <w:t xml:space="preserve">Dr. </w:t>
            </w:r>
            <w:r>
              <w:rPr>
                <w:i/>
              </w:rPr>
              <w:t>David Lengu</w:t>
            </w:r>
          </w:p>
        </w:tc>
        <w:tc>
          <w:tcPr>
            <w:tcW w:w="4804" w:type="dxa"/>
          </w:tcPr>
          <w:p w:rsidR="00171C3C" w:rsidRPr="0094356B" w:rsidRDefault="00171C3C" w:rsidP="00EC09EB">
            <w:pPr>
              <w:jc w:val="center"/>
              <w:rPr>
                <w:i/>
              </w:rPr>
            </w:pPr>
            <w:r>
              <w:rPr>
                <w:i/>
              </w:rPr>
              <w:t>M</w:t>
            </w:r>
            <w:r w:rsidRPr="0094356B">
              <w:rPr>
                <w:i/>
              </w:rPr>
              <w:t xml:space="preserve">r. </w:t>
            </w:r>
            <w:r>
              <w:rPr>
                <w:i/>
              </w:rPr>
              <w:t>Stelios Sapountzis</w:t>
            </w:r>
          </w:p>
        </w:tc>
      </w:tr>
      <w:tr w:rsidR="00171C3C" w:rsidRPr="007B4962" w:rsidTr="00EC09EB">
        <w:tc>
          <w:tcPr>
            <w:tcW w:w="4804" w:type="dxa"/>
            <w:vAlign w:val="center"/>
          </w:tcPr>
          <w:p w:rsidR="00171C3C" w:rsidRPr="00F163AB" w:rsidRDefault="00171C3C" w:rsidP="00EC09EB">
            <w:pPr>
              <w:pStyle w:val="NormalIndent"/>
              <w:ind w:firstLine="0"/>
              <w:jc w:val="center"/>
              <w:rPr>
                <w:sz w:val="22"/>
                <w:lang w:val="en-GB"/>
              </w:rPr>
            </w:pPr>
          </w:p>
        </w:tc>
        <w:tc>
          <w:tcPr>
            <w:tcW w:w="4804" w:type="dxa"/>
            <w:vAlign w:val="center"/>
          </w:tcPr>
          <w:p w:rsidR="00171C3C" w:rsidRPr="00F163AB" w:rsidRDefault="00171C3C" w:rsidP="00EC09EB">
            <w:pPr>
              <w:pStyle w:val="NormalIndent"/>
              <w:ind w:firstLine="0"/>
              <w:jc w:val="center"/>
              <w:rPr>
                <w:sz w:val="22"/>
                <w:lang w:val="en-GB"/>
              </w:rPr>
            </w:pPr>
          </w:p>
        </w:tc>
      </w:tr>
      <w:tr w:rsidR="00171C3C" w:rsidRPr="007B4962" w:rsidTr="00EC09EB">
        <w:tc>
          <w:tcPr>
            <w:tcW w:w="4804" w:type="dxa"/>
            <w:vAlign w:val="center"/>
          </w:tcPr>
          <w:p w:rsidR="00171C3C" w:rsidRPr="00A66A1F" w:rsidRDefault="00171C3C" w:rsidP="00EC09EB">
            <w:pPr>
              <w:jc w:val="center"/>
            </w:pPr>
            <w:r w:rsidRPr="00AD46DA">
              <w:t>University of Salford</w:t>
            </w:r>
            <w:r>
              <w:rPr>
                <w:vertAlign w:val="superscript"/>
              </w:rPr>
              <w:t>1</w:t>
            </w:r>
          </w:p>
        </w:tc>
        <w:tc>
          <w:tcPr>
            <w:tcW w:w="4804" w:type="dxa"/>
            <w:vAlign w:val="center"/>
          </w:tcPr>
          <w:p w:rsidR="00171C3C" w:rsidRDefault="00171C3C" w:rsidP="00EC09EB">
            <w:pPr>
              <w:jc w:val="center"/>
            </w:pPr>
            <w:r w:rsidRPr="00AD46DA">
              <w:t>University of Salford</w:t>
            </w:r>
            <w:r>
              <w:rPr>
                <w:vertAlign w:val="superscript"/>
              </w:rPr>
              <w:t>1</w:t>
            </w:r>
          </w:p>
        </w:tc>
      </w:tr>
      <w:tr w:rsidR="00171C3C" w:rsidRPr="007B4962" w:rsidTr="00EC09EB">
        <w:tc>
          <w:tcPr>
            <w:tcW w:w="4804" w:type="dxa"/>
            <w:vAlign w:val="center"/>
          </w:tcPr>
          <w:p w:rsidR="00171C3C" w:rsidRDefault="00171C3C" w:rsidP="00EC09EB">
            <w:pPr>
              <w:jc w:val="center"/>
            </w:pPr>
            <w:r>
              <w:t>D.Lengu@salford</w:t>
            </w:r>
            <w:r w:rsidRPr="0093597A">
              <w:t>.ac.uk</w:t>
            </w:r>
          </w:p>
        </w:tc>
        <w:tc>
          <w:tcPr>
            <w:tcW w:w="4804" w:type="dxa"/>
            <w:vAlign w:val="center"/>
          </w:tcPr>
          <w:p w:rsidR="00171C3C" w:rsidRDefault="00171C3C" w:rsidP="00EC09EB">
            <w:pPr>
              <w:jc w:val="center"/>
            </w:pPr>
            <w:proofErr w:type="spellStart"/>
            <w:r>
              <w:t>S.Sapontzis</w:t>
            </w:r>
            <w:proofErr w:type="spellEnd"/>
            <w:r>
              <w:t>@</w:t>
            </w:r>
            <w:r w:rsidR="004463B1">
              <w:t xml:space="preserve"> salford</w:t>
            </w:r>
            <w:r>
              <w:t>.</w:t>
            </w:r>
            <w:r w:rsidRPr="0093597A">
              <w:t>ac.uk</w:t>
            </w:r>
          </w:p>
        </w:tc>
      </w:tr>
      <w:tr w:rsidR="00171C3C" w:rsidRPr="007B4962" w:rsidTr="00EC09EB">
        <w:tc>
          <w:tcPr>
            <w:tcW w:w="4804" w:type="dxa"/>
          </w:tcPr>
          <w:p w:rsidR="00171C3C" w:rsidRPr="00F163AB" w:rsidRDefault="00171C3C" w:rsidP="00EC09EB">
            <w:pPr>
              <w:pStyle w:val="NormalIndent"/>
              <w:keepNext/>
              <w:keepLines/>
              <w:ind w:firstLine="0"/>
              <w:jc w:val="center"/>
              <w:rPr>
                <w:sz w:val="22"/>
                <w:szCs w:val="22"/>
                <w:lang w:val="en-GB"/>
              </w:rPr>
            </w:pPr>
          </w:p>
        </w:tc>
        <w:tc>
          <w:tcPr>
            <w:tcW w:w="4804" w:type="dxa"/>
          </w:tcPr>
          <w:p w:rsidR="00171C3C" w:rsidRPr="00F163AB" w:rsidRDefault="00171C3C" w:rsidP="00EC09EB">
            <w:pPr>
              <w:pStyle w:val="NormalIndent"/>
              <w:keepNext/>
              <w:keepLines/>
              <w:ind w:firstLine="0"/>
              <w:jc w:val="center"/>
              <w:rPr>
                <w:sz w:val="22"/>
                <w:szCs w:val="22"/>
                <w:lang w:val="en-GB"/>
              </w:rPr>
            </w:pPr>
          </w:p>
        </w:tc>
      </w:tr>
      <w:tr w:rsidR="00171C3C" w:rsidRPr="007B4962" w:rsidTr="00EC09EB">
        <w:tc>
          <w:tcPr>
            <w:tcW w:w="4804" w:type="dxa"/>
          </w:tcPr>
          <w:p w:rsidR="00171C3C" w:rsidRPr="00F163AB" w:rsidRDefault="00171C3C" w:rsidP="00EC09EB">
            <w:pPr>
              <w:pStyle w:val="NormalIndent"/>
              <w:keepNext/>
              <w:keepLines/>
              <w:ind w:firstLine="0"/>
              <w:jc w:val="center"/>
              <w:rPr>
                <w:sz w:val="22"/>
                <w:szCs w:val="22"/>
                <w:lang w:val="en-GB"/>
              </w:rPr>
            </w:pPr>
          </w:p>
        </w:tc>
        <w:tc>
          <w:tcPr>
            <w:tcW w:w="4804" w:type="dxa"/>
          </w:tcPr>
          <w:p w:rsidR="00171C3C" w:rsidRPr="00F163AB" w:rsidRDefault="00171C3C" w:rsidP="00EC09EB">
            <w:pPr>
              <w:pStyle w:val="NormalIndent"/>
              <w:keepNext/>
              <w:keepLines/>
              <w:ind w:firstLine="0"/>
              <w:jc w:val="center"/>
              <w:rPr>
                <w:sz w:val="22"/>
                <w:szCs w:val="22"/>
                <w:lang w:val="en-GB"/>
              </w:rPr>
            </w:pPr>
          </w:p>
        </w:tc>
      </w:tr>
      <w:tr w:rsidR="00171C3C" w:rsidRPr="007B4962" w:rsidTr="00EC09EB">
        <w:tc>
          <w:tcPr>
            <w:tcW w:w="4804" w:type="dxa"/>
          </w:tcPr>
          <w:p w:rsidR="00171C3C" w:rsidRPr="0094356B" w:rsidRDefault="00D90467" w:rsidP="00D90467">
            <w:pPr>
              <w:jc w:val="center"/>
              <w:rPr>
                <w:i/>
              </w:rPr>
            </w:pPr>
            <w:r>
              <w:rPr>
                <w:i/>
              </w:rPr>
              <w:t>Mr</w:t>
            </w:r>
            <w:r w:rsidR="00171C3C">
              <w:rPr>
                <w:i/>
              </w:rPr>
              <w:t>. Rob Smith</w:t>
            </w:r>
          </w:p>
        </w:tc>
        <w:tc>
          <w:tcPr>
            <w:tcW w:w="4804" w:type="dxa"/>
          </w:tcPr>
          <w:p w:rsidR="00171C3C" w:rsidRPr="0094356B" w:rsidRDefault="00171C3C" w:rsidP="00EC09EB">
            <w:pPr>
              <w:jc w:val="center"/>
              <w:rPr>
                <w:i/>
              </w:rPr>
            </w:pPr>
            <w:r>
              <w:rPr>
                <w:i/>
              </w:rPr>
              <w:t>Prof. Mike Kagioglou</w:t>
            </w:r>
          </w:p>
        </w:tc>
      </w:tr>
      <w:tr w:rsidR="00171C3C" w:rsidRPr="007B4962" w:rsidTr="00EC09EB">
        <w:tc>
          <w:tcPr>
            <w:tcW w:w="4804" w:type="dxa"/>
            <w:vAlign w:val="center"/>
          </w:tcPr>
          <w:p w:rsidR="00171C3C" w:rsidRPr="00F163AB" w:rsidRDefault="00171C3C" w:rsidP="00EC09EB">
            <w:pPr>
              <w:pStyle w:val="NormalIndent"/>
              <w:ind w:firstLine="0"/>
              <w:jc w:val="center"/>
              <w:rPr>
                <w:sz w:val="22"/>
                <w:lang w:val="en-GB"/>
              </w:rPr>
            </w:pPr>
          </w:p>
        </w:tc>
        <w:tc>
          <w:tcPr>
            <w:tcW w:w="4804" w:type="dxa"/>
            <w:vAlign w:val="center"/>
          </w:tcPr>
          <w:p w:rsidR="00171C3C" w:rsidRPr="00F163AB" w:rsidRDefault="00171C3C" w:rsidP="00EC09EB">
            <w:pPr>
              <w:pStyle w:val="NormalIndent"/>
              <w:ind w:firstLine="0"/>
              <w:jc w:val="center"/>
              <w:rPr>
                <w:sz w:val="22"/>
                <w:lang w:val="en-GB"/>
              </w:rPr>
            </w:pPr>
          </w:p>
        </w:tc>
      </w:tr>
      <w:tr w:rsidR="00171C3C" w:rsidRPr="007B4962" w:rsidTr="00EC09EB">
        <w:tc>
          <w:tcPr>
            <w:tcW w:w="4804" w:type="dxa"/>
            <w:vAlign w:val="center"/>
          </w:tcPr>
          <w:p w:rsidR="00171C3C" w:rsidRDefault="00171C3C" w:rsidP="00EC09EB">
            <w:pPr>
              <w:jc w:val="center"/>
            </w:pPr>
            <w:r w:rsidRPr="0093597A">
              <w:t>University of S</w:t>
            </w:r>
            <w:r>
              <w:t>alford</w:t>
            </w:r>
            <w:r>
              <w:rPr>
                <w:rStyle w:val="FootnoteReference"/>
              </w:rPr>
              <w:footnoteReference w:id="2"/>
            </w:r>
          </w:p>
        </w:tc>
        <w:tc>
          <w:tcPr>
            <w:tcW w:w="4804" w:type="dxa"/>
            <w:vAlign w:val="center"/>
          </w:tcPr>
          <w:p w:rsidR="00171C3C" w:rsidRPr="00AD46DA" w:rsidRDefault="00171C3C" w:rsidP="00EC09EB">
            <w:pPr>
              <w:jc w:val="center"/>
              <w:rPr>
                <w:vertAlign w:val="superscript"/>
              </w:rPr>
            </w:pPr>
            <w:r w:rsidRPr="00AD46DA">
              <w:t>University of Salford</w:t>
            </w:r>
            <w:r>
              <w:rPr>
                <w:vertAlign w:val="superscript"/>
              </w:rPr>
              <w:t>1</w:t>
            </w:r>
          </w:p>
        </w:tc>
      </w:tr>
      <w:tr w:rsidR="00171C3C" w:rsidRPr="007B4962" w:rsidTr="00EC09EB">
        <w:tc>
          <w:tcPr>
            <w:tcW w:w="4804" w:type="dxa"/>
            <w:vAlign w:val="center"/>
          </w:tcPr>
          <w:p w:rsidR="00171C3C" w:rsidRDefault="00542AA3" w:rsidP="00542AA3">
            <w:pPr>
              <w:jc w:val="center"/>
            </w:pPr>
            <w:r>
              <w:t>R</w:t>
            </w:r>
            <w:r w:rsidR="00171C3C">
              <w:t>.</w:t>
            </w:r>
            <w:r>
              <w:t>Smith</w:t>
            </w:r>
            <w:r w:rsidR="00171C3C">
              <w:t>@salford</w:t>
            </w:r>
            <w:r w:rsidR="00171C3C" w:rsidRPr="0093597A">
              <w:t>.ac.uk</w:t>
            </w:r>
          </w:p>
        </w:tc>
        <w:tc>
          <w:tcPr>
            <w:tcW w:w="4804" w:type="dxa"/>
            <w:vAlign w:val="center"/>
          </w:tcPr>
          <w:p w:rsidR="00171C3C" w:rsidRDefault="00542AA3" w:rsidP="00542AA3">
            <w:pPr>
              <w:jc w:val="center"/>
            </w:pPr>
            <w:proofErr w:type="spellStart"/>
            <w:r>
              <w:t>m</w:t>
            </w:r>
            <w:r w:rsidR="00171C3C">
              <w:t>.</w:t>
            </w:r>
            <w:r>
              <w:t>kagiouglou</w:t>
            </w:r>
            <w:proofErr w:type="spellEnd"/>
            <w:r w:rsidR="00171C3C">
              <w:t>@</w:t>
            </w:r>
            <w:r w:rsidR="004463B1">
              <w:t xml:space="preserve"> salford</w:t>
            </w:r>
            <w:r w:rsidR="00171C3C">
              <w:t>.</w:t>
            </w:r>
            <w:r w:rsidR="00171C3C" w:rsidRPr="0093597A">
              <w:t>ac.uk</w:t>
            </w:r>
          </w:p>
        </w:tc>
      </w:tr>
      <w:tr w:rsidR="00171C3C" w:rsidRPr="007B4962" w:rsidTr="00EC09EB">
        <w:tc>
          <w:tcPr>
            <w:tcW w:w="4804" w:type="dxa"/>
            <w:vAlign w:val="center"/>
          </w:tcPr>
          <w:p w:rsidR="00171C3C" w:rsidRDefault="00171C3C" w:rsidP="00EC09EB">
            <w:pPr>
              <w:jc w:val="center"/>
            </w:pPr>
          </w:p>
        </w:tc>
        <w:tc>
          <w:tcPr>
            <w:tcW w:w="4804" w:type="dxa"/>
            <w:vAlign w:val="center"/>
          </w:tcPr>
          <w:p w:rsidR="00171C3C" w:rsidRDefault="00171C3C" w:rsidP="00EC09EB">
            <w:pPr>
              <w:jc w:val="center"/>
            </w:pPr>
          </w:p>
        </w:tc>
      </w:tr>
      <w:tr w:rsidR="00171C3C" w:rsidRPr="007B4962" w:rsidTr="00EC09EB">
        <w:tc>
          <w:tcPr>
            <w:tcW w:w="4804" w:type="dxa"/>
          </w:tcPr>
          <w:p w:rsidR="00171C3C" w:rsidRPr="00F163AB" w:rsidRDefault="00171C3C" w:rsidP="00EC09EB">
            <w:pPr>
              <w:pStyle w:val="NormalIndent"/>
              <w:keepNext/>
              <w:keepLines/>
              <w:ind w:firstLine="0"/>
              <w:jc w:val="center"/>
              <w:rPr>
                <w:sz w:val="22"/>
                <w:szCs w:val="22"/>
                <w:lang w:val="en-GB"/>
              </w:rPr>
            </w:pPr>
          </w:p>
        </w:tc>
        <w:tc>
          <w:tcPr>
            <w:tcW w:w="4804" w:type="dxa"/>
          </w:tcPr>
          <w:p w:rsidR="00171C3C" w:rsidRPr="00F163AB" w:rsidRDefault="00171C3C" w:rsidP="00EC09EB">
            <w:pPr>
              <w:pStyle w:val="NormalIndent"/>
              <w:keepNext/>
              <w:keepLines/>
              <w:ind w:firstLine="0"/>
              <w:jc w:val="center"/>
              <w:rPr>
                <w:sz w:val="22"/>
                <w:szCs w:val="22"/>
                <w:lang w:val="en-GB"/>
              </w:rPr>
            </w:pPr>
          </w:p>
        </w:tc>
      </w:tr>
      <w:tr w:rsidR="00171C3C" w:rsidRPr="007B4962" w:rsidTr="00EC09EB">
        <w:tc>
          <w:tcPr>
            <w:tcW w:w="4804" w:type="dxa"/>
          </w:tcPr>
          <w:p w:rsidR="00171C3C" w:rsidRPr="00F163AB" w:rsidRDefault="00171C3C" w:rsidP="00EC09EB">
            <w:pPr>
              <w:pStyle w:val="NormalIndent"/>
              <w:keepNext/>
              <w:keepLines/>
              <w:ind w:firstLine="0"/>
              <w:jc w:val="center"/>
              <w:rPr>
                <w:sz w:val="22"/>
                <w:szCs w:val="22"/>
                <w:lang w:val="en-GB"/>
              </w:rPr>
            </w:pPr>
          </w:p>
        </w:tc>
        <w:tc>
          <w:tcPr>
            <w:tcW w:w="4804" w:type="dxa"/>
          </w:tcPr>
          <w:p w:rsidR="00171C3C" w:rsidRPr="00F163AB" w:rsidRDefault="00171C3C" w:rsidP="00EC09EB">
            <w:pPr>
              <w:pStyle w:val="NormalIndent"/>
              <w:keepNext/>
              <w:keepLines/>
              <w:ind w:firstLine="0"/>
              <w:jc w:val="center"/>
              <w:rPr>
                <w:sz w:val="22"/>
                <w:szCs w:val="22"/>
                <w:lang w:val="en-GB"/>
              </w:rPr>
            </w:pPr>
          </w:p>
        </w:tc>
      </w:tr>
      <w:tr w:rsidR="00171C3C" w:rsidRPr="007B4962" w:rsidTr="00EC09EB">
        <w:tc>
          <w:tcPr>
            <w:tcW w:w="9608" w:type="dxa"/>
            <w:gridSpan w:val="2"/>
          </w:tcPr>
          <w:p w:rsidR="00171C3C" w:rsidRPr="0094356B" w:rsidRDefault="00D90467" w:rsidP="00D90467">
            <w:pPr>
              <w:jc w:val="center"/>
              <w:rPr>
                <w:i/>
                <w:highlight w:val="yellow"/>
              </w:rPr>
            </w:pPr>
            <w:r>
              <w:rPr>
                <w:i/>
              </w:rPr>
              <w:t>Prof</w:t>
            </w:r>
            <w:r w:rsidR="00171C3C">
              <w:rPr>
                <w:i/>
              </w:rPr>
              <w:t>. Khairy Kobbacy</w:t>
            </w:r>
          </w:p>
        </w:tc>
      </w:tr>
      <w:tr w:rsidR="00171C3C" w:rsidRPr="007B4962" w:rsidTr="00EC09EB">
        <w:tc>
          <w:tcPr>
            <w:tcW w:w="9608" w:type="dxa"/>
            <w:gridSpan w:val="2"/>
          </w:tcPr>
          <w:p w:rsidR="00171C3C" w:rsidRPr="00F163AB" w:rsidRDefault="00171C3C" w:rsidP="00EC09EB">
            <w:pPr>
              <w:pStyle w:val="NormalIndent"/>
              <w:keepLines/>
              <w:ind w:left="360" w:firstLine="0"/>
              <w:jc w:val="center"/>
              <w:rPr>
                <w:sz w:val="22"/>
                <w:lang w:val="en-GB"/>
              </w:rPr>
            </w:pPr>
          </w:p>
        </w:tc>
      </w:tr>
      <w:tr w:rsidR="00171C3C" w:rsidRPr="007B4962" w:rsidTr="00EC09EB">
        <w:tc>
          <w:tcPr>
            <w:tcW w:w="9608" w:type="dxa"/>
            <w:gridSpan w:val="2"/>
            <w:vAlign w:val="center"/>
          </w:tcPr>
          <w:p w:rsidR="00171C3C" w:rsidRPr="00321F83" w:rsidRDefault="00171C3C" w:rsidP="00EC09EB">
            <w:pPr>
              <w:jc w:val="center"/>
              <w:rPr>
                <w:highlight w:val="yellow"/>
              </w:rPr>
            </w:pPr>
            <w:r w:rsidRPr="00AD46DA">
              <w:t>University of Salford</w:t>
            </w:r>
            <w:r>
              <w:rPr>
                <w:vertAlign w:val="superscript"/>
              </w:rPr>
              <w:t>1</w:t>
            </w:r>
          </w:p>
        </w:tc>
      </w:tr>
      <w:tr w:rsidR="00171C3C" w:rsidRPr="005275D4" w:rsidTr="00EC09EB">
        <w:tc>
          <w:tcPr>
            <w:tcW w:w="9608" w:type="dxa"/>
            <w:gridSpan w:val="2"/>
            <w:vAlign w:val="center"/>
          </w:tcPr>
          <w:p w:rsidR="00171C3C" w:rsidRPr="00CE19A2" w:rsidRDefault="00171C3C" w:rsidP="00EC09EB">
            <w:pPr>
              <w:jc w:val="center"/>
              <w:rPr>
                <w:highlight w:val="yellow"/>
                <w:lang w:val="sv-SE"/>
              </w:rPr>
            </w:pPr>
            <w:r>
              <w:t>K.Kobbacy@salford</w:t>
            </w:r>
            <w:r w:rsidRPr="0093597A">
              <w:t>.ac.uk</w:t>
            </w:r>
          </w:p>
        </w:tc>
      </w:tr>
      <w:tr w:rsidR="00171C3C" w:rsidRPr="007B4962" w:rsidTr="00EC09EB">
        <w:tc>
          <w:tcPr>
            <w:tcW w:w="9608" w:type="dxa"/>
            <w:gridSpan w:val="2"/>
            <w:vAlign w:val="center"/>
          </w:tcPr>
          <w:p w:rsidR="00171C3C" w:rsidRPr="00321F83" w:rsidRDefault="00171C3C" w:rsidP="00EC09EB">
            <w:pPr>
              <w:jc w:val="center"/>
              <w:rPr>
                <w:highlight w:val="yellow"/>
              </w:rPr>
            </w:pPr>
          </w:p>
        </w:tc>
      </w:tr>
    </w:tbl>
    <w:p w:rsidR="00171C3C" w:rsidRDefault="00171C3C" w:rsidP="00EC09EB">
      <w:pPr>
        <w:pStyle w:val="Acknowledgment"/>
      </w:pPr>
      <w:r>
        <w:t>ABSTRACT</w:t>
      </w:r>
    </w:p>
    <w:p w:rsidR="00171C3C" w:rsidRDefault="00171C3C" w:rsidP="00EC09EB">
      <w:pPr>
        <w:rPr>
          <w:szCs w:val="22"/>
        </w:rPr>
      </w:pPr>
      <w:r>
        <w:t xml:space="preserve">The overuse of hospital accident and emergency (A&amp;E) departments has </w:t>
      </w:r>
      <w:r w:rsidRPr="00AD46DA">
        <w:t>long been an issue of concern in most Western countries.</w:t>
      </w:r>
      <w:r>
        <w:t xml:space="preserve"> Patients who attend A&amp;E with non-urgent needs consume limited A&amp;E resources and they may impede access for other patients with urgent and emergency needs. </w:t>
      </w:r>
      <w:r>
        <w:rPr>
          <w:szCs w:val="22"/>
        </w:rPr>
        <w:t>A number of studies have found that patients often turn to A&amp;E for care because they lack timely access to general practitioner (GP) services</w:t>
      </w:r>
      <w:r w:rsidRPr="008916BA">
        <w:rPr>
          <w:color w:val="000000" w:themeColor="text1"/>
          <w:szCs w:val="22"/>
        </w:rPr>
        <w:t xml:space="preserve">. Recent advances in technology may help GP improve </w:t>
      </w:r>
      <w:r w:rsidR="008916BA" w:rsidRPr="008916BA">
        <w:rPr>
          <w:color w:val="000000" w:themeColor="text1"/>
          <w:szCs w:val="22"/>
        </w:rPr>
        <w:t>patients’ access to GP service</w:t>
      </w:r>
      <w:r w:rsidRPr="008916BA">
        <w:rPr>
          <w:color w:val="000000" w:themeColor="text1"/>
          <w:szCs w:val="22"/>
        </w:rPr>
        <w:t xml:space="preserve">s and </w:t>
      </w:r>
      <w:r w:rsidR="008916BA" w:rsidRPr="008916BA">
        <w:rPr>
          <w:color w:val="000000" w:themeColor="text1"/>
          <w:szCs w:val="22"/>
        </w:rPr>
        <w:t>allow them to be more responsive their patients’ needs</w:t>
      </w:r>
      <w:r>
        <w:rPr>
          <w:szCs w:val="22"/>
        </w:rPr>
        <w:t xml:space="preserve">. Digital and online technology can ease interaction and information-sharing between patients and their GPs. </w:t>
      </w:r>
    </w:p>
    <w:p w:rsidR="00171C3C" w:rsidRDefault="00171C3C" w:rsidP="00EC09EB"/>
    <w:p w:rsidR="00171C3C" w:rsidRDefault="00171C3C" w:rsidP="00EC09EB">
      <w:r>
        <w:t xml:space="preserve">In this study, exploratory data mining is carried out in order to better understand the relationship between A&amp;E attendance and various GP practice characteristics. The data used in this exercise is GP practice data publically available from the NHS Information Centre website. </w:t>
      </w:r>
      <w:r w:rsidR="00213C8E">
        <w:t xml:space="preserve">This data covered </w:t>
      </w:r>
      <w:r w:rsidR="00985BB1">
        <w:t>39</w:t>
      </w:r>
      <w:r w:rsidR="00213C8E">
        <w:t xml:space="preserve"> </w:t>
      </w:r>
      <w:r w:rsidR="00985BB1">
        <w:t xml:space="preserve">different </w:t>
      </w:r>
      <w:r w:rsidR="001F084C">
        <w:t xml:space="preserve">practice </w:t>
      </w:r>
      <w:r w:rsidR="00213C8E">
        <w:t xml:space="preserve">attributes </w:t>
      </w:r>
      <w:r w:rsidR="00DE78AB">
        <w:t>related to IT infrastructure, patient care experience</w:t>
      </w:r>
      <w:r w:rsidR="001F1D6F">
        <w:t>, patient deprivation and disease prevalence rates.</w:t>
      </w:r>
      <w:r w:rsidR="00213C8E">
        <w:t xml:space="preserve">  </w:t>
      </w:r>
      <w:r>
        <w:t xml:space="preserve">Cluster analysis is used to divide GP practices into meaningful clusters and the </w:t>
      </w:r>
      <w:r w:rsidR="00F71991">
        <w:t>attribute</w:t>
      </w:r>
      <w:r>
        <w:t xml:space="preserve">s that define each cluster are identified. The differences between the </w:t>
      </w:r>
      <w:r w:rsidR="00915044">
        <w:t xml:space="preserve">five identified </w:t>
      </w:r>
      <w:r>
        <w:t>clusters suggest that the problem of non-urgent A&amp;E attendances should be addressed in a more targeted fashion. Our analysis also suggest</w:t>
      </w:r>
      <w:r w:rsidR="008916BA">
        <w:t>s</w:t>
      </w:r>
      <w:r>
        <w:t xml:space="preserve"> that GP practices with poor patient satisfaction levels are adopting online technologies at a slower pace when compared with other</w:t>
      </w:r>
      <w:r w:rsidR="008916BA">
        <w:t>s</w:t>
      </w:r>
      <w:r>
        <w:t xml:space="preserve"> that have higher patient satisfaction levels. </w:t>
      </w:r>
    </w:p>
    <w:p w:rsidR="00171C3C" w:rsidRDefault="00171C3C" w:rsidP="00EC09EB"/>
    <w:p w:rsidR="00171C3C" w:rsidRDefault="00171C3C" w:rsidP="00EC09EB">
      <w:r w:rsidRPr="002C2568">
        <w:rPr>
          <w:b/>
        </w:rPr>
        <w:t>Keywords</w:t>
      </w:r>
      <w:r w:rsidRPr="00CD19E1">
        <w:t xml:space="preserve">: </w:t>
      </w:r>
      <w:r>
        <w:t>Primary care access</w:t>
      </w:r>
      <w:r w:rsidRPr="00CD19E1">
        <w:t xml:space="preserve">, </w:t>
      </w:r>
      <w:r>
        <w:t>Cluster analysis</w:t>
      </w:r>
      <w:r w:rsidR="00D90467">
        <w:t>, Data mining</w:t>
      </w:r>
    </w:p>
    <w:p w:rsidR="00171C3C" w:rsidRPr="004C7060" w:rsidRDefault="00171C3C" w:rsidP="00EC09EB">
      <w:pPr>
        <w:pStyle w:val="NormalIndent"/>
        <w:ind w:firstLine="0"/>
        <w:rPr>
          <w:rStyle w:val="BookTitle"/>
        </w:rPr>
      </w:pPr>
    </w:p>
    <w:p w:rsidR="00171C3C" w:rsidRDefault="00171C3C" w:rsidP="00EC09EB">
      <w:pPr>
        <w:pStyle w:val="Heading1"/>
      </w:pPr>
      <w:r>
        <w:t>INTRODUCTION</w:t>
      </w:r>
    </w:p>
    <w:p w:rsidR="00171C3C" w:rsidRDefault="00171C3C" w:rsidP="00EC09EB">
      <w:r>
        <w:rPr>
          <w:szCs w:val="22"/>
        </w:rPr>
        <w:t xml:space="preserve">Hospital accident and emergency (A&amp;E) departments </w:t>
      </w:r>
      <w:r w:rsidRPr="00A66A1F">
        <w:rPr>
          <w:szCs w:val="22"/>
        </w:rPr>
        <w:t>are designed to</w:t>
      </w:r>
      <w:r>
        <w:rPr>
          <w:szCs w:val="22"/>
        </w:rPr>
        <w:t xml:space="preserve"> </w:t>
      </w:r>
      <w:r w:rsidRPr="00A66A1F">
        <w:rPr>
          <w:szCs w:val="22"/>
        </w:rPr>
        <w:t>provide medical treatment</w:t>
      </w:r>
      <w:r>
        <w:rPr>
          <w:szCs w:val="22"/>
        </w:rPr>
        <w:t xml:space="preserve"> </w:t>
      </w:r>
      <w:r w:rsidRPr="00A66A1F">
        <w:rPr>
          <w:szCs w:val="22"/>
        </w:rPr>
        <w:t>to those who need urgent or emergency care.</w:t>
      </w:r>
      <w:r>
        <w:rPr>
          <w:szCs w:val="22"/>
        </w:rPr>
        <w:t xml:space="preserve"> However, A&amp;E departments in most western countries are </w:t>
      </w:r>
      <w:r>
        <w:rPr>
          <w:szCs w:val="22"/>
        </w:rPr>
        <w:lastRenderedPageBreak/>
        <w:t xml:space="preserve">caring for more patients, including those with non-urgent needs that could be treated in alternative, more cost-effective settings such as general practitioners (GP) surgeries. </w:t>
      </w:r>
      <w:r w:rsidRPr="00A66A1F">
        <w:rPr>
          <w:szCs w:val="22"/>
        </w:rPr>
        <w:t>Inappropriate</w:t>
      </w:r>
      <w:r>
        <w:rPr>
          <w:szCs w:val="22"/>
        </w:rPr>
        <w:t xml:space="preserve"> </w:t>
      </w:r>
      <w:r w:rsidRPr="00A66A1F">
        <w:rPr>
          <w:szCs w:val="22"/>
        </w:rPr>
        <w:t xml:space="preserve">use of </w:t>
      </w:r>
      <w:r w:rsidR="008916BA">
        <w:rPr>
          <w:szCs w:val="22"/>
        </w:rPr>
        <w:t>A&amp;E</w:t>
      </w:r>
      <w:r w:rsidRPr="00A66A1F">
        <w:rPr>
          <w:szCs w:val="22"/>
        </w:rPr>
        <w:t xml:space="preserve"> is considered to result in</w:t>
      </w:r>
      <w:r>
        <w:rPr>
          <w:szCs w:val="22"/>
        </w:rPr>
        <w:t xml:space="preserve"> </w:t>
      </w:r>
      <w:r w:rsidRPr="00A66A1F">
        <w:rPr>
          <w:szCs w:val="22"/>
        </w:rPr>
        <w:t xml:space="preserve">overcrowding </w:t>
      </w:r>
      <w:r>
        <w:rPr>
          <w:szCs w:val="22"/>
        </w:rPr>
        <w:t>A&amp;E (</w:t>
      </w:r>
      <w:r>
        <w:rPr>
          <w:noProof/>
          <w:szCs w:val="22"/>
        </w:rPr>
        <w:t>Shih</w:t>
      </w:r>
      <w:r w:rsidRPr="00A66A1F">
        <w:rPr>
          <w:i/>
          <w:noProof/>
          <w:szCs w:val="22"/>
        </w:rPr>
        <w:t xml:space="preserve"> et al.</w:t>
      </w:r>
      <w:r>
        <w:rPr>
          <w:szCs w:val="22"/>
        </w:rPr>
        <w:t>, 1999)</w:t>
      </w:r>
      <w:r w:rsidRPr="00A66A1F">
        <w:rPr>
          <w:szCs w:val="22"/>
        </w:rPr>
        <w:t xml:space="preserve"> and to contribute</w:t>
      </w:r>
      <w:r>
        <w:rPr>
          <w:szCs w:val="22"/>
        </w:rPr>
        <w:t xml:space="preserve"> </w:t>
      </w:r>
      <w:r w:rsidRPr="00A66A1F">
        <w:rPr>
          <w:szCs w:val="22"/>
        </w:rPr>
        <w:t>substantially to increased health care costs</w:t>
      </w:r>
      <w:r>
        <w:rPr>
          <w:szCs w:val="22"/>
        </w:rPr>
        <w:t xml:space="preserve"> (</w:t>
      </w:r>
      <w:proofErr w:type="spellStart"/>
      <w:r>
        <w:rPr>
          <w:noProof/>
          <w:szCs w:val="22"/>
        </w:rPr>
        <w:t>Kellermann</w:t>
      </w:r>
      <w:proofErr w:type="spellEnd"/>
      <w:r>
        <w:rPr>
          <w:szCs w:val="22"/>
        </w:rPr>
        <w:t>, 1994)</w:t>
      </w:r>
      <w:r w:rsidRPr="00A66A1F">
        <w:rPr>
          <w:szCs w:val="22"/>
        </w:rPr>
        <w:t xml:space="preserve"> and</w:t>
      </w:r>
      <w:r>
        <w:rPr>
          <w:szCs w:val="22"/>
        </w:rPr>
        <w:t xml:space="preserve"> to decreased quality of care (</w:t>
      </w:r>
      <w:proofErr w:type="spellStart"/>
      <w:r>
        <w:rPr>
          <w:noProof/>
          <w:szCs w:val="22"/>
        </w:rPr>
        <w:t>Derlet</w:t>
      </w:r>
      <w:proofErr w:type="spellEnd"/>
      <w:r>
        <w:rPr>
          <w:noProof/>
          <w:szCs w:val="22"/>
        </w:rPr>
        <w:t xml:space="preserve"> and Richards</w:t>
      </w:r>
      <w:r>
        <w:rPr>
          <w:szCs w:val="22"/>
        </w:rPr>
        <w:t xml:space="preserve">, 2000).  </w:t>
      </w:r>
      <w:r>
        <w:t xml:space="preserve">Non-urgent visits to A&amp;E have been attributed, in part, to </w:t>
      </w:r>
      <w:r w:rsidR="008916BA">
        <w:t xml:space="preserve">patients having </w:t>
      </w:r>
      <w:r>
        <w:t>difficulties in accessing general practitioner (GP) services within the community (</w:t>
      </w:r>
      <w:proofErr w:type="spellStart"/>
      <w:r>
        <w:rPr>
          <w:noProof/>
        </w:rPr>
        <w:t>Afilalo</w:t>
      </w:r>
      <w:proofErr w:type="spellEnd"/>
      <w:r w:rsidRPr="00A66A1F">
        <w:rPr>
          <w:i/>
          <w:noProof/>
        </w:rPr>
        <w:t xml:space="preserve"> et al.</w:t>
      </w:r>
      <w:r>
        <w:t xml:space="preserve">, 2004; </w:t>
      </w:r>
      <w:r>
        <w:rPr>
          <w:noProof/>
        </w:rPr>
        <w:t>Howard</w:t>
      </w:r>
      <w:r w:rsidRPr="00A66A1F">
        <w:rPr>
          <w:i/>
          <w:noProof/>
        </w:rPr>
        <w:t xml:space="preserve"> et al.</w:t>
      </w:r>
      <w:r>
        <w:t xml:space="preserve">, 2005). These findings would suggest </w:t>
      </w:r>
      <w:r w:rsidR="008916BA">
        <w:t xml:space="preserve">that </w:t>
      </w:r>
      <w:r>
        <w:t>the number of non-urgent A&amp;E visits could be reduced by improving access to GP services.</w:t>
      </w:r>
    </w:p>
    <w:p w:rsidR="00171C3C" w:rsidRDefault="00171C3C" w:rsidP="00EC09EB"/>
    <w:p w:rsidR="00171C3C" w:rsidRDefault="00171C3C" w:rsidP="00EC09EB">
      <w:r>
        <w:t>Information technology can greatly enhance patients</w:t>
      </w:r>
      <w:r w:rsidR="008916BA">
        <w:t>’</w:t>
      </w:r>
      <w:r>
        <w:t xml:space="preserve"> ability to access local GP services. For example, online services can simplify the more routine aspects of care, such as booking appointments and requesting repeat prescriptions. Electronic </w:t>
      </w:r>
      <w:r w:rsidR="008916BA">
        <w:t>heal</w:t>
      </w:r>
      <w:r>
        <w:t>t</w:t>
      </w:r>
      <w:r w:rsidR="008916BA">
        <w:t>h</w:t>
      </w:r>
      <w:r>
        <w:t xml:space="preserve"> records (EHRs) allow GPs to share patient information with patients and hospital staff more easily and quickly. Patient prescriptions can also be sent electronically to pharmacies. The Department of Health in the UK recognises the potential for digital and online technology to improve GP access and, in May 2012, the department launched an information strategy to harness information and other new technologies in order to achieve higher quality care and improve the patient experience (</w:t>
      </w:r>
      <w:hyperlink r:id="rId8" w:history="1">
        <w:r w:rsidRPr="003F61B8">
          <w:rPr>
            <w:rStyle w:val="Hyperlink"/>
          </w:rPr>
          <w:t>http://informationstrategy.dh.gov.uk/</w:t>
        </w:r>
      </w:hyperlink>
      <w:r>
        <w:t>, accessed 26 March 2013). The goals of this strategy include:</w:t>
      </w:r>
    </w:p>
    <w:p w:rsidR="00171C3C" w:rsidRDefault="00171C3C" w:rsidP="00EC09EB">
      <w:pPr>
        <w:pStyle w:val="ListParagraph"/>
        <w:numPr>
          <w:ilvl w:val="0"/>
          <w:numId w:val="18"/>
        </w:numPr>
      </w:pPr>
      <w:r>
        <w:t>Giving patients online access to their GP records by 2015,</w:t>
      </w:r>
    </w:p>
    <w:p w:rsidR="00171C3C" w:rsidRDefault="00171C3C" w:rsidP="00EC09EB">
      <w:pPr>
        <w:pStyle w:val="ListParagraph"/>
        <w:numPr>
          <w:ilvl w:val="0"/>
          <w:numId w:val="18"/>
        </w:numPr>
      </w:pPr>
      <w:r>
        <w:t>Connecting patient records within and between health organisations, and across the health, care and support sector,</w:t>
      </w:r>
    </w:p>
    <w:p w:rsidR="00171C3C" w:rsidRDefault="00171C3C" w:rsidP="00EC09EB">
      <w:pPr>
        <w:pStyle w:val="ListParagraph"/>
        <w:numPr>
          <w:ilvl w:val="0"/>
          <w:numId w:val="18"/>
        </w:numPr>
      </w:pPr>
      <w:r>
        <w:t xml:space="preserve">Capturing more GP practice data and indicators including patient </w:t>
      </w:r>
      <w:r w:rsidR="008916BA">
        <w:t>experiences and views of care</w:t>
      </w:r>
      <w:r>
        <w:t>.</w:t>
      </w:r>
    </w:p>
    <w:p w:rsidR="00171C3C" w:rsidRDefault="00171C3C" w:rsidP="00EC09EB">
      <w:r>
        <w:t xml:space="preserve">These changes will allow patients to have greater control of the health information they need. </w:t>
      </w:r>
    </w:p>
    <w:p w:rsidR="00171C3C" w:rsidRDefault="00171C3C" w:rsidP="00EC09EB">
      <w:pPr>
        <w:pStyle w:val="NormalIndent"/>
        <w:rPr>
          <w:lang w:val="en-GB"/>
        </w:rPr>
      </w:pPr>
    </w:p>
    <w:p w:rsidR="00BA71D2" w:rsidRDefault="00171C3C" w:rsidP="00EC09EB">
      <w:r>
        <w:t>The objective of this study is to use data mining techniques to identify the hidden patterns in GP practice characteristics</w:t>
      </w:r>
      <w:r w:rsidR="00ED4CA0">
        <w:t xml:space="preserve">. </w:t>
      </w:r>
      <w:r w:rsidR="00132624">
        <w:t xml:space="preserve">Cluster analysis is used to </w:t>
      </w:r>
      <w:r w:rsidR="00132624" w:rsidRPr="00A66A1F">
        <w:t>sort</w:t>
      </w:r>
      <w:r w:rsidR="00132624">
        <w:t xml:space="preserve"> the practices </w:t>
      </w:r>
      <w:r w:rsidR="00132624" w:rsidRPr="00A66A1F">
        <w:t xml:space="preserve">and </w:t>
      </w:r>
      <w:r w:rsidR="00132624">
        <w:t xml:space="preserve">to </w:t>
      </w:r>
      <w:r w:rsidR="00132624" w:rsidRPr="00A66A1F">
        <w:t>group them into clusters</w:t>
      </w:r>
      <w:r w:rsidR="00132624">
        <w:t xml:space="preserve"> of practices with shared characteristics</w:t>
      </w:r>
      <w:r w:rsidR="00CC5B3A">
        <w:t xml:space="preserve">, </w:t>
      </w:r>
      <w:r>
        <w:t>such as A&amp;E attendance and the adoption of online technology</w:t>
      </w:r>
      <w:r w:rsidR="00CC5B3A">
        <w:t>. In doing so, c</w:t>
      </w:r>
      <w:r>
        <w:t xml:space="preserve">luster analysis will help us identify how practices with different characteristics should use online technology in order to help address the problem of non-urgent attendance at A&amp;E. </w:t>
      </w:r>
      <w:r w:rsidR="00EC09EB">
        <w:t>The software used to carry out this analysis is Microsoft SQL Server Enterprise 2008</w:t>
      </w:r>
      <w:r w:rsidR="00BA71D2">
        <w:t>.</w:t>
      </w:r>
    </w:p>
    <w:p w:rsidR="00BA71D2" w:rsidRDefault="00BA71D2" w:rsidP="00EC09EB"/>
    <w:p w:rsidR="00171C3C" w:rsidRDefault="00BA71D2" w:rsidP="00EC09EB">
      <w:r>
        <w:t xml:space="preserve">Section 2 below provides a discussion of the data used for the cluster analysis. This </w:t>
      </w:r>
      <w:r w:rsidR="00171C3C">
        <w:t>data was obtained from the</w:t>
      </w:r>
      <w:r w:rsidR="00132624">
        <w:t xml:space="preserve"> NHS Information Centre website</w:t>
      </w:r>
      <w:r w:rsidR="00EC09EB">
        <w:t xml:space="preserve">. </w:t>
      </w:r>
      <w:r w:rsidR="008B52F0">
        <w:t xml:space="preserve">The results of the cluster analysis are given </w:t>
      </w:r>
      <w:r w:rsidR="006F13D9">
        <w:t xml:space="preserve">in Section 3 and the clusters identified are defined. </w:t>
      </w:r>
      <w:r w:rsidR="008916BA">
        <w:t>Then i</w:t>
      </w:r>
      <w:r w:rsidR="00171C3C">
        <w:t xml:space="preserve">n Section 4, we propose a number of approaches that practices in the different clusters </w:t>
      </w:r>
      <w:r w:rsidR="008916BA">
        <w:t>may</w:t>
      </w:r>
      <w:r w:rsidR="00171C3C">
        <w:t xml:space="preserve"> take in order to address non-urgent attendance at A&amp;E. Finally, Section 5 provides the conclusions of our study.  </w:t>
      </w:r>
    </w:p>
    <w:p w:rsidR="00171C3C" w:rsidRDefault="00171C3C" w:rsidP="00EC09EB">
      <w:pPr>
        <w:pStyle w:val="Heading1"/>
      </w:pPr>
      <w:r>
        <w:t>DATA AND METHODS</w:t>
      </w:r>
    </w:p>
    <w:p w:rsidR="00171C3C" w:rsidRDefault="00171C3C" w:rsidP="00EC09EB">
      <w:r>
        <w:t>Our study was carried out according to the process illustrated in Figure 1. Data relating to over 8,603 GP practices in England was downloaded from the NHS Information Centre website (</w:t>
      </w:r>
      <w:hyperlink r:id="rId9" w:history="1">
        <w:r w:rsidRPr="003F61B8">
          <w:rPr>
            <w:rStyle w:val="Hyperlink"/>
          </w:rPr>
          <w:t>https://indicators.ic.nhs.uk/webview/</w:t>
        </w:r>
      </w:hyperlink>
      <w:r>
        <w:t>, accessed 26 March 2013). The data covered a number of attributes in the following areas:</w:t>
      </w:r>
    </w:p>
    <w:p w:rsidR="00171C3C" w:rsidRDefault="00171C3C" w:rsidP="00EC09EB">
      <w:pPr>
        <w:pStyle w:val="ListParagraph"/>
        <w:numPr>
          <w:ilvl w:val="0"/>
          <w:numId w:val="24"/>
        </w:numPr>
        <w:ind w:left="584" w:hanging="357"/>
      </w:pPr>
      <w:r>
        <w:t xml:space="preserve">Patient demographics: Deprivation rates among registered patients, </w:t>
      </w:r>
      <w:proofErr w:type="spellStart"/>
      <w:r>
        <w:t>rurality</w:t>
      </w:r>
      <w:proofErr w:type="spellEnd"/>
      <w:r>
        <w:t xml:space="preserve"> of the practice location, </w:t>
      </w:r>
      <w:r w:rsidR="008916BA">
        <w:t xml:space="preserve">the </w:t>
      </w:r>
      <w:r>
        <w:t>number of GPs and registered patients and the prevalence rates of 19 medical conditions.</w:t>
      </w:r>
    </w:p>
    <w:p w:rsidR="00171C3C" w:rsidRDefault="00171C3C" w:rsidP="00EC09EB">
      <w:pPr>
        <w:pStyle w:val="ListParagraph"/>
        <w:numPr>
          <w:ilvl w:val="0"/>
          <w:numId w:val="24"/>
        </w:numPr>
        <w:ind w:left="584" w:hanging="357"/>
      </w:pPr>
      <w:r>
        <w:t>A&amp;E attendance: A&amp;E attendance and referral rates per 1,000 registered patients.</w:t>
      </w:r>
    </w:p>
    <w:p w:rsidR="00171C3C" w:rsidRDefault="00171C3C" w:rsidP="00EC09EB">
      <w:pPr>
        <w:pStyle w:val="ListParagraph"/>
        <w:numPr>
          <w:ilvl w:val="0"/>
          <w:numId w:val="24"/>
        </w:numPr>
        <w:ind w:left="584" w:hanging="357"/>
      </w:pPr>
      <w:r>
        <w:t>Practice IT infrastructure: Whether the practice has a number of technical capabilities that allow for the electronic transfer of patient medical records, electronic transmission of prescriptions and</w:t>
      </w:r>
      <w:r w:rsidR="008916BA">
        <w:t>, for patients, electronic</w:t>
      </w:r>
      <w:r>
        <w:t xml:space="preserve"> access to their medical records.</w:t>
      </w:r>
    </w:p>
    <w:p w:rsidR="00171C3C" w:rsidRDefault="00171C3C" w:rsidP="00EC09EB">
      <w:pPr>
        <w:pStyle w:val="ListParagraph"/>
        <w:numPr>
          <w:ilvl w:val="0"/>
          <w:numId w:val="24"/>
        </w:numPr>
        <w:ind w:left="584" w:hanging="357"/>
      </w:pPr>
      <w:r>
        <w:t xml:space="preserve">Patient </w:t>
      </w:r>
      <w:r w:rsidRPr="009C3917">
        <w:t>experience</w:t>
      </w:r>
      <w:r>
        <w:t xml:space="preserve">: Patient responses to </w:t>
      </w:r>
      <w:r w:rsidRPr="009C3917">
        <w:t>the GP Patient Survey</w:t>
      </w:r>
      <w:r>
        <w:t xml:space="preserve"> on </w:t>
      </w:r>
      <w:r w:rsidR="008916BA">
        <w:t xml:space="preserve">issues such as </w:t>
      </w:r>
      <w:r>
        <w:t xml:space="preserve">waiting </w:t>
      </w:r>
      <w:proofErr w:type="gramStart"/>
      <w:r>
        <w:t>times,</w:t>
      </w:r>
      <w:proofErr w:type="gramEnd"/>
      <w:r>
        <w:t xml:space="preserve"> trust in their GP, ability to get appointments and satisfaction with practice opening hours and the care provided.</w:t>
      </w:r>
    </w:p>
    <w:p w:rsidR="00171C3C" w:rsidRDefault="00171C3C" w:rsidP="00EC09EB">
      <w:pPr>
        <w:pStyle w:val="ListParagraph"/>
        <w:ind w:left="0"/>
      </w:pPr>
      <w:r>
        <w:t>A complete list of all the GP practice attributed considered in this study is given</w:t>
      </w:r>
      <w:r w:rsidR="008916BA">
        <w:t xml:space="preserve"> in</w:t>
      </w:r>
      <w:r>
        <w:t xml:space="preserve"> Appendix A.</w:t>
      </w:r>
    </w:p>
    <w:p w:rsidR="00171C3C" w:rsidRDefault="00171C3C" w:rsidP="00EC09EB">
      <w:pPr>
        <w:pStyle w:val="NormalIndent"/>
        <w:rPr>
          <w:lang w:val="en-GB"/>
        </w:rPr>
      </w:pPr>
    </w:p>
    <w:p w:rsidR="00171C3C" w:rsidRPr="00A66A1F" w:rsidRDefault="005F2B0C" w:rsidP="00EC09EB">
      <w:pPr>
        <w:pStyle w:val="NormalIndent"/>
        <w:rPr>
          <w:lang w:val="en-GB"/>
        </w:rPr>
      </w:pPr>
      <w:r w:rsidRPr="005F2B0C">
        <w:rPr>
          <w:lang w:val="en-GB"/>
        </w:rPr>
      </w:r>
      <w:r>
        <w:rPr>
          <w:lang w:val="en-GB"/>
        </w:rPr>
        <w:pict>
          <v:group id="_x0000_s1045" editas="canvas" style="width:468pt;height:129.05pt;mso-position-horizontal-relative:char;mso-position-vertical-relative:line" coordorigin="2526,9762" coordsize="7200,19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526;top:9762;width:7200;height:1985" o:preferrelative="f">
              <v:fill o:detectmouseclick="t"/>
              <v:path o:extrusionok="t" o:connecttype="none"/>
              <o:lock v:ext="edit" text="t"/>
            </v:shape>
            <v:rect id="_x0000_s1047" style="position:absolute;left:4428;top:9828;width:2787;height:324">
              <v:textbox style="mso-next-textbox:#_x0000_s1047">
                <w:txbxContent>
                  <w:p w:rsidR="00EC09EB" w:rsidRPr="00A66A1F" w:rsidRDefault="00EC09EB" w:rsidP="00EC09EB">
                    <w:pPr>
                      <w:jc w:val="center"/>
                      <w:rPr>
                        <w:sz w:val="20"/>
                      </w:rPr>
                    </w:pPr>
                    <w:r w:rsidRPr="00A66A1F">
                      <w:rPr>
                        <w:sz w:val="20"/>
                      </w:rPr>
                      <w:t>Data Collection</w:t>
                    </w:r>
                  </w:p>
                </w:txbxContent>
              </v:textbox>
            </v:rect>
            <v:shapetype id="_x0000_t32" coordsize="21600,21600" o:spt="32" o:oned="t" path="m,l21600,21600e" filled="f">
              <v:path arrowok="t" fillok="f" o:connecttype="none"/>
              <o:lock v:ext="edit" shapetype="t"/>
            </v:shapetype>
            <v:shape id="_x0000_s1048" type="#_x0000_t32" style="position:absolute;left:5822;top:10152;width:1;height:185" o:connectortype="straight">
              <v:stroke endarrow="block"/>
            </v:shape>
            <v:rect id="_x0000_s1049" style="position:absolute;left:4428;top:10337;width:2787;height:325">
              <v:textbox style="mso-next-textbox:#_x0000_s1049">
                <w:txbxContent>
                  <w:p w:rsidR="00EC09EB" w:rsidRPr="00A66A1F" w:rsidRDefault="00EC09EB" w:rsidP="00EC09EB">
                    <w:pPr>
                      <w:jc w:val="center"/>
                      <w:rPr>
                        <w:sz w:val="20"/>
                      </w:rPr>
                    </w:pPr>
                    <w:r w:rsidRPr="00A66A1F">
                      <w:rPr>
                        <w:sz w:val="20"/>
                      </w:rPr>
                      <w:t>Data C</w:t>
                    </w:r>
                    <w:r>
                      <w:rPr>
                        <w:sz w:val="20"/>
                      </w:rPr>
                      <w:t>leaning &amp; Transformation</w:t>
                    </w:r>
                  </w:p>
                </w:txbxContent>
              </v:textbox>
            </v:rect>
            <v:shape id="_x0000_s1050" type="#_x0000_t32" style="position:absolute;left:5822;top:10662;width:1;height:185" o:connectortype="straight">
              <v:stroke endarrow="block"/>
            </v:shape>
            <v:rect id="_x0000_s1051" style="position:absolute;left:4428;top:10847;width:2787;height:325">
              <v:textbox style="mso-next-textbox:#_x0000_s1051">
                <w:txbxContent>
                  <w:p w:rsidR="00EC09EB" w:rsidRPr="00A66A1F" w:rsidRDefault="00EC09EB" w:rsidP="00EC09EB">
                    <w:pPr>
                      <w:jc w:val="center"/>
                      <w:rPr>
                        <w:sz w:val="20"/>
                      </w:rPr>
                    </w:pPr>
                    <w:r>
                      <w:rPr>
                        <w:sz w:val="20"/>
                      </w:rPr>
                      <w:t>Data mining</w:t>
                    </w:r>
                  </w:p>
                </w:txbxContent>
              </v:textbox>
            </v:rect>
            <v:rect id="_x0000_s1052" style="position:absolute;left:4428;top:11357;width:2787;height:324">
              <v:textbox style="mso-next-textbox:#_x0000_s1052">
                <w:txbxContent>
                  <w:p w:rsidR="00EC09EB" w:rsidRPr="00A66A1F" w:rsidRDefault="00EC09EB" w:rsidP="00EC09EB">
                    <w:pPr>
                      <w:jc w:val="center"/>
                      <w:rPr>
                        <w:sz w:val="20"/>
                      </w:rPr>
                    </w:pPr>
                    <w:r>
                      <w:rPr>
                        <w:sz w:val="20"/>
                      </w:rPr>
                      <w:t>Pattern Evaluation</w:t>
                    </w:r>
                  </w:p>
                </w:txbxContent>
              </v:textbox>
            </v:rect>
            <v:shape id="_x0000_s1053" type="#_x0000_t32" style="position:absolute;left:5822;top:11172;width:1;height:185" o:connectortype="straight">
              <v:stroke endarrow="block"/>
            </v:shape>
            <w10:wrap type="none"/>
            <w10:anchorlock/>
          </v:group>
        </w:pict>
      </w:r>
    </w:p>
    <w:p w:rsidR="00171C3C" w:rsidRDefault="00171C3C" w:rsidP="00EC09EB">
      <w:pPr>
        <w:pStyle w:val="NormalIndent"/>
        <w:jc w:val="center"/>
        <w:rPr>
          <w:b/>
        </w:rPr>
      </w:pPr>
    </w:p>
    <w:p w:rsidR="00171C3C" w:rsidRDefault="00171C3C" w:rsidP="00EC09EB">
      <w:pPr>
        <w:pStyle w:val="NormalIndent"/>
        <w:jc w:val="center"/>
      </w:pPr>
      <w:r w:rsidRPr="00444549">
        <w:rPr>
          <w:b/>
        </w:rPr>
        <w:t>Figure 1</w:t>
      </w:r>
      <w:r w:rsidRPr="007B4962">
        <w:t xml:space="preserve"> </w:t>
      </w:r>
      <w:r>
        <w:rPr>
          <w:i/>
          <w:lang w:val="en-GB"/>
        </w:rPr>
        <w:t>Data mining process</w:t>
      </w:r>
    </w:p>
    <w:p w:rsidR="00171C3C" w:rsidRDefault="00171C3C" w:rsidP="00EC09EB">
      <w:pPr>
        <w:pStyle w:val="NormalIndent"/>
        <w:ind w:firstLine="0"/>
        <w:rPr>
          <w:sz w:val="22"/>
          <w:lang w:val="en-GB"/>
        </w:rPr>
      </w:pPr>
    </w:p>
    <w:p w:rsidR="00171C3C" w:rsidRDefault="00171C3C" w:rsidP="00EC09EB">
      <w:pPr>
        <w:pStyle w:val="ListParagraph"/>
        <w:ind w:left="0"/>
      </w:pPr>
      <w:r>
        <w:t>The data was then cleaned and transformed as follows:</w:t>
      </w:r>
    </w:p>
    <w:p w:rsidR="00171C3C" w:rsidRDefault="00171C3C" w:rsidP="00EC09EB">
      <w:pPr>
        <w:pStyle w:val="ListParagraph"/>
        <w:numPr>
          <w:ilvl w:val="0"/>
          <w:numId w:val="26"/>
        </w:numPr>
        <w:ind w:left="584" w:hanging="158"/>
      </w:pPr>
      <w:r>
        <w:t>GPs may sometimes conclude that a patient has urgent or emergent needs and refer patients straight to A&amp;E. A new A&amp;E attendance rate that exclude</w:t>
      </w:r>
      <w:r w:rsidR="008916BA">
        <w:t>s</w:t>
      </w:r>
      <w:r>
        <w:t xml:space="preserve"> GP referrals to A&amp;E was added to our data set.  This attribute (known as A&amp;E self-referral attendance rate) was calculated by subtracting the A&amp;E referral rate (attribute number 25 in Appendix A) from the total A&amp;E attendance rate (attribute number 26).</w:t>
      </w:r>
    </w:p>
    <w:p w:rsidR="00171C3C" w:rsidRDefault="00171C3C" w:rsidP="00EC09EB">
      <w:pPr>
        <w:pStyle w:val="ListParagraph"/>
        <w:numPr>
          <w:ilvl w:val="0"/>
          <w:numId w:val="26"/>
        </w:numPr>
        <w:ind w:left="584" w:hanging="158"/>
      </w:pPr>
      <w:r>
        <w:t>T</w:t>
      </w:r>
      <w:r w:rsidRPr="009C3917">
        <w:t xml:space="preserve">here were some practices that had an exceptionally high A&amp;E self-referral rate. </w:t>
      </w:r>
      <w:r>
        <w:t xml:space="preserve">As Figure 2 below shows, A&amp;E self-referral rates for most of the practices fell between 0 and </w:t>
      </w:r>
      <w:r w:rsidR="008916BA">
        <w:t>6</w:t>
      </w:r>
      <w:r>
        <w:t>00</w:t>
      </w:r>
      <w:r w:rsidR="008916BA">
        <w:t xml:space="preserve"> attendances per 1,000 registered patients</w:t>
      </w:r>
      <w:r>
        <w:t>. There were</w:t>
      </w:r>
      <w:r w:rsidR="008F68E6">
        <w:t>,</w:t>
      </w:r>
      <w:r>
        <w:t xml:space="preserve"> however</w:t>
      </w:r>
      <w:r w:rsidR="008F68E6">
        <w:t>,</w:t>
      </w:r>
      <w:r>
        <w:t xml:space="preserve"> some practices with extremely large A&amp;E self-referral rates</w:t>
      </w:r>
      <w:r w:rsidR="008916BA">
        <w:t xml:space="preserve"> (the largest observation was 8,605 attendances per 1,000 registered patients)</w:t>
      </w:r>
      <w:r>
        <w:t>. A closer examination of these practices revealed that some of them were set up specifically to serve the homeless. A cut-off point was set at an A&amp;E self-referral rate of 700 attendances per 1,000 registered patients and the 42 practices with a higher rate were discarded from our data set.</w:t>
      </w:r>
    </w:p>
    <w:p w:rsidR="00171C3C" w:rsidRDefault="00171C3C" w:rsidP="00EC09EB">
      <w:r>
        <w:t>There were 8561 practices left after this data cleaning and transformation process. These practices constitute our study population and the data for these practices were imported into a database for data mining.</w:t>
      </w:r>
    </w:p>
    <w:p w:rsidR="00171C3C" w:rsidRDefault="00171C3C" w:rsidP="00EC09EB"/>
    <w:p w:rsidR="00171C3C" w:rsidRDefault="00171C3C" w:rsidP="00EC09EB">
      <w:r w:rsidRPr="009C3917">
        <w:t xml:space="preserve">Data Mining is </w:t>
      </w:r>
      <w:r>
        <w:t xml:space="preserve">defined as </w:t>
      </w:r>
      <w:r w:rsidRPr="009C3917">
        <w:t>the process of discovering interesting knowledge from large amounts of data stored either in databases, data warehouse or</w:t>
      </w:r>
      <w:r>
        <w:t xml:space="preserve"> other information repositories (</w:t>
      </w:r>
      <w:r>
        <w:rPr>
          <w:noProof/>
        </w:rPr>
        <w:t>Han</w:t>
      </w:r>
      <w:r w:rsidRPr="009C3917">
        <w:rPr>
          <w:i/>
          <w:noProof/>
        </w:rPr>
        <w:t xml:space="preserve"> et al.</w:t>
      </w:r>
      <w:r>
        <w:t xml:space="preserve">, 2006). There are a number of data mining techniques available but the ones used in this study </w:t>
      </w:r>
      <w:r w:rsidR="008916BA">
        <w:t>was</w:t>
      </w:r>
      <w:r>
        <w:t xml:space="preserve"> cluster analysis. Cluster analysis is defined as “</w:t>
      </w:r>
      <w:r w:rsidRPr="009C3917">
        <w:t>the analysis of the unknown structure of a multidimensional data set by determining a (small) number of meaningful groups of objects or variables according to a chosen (</w:t>
      </w:r>
      <w:proofErr w:type="spellStart"/>
      <w:r w:rsidRPr="009C3917">
        <w:t>dis</w:t>
      </w:r>
      <w:proofErr w:type="spellEnd"/>
      <w:r w:rsidRPr="009C3917">
        <w:t>)similarity measure</w:t>
      </w:r>
      <w:r>
        <w:t>” (</w:t>
      </w:r>
      <w:proofErr w:type="spellStart"/>
      <w:r>
        <w:rPr>
          <w:noProof/>
        </w:rPr>
        <w:t>Anderberg</w:t>
      </w:r>
      <w:proofErr w:type="spellEnd"/>
      <w:r>
        <w:t xml:space="preserve">, 1973). The objective in cluster analysis is to place </w:t>
      </w:r>
      <w:r w:rsidRPr="009C3917">
        <w:t xml:space="preserve">objects into </w:t>
      </w:r>
      <w:r>
        <w:t>clusters, suggested by the data and</w:t>
      </w:r>
      <w:r w:rsidRPr="009C3917">
        <w:t xml:space="preserve"> not defined a priori, such that objects in a given cluster tend to be similar to each other in some sense and </w:t>
      </w:r>
      <w:r>
        <w:t>dissimilar to objects in other clusters</w:t>
      </w:r>
      <w:r w:rsidRPr="009C3917">
        <w:t xml:space="preserve">. </w:t>
      </w:r>
      <w:r>
        <w:t>C</w:t>
      </w:r>
      <w:r w:rsidRPr="009C3917">
        <w:t xml:space="preserve">luster analysis simply discovers </w:t>
      </w:r>
      <w:r>
        <w:t xml:space="preserve">(possibly hidden) </w:t>
      </w:r>
      <w:r w:rsidRPr="009C3917">
        <w:t xml:space="preserve">structures in data without </w:t>
      </w:r>
      <w:r w:rsidR="00B02790">
        <w:t xml:space="preserve">necessarily </w:t>
      </w:r>
      <w:r w:rsidRPr="009C3917">
        <w:t>explaining why they exist.</w:t>
      </w:r>
    </w:p>
    <w:p w:rsidR="00171C3C" w:rsidRDefault="00171C3C" w:rsidP="00EC09EB"/>
    <w:p w:rsidR="00171C3C" w:rsidRDefault="00171C3C" w:rsidP="00EC09EB">
      <w:r>
        <w:t xml:space="preserve">Clustering is an unsupervised data mining task. No single attribute </w:t>
      </w:r>
      <w:r w:rsidR="008916BA">
        <w:t xml:space="preserve">is </w:t>
      </w:r>
      <w:r>
        <w:t xml:space="preserve">used to guide the training process and so all input attributes are treated equally. The number of clusters was not specified a priori in this study; SQL Server’s clustering algorithm was allowed to explore and identify the optimal choice using a heuristic embedded within the program. The cluster-assignment algorithm used in this study was the </w:t>
      </w:r>
      <w:r w:rsidRPr="009C3917">
        <w:t>Expectation Maximization (EM)</w:t>
      </w:r>
      <w:r>
        <w:t>. This assignment method uses a probabilistic measure to determine which objects belong to which clusters.</w:t>
      </w:r>
      <w:r w:rsidRPr="00407A6C">
        <w:t xml:space="preserve"> </w:t>
      </w:r>
      <w:r>
        <w:t>The clustering algorithm considers multiple cluster models with different initialisation parameters and cluster numbers and identifies the best one. The results obtained from the cluster analysis in our study are discussed in the next section.</w:t>
      </w:r>
    </w:p>
    <w:p w:rsidR="00171C3C" w:rsidRDefault="00171C3C" w:rsidP="00EC09EB">
      <w:pPr>
        <w:pStyle w:val="NormalIndent"/>
        <w:rPr>
          <w:lang w:val="en-GB"/>
        </w:rPr>
      </w:pPr>
    </w:p>
    <w:p w:rsidR="00171C3C" w:rsidRDefault="00B869BB" w:rsidP="00EC09EB">
      <w:pPr>
        <w:pStyle w:val="NormalIndent"/>
        <w:rPr>
          <w:lang w:val="en-GB"/>
        </w:rPr>
      </w:pPr>
      <w:r w:rsidRPr="00B869BB">
        <w:rPr>
          <w:noProof/>
          <w:lang w:val="en-GB" w:eastAsia="en-GB"/>
        </w:rPr>
        <w:lastRenderedPageBreak/>
        <w:drawing>
          <wp:inline distT="0" distB="0" distL="0" distR="0">
            <wp:extent cx="5731510" cy="394849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731510" cy="3948493"/>
                    </a:xfrm>
                    <a:prstGeom prst="rect">
                      <a:avLst/>
                    </a:prstGeom>
                    <a:noFill/>
                    <a:ln w="9525">
                      <a:noFill/>
                      <a:miter lim="800000"/>
                      <a:headEnd/>
                      <a:tailEnd/>
                    </a:ln>
                  </pic:spPr>
                </pic:pic>
              </a:graphicData>
            </a:graphic>
          </wp:inline>
        </w:drawing>
      </w:r>
    </w:p>
    <w:p w:rsidR="00171C3C" w:rsidRDefault="00171C3C" w:rsidP="00EC09EB">
      <w:pPr>
        <w:pStyle w:val="NormalIndent"/>
        <w:jc w:val="center"/>
        <w:rPr>
          <w:i/>
          <w:lang w:val="en-GB"/>
        </w:rPr>
      </w:pPr>
      <w:r w:rsidRPr="00444549">
        <w:rPr>
          <w:b/>
        </w:rPr>
        <w:t xml:space="preserve">Figure </w:t>
      </w:r>
      <w:proofErr w:type="gramStart"/>
      <w:r>
        <w:rPr>
          <w:b/>
        </w:rPr>
        <w:t>2</w:t>
      </w:r>
      <w:proofErr w:type="gramEnd"/>
      <w:r w:rsidRPr="007B4962">
        <w:t xml:space="preserve"> </w:t>
      </w:r>
      <w:r>
        <w:rPr>
          <w:i/>
          <w:lang w:val="en-GB"/>
        </w:rPr>
        <w:t>Distribution of A&amp;E Self-referral rates</w:t>
      </w:r>
    </w:p>
    <w:p w:rsidR="00171C3C" w:rsidRDefault="00171C3C" w:rsidP="00EC09EB">
      <w:pPr>
        <w:pStyle w:val="NormalIndent"/>
        <w:jc w:val="center"/>
      </w:pPr>
    </w:p>
    <w:p w:rsidR="00171C3C" w:rsidRDefault="00171C3C" w:rsidP="00EC09EB">
      <w:pPr>
        <w:pStyle w:val="Heading1"/>
      </w:pPr>
      <w:r>
        <w:t>RESULTS</w:t>
      </w:r>
    </w:p>
    <w:p w:rsidR="00171C3C" w:rsidRDefault="00171C3C" w:rsidP="00EC09EB">
      <w:pPr>
        <w:pStyle w:val="NormalIndent"/>
        <w:ind w:firstLine="0"/>
        <w:rPr>
          <w:sz w:val="22"/>
          <w:lang w:val="en-GB"/>
        </w:rPr>
      </w:pPr>
      <w:r w:rsidRPr="00E649FD">
        <w:rPr>
          <w:sz w:val="22"/>
          <w:lang w:val="en-GB"/>
        </w:rPr>
        <w:t xml:space="preserve">The clustering algorithm identified </w:t>
      </w:r>
      <w:r>
        <w:rPr>
          <w:sz w:val="22"/>
          <w:lang w:val="en-GB"/>
        </w:rPr>
        <w:t xml:space="preserve">five distinct clusters in our data set. The algorithm also identified deprivation (attribute number 1), A&amp;E self-referral rate and patient experience (attributes numbers 33 to 39) as the characteristics that distinguished the different clusters. Summary statistics for each of these attributes were calculated and an examination of the cluster profiles was undertaken. This involved comparing how the clusters performed with respect to each of the distinguishing attributes. The five clusters identified are described </w:t>
      </w:r>
      <w:r w:rsidR="00503BF5">
        <w:rPr>
          <w:sz w:val="22"/>
          <w:lang w:val="en-GB"/>
        </w:rPr>
        <w:t>in the following paragraph</w:t>
      </w:r>
      <w:r w:rsidR="00B869BB">
        <w:rPr>
          <w:sz w:val="22"/>
          <w:lang w:val="en-GB"/>
        </w:rPr>
        <w:t xml:space="preserve"> and the associated cluster diagrams and summary statistics are given in Figures </w:t>
      </w:r>
      <w:proofErr w:type="gramStart"/>
      <w:r w:rsidR="00B869BB">
        <w:rPr>
          <w:sz w:val="22"/>
          <w:lang w:val="en-GB"/>
        </w:rPr>
        <w:t>3 and 4</w:t>
      </w:r>
      <w:proofErr w:type="gramEnd"/>
      <w:r w:rsidR="00B869BB">
        <w:rPr>
          <w:sz w:val="22"/>
          <w:lang w:val="en-GB"/>
        </w:rPr>
        <w:t xml:space="preserve"> and Table 1</w:t>
      </w:r>
      <w:r w:rsidR="00503BF5">
        <w:rPr>
          <w:sz w:val="22"/>
          <w:lang w:val="en-GB"/>
        </w:rPr>
        <w:t xml:space="preserve">. </w:t>
      </w:r>
      <w:r w:rsidR="00B869BB">
        <w:rPr>
          <w:sz w:val="22"/>
          <w:lang w:val="en-GB"/>
        </w:rPr>
        <w:t xml:space="preserve">The cluster diagrams are conceptual representations of the relationships between the different clusters. These relationships are inferred from the summary statistics in Table 1. </w:t>
      </w:r>
      <w:r>
        <w:rPr>
          <w:sz w:val="22"/>
          <w:lang w:val="en-GB"/>
        </w:rPr>
        <w:t xml:space="preserve">The statistic </w:t>
      </w:r>
      <w:r w:rsidR="00B869BB">
        <w:rPr>
          <w:sz w:val="22"/>
          <w:lang w:val="en-GB"/>
        </w:rPr>
        <w:t xml:space="preserve">given </w:t>
      </w:r>
      <w:r>
        <w:rPr>
          <w:sz w:val="22"/>
          <w:lang w:val="en-GB"/>
        </w:rPr>
        <w:t>in the case of the IT infrastructure attributes</w:t>
      </w:r>
      <w:r w:rsidR="00B869BB">
        <w:rPr>
          <w:sz w:val="22"/>
          <w:lang w:val="en-GB"/>
        </w:rPr>
        <w:t xml:space="preserve"> is</w:t>
      </w:r>
      <w:r>
        <w:rPr>
          <w:sz w:val="22"/>
          <w:lang w:val="en-GB"/>
        </w:rPr>
        <w:t xml:space="preserve"> the percentage of practices that have adopted the identified online technology. </w:t>
      </w:r>
      <w:r w:rsidR="00B869BB">
        <w:rPr>
          <w:sz w:val="22"/>
          <w:lang w:val="en-GB"/>
        </w:rPr>
        <w:t>For all the other attributes, the three statistics given are, respectively, the median, 5</w:t>
      </w:r>
      <w:r w:rsidR="00B869BB" w:rsidRPr="00272A1E">
        <w:rPr>
          <w:sz w:val="22"/>
          <w:vertAlign w:val="superscript"/>
          <w:lang w:val="en-GB"/>
        </w:rPr>
        <w:t>th</w:t>
      </w:r>
      <w:r w:rsidR="00B869BB">
        <w:rPr>
          <w:sz w:val="22"/>
          <w:lang w:val="en-GB"/>
        </w:rPr>
        <w:t xml:space="preserve"> and 95</w:t>
      </w:r>
      <w:r w:rsidR="00B869BB" w:rsidRPr="00272A1E">
        <w:rPr>
          <w:sz w:val="22"/>
          <w:vertAlign w:val="superscript"/>
          <w:lang w:val="en-GB"/>
        </w:rPr>
        <w:t>th</w:t>
      </w:r>
      <w:r w:rsidR="00B869BB">
        <w:rPr>
          <w:sz w:val="22"/>
          <w:lang w:val="en-GB"/>
        </w:rPr>
        <w:t xml:space="preserve"> percentiles.</w:t>
      </w:r>
    </w:p>
    <w:p w:rsidR="00171C3C" w:rsidRDefault="00171C3C" w:rsidP="00EC09EB">
      <w:pPr>
        <w:pStyle w:val="NormalIndent"/>
        <w:ind w:firstLine="0"/>
        <w:rPr>
          <w:sz w:val="22"/>
          <w:lang w:val="en-GB"/>
        </w:rPr>
      </w:pPr>
    </w:p>
    <w:p w:rsidR="00171C3C" w:rsidRDefault="00171C3C" w:rsidP="00EC09EB">
      <w:pPr>
        <w:pStyle w:val="NormalIndent"/>
        <w:ind w:firstLine="0"/>
        <w:rPr>
          <w:sz w:val="22"/>
          <w:lang w:val="en-GB"/>
        </w:rPr>
      </w:pPr>
      <w:r>
        <w:rPr>
          <w:sz w:val="22"/>
          <w:lang w:val="en-GB"/>
        </w:rPr>
        <w:t>The clusters can be characterised as follows:</w:t>
      </w:r>
    </w:p>
    <w:p w:rsidR="00171C3C" w:rsidRDefault="00171C3C" w:rsidP="00EC09EB">
      <w:pPr>
        <w:pStyle w:val="ListParagraph"/>
        <w:numPr>
          <w:ilvl w:val="0"/>
          <w:numId w:val="27"/>
        </w:numPr>
        <w:ind w:left="584" w:hanging="357"/>
      </w:pPr>
      <w:r w:rsidRPr="00272A1E">
        <w:rPr>
          <w:b/>
        </w:rPr>
        <w:t>‘Affluent’</w:t>
      </w:r>
      <w:r>
        <w:t xml:space="preserve">: This cluster is defined by low levels of deprivation among the patient population and exceptionally low level of A&amp;E self-referral attendance. Practices in this cluster generally have patient populations with low deprivation rates (attribute 1). According to the GP Survey responses, patients registered at these practices also hold very positive views of the service provided at their local GP practice (attributes 33 to 39). When compared to all the other clusters, practices in this cluster have </w:t>
      </w:r>
      <w:r w:rsidR="008916BA">
        <w:t>not only</w:t>
      </w:r>
      <w:r>
        <w:t xml:space="preserve"> lower A&amp;E self-referral rates (attribute 2) </w:t>
      </w:r>
      <w:r w:rsidR="008916BA">
        <w:t xml:space="preserve">but also </w:t>
      </w:r>
      <w:r>
        <w:t>higher adoption rates for online (attributes 27 to 32).</w:t>
      </w:r>
    </w:p>
    <w:p w:rsidR="00171C3C" w:rsidRDefault="00171C3C" w:rsidP="00EC09EB">
      <w:pPr>
        <w:pStyle w:val="ListParagraph"/>
        <w:numPr>
          <w:ilvl w:val="0"/>
          <w:numId w:val="27"/>
        </w:numPr>
        <w:ind w:left="584" w:hanging="357"/>
      </w:pPr>
      <w:r w:rsidRPr="00272A1E">
        <w:rPr>
          <w:b/>
        </w:rPr>
        <w:t>‘Impressed’</w:t>
      </w:r>
      <w:r>
        <w:t>: This cluster is defined by the exceptionally high levels of patient satisfaction. Practices falling in this cluster achieved remarkably positive results in terms of patient experience of care (attributes 33 to 39). The deprivation rates in this cluster are slightly higher than those in the Affluent cluster and the adoption rates for online technology are lower. The A&amp;E self-referral rates are markedly higher when compared to the Affluent cluster but they are also lower than the other three clusters.</w:t>
      </w:r>
    </w:p>
    <w:p w:rsidR="00171C3C" w:rsidRDefault="00171C3C" w:rsidP="00EC09EB">
      <w:pPr>
        <w:pStyle w:val="ListParagraph"/>
        <w:numPr>
          <w:ilvl w:val="0"/>
          <w:numId w:val="27"/>
        </w:numPr>
        <w:ind w:left="584" w:hanging="357"/>
      </w:pPr>
      <w:r w:rsidRPr="00272A1E">
        <w:rPr>
          <w:b/>
        </w:rPr>
        <w:lastRenderedPageBreak/>
        <w:t>‘</w:t>
      </w:r>
      <w:r>
        <w:rPr>
          <w:b/>
        </w:rPr>
        <w:t>Dissatisfied</w:t>
      </w:r>
      <w:r w:rsidRPr="00272A1E">
        <w:rPr>
          <w:b/>
        </w:rPr>
        <w:t>’</w:t>
      </w:r>
      <w:r>
        <w:t xml:space="preserve">: This cluster is in many respects the opposite of the </w:t>
      </w:r>
      <w:proofErr w:type="gramStart"/>
      <w:r>
        <w:t>Impressed</w:t>
      </w:r>
      <w:proofErr w:type="gramEnd"/>
      <w:r>
        <w:t xml:space="preserve"> cluster. This cluster performs worse than all the other clusters in terms of patient experience. A&amp;E self-referral rates and deprivation rates among the patient population are </w:t>
      </w:r>
      <w:r w:rsidR="001B32A9">
        <w:t xml:space="preserve">also </w:t>
      </w:r>
      <w:r>
        <w:t xml:space="preserve">high. An examination of the IT infrastructure attributes reveals that this cluster performs </w:t>
      </w:r>
      <w:r w:rsidR="008916BA">
        <w:t xml:space="preserve">particularly poorly </w:t>
      </w:r>
      <w:r>
        <w:t>on attributes 30 and 31 (booking or cancelling appointments online electronically and ordering repeat prescription electronically).</w:t>
      </w:r>
    </w:p>
    <w:p w:rsidR="00171C3C" w:rsidRDefault="00171C3C" w:rsidP="00EC09EB">
      <w:pPr>
        <w:pStyle w:val="ListParagraph"/>
        <w:numPr>
          <w:ilvl w:val="0"/>
          <w:numId w:val="27"/>
        </w:numPr>
        <w:ind w:left="584" w:hanging="357"/>
      </w:pPr>
      <w:r w:rsidRPr="00272A1E">
        <w:rPr>
          <w:b/>
        </w:rPr>
        <w:t>‘Maverick’</w:t>
      </w:r>
      <w:r>
        <w:t xml:space="preserve">: This cluster is the most mystifying of all five clusters. Patients registered at practices falling in this cluster have a fairly good experience of care at their local GP practice. The patient experience responses are even more positive when compared to those of the </w:t>
      </w:r>
      <w:r w:rsidR="001B32A9">
        <w:t>A</w:t>
      </w:r>
      <w:r>
        <w:t xml:space="preserve">ffluent cluster. However, despite these positive patient experience results, this cluster also exhibits A&amp;E self-referral rates as high as those observed for the </w:t>
      </w:r>
      <w:proofErr w:type="gramStart"/>
      <w:r>
        <w:t>Dissatisfied</w:t>
      </w:r>
      <w:proofErr w:type="gramEnd"/>
      <w:r>
        <w:t xml:space="preserve"> cluster. Our data does not allow us to find out why this is the case but one possible explanation might be that there are some patients associated with this cluster who have favourable views of the service provided by their local GP but still prefer going to A&amp;E. The levels of deprivation </w:t>
      </w:r>
      <w:r w:rsidR="008916BA">
        <w:t xml:space="preserve">in this cluster </w:t>
      </w:r>
      <w:r>
        <w:t xml:space="preserve">are similar to those in the </w:t>
      </w:r>
      <w:proofErr w:type="gramStart"/>
      <w:r>
        <w:t>Dissatisfied</w:t>
      </w:r>
      <w:proofErr w:type="gramEnd"/>
      <w:r>
        <w:t xml:space="preserve"> cluster. </w:t>
      </w:r>
    </w:p>
    <w:p w:rsidR="00171C3C" w:rsidRDefault="00171C3C" w:rsidP="00EC09EB">
      <w:pPr>
        <w:pStyle w:val="ListParagraph"/>
        <w:numPr>
          <w:ilvl w:val="0"/>
          <w:numId w:val="27"/>
        </w:numPr>
        <w:ind w:left="584" w:hanging="357"/>
      </w:pPr>
      <w:r w:rsidRPr="00272A1E">
        <w:rPr>
          <w:b/>
        </w:rPr>
        <w:t>‘</w:t>
      </w:r>
      <w:r>
        <w:rPr>
          <w:b/>
        </w:rPr>
        <w:t>Nondescript</w:t>
      </w:r>
      <w:r w:rsidRPr="00272A1E">
        <w:rPr>
          <w:b/>
        </w:rPr>
        <w:t>’</w:t>
      </w:r>
      <w:r>
        <w:t xml:space="preserve">: This cluster does not have any particular characteristics that distinguish </w:t>
      </w:r>
      <w:r w:rsidR="001B32A9">
        <w:t xml:space="preserve">it                                                                                                                                                                                                                                                                                                                                                                                                                                                                                                                                                                                                                                                                                                                                                                                                                                                                                                                                                                                                                                              </w:t>
      </w:r>
      <w:r>
        <w:t>from the four other clusters.  It is however more similar to the Dissatisfied and Maverick clusters</w:t>
      </w:r>
      <w:r w:rsidR="008916BA">
        <w:t xml:space="preserve"> than the two other clusters. The Nondescript cluster has relatively high A&amp;E self-referral rates and mediocre performance for patient care experience. Deprivation rates are high but noticeably lower than those observed in the Dissatisfied and Maverick clusters. </w:t>
      </w:r>
    </w:p>
    <w:p w:rsidR="00171C3C" w:rsidRDefault="00171C3C" w:rsidP="00EC09EB"/>
    <w:p w:rsidR="00171C3C" w:rsidRDefault="00171C3C" w:rsidP="00EC09EB">
      <w:pPr>
        <w:pStyle w:val="NormalIndent"/>
        <w:ind w:firstLine="0"/>
        <w:rPr>
          <w:sz w:val="22"/>
          <w:lang w:val="en-GB"/>
        </w:rPr>
      </w:pPr>
    </w:p>
    <w:p w:rsidR="00171C3C" w:rsidRPr="00D90467" w:rsidRDefault="005F2B0C" w:rsidP="00EC09EB">
      <w:pPr>
        <w:pStyle w:val="NormalIndent"/>
        <w:ind w:firstLine="0"/>
        <w:rPr>
          <w:sz w:val="22"/>
          <w:lang w:val="en-GB"/>
        </w:rPr>
      </w:pPr>
      <w:r w:rsidRPr="005F2B0C">
        <w:rPr>
          <w:sz w:val="22"/>
          <w:lang w:val="en-GB"/>
        </w:rPr>
      </w:r>
      <w:r w:rsidR="001B32A9">
        <w:rPr>
          <w:sz w:val="22"/>
          <w:lang w:val="en-GB"/>
        </w:rPr>
        <w:pict>
          <v:group id="_x0000_s1026" editas="canvas" style="width:468pt;height:343.95pt;mso-position-horizontal-relative:char;mso-position-vertical-relative:line" coordorigin="1440,1266" coordsize="9360,6879">
            <o:lock v:ext="edit" aspectratio="t"/>
            <v:shape id="_x0000_s1027" type="#_x0000_t75" style="position:absolute;left:1440;top:1266;width:9360;height:6879" o:preferrelative="f">
              <v:fill o:detectmouseclick="t"/>
              <v:path o:extrusionok="t" o:connecttype="none"/>
              <o:lock v:ext="edit" text="t"/>
            </v:shape>
            <v:shape id="_x0000_s1028" type="#_x0000_t32" style="position:absolute;left:3341;top:7246;width:6400;height:1" o:connectortype="straight" strokeweight="3pt"/>
            <v:shape id="_x0000_s1029" type="#_x0000_t32" style="position:absolute;left:3341;top:2029;width:1;height:5218;flip:y" o:connectortype="straight" strokeweight="3pt"/>
            <v:oval id="_x0000_s1030" style="position:absolute;left:3660;top:2394;width:1500;height:570" strokeweight="1.5pt">
              <v:textbox style="mso-next-textbox:#_x0000_s1030">
                <w:txbxContent>
                  <w:p w:rsidR="00EC09EB" w:rsidRPr="00272A1E" w:rsidRDefault="00EC09EB" w:rsidP="00EC09EB">
                    <w:pPr>
                      <w:rPr>
                        <w:rFonts w:ascii="Arial" w:hAnsi="Arial" w:cs="Arial"/>
                        <w:b/>
                      </w:rPr>
                    </w:pPr>
                    <w:r w:rsidRPr="00272A1E">
                      <w:rPr>
                        <w:rFonts w:ascii="Arial" w:hAnsi="Arial" w:cs="Arial"/>
                        <w:b/>
                      </w:rPr>
                      <w:t>Affluent</w:t>
                    </w:r>
                  </w:p>
                </w:txbxContent>
              </v:textbox>
            </v:oval>
            <v:oval id="_x0000_s1031" style="position:absolute;left:4530;top:3105;width:1900;height:570" strokeweight="1.5pt">
              <v:textbox style="mso-next-textbox:#_x0000_s1031">
                <w:txbxContent>
                  <w:p w:rsidR="00EC09EB" w:rsidRPr="00272A1E" w:rsidRDefault="00EC09EB" w:rsidP="00EC09EB">
                    <w:pPr>
                      <w:rPr>
                        <w:rFonts w:ascii="Arial" w:hAnsi="Arial" w:cs="Arial"/>
                        <w:b/>
                      </w:rPr>
                    </w:pPr>
                    <w:r w:rsidRPr="00272A1E">
                      <w:rPr>
                        <w:rFonts w:ascii="Arial" w:hAnsi="Arial" w:cs="Arial"/>
                        <w:b/>
                      </w:rPr>
                      <w:t>Impressed</w:t>
                    </w:r>
                  </w:p>
                </w:txbxContent>
              </v:textbox>
            </v:oval>
            <v:oval id="_x0000_s1032" style="position:absolute;left:6014;top:5484;width:2300;height:570" strokeweight="1.5pt">
              <v:textbox style="mso-next-textbox:#_x0000_s1032">
                <w:txbxContent>
                  <w:p w:rsidR="00EC09EB" w:rsidRPr="00272A1E" w:rsidRDefault="00EC09EB" w:rsidP="00EC09EB">
                    <w:pPr>
                      <w:rPr>
                        <w:b/>
                      </w:rPr>
                    </w:pPr>
                    <w:r w:rsidRPr="00272A1E">
                      <w:rPr>
                        <w:rFonts w:ascii="Arial" w:hAnsi="Arial" w:cs="Arial"/>
                        <w:b/>
                      </w:rPr>
                      <w:t>Nondescript</w:t>
                    </w:r>
                  </w:p>
                </w:txbxContent>
              </v:textbox>
            </v:oval>
            <v:oval id="_x0000_s1033" style="position:absolute;left:6537;top:6450;width:1700;height:570" strokeweight="1.5pt">
              <v:fill opacity="0"/>
              <v:textbox style="mso-next-textbox:#_x0000_s1033" inset="0,1.3mm">
                <w:txbxContent>
                  <w:p w:rsidR="00EC09EB" w:rsidRPr="00272A1E" w:rsidRDefault="00EC09EB" w:rsidP="00B869BB">
                    <w:pPr>
                      <w:rPr>
                        <w:rFonts w:ascii="Arial" w:hAnsi="Arial" w:cs="Arial"/>
                        <w:b/>
                      </w:rPr>
                    </w:pPr>
                    <w:r w:rsidRPr="00272A1E">
                      <w:rPr>
                        <w:rFonts w:ascii="Arial" w:hAnsi="Arial" w:cs="Arial"/>
                        <w:b/>
                      </w:rPr>
                      <w:t>Maverick</w:t>
                    </w:r>
                  </w:p>
                </w:txbxContent>
              </v:textbox>
            </v:oval>
            <v:oval id="_x0000_s1034" style="position:absolute;left:7440;top:6450;width:2100;height:570;v-text-anchor:bottom" strokeweight="1.5pt">
              <v:fill opacity="0"/>
              <v:textbox style="mso-next-textbox:#_x0000_s1034" inset="2.5mm,,0">
                <w:txbxContent>
                  <w:p w:rsidR="00EC09EB" w:rsidRPr="00272A1E" w:rsidRDefault="00EC09EB" w:rsidP="00B869BB">
                    <w:pPr>
                      <w:jc w:val="left"/>
                      <w:rPr>
                        <w:rFonts w:ascii="Arial" w:hAnsi="Arial" w:cs="Arial"/>
                        <w:b/>
                      </w:rPr>
                    </w:pPr>
                    <w:r w:rsidRPr="00272A1E">
                      <w:rPr>
                        <w:rFonts w:ascii="Arial" w:hAnsi="Arial" w:cs="Arial"/>
                        <w:b/>
                      </w:rPr>
                      <w:t>Dissatisfied</w:t>
                    </w:r>
                  </w:p>
                </w:txbxContent>
              </v:textbox>
            </v:oval>
            <v:shapetype id="_x0000_t202" coordsize="21600,21600" o:spt="202" path="m,l,21600r21600,l21600,xe">
              <v:stroke joinstyle="miter"/>
              <v:path gradientshapeok="t" o:connecttype="rect"/>
            </v:shapetype>
            <v:shape id="_x0000_s1035" type="#_x0000_t202" style="position:absolute;left:2640;top:3705;width:500;height:2178" filled="f" stroked="f" strokecolor="black [3213]">
              <v:textbox style="layout-flow:vertical;mso-layout-flow-alt:bottom-to-top;mso-next-textbox:#_x0000_s1035">
                <w:txbxContent>
                  <w:p w:rsidR="00EC09EB" w:rsidRPr="00272A1E" w:rsidRDefault="00B869BB" w:rsidP="00EC09EB">
                    <w:pPr>
                      <w:rPr>
                        <w:rFonts w:ascii="Arial" w:hAnsi="Arial" w:cs="Arial"/>
                        <w:b/>
                      </w:rPr>
                    </w:pPr>
                    <w:r>
                      <w:rPr>
                        <w:rFonts w:ascii="Arial" w:hAnsi="Arial" w:cs="Arial"/>
                        <w:b/>
                      </w:rPr>
                      <w:t>Deprivation levels</w:t>
                    </w:r>
                    <w:r w:rsidR="001B32A9">
                      <w:rPr>
                        <w:rFonts w:ascii="Arial" w:hAnsi="Arial" w:cs="Arial"/>
                        <w:b/>
                      </w:rPr>
                      <w:t xml:space="preserve"> </w:t>
                    </w:r>
                  </w:p>
                </w:txbxContent>
              </v:textbox>
            </v:shape>
            <v:shape id="_x0000_s1036" type="#_x0000_t32" style="position:absolute;left:2890;top:5883;width:1;height:1425" o:connectortype="straight" strokeweight="1.5pt">
              <v:stroke endarrow="block"/>
            </v:shape>
            <v:shape id="_x0000_s1037" type="#_x0000_t32" style="position:absolute;left:2890;top:2629;width:1;height:1076;flip:y" o:connectortype="straight" strokeweight="1.5pt">
              <v:stroke endarrow="block"/>
            </v:shape>
            <v:shape id="_x0000_s1038" type="#_x0000_t202" style="position:absolute;left:2240;top:2160;width:600;height:1545" stroked="f">
              <v:textbox style="layout-flow:vertical;mso-layout-flow-alt:bottom-to-top;mso-next-textbox:#_x0000_s1038">
                <w:txbxContent>
                  <w:p w:rsidR="00EC09EB" w:rsidRPr="00272A1E" w:rsidRDefault="00B869BB" w:rsidP="001B32A9">
                    <w:pPr>
                      <w:jc w:val="right"/>
                      <w:rPr>
                        <w:rFonts w:ascii="Arial" w:hAnsi="Arial" w:cs="Arial"/>
                        <w:i/>
                      </w:rPr>
                    </w:pPr>
                    <w:r>
                      <w:rPr>
                        <w:rFonts w:ascii="Arial" w:hAnsi="Arial" w:cs="Arial"/>
                        <w:i/>
                      </w:rPr>
                      <w:t>Low</w:t>
                    </w:r>
                  </w:p>
                </w:txbxContent>
              </v:textbox>
            </v:shape>
            <v:shape id="_x0000_s1039" type="#_x0000_t202" style="position:absolute;left:2240;top:5699;width:600;height:1545" stroked="f">
              <v:textbox style="layout-flow:vertical;mso-layout-flow-alt:bottom-to-top;mso-next-textbox:#_x0000_s1039">
                <w:txbxContent>
                  <w:p w:rsidR="00EC09EB" w:rsidRPr="00272A1E" w:rsidRDefault="00B869BB" w:rsidP="00EC09EB">
                    <w:pPr>
                      <w:rPr>
                        <w:rFonts w:ascii="Arial" w:hAnsi="Arial" w:cs="Arial"/>
                        <w:i/>
                      </w:rPr>
                    </w:pPr>
                    <w:r>
                      <w:rPr>
                        <w:rFonts w:ascii="Arial" w:hAnsi="Arial" w:cs="Arial"/>
                        <w:i/>
                      </w:rPr>
                      <w:t>High</w:t>
                    </w:r>
                  </w:p>
                </w:txbxContent>
              </v:textbox>
            </v:shape>
            <v:shape id="_x0000_s1040" type="#_x0000_t202" style="position:absolute;left:5340;top:7425;width:2700;height:375" stroked="f">
              <v:textbox style="mso-next-textbox:#_x0000_s1040">
                <w:txbxContent>
                  <w:p w:rsidR="00EC09EB" w:rsidRPr="00272A1E" w:rsidRDefault="00EC09EB">
                    <w:pPr>
                      <w:rPr>
                        <w:b/>
                      </w:rPr>
                    </w:pPr>
                    <w:r w:rsidRPr="00272A1E">
                      <w:rPr>
                        <w:b/>
                      </w:rPr>
                      <w:t>A&amp;E Self-referral rate</w:t>
                    </w:r>
                  </w:p>
                </w:txbxContent>
              </v:textbox>
            </v:shape>
            <v:shape id="_x0000_s1041" type="#_x0000_t32" style="position:absolute;left:3342;top:7613;width:1998;height:7;flip:x" o:connectortype="straight" strokeweight="1.5pt">
              <v:stroke endarrow="block"/>
            </v:shape>
            <v:shape id="_x0000_s1042" type="#_x0000_t32" style="position:absolute;left:8040;top:7613;width:1700;height:0" o:connectortype="straight" strokeweight="1.5pt">
              <v:stroke endarrow="block"/>
            </v:shape>
            <v:shape id="_x0000_s1043" type="#_x0000_t202" style="position:absolute;left:3341;top:7710;width:799;height:360" stroked="f">
              <v:textbox style="mso-next-textbox:#_x0000_s1043">
                <w:txbxContent>
                  <w:p w:rsidR="00EC09EB" w:rsidRPr="00272A1E" w:rsidRDefault="00EC09EB">
                    <w:pPr>
                      <w:rPr>
                        <w:i/>
                      </w:rPr>
                    </w:pPr>
                    <w:r w:rsidRPr="00272A1E">
                      <w:rPr>
                        <w:i/>
                      </w:rPr>
                      <w:t>Low</w:t>
                    </w:r>
                  </w:p>
                </w:txbxContent>
              </v:textbox>
            </v:shape>
            <v:shape id="_x0000_s1044" type="#_x0000_t202" style="position:absolute;left:8840;top:7710;width:900;height:435" stroked="f">
              <v:textbox style="mso-next-textbox:#_x0000_s1044">
                <w:txbxContent>
                  <w:p w:rsidR="00EC09EB" w:rsidRPr="00272A1E" w:rsidRDefault="00EC09EB">
                    <w:pPr>
                      <w:rPr>
                        <w:i/>
                      </w:rPr>
                    </w:pPr>
                    <w:r w:rsidRPr="00272A1E">
                      <w:rPr>
                        <w:i/>
                      </w:rPr>
                      <w:t>High</w:t>
                    </w:r>
                  </w:p>
                </w:txbxContent>
              </v:textbox>
            </v:shape>
            <w10:wrap type="none"/>
            <w10:anchorlock/>
          </v:group>
        </w:pict>
      </w:r>
    </w:p>
    <w:p w:rsidR="00171C3C" w:rsidRDefault="00171C3C" w:rsidP="00EC09EB">
      <w:pPr>
        <w:pStyle w:val="NormalIndent"/>
        <w:jc w:val="center"/>
        <w:rPr>
          <w:b/>
        </w:rPr>
      </w:pPr>
    </w:p>
    <w:p w:rsidR="00171C3C" w:rsidRDefault="00171C3C" w:rsidP="00EC09EB">
      <w:pPr>
        <w:pStyle w:val="NormalIndent"/>
        <w:jc w:val="center"/>
        <w:rPr>
          <w:i/>
          <w:lang w:val="en-GB"/>
        </w:rPr>
      </w:pPr>
      <w:r w:rsidRPr="00444549">
        <w:rPr>
          <w:b/>
        </w:rPr>
        <w:t xml:space="preserve">Figure </w:t>
      </w:r>
      <w:proofErr w:type="gramStart"/>
      <w:r>
        <w:rPr>
          <w:b/>
        </w:rPr>
        <w:t>3</w:t>
      </w:r>
      <w:proofErr w:type="gramEnd"/>
      <w:r w:rsidRPr="007B4962">
        <w:t xml:space="preserve"> </w:t>
      </w:r>
      <w:r w:rsidR="001B32A9">
        <w:rPr>
          <w:i/>
          <w:lang w:val="en-GB"/>
        </w:rPr>
        <w:t>Deprivation levels and A&amp;E Self-referral rate</w:t>
      </w:r>
      <w:r w:rsidR="001B32A9">
        <w:rPr>
          <w:rStyle w:val="FootnoteReference"/>
          <w:i/>
          <w:lang w:val="en-GB"/>
        </w:rPr>
        <w:footnoteReference w:id="3"/>
      </w:r>
    </w:p>
    <w:p w:rsidR="009A052C" w:rsidRDefault="009A052C" w:rsidP="009A052C"/>
    <w:p w:rsidR="009A052C" w:rsidRDefault="009A052C" w:rsidP="009A052C">
      <w:pPr>
        <w:pStyle w:val="NormalIndent"/>
        <w:ind w:firstLine="0"/>
        <w:rPr>
          <w:sz w:val="22"/>
          <w:lang w:val="en-GB"/>
        </w:rPr>
      </w:pPr>
    </w:p>
    <w:p w:rsidR="009A052C" w:rsidRPr="00D90467" w:rsidRDefault="009A052C" w:rsidP="009A052C">
      <w:pPr>
        <w:pStyle w:val="NormalIndent"/>
        <w:ind w:firstLine="0"/>
        <w:rPr>
          <w:sz w:val="22"/>
          <w:lang w:val="en-GB"/>
        </w:rPr>
      </w:pPr>
    </w:p>
    <w:p w:rsidR="009A052C" w:rsidRDefault="009A052C" w:rsidP="009A052C">
      <w:pPr>
        <w:pStyle w:val="NormalIndent"/>
        <w:jc w:val="center"/>
        <w:rPr>
          <w:b/>
        </w:rPr>
      </w:pPr>
    </w:p>
    <w:p w:rsidR="009A052C" w:rsidRDefault="009A052C" w:rsidP="00EC09EB">
      <w:pPr>
        <w:pStyle w:val="NormalIndent"/>
        <w:jc w:val="center"/>
      </w:pPr>
    </w:p>
    <w:p w:rsidR="00171C3C" w:rsidRDefault="00171C3C" w:rsidP="00EC09EB">
      <w:pPr>
        <w:pStyle w:val="NormalIndent"/>
        <w:ind w:firstLine="0"/>
        <w:rPr>
          <w:lang w:val="en-GB"/>
        </w:rPr>
      </w:pPr>
    </w:p>
    <w:p w:rsidR="00B869BB" w:rsidRPr="00D90467" w:rsidRDefault="005F2B0C" w:rsidP="00B869BB">
      <w:pPr>
        <w:pStyle w:val="NormalIndent"/>
        <w:ind w:firstLine="0"/>
        <w:rPr>
          <w:sz w:val="22"/>
          <w:lang w:val="en-GB"/>
        </w:rPr>
      </w:pPr>
      <w:r w:rsidRPr="005F2B0C">
        <w:rPr>
          <w:sz w:val="22"/>
          <w:lang w:val="en-GB"/>
        </w:rPr>
      </w:r>
      <w:r>
        <w:rPr>
          <w:sz w:val="22"/>
          <w:lang w:val="en-GB"/>
        </w:rPr>
        <w:pict>
          <v:group id="_x0000_s1075" editas="canvas" style="width:468pt;height:319.75pt;mso-position-horizontal-relative:char;mso-position-vertical-relative:line" coordorigin="1440,1750" coordsize="9360,6395">
            <o:lock v:ext="edit" aspectratio="t"/>
            <v:shape id="_x0000_s1076" type="#_x0000_t75" style="position:absolute;left:1440;top:1750;width:9360;height:6395" o:preferrelative="f">
              <v:fill o:detectmouseclick="t"/>
              <v:path o:extrusionok="t" o:connecttype="none"/>
              <o:lock v:ext="edit" text="t"/>
            </v:shape>
            <v:shape id="_x0000_s1077" type="#_x0000_t32" style="position:absolute;left:3341;top:7246;width:6400;height:1" o:connectortype="straight" strokeweight="3pt"/>
            <v:shape id="_x0000_s1078" type="#_x0000_t32" style="position:absolute;left:3341;top:2029;width:1;height:5218;flip:y" o:connectortype="straight" strokeweight="3pt"/>
            <v:oval id="_x0000_s1079" style="position:absolute;left:3493;top:4000;width:1500;height:570" strokeweight="1.5pt">
              <v:textbox style="mso-next-textbox:#_x0000_s1079">
                <w:txbxContent>
                  <w:p w:rsidR="00B869BB" w:rsidRPr="00272A1E" w:rsidRDefault="00B869BB" w:rsidP="00B869BB">
                    <w:pPr>
                      <w:rPr>
                        <w:rFonts w:ascii="Arial" w:hAnsi="Arial" w:cs="Arial"/>
                        <w:b/>
                      </w:rPr>
                    </w:pPr>
                    <w:r w:rsidRPr="00272A1E">
                      <w:rPr>
                        <w:rFonts w:ascii="Arial" w:hAnsi="Arial" w:cs="Arial"/>
                        <w:b/>
                      </w:rPr>
                      <w:t>Affluent</w:t>
                    </w:r>
                  </w:p>
                </w:txbxContent>
              </v:textbox>
            </v:oval>
            <v:oval id="_x0000_s1080" style="position:absolute;left:4839;top:2500;width:1900;height:570" strokeweight="1.5pt">
              <v:textbox style="mso-next-textbox:#_x0000_s1080">
                <w:txbxContent>
                  <w:p w:rsidR="00B869BB" w:rsidRPr="00272A1E" w:rsidRDefault="00B869BB" w:rsidP="00B869BB">
                    <w:pPr>
                      <w:rPr>
                        <w:rFonts w:ascii="Arial" w:hAnsi="Arial" w:cs="Arial"/>
                        <w:b/>
                      </w:rPr>
                    </w:pPr>
                    <w:r w:rsidRPr="00272A1E">
                      <w:rPr>
                        <w:rFonts w:ascii="Arial" w:hAnsi="Arial" w:cs="Arial"/>
                        <w:b/>
                      </w:rPr>
                      <w:t>Impressed</w:t>
                    </w:r>
                  </w:p>
                </w:txbxContent>
              </v:textbox>
            </v:oval>
            <v:oval id="_x0000_s1081" style="position:absolute;left:4552;top:5995;width:2300;height:570" strokeweight="1.5pt">
              <v:textbox style="mso-next-textbox:#_x0000_s1081">
                <w:txbxContent>
                  <w:p w:rsidR="00B869BB" w:rsidRPr="00272A1E" w:rsidRDefault="00B869BB" w:rsidP="00B869BB">
                    <w:pPr>
                      <w:rPr>
                        <w:b/>
                      </w:rPr>
                    </w:pPr>
                    <w:r w:rsidRPr="00272A1E">
                      <w:rPr>
                        <w:rFonts w:ascii="Arial" w:hAnsi="Arial" w:cs="Arial"/>
                        <w:b/>
                      </w:rPr>
                      <w:t>Nondescript</w:t>
                    </w:r>
                  </w:p>
                </w:txbxContent>
              </v:textbox>
            </v:oval>
            <v:oval id="_x0000_s1082" style="position:absolute;left:7140;top:3310;width:1700;height:570" strokeweight="1.5pt">
              <v:textbox style="mso-next-textbox:#_x0000_s1082">
                <w:txbxContent>
                  <w:p w:rsidR="00B869BB" w:rsidRPr="00272A1E" w:rsidRDefault="00B869BB" w:rsidP="00B869BB">
                    <w:pPr>
                      <w:rPr>
                        <w:rFonts w:ascii="Arial" w:hAnsi="Arial" w:cs="Arial"/>
                        <w:b/>
                      </w:rPr>
                    </w:pPr>
                    <w:r w:rsidRPr="00272A1E">
                      <w:rPr>
                        <w:rFonts w:ascii="Arial" w:hAnsi="Arial" w:cs="Arial"/>
                        <w:b/>
                      </w:rPr>
                      <w:t>Maverick</w:t>
                    </w:r>
                  </w:p>
                </w:txbxContent>
              </v:textbox>
            </v:oval>
            <v:oval id="_x0000_s1083" style="position:absolute;left:7993;top:6565;width:2100;height:570" strokeweight="1.5pt">
              <v:textbox style="mso-next-textbox:#_x0000_s1083">
                <w:txbxContent>
                  <w:p w:rsidR="00B869BB" w:rsidRPr="00272A1E" w:rsidRDefault="00B869BB" w:rsidP="00B869BB">
                    <w:pPr>
                      <w:rPr>
                        <w:rFonts w:ascii="Arial" w:hAnsi="Arial" w:cs="Arial"/>
                        <w:b/>
                      </w:rPr>
                    </w:pPr>
                    <w:r w:rsidRPr="00272A1E">
                      <w:rPr>
                        <w:rFonts w:ascii="Arial" w:hAnsi="Arial" w:cs="Arial"/>
                        <w:b/>
                      </w:rPr>
                      <w:t>Dissatisfied</w:t>
                    </w:r>
                  </w:p>
                </w:txbxContent>
              </v:textbox>
            </v:oval>
            <v:shape id="_x0000_s1084" type="#_x0000_t202" style="position:absolute;left:2640;top:3675;width:500;height:2145" filled="f" stroked="f" strokecolor="black [3213]">
              <v:textbox style="layout-flow:vertical;mso-layout-flow-alt:bottom-to-top;mso-next-textbox:#_x0000_s1084">
                <w:txbxContent>
                  <w:p w:rsidR="00B869BB" w:rsidRPr="00272A1E" w:rsidRDefault="00B869BB" w:rsidP="00B869BB">
                    <w:pPr>
                      <w:rPr>
                        <w:rFonts w:ascii="Arial" w:hAnsi="Arial" w:cs="Arial"/>
                        <w:b/>
                      </w:rPr>
                    </w:pPr>
                    <w:r w:rsidRPr="00272A1E">
                      <w:rPr>
                        <w:rFonts w:ascii="Arial" w:hAnsi="Arial" w:cs="Arial"/>
                        <w:b/>
                      </w:rPr>
                      <w:t xml:space="preserve">Patient Experience </w:t>
                    </w:r>
                  </w:p>
                </w:txbxContent>
              </v:textbox>
            </v:shape>
            <v:shape id="_x0000_s1085" type="#_x0000_t32" style="position:absolute;left:2890;top:5820;width:1;height:1425" o:connectortype="straight" strokeweight="1.5pt">
              <v:stroke endarrow="block"/>
            </v:shape>
            <v:shape id="_x0000_s1086" type="#_x0000_t32" style="position:absolute;left:2890;top:2104;width:1;height:1571;flip:y" o:connectortype="straight" strokeweight="1.5pt">
              <v:stroke endarrow="block"/>
            </v:shape>
            <v:shape id="_x0000_s1087" type="#_x0000_t202" style="position:absolute;left:2240;top:2160;width:600;height:1545" stroked="f">
              <v:textbox style="layout-flow:vertical;mso-layout-flow-alt:bottom-to-top;mso-next-textbox:#_x0000_s1087">
                <w:txbxContent>
                  <w:p w:rsidR="00B869BB" w:rsidRPr="00272A1E" w:rsidRDefault="00B869BB" w:rsidP="00B869BB">
                    <w:pPr>
                      <w:rPr>
                        <w:rFonts w:ascii="Arial" w:hAnsi="Arial" w:cs="Arial"/>
                        <w:i/>
                      </w:rPr>
                    </w:pPr>
                    <w:r w:rsidRPr="00272A1E">
                      <w:rPr>
                        <w:rFonts w:ascii="Arial" w:hAnsi="Arial" w:cs="Arial"/>
                        <w:i/>
                      </w:rPr>
                      <w:t>More positive</w:t>
                    </w:r>
                  </w:p>
                </w:txbxContent>
              </v:textbox>
            </v:shape>
            <v:shape id="_x0000_s1088" type="#_x0000_t202" style="position:absolute;left:2240;top:5699;width:600;height:1545" stroked="f">
              <v:textbox style="layout-flow:vertical;mso-layout-flow-alt:bottom-to-top;mso-next-textbox:#_x0000_s1088">
                <w:txbxContent>
                  <w:p w:rsidR="00B869BB" w:rsidRPr="00272A1E" w:rsidRDefault="00B869BB" w:rsidP="00B869BB">
                    <w:pPr>
                      <w:rPr>
                        <w:rFonts w:ascii="Arial" w:hAnsi="Arial" w:cs="Arial"/>
                        <w:i/>
                      </w:rPr>
                    </w:pPr>
                    <w:r w:rsidRPr="00272A1E">
                      <w:rPr>
                        <w:rFonts w:ascii="Arial" w:hAnsi="Arial" w:cs="Arial"/>
                        <w:i/>
                      </w:rPr>
                      <w:t>Less positive</w:t>
                    </w:r>
                  </w:p>
                </w:txbxContent>
              </v:textbox>
            </v:shape>
            <v:shape id="_x0000_s1089" type="#_x0000_t202" style="position:absolute;left:4725;top:7425;width:3742;height:375" stroked="f">
              <v:textbox style="mso-next-textbox:#_x0000_s1089">
                <w:txbxContent>
                  <w:p w:rsidR="00B869BB" w:rsidRPr="00272A1E" w:rsidRDefault="00B869BB" w:rsidP="00B869BB">
                    <w:pPr>
                      <w:rPr>
                        <w:b/>
                      </w:rPr>
                    </w:pPr>
                    <w:r w:rsidRPr="00272A1E">
                      <w:rPr>
                        <w:b/>
                      </w:rPr>
                      <w:t>A</w:t>
                    </w:r>
                    <w:r>
                      <w:rPr>
                        <w:b/>
                      </w:rPr>
                      <w:t>ppointments/Repeat prescriptions</w:t>
                    </w:r>
                  </w:p>
                </w:txbxContent>
              </v:textbox>
            </v:shape>
            <v:shape id="_x0000_s1090" type="#_x0000_t32" style="position:absolute;left:3342;top:7613;width:1383;height:1;flip:x" o:connectortype="straight" strokeweight="1.5pt">
              <v:stroke endarrow="block"/>
            </v:shape>
            <v:shape id="_x0000_s1091" type="#_x0000_t32" style="position:absolute;left:8467;top:7613;width:1274;height:1" o:connectortype="straight" strokeweight="1.5pt">
              <v:stroke endarrow="block"/>
            </v:shape>
            <v:shape id="_x0000_s1092" type="#_x0000_t202" style="position:absolute;left:3341;top:7680;width:799;height:465" stroked="f">
              <v:textbox style="mso-next-textbox:#_x0000_s1092">
                <w:txbxContent>
                  <w:p w:rsidR="00B869BB" w:rsidRPr="00272A1E" w:rsidRDefault="00B869BB" w:rsidP="00B869BB">
                    <w:pPr>
                      <w:rPr>
                        <w:i/>
                      </w:rPr>
                    </w:pPr>
                    <w:r>
                      <w:rPr>
                        <w:i/>
                      </w:rPr>
                      <w:t>High</w:t>
                    </w:r>
                  </w:p>
                </w:txbxContent>
              </v:textbox>
            </v:shape>
            <v:shape id="_x0000_s1093" type="#_x0000_t202" style="position:absolute;left:8840;top:7710;width:900;height:435" stroked="f">
              <v:textbox style="mso-next-textbox:#_x0000_s1093">
                <w:txbxContent>
                  <w:p w:rsidR="00B869BB" w:rsidRPr="00272A1E" w:rsidRDefault="00B869BB" w:rsidP="00B869BB">
                    <w:pPr>
                      <w:rPr>
                        <w:i/>
                      </w:rPr>
                    </w:pPr>
                    <w:r>
                      <w:rPr>
                        <w:i/>
                      </w:rPr>
                      <w:t>Low</w:t>
                    </w:r>
                  </w:p>
                </w:txbxContent>
              </v:textbox>
            </v:shape>
            <w10:wrap type="none"/>
            <w10:anchorlock/>
          </v:group>
        </w:pict>
      </w:r>
    </w:p>
    <w:p w:rsidR="00B869BB" w:rsidRDefault="00B869BB" w:rsidP="00B869BB">
      <w:pPr>
        <w:pStyle w:val="NormalIndent"/>
        <w:jc w:val="center"/>
        <w:rPr>
          <w:b/>
        </w:rPr>
      </w:pPr>
    </w:p>
    <w:p w:rsidR="00B869BB" w:rsidRDefault="00B869BB" w:rsidP="00B869BB">
      <w:pPr>
        <w:pStyle w:val="NormalIndent"/>
        <w:jc w:val="center"/>
        <w:rPr>
          <w:i/>
          <w:lang w:val="en-GB"/>
        </w:rPr>
      </w:pPr>
      <w:r w:rsidRPr="00444549">
        <w:rPr>
          <w:b/>
        </w:rPr>
        <w:t xml:space="preserve">Figure </w:t>
      </w:r>
      <w:proofErr w:type="gramStart"/>
      <w:r>
        <w:rPr>
          <w:b/>
        </w:rPr>
        <w:t>4</w:t>
      </w:r>
      <w:proofErr w:type="gramEnd"/>
      <w:r w:rsidRPr="007B4962">
        <w:t xml:space="preserve"> </w:t>
      </w:r>
      <w:r w:rsidR="001B32A9">
        <w:rPr>
          <w:i/>
          <w:lang w:val="en-GB"/>
        </w:rPr>
        <w:t>Patient experience and Functionality to book/cancel appointments &amp; order repeat prescriptions electronically</w:t>
      </w:r>
      <w:r w:rsidR="001B32A9">
        <w:rPr>
          <w:rStyle w:val="FootnoteReference"/>
          <w:i/>
          <w:lang w:val="en-GB"/>
        </w:rPr>
        <w:footnoteReference w:id="4"/>
      </w:r>
    </w:p>
    <w:p w:rsidR="00171C3C" w:rsidRDefault="00171C3C" w:rsidP="00EC09EB">
      <w:pPr>
        <w:pStyle w:val="NormalIndent"/>
        <w:ind w:firstLine="0"/>
        <w:rPr>
          <w:lang w:val="en-GB"/>
        </w:rPr>
      </w:pPr>
    </w:p>
    <w:p w:rsidR="00D90467" w:rsidRDefault="00D90467" w:rsidP="00EC09EB">
      <w:pPr>
        <w:pStyle w:val="NormalIndent"/>
        <w:ind w:firstLine="0"/>
        <w:rPr>
          <w:lang w:val="en-GB"/>
        </w:rPr>
        <w:sectPr w:rsidR="00D90467" w:rsidSect="00EC09EB">
          <w:headerReference w:type="default" r:id="rId11"/>
          <w:headerReference w:type="first" r:id="rId12"/>
          <w:pgSz w:w="11906" w:h="16838"/>
          <w:pgMar w:top="1440" w:right="1440" w:bottom="1440" w:left="1440" w:header="708" w:footer="708" w:gutter="0"/>
          <w:cols w:space="708"/>
          <w:docGrid w:linePitch="360"/>
        </w:sectPr>
      </w:pPr>
    </w:p>
    <w:p w:rsidR="00171C3C" w:rsidRDefault="00171C3C" w:rsidP="00EC09EB">
      <w:pPr>
        <w:pStyle w:val="TableLabel"/>
        <w:keepNext/>
        <w:keepLines/>
      </w:pPr>
      <w:r w:rsidRPr="00444549">
        <w:rPr>
          <w:b/>
        </w:rPr>
        <w:lastRenderedPageBreak/>
        <w:t xml:space="preserve">Table </w:t>
      </w:r>
      <w:proofErr w:type="gramStart"/>
      <w:r w:rsidRPr="00444549">
        <w:rPr>
          <w:b/>
        </w:rPr>
        <w:t>1</w:t>
      </w:r>
      <w:r>
        <w:t xml:space="preserve">  </w:t>
      </w:r>
      <w:r>
        <w:rPr>
          <w:i/>
        </w:rPr>
        <w:t>Summary</w:t>
      </w:r>
      <w:proofErr w:type="gramEnd"/>
      <w:r>
        <w:rPr>
          <w:i/>
        </w:rPr>
        <w:t xml:space="preserve"> Statistics For Attributes Distinguishing The </w:t>
      </w:r>
      <w:r w:rsidR="00154CBA">
        <w:rPr>
          <w:i/>
        </w:rPr>
        <w:t>C</w:t>
      </w:r>
      <w:r>
        <w:rPr>
          <w:i/>
        </w:rPr>
        <w:t>lusters</w:t>
      </w:r>
    </w:p>
    <w:tbl>
      <w:tblPr>
        <w:tblStyle w:val="TableGrid"/>
        <w:tblW w:w="0" w:type="auto"/>
        <w:jc w:val="right"/>
        <w:tblInd w:w="-2957" w:type="dxa"/>
        <w:tblLayout w:type="fixed"/>
        <w:tblLook w:val="04A0"/>
      </w:tblPr>
      <w:tblGrid>
        <w:gridCol w:w="1020"/>
        <w:gridCol w:w="3628"/>
        <w:gridCol w:w="1644"/>
        <w:gridCol w:w="1644"/>
        <w:gridCol w:w="1644"/>
        <w:gridCol w:w="1644"/>
        <w:gridCol w:w="1644"/>
      </w:tblGrid>
      <w:tr w:rsidR="00171C3C" w:rsidTr="00EC09EB">
        <w:trPr>
          <w:jc w:val="right"/>
        </w:trPr>
        <w:tc>
          <w:tcPr>
            <w:tcW w:w="1020" w:type="dxa"/>
            <w:vMerge w:val="restart"/>
          </w:tcPr>
          <w:p w:rsidR="00171C3C" w:rsidRPr="006E2892" w:rsidRDefault="00171C3C" w:rsidP="00EC09EB">
            <w:pPr>
              <w:pStyle w:val="NormalIndent"/>
              <w:ind w:firstLine="0"/>
              <w:jc w:val="center"/>
              <w:rPr>
                <w:b/>
                <w:sz w:val="22"/>
                <w:szCs w:val="22"/>
                <w:lang w:val="en-GB"/>
              </w:rPr>
            </w:pPr>
            <w:proofErr w:type="spellStart"/>
            <w:r w:rsidRPr="006E2892">
              <w:rPr>
                <w:b/>
                <w:sz w:val="22"/>
                <w:szCs w:val="22"/>
                <w:lang w:val="en-GB"/>
              </w:rPr>
              <w:t>Attri</w:t>
            </w:r>
            <w:r>
              <w:rPr>
                <w:b/>
                <w:sz w:val="22"/>
                <w:szCs w:val="22"/>
                <w:lang w:val="en-GB"/>
              </w:rPr>
              <w:t>-</w:t>
            </w:r>
            <w:r w:rsidRPr="006E2892">
              <w:rPr>
                <w:b/>
                <w:sz w:val="22"/>
                <w:szCs w:val="22"/>
                <w:lang w:val="en-GB"/>
              </w:rPr>
              <w:t>bute</w:t>
            </w:r>
            <w:proofErr w:type="spellEnd"/>
            <w:r>
              <w:rPr>
                <w:b/>
                <w:sz w:val="22"/>
                <w:szCs w:val="22"/>
                <w:lang w:val="en-GB"/>
              </w:rPr>
              <w:t xml:space="preserve"> No.</w:t>
            </w:r>
          </w:p>
        </w:tc>
        <w:tc>
          <w:tcPr>
            <w:tcW w:w="3628" w:type="dxa"/>
            <w:vMerge w:val="restart"/>
          </w:tcPr>
          <w:p w:rsidR="00171C3C" w:rsidRPr="006E2892" w:rsidRDefault="00171C3C" w:rsidP="00EC09EB">
            <w:pPr>
              <w:pStyle w:val="NormalIndent"/>
              <w:ind w:firstLine="0"/>
              <w:jc w:val="center"/>
              <w:rPr>
                <w:b/>
                <w:sz w:val="22"/>
                <w:szCs w:val="22"/>
                <w:lang w:val="en-GB"/>
              </w:rPr>
            </w:pPr>
            <w:r w:rsidRPr="006E2892">
              <w:rPr>
                <w:b/>
                <w:sz w:val="22"/>
                <w:szCs w:val="22"/>
                <w:lang w:val="en-GB"/>
              </w:rPr>
              <w:t>Description</w:t>
            </w:r>
          </w:p>
        </w:tc>
        <w:tc>
          <w:tcPr>
            <w:tcW w:w="8220" w:type="dxa"/>
            <w:gridSpan w:val="5"/>
          </w:tcPr>
          <w:p w:rsidR="00171C3C" w:rsidRPr="006E2892" w:rsidRDefault="00171C3C" w:rsidP="00EC09EB">
            <w:pPr>
              <w:pStyle w:val="NormalIndent"/>
              <w:ind w:firstLine="0"/>
              <w:jc w:val="center"/>
              <w:rPr>
                <w:b/>
                <w:sz w:val="22"/>
                <w:szCs w:val="22"/>
                <w:lang w:val="en-GB"/>
              </w:rPr>
            </w:pPr>
            <w:r>
              <w:rPr>
                <w:b/>
                <w:sz w:val="22"/>
                <w:szCs w:val="22"/>
                <w:lang w:val="en-GB"/>
              </w:rPr>
              <w:t>Clusters</w:t>
            </w:r>
            <w:r>
              <w:rPr>
                <w:rStyle w:val="FootnoteReference"/>
                <w:b/>
                <w:sz w:val="22"/>
                <w:szCs w:val="22"/>
                <w:lang w:val="en-GB"/>
              </w:rPr>
              <w:footnoteReference w:id="5"/>
            </w:r>
          </w:p>
        </w:tc>
      </w:tr>
      <w:tr w:rsidR="00171C3C" w:rsidTr="00EC09EB">
        <w:trPr>
          <w:jc w:val="right"/>
        </w:trPr>
        <w:tc>
          <w:tcPr>
            <w:tcW w:w="1020" w:type="dxa"/>
            <w:vMerge/>
          </w:tcPr>
          <w:p w:rsidR="00171C3C" w:rsidRPr="006E2892" w:rsidRDefault="00171C3C" w:rsidP="00EC09EB">
            <w:pPr>
              <w:pStyle w:val="NormalIndent"/>
              <w:ind w:firstLine="0"/>
              <w:jc w:val="center"/>
              <w:rPr>
                <w:b/>
                <w:sz w:val="22"/>
                <w:szCs w:val="22"/>
                <w:lang w:val="en-GB"/>
              </w:rPr>
            </w:pPr>
          </w:p>
        </w:tc>
        <w:tc>
          <w:tcPr>
            <w:tcW w:w="3628" w:type="dxa"/>
            <w:vMerge/>
          </w:tcPr>
          <w:p w:rsidR="00171C3C" w:rsidRPr="006E2892" w:rsidRDefault="00171C3C" w:rsidP="00EC09EB">
            <w:pPr>
              <w:pStyle w:val="NormalIndent"/>
              <w:ind w:firstLine="0"/>
              <w:jc w:val="center"/>
              <w:rPr>
                <w:b/>
                <w:sz w:val="22"/>
                <w:szCs w:val="22"/>
                <w:lang w:val="en-GB"/>
              </w:rPr>
            </w:pPr>
          </w:p>
        </w:tc>
        <w:tc>
          <w:tcPr>
            <w:tcW w:w="1644" w:type="dxa"/>
          </w:tcPr>
          <w:p w:rsidR="00171C3C" w:rsidRPr="006E2892" w:rsidRDefault="00171C3C" w:rsidP="00EC09EB">
            <w:pPr>
              <w:pStyle w:val="NormalIndent"/>
              <w:ind w:firstLine="0"/>
              <w:jc w:val="center"/>
              <w:rPr>
                <w:b/>
                <w:sz w:val="22"/>
                <w:szCs w:val="22"/>
                <w:lang w:val="en-GB"/>
              </w:rPr>
            </w:pPr>
            <w:r w:rsidRPr="006E2892">
              <w:rPr>
                <w:b/>
                <w:sz w:val="22"/>
                <w:szCs w:val="22"/>
                <w:lang w:val="en-GB"/>
              </w:rPr>
              <w:t>Affluent</w:t>
            </w:r>
          </w:p>
        </w:tc>
        <w:tc>
          <w:tcPr>
            <w:tcW w:w="1644" w:type="dxa"/>
          </w:tcPr>
          <w:p w:rsidR="00171C3C" w:rsidRPr="006E2892" w:rsidRDefault="00171C3C" w:rsidP="00EC09EB">
            <w:pPr>
              <w:pStyle w:val="NormalIndent"/>
              <w:ind w:firstLine="0"/>
              <w:jc w:val="center"/>
              <w:rPr>
                <w:b/>
                <w:sz w:val="22"/>
                <w:szCs w:val="22"/>
                <w:lang w:val="en-GB"/>
              </w:rPr>
            </w:pPr>
            <w:r w:rsidRPr="006E2892">
              <w:rPr>
                <w:b/>
                <w:sz w:val="22"/>
                <w:szCs w:val="22"/>
                <w:lang w:val="en-GB"/>
              </w:rPr>
              <w:t>Impressed</w:t>
            </w:r>
          </w:p>
        </w:tc>
        <w:tc>
          <w:tcPr>
            <w:tcW w:w="1644" w:type="dxa"/>
          </w:tcPr>
          <w:p w:rsidR="00171C3C" w:rsidRPr="006E2892" w:rsidRDefault="00171C3C" w:rsidP="00EC09EB">
            <w:pPr>
              <w:pStyle w:val="NormalIndent"/>
              <w:ind w:firstLine="0"/>
              <w:jc w:val="center"/>
              <w:rPr>
                <w:b/>
                <w:sz w:val="22"/>
                <w:szCs w:val="22"/>
                <w:lang w:val="en-GB"/>
              </w:rPr>
            </w:pPr>
            <w:r w:rsidRPr="006E2892">
              <w:rPr>
                <w:b/>
                <w:sz w:val="22"/>
                <w:szCs w:val="22"/>
                <w:lang w:val="en-GB"/>
              </w:rPr>
              <w:t>Dissatisfied</w:t>
            </w:r>
          </w:p>
        </w:tc>
        <w:tc>
          <w:tcPr>
            <w:tcW w:w="1644" w:type="dxa"/>
          </w:tcPr>
          <w:p w:rsidR="00171C3C" w:rsidRPr="006E2892" w:rsidRDefault="00171C3C" w:rsidP="00EC09EB">
            <w:pPr>
              <w:pStyle w:val="NormalIndent"/>
              <w:ind w:firstLine="0"/>
              <w:jc w:val="center"/>
              <w:rPr>
                <w:b/>
                <w:sz w:val="22"/>
                <w:szCs w:val="22"/>
                <w:lang w:val="en-GB"/>
              </w:rPr>
            </w:pPr>
            <w:r w:rsidRPr="006E2892">
              <w:rPr>
                <w:b/>
                <w:sz w:val="22"/>
                <w:szCs w:val="22"/>
                <w:lang w:val="en-GB"/>
              </w:rPr>
              <w:t>Maverick</w:t>
            </w:r>
          </w:p>
        </w:tc>
        <w:tc>
          <w:tcPr>
            <w:tcW w:w="1644" w:type="dxa"/>
          </w:tcPr>
          <w:p w:rsidR="00171C3C" w:rsidRPr="006E2892" w:rsidRDefault="00171C3C" w:rsidP="00EC09EB">
            <w:pPr>
              <w:pStyle w:val="NormalIndent"/>
              <w:ind w:firstLine="0"/>
              <w:jc w:val="center"/>
              <w:rPr>
                <w:b/>
                <w:sz w:val="22"/>
                <w:szCs w:val="22"/>
                <w:lang w:val="en-GB"/>
              </w:rPr>
            </w:pPr>
            <w:r w:rsidRPr="006E2892">
              <w:rPr>
                <w:b/>
                <w:sz w:val="22"/>
                <w:szCs w:val="22"/>
                <w:lang w:val="en-GB"/>
              </w:rPr>
              <w:t>Nondescript</w:t>
            </w:r>
          </w:p>
        </w:tc>
      </w:tr>
      <w:tr w:rsidR="00171C3C" w:rsidTr="00EC09EB">
        <w:trPr>
          <w:jc w:val="right"/>
        </w:trPr>
        <w:tc>
          <w:tcPr>
            <w:tcW w:w="1020" w:type="dxa"/>
            <w:vAlign w:val="center"/>
          </w:tcPr>
          <w:p w:rsidR="00171C3C" w:rsidRPr="006E2892" w:rsidRDefault="00171C3C" w:rsidP="00EC09EB">
            <w:pPr>
              <w:pStyle w:val="NormalIndent"/>
              <w:ind w:firstLine="0"/>
              <w:jc w:val="center"/>
              <w:rPr>
                <w:sz w:val="22"/>
                <w:szCs w:val="22"/>
                <w:lang w:val="en-GB"/>
              </w:rPr>
            </w:pPr>
          </w:p>
        </w:tc>
        <w:tc>
          <w:tcPr>
            <w:tcW w:w="3628" w:type="dxa"/>
          </w:tcPr>
          <w:p w:rsidR="00171C3C" w:rsidRPr="006E2892" w:rsidRDefault="00171C3C" w:rsidP="00EC09EB">
            <w:pPr>
              <w:pStyle w:val="NormalIndent"/>
              <w:ind w:firstLine="0"/>
              <w:rPr>
                <w:sz w:val="22"/>
                <w:szCs w:val="22"/>
              </w:rPr>
            </w:pPr>
            <w:r>
              <w:rPr>
                <w:sz w:val="22"/>
                <w:szCs w:val="22"/>
              </w:rPr>
              <w:t xml:space="preserve">Cluster size (Number of practices) </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1,798</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1,441</w:t>
            </w:r>
          </w:p>
        </w:tc>
        <w:tc>
          <w:tcPr>
            <w:tcW w:w="1644" w:type="dxa"/>
            <w:vAlign w:val="center"/>
          </w:tcPr>
          <w:p w:rsidR="00171C3C" w:rsidRPr="006E2892" w:rsidRDefault="00171C3C" w:rsidP="00EC09EB">
            <w:pPr>
              <w:pStyle w:val="NormalIndent"/>
              <w:ind w:firstLine="0"/>
              <w:jc w:val="center"/>
              <w:rPr>
                <w:sz w:val="22"/>
                <w:szCs w:val="22"/>
                <w:lang w:val="en-GB"/>
              </w:rPr>
            </w:pPr>
            <w:r>
              <w:rPr>
                <w:sz w:val="22"/>
                <w:szCs w:val="22"/>
                <w:lang w:val="en-GB"/>
              </w:rPr>
              <w:t>1,592</w:t>
            </w:r>
          </w:p>
        </w:tc>
        <w:tc>
          <w:tcPr>
            <w:tcW w:w="1644" w:type="dxa"/>
            <w:vAlign w:val="center"/>
          </w:tcPr>
          <w:p w:rsidR="00171C3C" w:rsidRPr="006E2892" w:rsidRDefault="00171C3C" w:rsidP="00EC09EB">
            <w:pPr>
              <w:pStyle w:val="NormalIndent"/>
              <w:ind w:firstLine="0"/>
              <w:jc w:val="center"/>
              <w:rPr>
                <w:sz w:val="22"/>
                <w:szCs w:val="22"/>
                <w:lang w:val="en-GB"/>
              </w:rPr>
            </w:pPr>
            <w:r>
              <w:rPr>
                <w:sz w:val="22"/>
                <w:szCs w:val="22"/>
                <w:lang w:val="en-GB"/>
              </w:rPr>
              <w:t>1,950</w:t>
            </w:r>
          </w:p>
        </w:tc>
        <w:tc>
          <w:tcPr>
            <w:tcW w:w="1644" w:type="dxa"/>
            <w:vAlign w:val="center"/>
          </w:tcPr>
          <w:p w:rsidR="00171C3C" w:rsidRPr="006E2892" w:rsidRDefault="00171C3C" w:rsidP="00EC09EB">
            <w:pPr>
              <w:pStyle w:val="NormalIndent"/>
              <w:ind w:firstLine="0"/>
              <w:jc w:val="center"/>
              <w:rPr>
                <w:sz w:val="22"/>
                <w:szCs w:val="22"/>
                <w:lang w:val="en-GB"/>
              </w:rPr>
            </w:pPr>
            <w:r>
              <w:rPr>
                <w:sz w:val="22"/>
                <w:szCs w:val="22"/>
                <w:lang w:val="en-GB"/>
              </w:rPr>
              <w:t>1,778</w:t>
            </w:r>
          </w:p>
        </w:tc>
      </w:tr>
      <w:tr w:rsidR="00171C3C" w:rsidTr="00EC09EB">
        <w:trPr>
          <w:jc w:val="right"/>
        </w:trPr>
        <w:tc>
          <w:tcPr>
            <w:tcW w:w="1020" w:type="dxa"/>
            <w:vAlign w:val="center"/>
          </w:tcPr>
          <w:p w:rsidR="00171C3C" w:rsidRPr="006E2892" w:rsidRDefault="00171C3C" w:rsidP="00EC09EB">
            <w:pPr>
              <w:pStyle w:val="NormalIndent"/>
              <w:ind w:firstLine="0"/>
              <w:jc w:val="center"/>
              <w:rPr>
                <w:sz w:val="22"/>
                <w:szCs w:val="22"/>
                <w:lang w:val="en-GB"/>
              </w:rPr>
            </w:pPr>
            <w:r w:rsidRPr="006E2892">
              <w:rPr>
                <w:sz w:val="22"/>
                <w:szCs w:val="22"/>
                <w:lang w:val="en-GB"/>
              </w:rPr>
              <w:t>1</w:t>
            </w:r>
          </w:p>
        </w:tc>
        <w:tc>
          <w:tcPr>
            <w:tcW w:w="3628" w:type="dxa"/>
          </w:tcPr>
          <w:p w:rsidR="00171C3C" w:rsidRPr="006E2892" w:rsidRDefault="00171C3C" w:rsidP="00EC09EB">
            <w:pPr>
              <w:pStyle w:val="NormalIndent"/>
              <w:ind w:firstLine="0"/>
              <w:rPr>
                <w:sz w:val="22"/>
                <w:szCs w:val="22"/>
                <w:lang w:val="en-GB"/>
              </w:rPr>
            </w:pPr>
            <w:r w:rsidRPr="006E2892">
              <w:rPr>
                <w:sz w:val="22"/>
                <w:szCs w:val="22"/>
              </w:rPr>
              <w:t>Index of Multiple Deprivation (IMD)</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11.8</w:t>
            </w:r>
          </w:p>
          <w:p w:rsidR="00171C3C" w:rsidRPr="006E2892" w:rsidRDefault="00171C3C" w:rsidP="00EC09EB">
            <w:pPr>
              <w:pStyle w:val="NormalIndent"/>
              <w:ind w:firstLine="0"/>
              <w:jc w:val="center"/>
              <w:rPr>
                <w:sz w:val="22"/>
                <w:szCs w:val="22"/>
                <w:lang w:val="en-GB"/>
              </w:rPr>
            </w:pPr>
            <w:r>
              <w:rPr>
                <w:sz w:val="22"/>
                <w:szCs w:val="22"/>
                <w:lang w:val="en-GB"/>
              </w:rPr>
              <w:t>(6.3, 19.7)</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14.7</w:t>
            </w:r>
          </w:p>
          <w:p w:rsidR="00171C3C" w:rsidRPr="006E2892" w:rsidRDefault="00171C3C" w:rsidP="00EC09EB">
            <w:pPr>
              <w:pStyle w:val="NormalIndent"/>
              <w:ind w:firstLine="0"/>
              <w:jc w:val="center"/>
              <w:rPr>
                <w:sz w:val="22"/>
                <w:szCs w:val="22"/>
                <w:lang w:val="en-GB"/>
              </w:rPr>
            </w:pPr>
            <w:r>
              <w:rPr>
                <w:sz w:val="22"/>
                <w:szCs w:val="22"/>
                <w:lang w:val="en-GB"/>
              </w:rPr>
              <w:t>(7.2, 35.5)</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29.5</w:t>
            </w:r>
          </w:p>
          <w:p w:rsidR="00171C3C" w:rsidRPr="006E2892" w:rsidRDefault="00171C3C" w:rsidP="00EC09EB">
            <w:pPr>
              <w:pStyle w:val="NormalIndent"/>
              <w:ind w:firstLine="0"/>
              <w:jc w:val="center"/>
              <w:rPr>
                <w:sz w:val="22"/>
                <w:szCs w:val="22"/>
                <w:lang w:val="en-GB"/>
              </w:rPr>
            </w:pPr>
            <w:r>
              <w:rPr>
                <w:sz w:val="22"/>
                <w:szCs w:val="22"/>
                <w:lang w:val="en-GB"/>
              </w:rPr>
              <w:t>(10.8, 50.3)</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29.5</w:t>
            </w:r>
          </w:p>
          <w:p w:rsidR="00171C3C" w:rsidRPr="006E2892" w:rsidRDefault="00171C3C" w:rsidP="00EC09EB">
            <w:pPr>
              <w:pStyle w:val="NormalIndent"/>
              <w:ind w:firstLine="0"/>
              <w:jc w:val="center"/>
              <w:rPr>
                <w:sz w:val="22"/>
                <w:szCs w:val="22"/>
                <w:lang w:val="en-GB"/>
              </w:rPr>
            </w:pPr>
            <w:r>
              <w:rPr>
                <w:sz w:val="22"/>
                <w:szCs w:val="22"/>
                <w:lang w:val="en-GB"/>
              </w:rPr>
              <w:t>(14.6, 49.7)</w:t>
            </w:r>
          </w:p>
        </w:tc>
        <w:tc>
          <w:tcPr>
            <w:tcW w:w="1644" w:type="dxa"/>
            <w:vAlign w:val="center"/>
          </w:tcPr>
          <w:p w:rsidR="00171C3C" w:rsidRPr="006E2892" w:rsidRDefault="00171C3C" w:rsidP="00EC09EB">
            <w:pPr>
              <w:pStyle w:val="NormalIndent"/>
              <w:ind w:firstLine="0"/>
              <w:jc w:val="center"/>
              <w:rPr>
                <w:sz w:val="22"/>
                <w:szCs w:val="22"/>
                <w:lang w:val="en-GB"/>
              </w:rPr>
            </w:pPr>
            <w:r w:rsidRPr="006E2892">
              <w:rPr>
                <w:sz w:val="22"/>
                <w:szCs w:val="22"/>
                <w:lang w:val="en-GB"/>
              </w:rPr>
              <w:t>25.4</w:t>
            </w:r>
          </w:p>
          <w:p w:rsidR="00171C3C" w:rsidRPr="006E2892" w:rsidRDefault="00171C3C" w:rsidP="00EC09EB">
            <w:pPr>
              <w:pStyle w:val="NormalIndent"/>
              <w:ind w:firstLine="0"/>
              <w:jc w:val="center"/>
              <w:rPr>
                <w:sz w:val="22"/>
                <w:szCs w:val="22"/>
                <w:lang w:val="en-GB"/>
              </w:rPr>
            </w:pPr>
            <w:r w:rsidRPr="006E2892">
              <w:rPr>
                <w:sz w:val="22"/>
                <w:szCs w:val="22"/>
                <w:lang w:val="en-GB"/>
              </w:rPr>
              <w:t xml:space="preserve"> (11.8,</w:t>
            </w:r>
            <w:r>
              <w:rPr>
                <w:sz w:val="22"/>
                <w:szCs w:val="22"/>
                <w:lang w:val="en-GB"/>
              </w:rPr>
              <w:t xml:space="preserve"> </w:t>
            </w:r>
            <w:r w:rsidRPr="006E2892">
              <w:rPr>
                <w:sz w:val="22"/>
                <w:szCs w:val="22"/>
                <w:lang w:val="en-GB"/>
              </w:rPr>
              <w:t>46.3)</w:t>
            </w:r>
          </w:p>
        </w:tc>
      </w:tr>
      <w:tr w:rsidR="00171C3C" w:rsidTr="00EC09EB">
        <w:trPr>
          <w:jc w:val="right"/>
        </w:trPr>
        <w:tc>
          <w:tcPr>
            <w:tcW w:w="1020" w:type="dxa"/>
            <w:vAlign w:val="center"/>
          </w:tcPr>
          <w:p w:rsidR="00171C3C" w:rsidRPr="006E2892" w:rsidRDefault="00171C3C" w:rsidP="00EC09EB">
            <w:pPr>
              <w:pStyle w:val="NormalIndent"/>
              <w:ind w:firstLine="0"/>
              <w:jc w:val="center"/>
              <w:rPr>
                <w:sz w:val="22"/>
                <w:szCs w:val="22"/>
                <w:lang w:val="en-GB"/>
              </w:rPr>
            </w:pPr>
            <w:r w:rsidRPr="006E2892">
              <w:rPr>
                <w:sz w:val="22"/>
                <w:szCs w:val="22"/>
                <w:lang w:val="en-GB"/>
              </w:rPr>
              <w:t>(26–25)</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A&amp;E Self-referral rate</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192.7</w:t>
            </w:r>
          </w:p>
          <w:p w:rsidR="00171C3C" w:rsidRPr="006E2892" w:rsidRDefault="00171C3C" w:rsidP="00EC09EB">
            <w:pPr>
              <w:pStyle w:val="NormalIndent"/>
              <w:ind w:firstLine="0"/>
              <w:jc w:val="center"/>
              <w:rPr>
                <w:sz w:val="22"/>
                <w:szCs w:val="22"/>
                <w:lang w:val="en-GB"/>
              </w:rPr>
            </w:pPr>
            <w:r>
              <w:rPr>
                <w:sz w:val="22"/>
                <w:szCs w:val="22"/>
                <w:lang w:val="en-GB"/>
              </w:rPr>
              <w:t>(115.5, 278.9)</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211.7</w:t>
            </w:r>
          </w:p>
          <w:p w:rsidR="00171C3C" w:rsidRPr="006E2892" w:rsidRDefault="00171C3C" w:rsidP="00EC09EB">
            <w:pPr>
              <w:pStyle w:val="NormalIndent"/>
              <w:ind w:firstLine="0"/>
              <w:jc w:val="center"/>
              <w:rPr>
                <w:sz w:val="22"/>
                <w:szCs w:val="22"/>
                <w:lang w:val="en-GB"/>
              </w:rPr>
            </w:pPr>
            <w:r>
              <w:rPr>
                <w:sz w:val="22"/>
                <w:szCs w:val="22"/>
                <w:lang w:val="en-GB"/>
              </w:rPr>
              <w:t>(124.3, 370.2)</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295.4</w:t>
            </w:r>
          </w:p>
          <w:p w:rsidR="00171C3C" w:rsidRPr="006E2892" w:rsidRDefault="00171C3C" w:rsidP="00EC09EB">
            <w:pPr>
              <w:pStyle w:val="NormalIndent"/>
              <w:ind w:firstLine="0"/>
              <w:jc w:val="center"/>
              <w:rPr>
                <w:sz w:val="22"/>
                <w:szCs w:val="22"/>
                <w:lang w:val="en-GB"/>
              </w:rPr>
            </w:pPr>
            <w:r>
              <w:rPr>
                <w:sz w:val="22"/>
                <w:szCs w:val="22"/>
                <w:lang w:val="en-GB"/>
              </w:rPr>
              <w:t>(164.1, 462.5)</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294.9</w:t>
            </w:r>
          </w:p>
          <w:p w:rsidR="00171C3C" w:rsidRPr="006E2892" w:rsidRDefault="00171C3C" w:rsidP="00EC09EB">
            <w:pPr>
              <w:pStyle w:val="NormalIndent"/>
              <w:ind w:firstLine="0"/>
              <w:jc w:val="center"/>
              <w:rPr>
                <w:sz w:val="22"/>
                <w:szCs w:val="22"/>
                <w:lang w:val="en-GB"/>
              </w:rPr>
            </w:pPr>
            <w:r>
              <w:rPr>
                <w:sz w:val="22"/>
                <w:szCs w:val="22"/>
                <w:lang w:val="en-GB"/>
              </w:rPr>
              <w:t>(189.9, 472.2)</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286.2</w:t>
            </w:r>
          </w:p>
          <w:p w:rsidR="00171C3C" w:rsidRPr="006E2892" w:rsidRDefault="00171C3C" w:rsidP="00EC09EB">
            <w:pPr>
              <w:pStyle w:val="NormalIndent"/>
              <w:ind w:firstLine="0"/>
              <w:jc w:val="center"/>
              <w:rPr>
                <w:sz w:val="22"/>
                <w:szCs w:val="22"/>
                <w:lang w:val="en-GB"/>
              </w:rPr>
            </w:pPr>
            <w:r>
              <w:rPr>
                <w:sz w:val="22"/>
                <w:szCs w:val="22"/>
                <w:lang w:val="en-GB"/>
              </w:rPr>
              <w:t>(179.1, 432.4)</w:t>
            </w:r>
          </w:p>
        </w:tc>
      </w:tr>
      <w:tr w:rsidR="00171C3C" w:rsidTr="00EC09EB">
        <w:trPr>
          <w:trHeight w:val="295"/>
          <w:jc w:val="right"/>
        </w:trPr>
        <w:tc>
          <w:tcPr>
            <w:tcW w:w="1020" w:type="dxa"/>
            <w:vAlign w:val="center"/>
          </w:tcPr>
          <w:p w:rsidR="00171C3C" w:rsidRPr="006E2892" w:rsidRDefault="00171C3C" w:rsidP="00EC09EB">
            <w:pPr>
              <w:pStyle w:val="NormalIndent"/>
              <w:ind w:firstLine="0"/>
              <w:jc w:val="center"/>
              <w:rPr>
                <w:sz w:val="22"/>
                <w:szCs w:val="22"/>
                <w:lang w:val="en-GB"/>
              </w:rPr>
            </w:pPr>
            <w:r w:rsidRPr="006E2892">
              <w:rPr>
                <w:sz w:val="22"/>
                <w:szCs w:val="22"/>
                <w:lang w:val="en-GB"/>
              </w:rPr>
              <w:t>27</w:t>
            </w:r>
          </w:p>
        </w:tc>
        <w:tc>
          <w:tcPr>
            <w:tcW w:w="3628" w:type="dxa"/>
            <w:vAlign w:val="center"/>
          </w:tcPr>
          <w:p w:rsidR="00171C3C" w:rsidRPr="006E2892" w:rsidRDefault="00171C3C" w:rsidP="00EC09EB">
            <w:pPr>
              <w:pStyle w:val="NormalIndent"/>
              <w:ind w:firstLine="0"/>
              <w:jc w:val="left"/>
              <w:rPr>
                <w:sz w:val="22"/>
                <w:szCs w:val="22"/>
                <w:lang w:val="en-GB"/>
              </w:rPr>
            </w:pPr>
            <w:r>
              <w:rPr>
                <w:sz w:val="22"/>
                <w:szCs w:val="22"/>
                <w:lang w:val="en-GB"/>
              </w:rPr>
              <w:t xml:space="preserve">Uploading </w:t>
            </w:r>
            <w:r w:rsidRPr="006E2892">
              <w:rPr>
                <w:sz w:val="22"/>
                <w:szCs w:val="22"/>
                <w:lang w:val="en-GB"/>
              </w:rPr>
              <w:t xml:space="preserve">Summary </w:t>
            </w:r>
            <w:r>
              <w:rPr>
                <w:sz w:val="22"/>
                <w:szCs w:val="22"/>
                <w:lang w:val="en-GB"/>
              </w:rPr>
              <w:t>C</w:t>
            </w:r>
            <w:r w:rsidRPr="006E2892">
              <w:rPr>
                <w:sz w:val="22"/>
                <w:szCs w:val="22"/>
                <w:lang w:val="en-GB"/>
              </w:rPr>
              <w:t xml:space="preserve">are </w:t>
            </w:r>
            <w:r>
              <w:rPr>
                <w:sz w:val="22"/>
                <w:szCs w:val="22"/>
                <w:lang w:val="en-GB"/>
              </w:rPr>
              <w:t>R</w:t>
            </w:r>
            <w:r w:rsidRPr="006E2892">
              <w:rPr>
                <w:sz w:val="22"/>
                <w:szCs w:val="22"/>
                <w:lang w:val="en-GB"/>
              </w:rPr>
              <w:t>ecords</w:t>
            </w:r>
          </w:p>
        </w:tc>
        <w:tc>
          <w:tcPr>
            <w:tcW w:w="1644" w:type="dxa"/>
            <w:vAlign w:val="center"/>
          </w:tcPr>
          <w:p w:rsidR="00171C3C" w:rsidRPr="00154CBA" w:rsidRDefault="00171C3C" w:rsidP="00EC09EB">
            <w:pPr>
              <w:jc w:val="center"/>
              <w:rPr>
                <w:sz w:val="22"/>
                <w:szCs w:val="22"/>
              </w:rPr>
            </w:pPr>
            <w:r w:rsidRPr="00154CBA">
              <w:rPr>
                <w:sz w:val="22"/>
                <w:szCs w:val="22"/>
              </w:rPr>
              <w:t>56.7%</w:t>
            </w:r>
          </w:p>
        </w:tc>
        <w:tc>
          <w:tcPr>
            <w:tcW w:w="1644" w:type="dxa"/>
            <w:vAlign w:val="center"/>
          </w:tcPr>
          <w:p w:rsidR="00171C3C" w:rsidRPr="00154CBA" w:rsidRDefault="00171C3C" w:rsidP="00EC09EB">
            <w:pPr>
              <w:jc w:val="center"/>
              <w:rPr>
                <w:sz w:val="22"/>
                <w:szCs w:val="22"/>
              </w:rPr>
            </w:pPr>
            <w:r w:rsidRPr="00154CBA">
              <w:rPr>
                <w:sz w:val="22"/>
                <w:szCs w:val="22"/>
              </w:rPr>
              <w:t>52.2%</w:t>
            </w:r>
          </w:p>
        </w:tc>
        <w:tc>
          <w:tcPr>
            <w:tcW w:w="1644" w:type="dxa"/>
            <w:vAlign w:val="center"/>
          </w:tcPr>
          <w:p w:rsidR="00171C3C" w:rsidRPr="00154CBA" w:rsidRDefault="00171C3C" w:rsidP="00EC09EB">
            <w:pPr>
              <w:jc w:val="center"/>
              <w:rPr>
                <w:sz w:val="22"/>
                <w:szCs w:val="22"/>
              </w:rPr>
            </w:pPr>
            <w:r w:rsidRPr="00154CBA">
              <w:rPr>
                <w:sz w:val="22"/>
                <w:szCs w:val="22"/>
              </w:rPr>
              <w:t>57.6%</w:t>
            </w:r>
          </w:p>
        </w:tc>
        <w:tc>
          <w:tcPr>
            <w:tcW w:w="1644" w:type="dxa"/>
          </w:tcPr>
          <w:p w:rsidR="00171C3C" w:rsidRPr="00154CBA" w:rsidRDefault="00171C3C" w:rsidP="00EC09EB">
            <w:pPr>
              <w:jc w:val="center"/>
              <w:rPr>
                <w:sz w:val="22"/>
                <w:szCs w:val="22"/>
              </w:rPr>
            </w:pPr>
            <w:r w:rsidRPr="00154CBA">
              <w:rPr>
                <w:sz w:val="22"/>
                <w:szCs w:val="22"/>
              </w:rPr>
              <w:t>53.4%</w:t>
            </w:r>
          </w:p>
        </w:tc>
        <w:tc>
          <w:tcPr>
            <w:tcW w:w="1644" w:type="dxa"/>
            <w:vAlign w:val="center"/>
          </w:tcPr>
          <w:p w:rsidR="00171C3C" w:rsidRPr="00154CBA" w:rsidRDefault="00171C3C" w:rsidP="00EC09EB">
            <w:pPr>
              <w:jc w:val="center"/>
              <w:rPr>
                <w:sz w:val="22"/>
                <w:szCs w:val="22"/>
              </w:rPr>
            </w:pPr>
            <w:r w:rsidRPr="00154CBA">
              <w:rPr>
                <w:sz w:val="22"/>
                <w:szCs w:val="22"/>
              </w:rPr>
              <w:t>54.1%</w:t>
            </w:r>
          </w:p>
        </w:tc>
      </w:tr>
      <w:tr w:rsidR="00171C3C" w:rsidTr="00EC09EB">
        <w:trPr>
          <w:jc w:val="right"/>
        </w:trPr>
        <w:tc>
          <w:tcPr>
            <w:tcW w:w="1020" w:type="dxa"/>
            <w:vAlign w:val="center"/>
          </w:tcPr>
          <w:p w:rsidR="00171C3C" w:rsidRPr="006E2892" w:rsidRDefault="00171C3C" w:rsidP="00EC09EB">
            <w:pPr>
              <w:pStyle w:val="NormalIndent"/>
              <w:ind w:firstLine="0"/>
              <w:jc w:val="center"/>
              <w:rPr>
                <w:sz w:val="22"/>
                <w:szCs w:val="22"/>
                <w:lang w:val="en-GB"/>
              </w:rPr>
            </w:pPr>
            <w:r w:rsidRPr="006E2892">
              <w:rPr>
                <w:sz w:val="22"/>
                <w:szCs w:val="22"/>
                <w:lang w:val="en-GB"/>
              </w:rPr>
              <w:t>28</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GP2GP</w:t>
            </w:r>
          </w:p>
        </w:tc>
        <w:tc>
          <w:tcPr>
            <w:tcW w:w="1644" w:type="dxa"/>
            <w:vAlign w:val="center"/>
          </w:tcPr>
          <w:p w:rsidR="00171C3C" w:rsidRPr="00154CBA" w:rsidRDefault="00171C3C" w:rsidP="00EC09EB">
            <w:pPr>
              <w:jc w:val="center"/>
              <w:rPr>
                <w:sz w:val="22"/>
                <w:szCs w:val="22"/>
              </w:rPr>
            </w:pPr>
            <w:r w:rsidRPr="00154CBA">
              <w:rPr>
                <w:sz w:val="22"/>
                <w:szCs w:val="22"/>
              </w:rPr>
              <w:t>57.0%</w:t>
            </w:r>
          </w:p>
        </w:tc>
        <w:tc>
          <w:tcPr>
            <w:tcW w:w="1644" w:type="dxa"/>
            <w:vAlign w:val="center"/>
          </w:tcPr>
          <w:p w:rsidR="00171C3C" w:rsidRPr="00154CBA" w:rsidRDefault="00171C3C" w:rsidP="00EC09EB">
            <w:pPr>
              <w:jc w:val="center"/>
              <w:rPr>
                <w:sz w:val="22"/>
                <w:szCs w:val="22"/>
              </w:rPr>
            </w:pPr>
            <w:r w:rsidRPr="00154CBA">
              <w:rPr>
                <w:sz w:val="22"/>
                <w:szCs w:val="22"/>
              </w:rPr>
              <w:t>52.4%</w:t>
            </w:r>
          </w:p>
        </w:tc>
        <w:tc>
          <w:tcPr>
            <w:tcW w:w="1644" w:type="dxa"/>
            <w:vAlign w:val="center"/>
          </w:tcPr>
          <w:p w:rsidR="00171C3C" w:rsidRPr="00154CBA" w:rsidRDefault="00171C3C" w:rsidP="00EC09EB">
            <w:pPr>
              <w:jc w:val="center"/>
              <w:rPr>
                <w:sz w:val="22"/>
                <w:szCs w:val="22"/>
              </w:rPr>
            </w:pPr>
            <w:r w:rsidRPr="00154CBA">
              <w:rPr>
                <w:sz w:val="22"/>
                <w:szCs w:val="22"/>
              </w:rPr>
              <w:t>57.7%</w:t>
            </w:r>
          </w:p>
        </w:tc>
        <w:tc>
          <w:tcPr>
            <w:tcW w:w="1644" w:type="dxa"/>
          </w:tcPr>
          <w:p w:rsidR="00171C3C" w:rsidRPr="00154CBA" w:rsidRDefault="00171C3C" w:rsidP="00EC09EB">
            <w:pPr>
              <w:jc w:val="center"/>
              <w:rPr>
                <w:sz w:val="22"/>
                <w:szCs w:val="22"/>
              </w:rPr>
            </w:pPr>
            <w:r w:rsidRPr="00154CBA">
              <w:rPr>
                <w:sz w:val="22"/>
                <w:szCs w:val="22"/>
              </w:rPr>
              <w:t>53.5%</w:t>
            </w:r>
          </w:p>
        </w:tc>
        <w:tc>
          <w:tcPr>
            <w:tcW w:w="1644" w:type="dxa"/>
            <w:vAlign w:val="center"/>
          </w:tcPr>
          <w:p w:rsidR="00171C3C" w:rsidRPr="00154CBA" w:rsidRDefault="00171C3C" w:rsidP="00EC09EB">
            <w:pPr>
              <w:jc w:val="center"/>
              <w:rPr>
                <w:sz w:val="22"/>
                <w:szCs w:val="22"/>
              </w:rPr>
            </w:pPr>
            <w:r w:rsidRPr="00154CBA">
              <w:rPr>
                <w:sz w:val="22"/>
                <w:szCs w:val="22"/>
              </w:rPr>
              <w:t>54.4%</w:t>
            </w:r>
          </w:p>
        </w:tc>
      </w:tr>
      <w:tr w:rsidR="00171C3C" w:rsidTr="00EC09EB">
        <w:trPr>
          <w:jc w:val="right"/>
        </w:trPr>
        <w:tc>
          <w:tcPr>
            <w:tcW w:w="1020" w:type="dxa"/>
            <w:vAlign w:val="center"/>
          </w:tcPr>
          <w:p w:rsidR="00171C3C" w:rsidRPr="006E2892" w:rsidRDefault="00171C3C" w:rsidP="00EC09EB">
            <w:pPr>
              <w:pStyle w:val="NormalIndent"/>
              <w:ind w:firstLine="0"/>
              <w:jc w:val="center"/>
              <w:rPr>
                <w:sz w:val="22"/>
                <w:szCs w:val="22"/>
                <w:lang w:val="en-GB"/>
              </w:rPr>
            </w:pPr>
            <w:r w:rsidRPr="006E2892">
              <w:rPr>
                <w:sz w:val="22"/>
                <w:szCs w:val="22"/>
                <w:lang w:val="en-GB"/>
              </w:rPr>
              <w:t>29</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 xml:space="preserve">Electronic </w:t>
            </w:r>
            <w:r>
              <w:rPr>
                <w:sz w:val="22"/>
                <w:szCs w:val="22"/>
                <w:lang w:val="en-GB"/>
              </w:rPr>
              <w:t>P</w:t>
            </w:r>
            <w:r w:rsidRPr="006E2892">
              <w:rPr>
                <w:sz w:val="22"/>
                <w:szCs w:val="22"/>
                <w:lang w:val="en-GB"/>
              </w:rPr>
              <w:t xml:space="preserve">rescription </w:t>
            </w:r>
            <w:r>
              <w:rPr>
                <w:sz w:val="22"/>
                <w:szCs w:val="22"/>
                <w:lang w:val="en-GB"/>
              </w:rPr>
              <w:t>S</w:t>
            </w:r>
            <w:r w:rsidRPr="006E2892">
              <w:rPr>
                <w:sz w:val="22"/>
                <w:szCs w:val="22"/>
                <w:lang w:val="en-GB"/>
              </w:rPr>
              <w:t>ervice</w:t>
            </w:r>
          </w:p>
        </w:tc>
        <w:tc>
          <w:tcPr>
            <w:tcW w:w="1644" w:type="dxa"/>
            <w:vAlign w:val="center"/>
          </w:tcPr>
          <w:p w:rsidR="00171C3C" w:rsidRPr="00154CBA" w:rsidRDefault="00171C3C" w:rsidP="00EC09EB">
            <w:pPr>
              <w:jc w:val="center"/>
              <w:rPr>
                <w:sz w:val="22"/>
                <w:szCs w:val="22"/>
              </w:rPr>
            </w:pPr>
            <w:r w:rsidRPr="00154CBA">
              <w:rPr>
                <w:sz w:val="22"/>
                <w:szCs w:val="22"/>
              </w:rPr>
              <w:t>0.9%</w:t>
            </w:r>
          </w:p>
        </w:tc>
        <w:tc>
          <w:tcPr>
            <w:tcW w:w="1644" w:type="dxa"/>
            <w:vAlign w:val="center"/>
          </w:tcPr>
          <w:p w:rsidR="00171C3C" w:rsidRPr="00154CBA" w:rsidRDefault="00171C3C" w:rsidP="00EC09EB">
            <w:pPr>
              <w:jc w:val="center"/>
              <w:rPr>
                <w:sz w:val="22"/>
                <w:szCs w:val="22"/>
              </w:rPr>
            </w:pPr>
            <w:r w:rsidRPr="00154CBA">
              <w:rPr>
                <w:sz w:val="22"/>
                <w:szCs w:val="22"/>
              </w:rPr>
              <w:t>1.1%</w:t>
            </w:r>
          </w:p>
        </w:tc>
        <w:tc>
          <w:tcPr>
            <w:tcW w:w="1644" w:type="dxa"/>
            <w:vAlign w:val="center"/>
          </w:tcPr>
          <w:p w:rsidR="00171C3C" w:rsidRPr="00154CBA" w:rsidRDefault="00171C3C" w:rsidP="00EC09EB">
            <w:pPr>
              <w:jc w:val="center"/>
              <w:rPr>
                <w:sz w:val="22"/>
                <w:szCs w:val="22"/>
              </w:rPr>
            </w:pPr>
            <w:r w:rsidRPr="00154CBA">
              <w:rPr>
                <w:sz w:val="22"/>
                <w:szCs w:val="22"/>
              </w:rPr>
              <w:t>1.0%</w:t>
            </w:r>
          </w:p>
        </w:tc>
        <w:tc>
          <w:tcPr>
            <w:tcW w:w="1644" w:type="dxa"/>
          </w:tcPr>
          <w:p w:rsidR="00171C3C" w:rsidRPr="00154CBA" w:rsidRDefault="00171C3C" w:rsidP="00EC09EB">
            <w:pPr>
              <w:jc w:val="center"/>
              <w:rPr>
                <w:sz w:val="22"/>
                <w:szCs w:val="22"/>
              </w:rPr>
            </w:pPr>
            <w:r w:rsidRPr="00154CBA">
              <w:rPr>
                <w:sz w:val="22"/>
                <w:szCs w:val="22"/>
              </w:rPr>
              <w:t>1.2%</w:t>
            </w:r>
          </w:p>
        </w:tc>
        <w:tc>
          <w:tcPr>
            <w:tcW w:w="1644" w:type="dxa"/>
            <w:vAlign w:val="center"/>
          </w:tcPr>
          <w:p w:rsidR="00171C3C" w:rsidRPr="00154CBA" w:rsidRDefault="00171C3C" w:rsidP="00EC09EB">
            <w:pPr>
              <w:jc w:val="center"/>
              <w:rPr>
                <w:sz w:val="22"/>
                <w:szCs w:val="22"/>
              </w:rPr>
            </w:pPr>
            <w:r w:rsidRPr="00154CBA">
              <w:rPr>
                <w:sz w:val="22"/>
                <w:szCs w:val="22"/>
              </w:rPr>
              <w:t>2.0%</w:t>
            </w:r>
          </w:p>
        </w:tc>
      </w:tr>
      <w:tr w:rsidR="00171C3C" w:rsidTr="00EC09EB">
        <w:trPr>
          <w:jc w:val="right"/>
        </w:trPr>
        <w:tc>
          <w:tcPr>
            <w:tcW w:w="1020" w:type="dxa"/>
            <w:vAlign w:val="center"/>
          </w:tcPr>
          <w:p w:rsidR="00171C3C" w:rsidRPr="006E2892" w:rsidRDefault="00171C3C" w:rsidP="00EC09EB">
            <w:pPr>
              <w:pStyle w:val="NormalIndent"/>
              <w:ind w:firstLine="0"/>
              <w:jc w:val="center"/>
              <w:rPr>
                <w:sz w:val="22"/>
                <w:szCs w:val="22"/>
                <w:lang w:val="en-GB"/>
              </w:rPr>
            </w:pPr>
            <w:r w:rsidRPr="006E2892">
              <w:rPr>
                <w:sz w:val="22"/>
                <w:szCs w:val="22"/>
                <w:lang w:val="en-GB"/>
              </w:rPr>
              <w:t>30</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Booking or cancelling appointments</w:t>
            </w:r>
          </w:p>
        </w:tc>
        <w:tc>
          <w:tcPr>
            <w:tcW w:w="1644" w:type="dxa"/>
            <w:vAlign w:val="center"/>
          </w:tcPr>
          <w:p w:rsidR="00171C3C" w:rsidRPr="00154CBA" w:rsidRDefault="00171C3C" w:rsidP="00EC09EB">
            <w:pPr>
              <w:jc w:val="center"/>
              <w:rPr>
                <w:sz w:val="22"/>
                <w:szCs w:val="22"/>
              </w:rPr>
            </w:pPr>
            <w:r w:rsidRPr="00154CBA">
              <w:rPr>
                <w:sz w:val="22"/>
                <w:szCs w:val="22"/>
              </w:rPr>
              <w:t>49.9%</w:t>
            </w:r>
          </w:p>
        </w:tc>
        <w:tc>
          <w:tcPr>
            <w:tcW w:w="1644" w:type="dxa"/>
            <w:vAlign w:val="center"/>
          </w:tcPr>
          <w:p w:rsidR="00171C3C" w:rsidRPr="00154CBA" w:rsidRDefault="00171C3C" w:rsidP="00EC09EB">
            <w:pPr>
              <w:jc w:val="center"/>
              <w:rPr>
                <w:sz w:val="22"/>
                <w:szCs w:val="22"/>
              </w:rPr>
            </w:pPr>
            <w:r w:rsidRPr="00154CBA">
              <w:rPr>
                <w:sz w:val="22"/>
                <w:szCs w:val="22"/>
              </w:rPr>
              <w:t>38.9%</w:t>
            </w:r>
          </w:p>
        </w:tc>
        <w:tc>
          <w:tcPr>
            <w:tcW w:w="1644" w:type="dxa"/>
            <w:vAlign w:val="center"/>
          </w:tcPr>
          <w:p w:rsidR="00171C3C" w:rsidRPr="00154CBA" w:rsidRDefault="00171C3C" w:rsidP="00EC09EB">
            <w:pPr>
              <w:jc w:val="center"/>
              <w:rPr>
                <w:sz w:val="22"/>
                <w:szCs w:val="22"/>
              </w:rPr>
            </w:pPr>
            <w:r w:rsidRPr="00154CBA">
              <w:rPr>
                <w:sz w:val="22"/>
                <w:szCs w:val="22"/>
              </w:rPr>
              <w:t>27.1%</w:t>
            </w:r>
          </w:p>
        </w:tc>
        <w:tc>
          <w:tcPr>
            <w:tcW w:w="1644" w:type="dxa"/>
          </w:tcPr>
          <w:p w:rsidR="00171C3C" w:rsidRPr="00154CBA" w:rsidRDefault="00171C3C" w:rsidP="00EC09EB">
            <w:pPr>
              <w:jc w:val="center"/>
              <w:rPr>
                <w:sz w:val="22"/>
                <w:szCs w:val="22"/>
              </w:rPr>
            </w:pPr>
            <w:r w:rsidRPr="00154CBA">
              <w:rPr>
                <w:sz w:val="22"/>
                <w:szCs w:val="22"/>
              </w:rPr>
              <w:t>32.9%</w:t>
            </w:r>
          </w:p>
        </w:tc>
        <w:tc>
          <w:tcPr>
            <w:tcW w:w="1644" w:type="dxa"/>
            <w:vAlign w:val="center"/>
          </w:tcPr>
          <w:p w:rsidR="00171C3C" w:rsidRPr="00154CBA" w:rsidRDefault="00171C3C" w:rsidP="00EC09EB">
            <w:pPr>
              <w:jc w:val="center"/>
              <w:rPr>
                <w:sz w:val="22"/>
                <w:szCs w:val="22"/>
              </w:rPr>
            </w:pPr>
            <w:r w:rsidRPr="00154CBA">
              <w:rPr>
                <w:sz w:val="22"/>
                <w:szCs w:val="22"/>
              </w:rPr>
              <w:t>40.2%</w:t>
            </w:r>
          </w:p>
        </w:tc>
      </w:tr>
      <w:tr w:rsidR="00171C3C" w:rsidTr="00EC09EB">
        <w:trPr>
          <w:jc w:val="right"/>
        </w:trPr>
        <w:tc>
          <w:tcPr>
            <w:tcW w:w="1020" w:type="dxa"/>
            <w:vAlign w:val="center"/>
          </w:tcPr>
          <w:p w:rsidR="00171C3C" w:rsidRPr="006E2892" w:rsidRDefault="00171C3C" w:rsidP="00EC09EB">
            <w:pPr>
              <w:pStyle w:val="NormalIndent"/>
              <w:ind w:firstLine="0"/>
              <w:jc w:val="center"/>
              <w:rPr>
                <w:sz w:val="22"/>
                <w:szCs w:val="22"/>
                <w:lang w:val="en-GB"/>
              </w:rPr>
            </w:pPr>
            <w:r w:rsidRPr="006E2892">
              <w:rPr>
                <w:sz w:val="22"/>
                <w:szCs w:val="22"/>
                <w:lang w:val="en-GB"/>
              </w:rPr>
              <w:t>31</w:t>
            </w:r>
          </w:p>
        </w:tc>
        <w:tc>
          <w:tcPr>
            <w:tcW w:w="3628" w:type="dxa"/>
          </w:tcPr>
          <w:p w:rsidR="00171C3C" w:rsidRPr="006E2892" w:rsidRDefault="00171C3C" w:rsidP="00EC09EB">
            <w:pPr>
              <w:pStyle w:val="NormalIndent"/>
              <w:ind w:firstLine="0"/>
              <w:rPr>
                <w:sz w:val="22"/>
                <w:szCs w:val="22"/>
                <w:lang w:val="en-GB"/>
              </w:rPr>
            </w:pPr>
            <w:r>
              <w:rPr>
                <w:sz w:val="22"/>
                <w:szCs w:val="22"/>
                <w:lang w:val="en-GB"/>
              </w:rPr>
              <w:t>O</w:t>
            </w:r>
            <w:r w:rsidRPr="006E2892">
              <w:rPr>
                <w:sz w:val="22"/>
                <w:szCs w:val="22"/>
                <w:lang w:val="en-GB"/>
              </w:rPr>
              <w:t>rdering repeat prescriptions</w:t>
            </w:r>
          </w:p>
        </w:tc>
        <w:tc>
          <w:tcPr>
            <w:tcW w:w="1644" w:type="dxa"/>
            <w:vAlign w:val="center"/>
          </w:tcPr>
          <w:p w:rsidR="00171C3C" w:rsidRPr="00154CBA" w:rsidRDefault="00171C3C" w:rsidP="00EC09EB">
            <w:pPr>
              <w:jc w:val="center"/>
              <w:rPr>
                <w:sz w:val="22"/>
                <w:szCs w:val="22"/>
              </w:rPr>
            </w:pPr>
            <w:r w:rsidRPr="00154CBA">
              <w:rPr>
                <w:sz w:val="22"/>
                <w:szCs w:val="22"/>
              </w:rPr>
              <w:t>52.9%</w:t>
            </w:r>
          </w:p>
        </w:tc>
        <w:tc>
          <w:tcPr>
            <w:tcW w:w="1644" w:type="dxa"/>
            <w:vAlign w:val="center"/>
          </w:tcPr>
          <w:p w:rsidR="00171C3C" w:rsidRPr="00154CBA" w:rsidRDefault="00171C3C" w:rsidP="00EC09EB">
            <w:pPr>
              <w:jc w:val="center"/>
              <w:rPr>
                <w:sz w:val="22"/>
                <w:szCs w:val="22"/>
              </w:rPr>
            </w:pPr>
            <w:r w:rsidRPr="00154CBA">
              <w:rPr>
                <w:sz w:val="22"/>
                <w:szCs w:val="22"/>
              </w:rPr>
              <w:t>46.2%</w:t>
            </w:r>
          </w:p>
        </w:tc>
        <w:tc>
          <w:tcPr>
            <w:tcW w:w="1644" w:type="dxa"/>
            <w:vAlign w:val="center"/>
          </w:tcPr>
          <w:p w:rsidR="00171C3C" w:rsidRPr="00154CBA" w:rsidRDefault="00171C3C" w:rsidP="00EC09EB">
            <w:pPr>
              <w:jc w:val="center"/>
              <w:rPr>
                <w:sz w:val="22"/>
                <w:szCs w:val="22"/>
              </w:rPr>
            </w:pPr>
            <w:r w:rsidRPr="00154CBA">
              <w:rPr>
                <w:sz w:val="22"/>
                <w:szCs w:val="22"/>
              </w:rPr>
              <w:t>28.6%</w:t>
            </w:r>
          </w:p>
        </w:tc>
        <w:tc>
          <w:tcPr>
            <w:tcW w:w="1644" w:type="dxa"/>
          </w:tcPr>
          <w:p w:rsidR="00171C3C" w:rsidRPr="00154CBA" w:rsidRDefault="00171C3C" w:rsidP="00EC09EB">
            <w:pPr>
              <w:jc w:val="center"/>
              <w:rPr>
                <w:sz w:val="22"/>
                <w:szCs w:val="22"/>
              </w:rPr>
            </w:pPr>
            <w:r w:rsidRPr="00154CBA">
              <w:rPr>
                <w:sz w:val="22"/>
                <w:szCs w:val="22"/>
              </w:rPr>
              <w:t>36.3%</w:t>
            </w:r>
          </w:p>
        </w:tc>
        <w:tc>
          <w:tcPr>
            <w:tcW w:w="1644" w:type="dxa"/>
            <w:vAlign w:val="center"/>
          </w:tcPr>
          <w:p w:rsidR="00171C3C" w:rsidRPr="00154CBA" w:rsidRDefault="00171C3C" w:rsidP="00EC09EB">
            <w:pPr>
              <w:jc w:val="center"/>
              <w:rPr>
                <w:sz w:val="22"/>
                <w:szCs w:val="22"/>
              </w:rPr>
            </w:pPr>
            <w:r w:rsidRPr="00154CBA">
              <w:rPr>
                <w:sz w:val="22"/>
                <w:szCs w:val="22"/>
              </w:rPr>
              <w:t>41.3%</w:t>
            </w:r>
          </w:p>
        </w:tc>
      </w:tr>
      <w:tr w:rsidR="00171C3C" w:rsidTr="00EC09EB">
        <w:trPr>
          <w:jc w:val="right"/>
        </w:trPr>
        <w:tc>
          <w:tcPr>
            <w:tcW w:w="1020" w:type="dxa"/>
            <w:vAlign w:val="center"/>
          </w:tcPr>
          <w:p w:rsidR="00171C3C" w:rsidRPr="006E2892" w:rsidRDefault="00171C3C" w:rsidP="00EC09EB">
            <w:pPr>
              <w:pStyle w:val="NormalIndent"/>
              <w:ind w:firstLine="0"/>
              <w:jc w:val="center"/>
              <w:rPr>
                <w:sz w:val="22"/>
                <w:szCs w:val="22"/>
                <w:lang w:val="en-GB"/>
              </w:rPr>
            </w:pPr>
            <w:r w:rsidRPr="006E2892">
              <w:rPr>
                <w:sz w:val="22"/>
                <w:szCs w:val="22"/>
                <w:lang w:val="en-GB"/>
              </w:rPr>
              <w:t>32</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Viewing full medical records</w:t>
            </w:r>
          </w:p>
        </w:tc>
        <w:tc>
          <w:tcPr>
            <w:tcW w:w="1644" w:type="dxa"/>
            <w:vAlign w:val="center"/>
          </w:tcPr>
          <w:p w:rsidR="00171C3C" w:rsidRPr="00154CBA" w:rsidRDefault="00171C3C" w:rsidP="00EC09EB">
            <w:pPr>
              <w:jc w:val="center"/>
              <w:rPr>
                <w:sz w:val="22"/>
                <w:szCs w:val="22"/>
              </w:rPr>
            </w:pPr>
            <w:r w:rsidRPr="00154CBA">
              <w:rPr>
                <w:sz w:val="22"/>
                <w:szCs w:val="22"/>
              </w:rPr>
              <w:t>0.8%</w:t>
            </w:r>
          </w:p>
        </w:tc>
        <w:tc>
          <w:tcPr>
            <w:tcW w:w="1644" w:type="dxa"/>
            <w:vAlign w:val="center"/>
          </w:tcPr>
          <w:p w:rsidR="00171C3C" w:rsidRPr="00154CBA" w:rsidRDefault="00171C3C" w:rsidP="00EC09EB">
            <w:pPr>
              <w:jc w:val="center"/>
              <w:rPr>
                <w:sz w:val="22"/>
                <w:szCs w:val="22"/>
              </w:rPr>
            </w:pPr>
            <w:r w:rsidRPr="00154CBA">
              <w:rPr>
                <w:sz w:val="22"/>
                <w:szCs w:val="22"/>
              </w:rPr>
              <w:t>1.0%</w:t>
            </w:r>
          </w:p>
        </w:tc>
        <w:tc>
          <w:tcPr>
            <w:tcW w:w="1644" w:type="dxa"/>
            <w:vAlign w:val="center"/>
          </w:tcPr>
          <w:p w:rsidR="00171C3C" w:rsidRPr="00154CBA" w:rsidRDefault="00171C3C" w:rsidP="00EC09EB">
            <w:pPr>
              <w:jc w:val="center"/>
              <w:rPr>
                <w:sz w:val="22"/>
                <w:szCs w:val="22"/>
              </w:rPr>
            </w:pPr>
            <w:r w:rsidRPr="00154CBA">
              <w:rPr>
                <w:sz w:val="22"/>
                <w:szCs w:val="22"/>
              </w:rPr>
              <w:t>0.6%</w:t>
            </w:r>
          </w:p>
        </w:tc>
        <w:tc>
          <w:tcPr>
            <w:tcW w:w="1644" w:type="dxa"/>
          </w:tcPr>
          <w:p w:rsidR="00171C3C" w:rsidRPr="00154CBA" w:rsidRDefault="00171C3C" w:rsidP="00EC09EB">
            <w:pPr>
              <w:jc w:val="center"/>
              <w:rPr>
                <w:sz w:val="22"/>
                <w:szCs w:val="22"/>
              </w:rPr>
            </w:pPr>
            <w:r w:rsidRPr="00154CBA">
              <w:rPr>
                <w:sz w:val="22"/>
                <w:szCs w:val="22"/>
              </w:rPr>
              <w:t>0.6%</w:t>
            </w:r>
          </w:p>
        </w:tc>
        <w:tc>
          <w:tcPr>
            <w:tcW w:w="1644" w:type="dxa"/>
            <w:vAlign w:val="center"/>
          </w:tcPr>
          <w:p w:rsidR="00171C3C" w:rsidRPr="00154CBA" w:rsidRDefault="00171C3C" w:rsidP="00EC09EB">
            <w:pPr>
              <w:jc w:val="center"/>
              <w:rPr>
                <w:sz w:val="22"/>
                <w:szCs w:val="22"/>
              </w:rPr>
            </w:pPr>
            <w:r w:rsidRPr="00154CBA">
              <w:rPr>
                <w:sz w:val="22"/>
                <w:szCs w:val="22"/>
              </w:rPr>
              <w:t>0.9%</w:t>
            </w:r>
          </w:p>
        </w:tc>
      </w:tr>
      <w:tr w:rsidR="00171C3C" w:rsidTr="00EC09EB">
        <w:trPr>
          <w:jc w:val="right"/>
        </w:trPr>
        <w:tc>
          <w:tcPr>
            <w:tcW w:w="1020" w:type="dxa"/>
          </w:tcPr>
          <w:p w:rsidR="00171C3C" w:rsidRPr="006E2892" w:rsidRDefault="00171C3C" w:rsidP="00EC09EB">
            <w:pPr>
              <w:pStyle w:val="NormalIndent"/>
              <w:ind w:firstLine="0"/>
              <w:jc w:val="center"/>
              <w:rPr>
                <w:sz w:val="22"/>
                <w:szCs w:val="22"/>
                <w:lang w:val="en-GB"/>
              </w:rPr>
            </w:pPr>
            <w:r w:rsidRPr="006E2892">
              <w:rPr>
                <w:sz w:val="22"/>
                <w:szCs w:val="22"/>
                <w:lang w:val="en-GB"/>
              </w:rPr>
              <w:t>33</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Satisfaction with opening hours</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77.5%</w:t>
            </w:r>
          </w:p>
          <w:p w:rsidR="00171C3C" w:rsidRPr="006E2892" w:rsidRDefault="00171C3C" w:rsidP="00EC09EB">
            <w:pPr>
              <w:pStyle w:val="NormalIndent"/>
              <w:ind w:firstLine="0"/>
              <w:jc w:val="center"/>
              <w:rPr>
                <w:sz w:val="22"/>
                <w:szCs w:val="22"/>
                <w:lang w:val="en-GB"/>
              </w:rPr>
            </w:pPr>
            <w:r>
              <w:rPr>
                <w:sz w:val="22"/>
                <w:szCs w:val="22"/>
                <w:lang w:val="en-GB"/>
              </w:rPr>
              <w:t>(68.7%, 85.1%)</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85.5%</w:t>
            </w:r>
          </w:p>
          <w:p w:rsidR="00171C3C" w:rsidRPr="006E2892" w:rsidRDefault="00171C3C" w:rsidP="00EC09EB">
            <w:pPr>
              <w:pStyle w:val="NormalIndent"/>
              <w:ind w:firstLine="0"/>
              <w:jc w:val="center"/>
              <w:rPr>
                <w:sz w:val="22"/>
                <w:szCs w:val="22"/>
                <w:lang w:val="en-GB"/>
              </w:rPr>
            </w:pPr>
            <w:r>
              <w:rPr>
                <w:sz w:val="22"/>
                <w:szCs w:val="22"/>
                <w:lang w:val="en-GB"/>
              </w:rPr>
              <w:t>(77.6%, 94.3%)</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71.7%</w:t>
            </w:r>
          </w:p>
          <w:p w:rsidR="00171C3C" w:rsidRPr="006E2892" w:rsidRDefault="00171C3C" w:rsidP="00EC09EB">
            <w:pPr>
              <w:pStyle w:val="NormalIndent"/>
              <w:ind w:firstLine="0"/>
              <w:jc w:val="center"/>
              <w:rPr>
                <w:sz w:val="22"/>
                <w:szCs w:val="22"/>
                <w:lang w:val="en-GB"/>
              </w:rPr>
            </w:pPr>
            <w:r>
              <w:rPr>
                <w:sz w:val="22"/>
                <w:szCs w:val="22"/>
                <w:lang w:val="en-GB"/>
              </w:rPr>
              <w:t>(59.8%, 81.3%)</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82.8%</w:t>
            </w:r>
          </w:p>
          <w:p w:rsidR="00171C3C" w:rsidRPr="006E2892" w:rsidRDefault="00171C3C" w:rsidP="00EC09EB">
            <w:pPr>
              <w:pStyle w:val="NormalIndent"/>
              <w:ind w:firstLine="0"/>
              <w:jc w:val="center"/>
              <w:rPr>
                <w:sz w:val="22"/>
                <w:szCs w:val="22"/>
                <w:lang w:val="en-GB"/>
              </w:rPr>
            </w:pPr>
            <w:r>
              <w:rPr>
                <w:sz w:val="22"/>
                <w:szCs w:val="22"/>
                <w:lang w:val="en-GB"/>
              </w:rPr>
              <w:t>(74.4%, 90.4%)</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76.5%</w:t>
            </w:r>
          </w:p>
          <w:p w:rsidR="00171C3C" w:rsidRPr="006E2892" w:rsidRDefault="00171C3C" w:rsidP="00EC09EB">
            <w:pPr>
              <w:pStyle w:val="NormalIndent"/>
              <w:ind w:firstLine="0"/>
              <w:jc w:val="center"/>
              <w:rPr>
                <w:sz w:val="22"/>
                <w:szCs w:val="22"/>
                <w:lang w:val="en-GB"/>
              </w:rPr>
            </w:pPr>
            <w:r>
              <w:rPr>
                <w:sz w:val="22"/>
                <w:szCs w:val="22"/>
                <w:lang w:val="en-GB"/>
              </w:rPr>
              <w:t>(67.8%, 84.9%)</w:t>
            </w:r>
          </w:p>
        </w:tc>
      </w:tr>
      <w:tr w:rsidR="00171C3C" w:rsidTr="00EC09EB">
        <w:trPr>
          <w:jc w:val="right"/>
        </w:trPr>
        <w:tc>
          <w:tcPr>
            <w:tcW w:w="1020" w:type="dxa"/>
          </w:tcPr>
          <w:p w:rsidR="00171C3C" w:rsidRPr="006E2892" w:rsidRDefault="00171C3C" w:rsidP="00EC09EB">
            <w:pPr>
              <w:pStyle w:val="NormalIndent"/>
              <w:ind w:firstLine="0"/>
              <w:jc w:val="center"/>
              <w:rPr>
                <w:sz w:val="22"/>
                <w:szCs w:val="22"/>
                <w:lang w:val="en-GB"/>
              </w:rPr>
            </w:pPr>
            <w:r w:rsidRPr="006E2892">
              <w:rPr>
                <w:sz w:val="22"/>
                <w:szCs w:val="22"/>
                <w:lang w:val="en-GB"/>
              </w:rPr>
              <w:t>34</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Experience of waiting times</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72.7%</w:t>
            </w:r>
          </w:p>
          <w:p w:rsidR="00171C3C" w:rsidRPr="006E2892" w:rsidRDefault="00171C3C" w:rsidP="00EC09EB">
            <w:pPr>
              <w:pStyle w:val="NormalIndent"/>
              <w:ind w:firstLine="0"/>
              <w:jc w:val="center"/>
              <w:rPr>
                <w:sz w:val="22"/>
                <w:szCs w:val="22"/>
                <w:lang w:val="en-GB"/>
              </w:rPr>
            </w:pPr>
            <w:r>
              <w:rPr>
                <w:sz w:val="22"/>
                <w:szCs w:val="22"/>
                <w:lang w:val="en-GB"/>
              </w:rPr>
              <w:t>(48.9%, 87.4%)</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82.4%</w:t>
            </w:r>
          </w:p>
          <w:p w:rsidR="00171C3C" w:rsidRPr="006E2892" w:rsidRDefault="00171C3C" w:rsidP="00EC09EB">
            <w:pPr>
              <w:pStyle w:val="NormalIndent"/>
              <w:ind w:firstLine="0"/>
              <w:jc w:val="center"/>
              <w:rPr>
                <w:sz w:val="22"/>
                <w:szCs w:val="22"/>
                <w:lang w:val="en-GB"/>
              </w:rPr>
            </w:pPr>
            <w:r>
              <w:rPr>
                <w:sz w:val="22"/>
                <w:szCs w:val="22"/>
                <w:lang w:val="en-GB"/>
              </w:rPr>
              <w:t>(45.7%, 94.6%)</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60.8%</w:t>
            </w:r>
          </w:p>
          <w:p w:rsidR="00171C3C" w:rsidRPr="006E2892" w:rsidRDefault="00171C3C" w:rsidP="00EC09EB">
            <w:pPr>
              <w:pStyle w:val="NormalIndent"/>
              <w:ind w:firstLine="0"/>
              <w:jc w:val="center"/>
              <w:rPr>
                <w:sz w:val="22"/>
                <w:szCs w:val="22"/>
                <w:lang w:val="en-GB"/>
              </w:rPr>
            </w:pPr>
            <w:r>
              <w:rPr>
                <w:sz w:val="22"/>
                <w:szCs w:val="22"/>
                <w:lang w:val="en-GB"/>
              </w:rPr>
              <w:t>(31.6%, 82.8%)</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76.3%</w:t>
            </w:r>
          </w:p>
          <w:p w:rsidR="00171C3C" w:rsidRPr="006E2892" w:rsidRDefault="00171C3C" w:rsidP="00EC09EB">
            <w:pPr>
              <w:pStyle w:val="NormalIndent"/>
              <w:ind w:firstLine="0"/>
              <w:jc w:val="center"/>
              <w:rPr>
                <w:sz w:val="22"/>
                <w:szCs w:val="22"/>
                <w:lang w:val="en-GB"/>
              </w:rPr>
            </w:pPr>
            <w:r>
              <w:rPr>
                <w:sz w:val="22"/>
                <w:szCs w:val="22"/>
                <w:lang w:val="en-GB"/>
              </w:rPr>
              <w:t>(47.6%, 90.8%)</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67.9%</w:t>
            </w:r>
          </w:p>
          <w:p w:rsidR="00171C3C" w:rsidRPr="006E2892" w:rsidRDefault="00171C3C" w:rsidP="00EC09EB">
            <w:pPr>
              <w:pStyle w:val="NormalIndent"/>
              <w:ind w:firstLine="0"/>
              <w:jc w:val="center"/>
              <w:rPr>
                <w:sz w:val="22"/>
                <w:szCs w:val="22"/>
                <w:lang w:val="en-GB"/>
              </w:rPr>
            </w:pPr>
            <w:r>
              <w:rPr>
                <w:sz w:val="22"/>
                <w:szCs w:val="22"/>
                <w:lang w:val="en-GB"/>
              </w:rPr>
              <w:t>(41.1%, 85.9%)</w:t>
            </w:r>
          </w:p>
        </w:tc>
      </w:tr>
      <w:tr w:rsidR="00171C3C" w:rsidTr="00EC09EB">
        <w:trPr>
          <w:jc w:val="right"/>
        </w:trPr>
        <w:tc>
          <w:tcPr>
            <w:tcW w:w="1020" w:type="dxa"/>
          </w:tcPr>
          <w:p w:rsidR="00171C3C" w:rsidRPr="006E2892" w:rsidRDefault="00171C3C" w:rsidP="00EC09EB">
            <w:pPr>
              <w:pStyle w:val="NormalIndent"/>
              <w:ind w:firstLine="0"/>
              <w:jc w:val="center"/>
              <w:rPr>
                <w:sz w:val="22"/>
                <w:szCs w:val="22"/>
                <w:lang w:val="en-GB"/>
              </w:rPr>
            </w:pPr>
            <w:r w:rsidRPr="006E2892">
              <w:rPr>
                <w:sz w:val="22"/>
                <w:szCs w:val="22"/>
                <w:lang w:val="en-GB"/>
              </w:rPr>
              <w:t>35</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 xml:space="preserve">Being able to see doctor </w:t>
            </w:r>
            <w:r>
              <w:rPr>
                <w:sz w:val="22"/>
                <w:szCs w:val="22"/>
                <w:lang w:val="en-GB"/>
              </w:rPr>
              <w:t xml:space="preserve">fairly </w:t>
            </w:r>
            <w:r w:rsidRPr="006E2892">
              <w:rPr>
                <w:sz w:val="22"/>
                <w:szCs w:val="22"/>
                <w:lang w:val="en-GB"/>
              </w:rPr>
              <w:t>quickly</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82.8%</w:t>
            </w:r>
          </w:p>
          <w:p w:rsidR="00171C3C" w:rsidRPr="006E2892" w:rsidRDefault="00171C3C" w:rsidP="00EC09EB">
            <w:pPr>
              <w:pStyle w:val="NormalIndent"/>
              <w:ind w:firstLine="0"/>
              <w:jc w:val="center"/>
              <w:rPr>
                <w:sz w:val="22"/>
                <w:szCs w:val="22"/>
                <w:lang w:val="en-GB"/>
              </w:rPr>
            </w:pPr>
            <w:r>
              <w:rPr>
                <w:sz w:val="22"/>
                <w:szCs w:val="22"/>
                <w:lang w:val="en-GB"/>
              </w:rPr>
              <w:t>(67.5%, 93.6%)</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93.1%</w:t>
            </w:r>
          </w:p>
          <w:p w:rsidR="00171C3C" w:rsidRPr="006E2892" w:rsidRDefault="00171C3C" w:rsidP="00EC09EB">
            <w:pPr>
              <w:pStyle w:val="NormalIndent"/>
              <w:ind w:firstLine="0"/>
              <w:jc w:val="center"/>
              <w:rPr>
                <w:sz w:val="22"/>
                <w:szCs w:val="22"/>
                <w:lang w:val="en-GB"/>
              </w:rPr>
            </w:pPr>
            <w:r>
              <w:rPr>
                <w:sz w:val="22"/>
                <w:szCs w:val="22"/>
                <w:lang w:val="en-GB"/>
              </w:rPr>
              <w:t>(81.5%, 100%)</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70.0%</w:t>
            </w:r>
          </w:p>
          <w:p w:rsidR="00171C3C" w:rsidRPr="006E2892" w:rsidRDefault="00171C3C" w:rsidP="00EC09EB">
            <w:pPr>
              <w:pStyle w:val="NormalIndent"/>
              <w:ind w:firstLine="0"/>
              <w:jc w:val="center"/>
              <w:rPr>
                <w:sz w:val="22"/>
                <w:szCs w:val="22"/>
                <w:lang w:val="en-GB"/>
              </w:rPr>
            </w:pPr>
            <w:r>
              <w:rPr>
                <w:sz w:val="22"/>
                <w:szCs w:val="22"/>
                <w:lang w:val="en-GB"/>
              </w:rPr>
              <w:t>(50.2%, 88.4%)</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84.1%</w:t>
            </w:r>
          </w:p>
          <w:p w:rsidR="00171C3C" w:rsidRPr="006E2892" w:rsidRDefault="00171C3C" w:rsidP="00EC09EB">
            <w:pPr>
              <w:pStyle w:val="NormalIndent"/>
              <w:ind w:firstLine="0"/>
              <w:jc w:val="center"/>
              <w:rPr>
                <w:sz w:val="22"/>
                <w:szCs w:val="22"/>
                <w:lang w:val="en-GB"/>
              </w:rPr>
            </w:pPr>
            <w:r>
              <w:rPr>
                <w:sz w:val="22"/>
                <w:szCs w:val="22"/>
                <w:lang w:val="en-GB"/>
              </w:rPr>
              <w:t>(69.0%, 95.8%)</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75.7%</w:t>
            </w:r>
          </w:p>
          <w:p w:rsidR="00171C3C" w:rsidRPr="006E2892" w:rsidRDefault="00171C3C" w:rsidP="00EC09EB">
            <w:pPr>
              <w:pStyle w:val="NormalIndent"/>
              <w:ind w:firstLine="0"/>
              <w:jc w:val="center"/>
              <w:rPr>
                <w:sz w:val="22"/>
                <w:szCs w:val="22"/>
                <w:lang w:val="en-GB"/>
              </w:rPr>
            </w:pPr>
            <w:r>
              <w:rPr>
                <w:sz w:val="22"/>
                <w:szCs w:val="22"/>
                <w:lang w:val="en-GB"/>
              </w:rPr>
              <w:t>(59.8%, 89.0%)</w:t>
            </w:r>
          </w:p>
        </w:tc>
      </w:tr>
      <w:tr w:rsidR="00171C3C" w:rsidTr="00EC09EB">
        <w:trPr>
          <w:jc w:val="right"/>
        </w:trPr>
        <w:tc>
          <w:tcPr>
            <w:tcW w:w="1020" w:type="dxa"/>
          </w:tcPr>
          <w:p w:rsidR="00171C3C" w:rsidRPr="006E2892" w:rsidRDefault="00171C3C" w:rsidP="00EC09EB">
            <w:pPr>
              <w:pStyle w:val="NormalIndent"/>
              <w:ind w:firstLine="0"/>
              <w:jc w:val="center"/>
              <w:rPr>
                <w:sz w:val="22"/>
                <w:szCs w:val="22"/>
                <w:lang w:val="en-GB"/>
              </w:rPr>
            </w:pPr>
            <w:r w:rsidRPr="006E2892">
              <w:rPr>
                <w:sz w:val="22"/>
                <w:szCs w:val="22"/>
                <w:lang w:val="en-GB"/>
              </w:rPr>
              <w:t>36</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Being able to book ahead for appointments</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73.8%</w:t>
            </w:r>
          </w:p>
          <w:p w:rsidR="00171C3C" w:rsidRPr="006E2892" w:rsidRDefault="00171C3C" w:rsidP="00EC09EB">
            <w:pPr>
              <w:pStyle w:val="NormalIndent"/>
              <w:ind w:firstLine="0"/>
              <w:jc w:val="center"/>
              <w:rPr>
                <w:sz w:val="22"/>
                <w:szCs w:val="22"/>
                <w:lang w:val="en-GB"/>
              </w:rPr>
            </w:pPr>
            <w:r>
              <w:rPr>
                <w:sz w:val="22"/>
                <w:szCs w:val="22"/>
                <w:lang w:val="en-GB"/>
              </w:rPr>
              <w:t>(48.8%, 88.6)</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89.4</w:t>
            </w:r>
          </w:p>
          <w:p w:rsidR="00171C3C" w:rsidRPr="006E2892" w:rsidRDefault="00171C3C" w:rsidP="00EC09EB">
            <w:pPr>
              <w:pStyle w:val="NormalIndent"/>
              <w:ind w:firstLine="0"/>
              <w:jc w:val="center"/>
              <w:rPr>
                <w:sz w:val="22"/>
                <w:szCs w:val="22"/>
                <w:lang w:val="en-GB"/>
              </w:rPr>
            </w:pPr>
            <w:r>
              <w:rPr>
                <w:sz w:val="22"/>
                <w:szCs w:val="22"/>
                <w:lang w:val="en-GB"/>
              </w:rPr>
              <w:t>(68.8%, 98.7%)</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62.2%</w:t>
            </w:r>
          </w:p>
          <w:p w:rsidR="00171C3C" w:rsidRPr="006E2892" w:rsidRDefault="00171C3C" w:rsidP="00EC09EB">
            <w:pPr>
              <w:pStyle w:val="NormalIndent"/>
              <w:ind w:firstLine="0"/>
              <w:jc w:val="center"/>
              <w:rPr>
                <w:sz w:val="22"/>
                <w:szCs w:val="22"/>
                <w:lang w:val="en-GB"/>
              </w:rPr>
            </w:pPr>
            <w:r>
              <w:rPr>
                <w:sz w:val="22"/>
                <w:szCs w:val="22"/>
                <w:lang w:val="en-GB"/>
              </w:rPr>
              <w:t>(37.9%, 84.9%)</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78.4%</w:t>
            </w:r>
          </w:p>
          <w:p w:rsidR="00171C3C" w:rsidRPr="006E2892" w:rsidRDefault="00171C3C" w:rsidP="00EC09EB">
            <w:pPr>
              <w:pStyle w:val="NormalIndent"/>
              <w:ind w:firstLine="0"/>
              <w:jc w:val="center"/>
              <w:rPr>
                <w:sz w:val="22"/>
                <w:szCs w:val="22"/>
                <w:lang w:val="en-GB"/>
              </w:rPr>
            </w:pPr>
            <w:r>
              <w:rPr>
                <w:sz w:val="22"/>
                <w:szCs w:val="22"/>
                <w:lang w:val="en-GB"/>
              </w:rPr>
              <w:t>(58.3%, 92.3%)</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62.1%</w:t>
            </w:r>
          </w:p>
          <w:p w:rsidR="00171C3C" w:rsidRPr="006E2892" w:rsidRDefault="00171C3C" w:rsidP="00EC09EB">
            <w:pPr>
              <w:pStyle w:val="NormalIndent"/>
              <w:ind w:firstLine="0"/>
              <w:jc w:val="center"/>
              <w:rPr>
                <w:sz w:val="22"/>
                <w:szCs w:val="22"/>
                <w:lang w:val="en-GB"/>
              </w:rPr>
            </w:pPr>
            <w:r>
              <w:rPr>
                <w:sz w:val="22"/>
                <w:szCs w:val="22"/>
                <w:lang w:val="en-GB"/>
              </w:rPr>
              <w:t>(39.4%, 78.3%)</w:t>
            </w:r>
          </w:p>
        </w:tc>
      </w:tr>
      <w:tr w:rsidR="00171C3C" w:rsidTr="00EC09EB">
        <w:trPr>
          <w:jc w:val="right"/>
        </w:trPr>
        <w:tc>
          <w:tcPr>
            <w:tcW w:w="1020" w:type="dxa"/>
          </w:tcPr>
          <w:p w:rsidR="00171C3C" w:rsidRPr="006E2892" w:rsidRDefault="00171C3C" w:rsidP="00EC09EB">
            <w:pPr>
              <w:pStyle w:val="NormalIndent"/>
              <w:ind w:firstLine="0"/>
              <w:jc w:val="center"/>
              <w:rPr>
                <w:sz w:val="22"/>
                <w:szCs w:val="22"/>
                <w:lang w:val="en-GB"/>
              </w:rPr>
            </w:pPr>
            <w:r w:rsidRPr="006E2892">
              <w:rPr>
                <w:sz w:val="22"/>
                <w:szCs w:val="22"/>
                <w:lang w:val="en-GB"/>
              </w:rPr>
              <w:t>37</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Getting through to the practice on the phone</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70.5%</w:t>
            </w:r>
          </w:p>
          <w:p w:rsidR="00171C3C" w:rsidRPr="006E2892" w:rsidRDefault="00171C3C" w:rsidP="00EC09EB">
            <w:pPr>
              <w:pStyle w:val="NormalIndent"/>
              <w:ind w:firstLine="0"/>
              <w:jc w:val="center"/>
              <w:rPr>
                <w:sz w:val="22"/>
                <w:szCs w:val="22"/>
                <w:lang w:val="en-GB"/>
              </w:rPr>
            </w:pPr>
            <w:r>
              <w:rPr>
                <w:sz w:val="22"/>
                <w:szCs w:val="22"/>
                <w:lang w:val="en-GB"/>
              </w:rPr>
              <w:t>(48.6%, 84.5%)</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84.1%</w:t>
            </w:r>
          </w:p>
          <w:p w:rsidR="00171C3C" w:rsidRPr="006E2892" w:rsidRDefault="00171C3C" w:rsidP="00EC09EB">
            <w:pPr>
              <w:pStyle w:val="NormalIndent"/>
              <w:ind w:firstLine="0"/>
              <w:jc w:val="center"/>
              <w:rPr>
                <w:sz w:val="22"/>
                <w:szCs w:val="22"/>
                <w:lang w:val="en-GB"/>
              </w:rPr>
            </w:pPr>
            <w:r>
              <w:rPr>
                <w:sz w:val="22"/>
                <w:szCs w:val="22"/>
                <w:lang w:val="en-GB"/>
              </w:rPr>
              <w:t>(70.8%, 92.4%)</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62.4%</w:t>
            </w:r>
          </w:p>
          <w:p w:rsidR="00171C3C" w:rsidRPr="006E2892" w:rsidRDefault="00171C3C" w:rsidP="00EC09EB">
            <w:pPr>
              <w:pStyle w:val="NormalIndent"/>
              <w:ind w:firstLine="0"/>
              <w:jc w:val="center"/>
              <w:rPr>
                <w:sz w:val="22"/>
                <w:szCs w:val="22"/>
                <w:lang w:val="en-GB"/>
              </w:rPr>
            </w:pPr>
            <w:r>
              <w:rPr>
                <w:sz w:val="22"/>
                <w:szCs w:val="22"/>
                <w:lang w:val="en-GB"/>
              </w:rPr>
              <w:t>(31.0%, 81.2%)</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78.1%</w:t>
            </w:r>
          </w:p>
          <w:p w:rsidR="00171C3C" w:rsidRPr="006E2892" w:rsidRDefault="00171C3C" w:rsidP="00EC09EB">
            <w:pPr>
              <w:pStyle w:val="NormalIndent"/>
              <w:ind w:firstLine="0"/>
              <w:jc w:val="center"/>
              <w:rPr>
                <w:sz w:val="22"/>
                <w:szCs w:val="22"/>
                <w:lang w:val="en-GB"/>
              </w:rPr>
            </w:pPr>
            <w:r>
              <w:rPr>
                <w:sz w:val="22"/>
                <w:szCs w:val="22"/>
                <w:lang w:val="en-GB"/>
              </w:rPr>
              <w:t>(63.0%, 88.0%)</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59.4%</w:t>
            </w:r>
          </w:p>
          <w:p w:rsidR="00171C3C" w:rsidRPr="006E2892" w:rsidRDefault="00171C3C" w:rsidP="00EC09EB">
            <w:pPr>
              <w:pStyle w:val="NormalIndent"/>
              <w:ind w:firstLine="0"/>
              <w:jc w:val="center"/>
              <w:rPr>
                <w:sz w:val="22"/>
                <w:szCs w:val="22"/>
                <w:lang w:val="en-GB"/>
              </w:rPr>
            </w:pPr>
            <w:r>
              <w:rPr>
                <w:sz w:val="22"/>
                <w:szCs w:val="22"/>
                <w:lang w:val="en-GB"/>
              </w:rPr>
              <w:t>(36.2%, 76.4%)</w:t>
            </w:r>
          </w:p>
        </w:tc>
      </w:tr>
      <w:tr w:rsidR="00171C3C" w:rsidTr="00EC09EB">
        <w:trPr>
          <w:jc w:val="right"/>
        </w:trPr>
        <w:tc>
          <w:tcPr>
            <w:tcW w:w="1020" w:type="dxa"/>
          </w:tcPr>
          <w:p w:rsidR="00171C3C" w:rsidRPr="006E2892" w:rsidRDefault="00171C3C" w:rsidP="00EC09EB">
            <w:pPr>
              <w:pStyle w:val="NormalIndent"/>
              <w:ind w:firstLine="0"/>
              <w:jc w:val="center"/>
              <w:rPr>
                <w:sz w:val="22"/>
                <w:szCs w:val="22"/>
                <w:lang w:val="en-GB"/>
              </w:rPr>
            </w:pPr>
            <w:r w:rsidRPr="006E2892">
              <w:rPr>
                <w:sz w:val="22"/>
                <w:szCs w:val="22"/>
                <w:lang w:val="en-GB"/>
              </w:rPr>
              <w:t>38</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Patient confidence and trust in the doctor</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95.7%</w:t>
            </w:r>
          </w:p>
          <w:p w:rsidR="00171C3C" w:rsidRPr="006E2892" w:rsidRDefault="00171C3C" w:rsidP="00EC09EB">
            <w:pPr>
              <w:pStyle w:val="NormalIndent"/>
              <w:ind w:firstLine="0"/>
              <w:jc w:val="center"/>
              <w:rPr>
                <w:sz w:val="22"/>
                <w:szCs w:val="22"/>
                <w:lang w:val="en-GB"/>
              </w:rPr>
            </w:pPr>
            <w:r>
              <w:rPr>
                <w:sz w:val="22"/>
                <w:szCs w:val="22"/>
                <w:lang w:val="en-GB"/>
              </w:rPr>
              <w:t>(91.6%, 98.4%)</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96.8%</w:t>
            </w:r>
          </w:p>
          <w:p w:rsidR="00171C3C" w:rsidRPr="006E2892" w:rsidRDefault="00171C3C" w:rsidP="00EC09EB">
            <w:pPr>
              <w:pStyle w:val="NormalIndent"/>
              <w:ind w:firstLine="0"/>
              <w:jc w:val="center"/>
              <w:rPr>
                <w:sz w:val="22"/>
                <w:szCs w:val="22"/>
                <w:lang w:val="en-GB"/>
              </w:rPr>
            </w:pPr>
            <w:r>
              <w:rPr>
                <w:sz w:val="22"/>
                <w:szCs w:val="22"/>
                <w:lang w:val="en-GB"/>
              </w:rPr>
              <w:t>(91.0%, 99.5%)</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87.8%</w:t>
            </w:r>
          </w:p>
          <w:p w:rsidR="00171C3C" w:rsidRPr="006E2892" w:rsidRDefault="00171C3C" w:rsidP="00EC09EB">
            <w:pPr>
              <w:pStyle w:val="NormalIndent"/>
              <w:ind w:firstLine="0"/>
              <w:jc w:val="center"/>
              <w:rPr>
                <w:sz w:val="22"/>
                <w:szCs w:val="22"/>
                <w:lang w:val="en-GB"/>
              </w:rPr>
            </w:pPr>
            <w:r>
              <w:rPr>
                <w:sz w:val="22"/>
                <w:szCs w:val="22"/>
                <w:lang w:val="en-GB"/>
              </w:rPr>
              <w:t>(78.5%, 93.3%)</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93.9%</w:t>
            </w:r>
          </w:p>
          <w:p w:rsidR="00171C3C" w:rsidRPr="006E2892" w:rsidRDefault="00171C3C" w:rsidP="00EC09EB">
            <w:pPr>
              <w:pStyle w:val="NormalIndent"/>
              <w:ind w:firstLine="0"/>
              <w:jc w:val="center"/>
              <w:rPr>
                <w:sz w:val="22"/>
                <w:szCs w:val="22"/>
                <w:lang w:val="en-GB"/>
              </w:rPr>
            </w:pPr>
            <w:r>
              <w:rPr>
                <w:sz w:val="22"/>
                <w:szCs w:val="22"/>
                <w:lang w:val="en-GB"/>
              </w:rPr>
              <w:t>(85.9%, 98.1%)</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93.4%</w:t>
            </w:r>
          </w:p>
          <w:p w:rsidR="00171C3C" w:rsidRPr="006E2892" w:rsidRDefault="00171C3C" w:rsidP="00EC09EB">
            <w:pPr>
              <w:pStyle w:val="NormalIndent"/>
              <w:ind w:firstLine="0"/>
              <w:jc w:val="center"/>
              <w:rPr>
                <w:sz w:val="22"/>
                <w:szCs w:val="22"/>
                <w:lang w:val="en-GB"/>
              </w:rPr>
            </w:pPr>
            <w:r>
              <w:rPr>
                <w:sz w:val="22"/>
                <w:szCs w:val="22"/>
                <w:lang w:val="en-GB"/>
              </w:rPr>
              <w:t>(89.4%, 97.1%)</w:t>
            </w:r>
          </w:p>
        </w:tc>
      </w:tr>
      <w:tr w:rsidR="00171C3C" w:rsidTr="00EC09EB">
        <w:trPr>
          <w:jc w:val="right"/>
        </w:trPr>
        <w:tc>
          <w:tcPr>
            <w:tcW w:w="1020" w:type="dxa"/>
          </w:tcPr>
          <w:p w:rsidR="00171C3C" w:rsidRPr="006E2892" w:rsidRDefault="00171C3C" w:rsidP="00EC09EB">
            <w:pPr>
              <w:pStyle w:val="NormalIndent"/>
              <w:ind w:firstLine="0"/>
              <w:jc w:val="center"/>
              <w:rPr>
                <w:sz w:val="22"/>
                <w:szCs w:val="22"/>
                <w:lang w:val="en-GB"/>
              </w:rPr>
            </w:pPr>
            <w:r w:rsidRPr="006E2892">
              <w:rPr>
                <w:sz w:val="22"/>
                <w:szCs w:val="22"/>
                <w:lang w:val="en-GB"/>
              </w:rPr>
              <w:t>39</w:t>
            </w:r>
          </w:p>
        </w:tc>
        <w:tc>
          <w:tcPr>
            <w:tcW w:w="3628" w:type="dxa"/>
          </w:tcPr>
          <w:p w:rsidR="00171C3C" w:rsidRPr="006E2892" w:rsidRDefault="00171C3C" w:rsidP="00EC09EB">
            <w:pPr>
              <w:pStyle w:val="NormalIndent"/>
              <w:ind w:firstLine="0"/>
              <w:rPr>
                <w:sz w:val="22"/>
                <w:szCs w:val="22"/>
                <w:lang w:val="en-GB"/>
              </w:rPr>
            </w:pPr>
            <w:r w:rsidRPr="006E2892">
              <w:rPr>
                <w:sz w:val="22"/>
                <w:szCs w:val="22"/>
                <w:lang w:val="en-GB"/>
              </w:rPr>
              <w:t>Satisfaction with care received</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92.0%</w:t>
            </w:r>
          </w:p>
          <w:p w:rsidR="00171C3C" w:rsidRPr="006E2892" w:rsidRDefault="00171C3C" w:rsidP="00EC09EB">
            <w:pPr>
              <w:pStyle w:val="NormalIndent"/>
              <w:ind w:firstLine="0"/>
              <w:jc w:val="center"/>
              <w:rPr>
                <w:sz w:val="22"/>
                <w:szCs w:val="22"/>
                <w:lang w:val="en-GB"/>
              </w:rPr>
            </w:pPr>
            <w:r>
              <w:rPr>
                <w:sz w:val="22"/>
                <w:szCs w:val="22"/>
                <w:lang w:val="en-GB"/>
              </w:rPr>
              <w:t>(86.4%, 95.9%)</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95.8%</w:t>
            </w:r>
          </w:p>
          <w:p w:rsidR="00171C3C" w:rsidRPr="006E2892" w:rsidRDefault="00171C3C" w:rsidP="00EC09EB">
            <w:pPr>
              <w:pStyle w:val="NormalIndent"/>
              <w:ind w:firstLine="0"/>
              <w:jc w:val="center"/>
              <w:rPr>
                <w:sz w:val="22"/>
                <w:szCs w:val="22"/>
                <w:lang w:val="en-GB"/>
              </w:rPr>
            </w:pPr>
            <w:r>
              <w:rPr>
                <w:sz w:val="22"/>
                <w:szCs w:val="22"/>
                <w:lang w:val="en-GB"/>
              </w:rPr>
              <w:t>(89.6%, 99.2%)</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78.9%</w:t>
            </w:r>
          </w:p>
          <w:p w:rsidR="00171C3C" w:rsidRPr="006E2892" w:rsidRDefault="00171C3C" w:rsidP="00EC09EB">
            <w:pPr>
              <w:pStyle w:val="NormalIndent"/>
              <w:ind w:firstLine="0"/>
              <w:jc w:val="center"/>
              <w:rPr>
                <w:sz w:val="22"/>
                <w:szCs w:val="22"/>
                <w:lang w:val="en-GB"/>
              </w:rPr>
            </w:pPr>
            <w:r>
              <w:rPr>
                <w:sz w:val="22"/>
                <w:szCs w:val="22"/>
                <w:lang w:val="en-GB"/>
              </w:rPr>
              <w:t>(66.9%, 84.5%)</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91.4%</w:t>
            </w:r>
          </w:p>
          <w:p w:rsidR="00171C3C" w:rsidRPr="006E2892" w:rsidRDefault="00171C3C" w:rsidP="00EC09EB">
            <w:pPr>
              <w:pStyle w:val="NormalIndent"/>
              <w:ind w:firstLine="0"/>
              <w:jc w:val="center"/>
              <w:rPr>
                <w:sz w:val="22"/>
                <w:szCs w:val="22"/>
                <w:lang w:val="en-GB"/>
              </w:rPr>
            </w:pPr>
            <w:r>
              <w:rPr>
                <w:sz w:val="22"/>
                <w:szCs w:val="22"/>
                <w:lang w:val="en-GB"/>
              </w:rPr>
              <w:t>(83.9%, 96.2%)</w:t>
            </w:r>
          </w:p>
        </w:tc>
        <w:tc>
          <w:tcPr>
            <w:tcW w:w="1644" w:type="dxa"/>
            <w:vAlign w:val="center"/>
          </w:tcPr>
          <w:p w:rsidR="00171C3C" w:rsidRDefault="00171C3C" w:rsidP="00EC09EB">
            <w:pPr>
              <w:pStyle w:val="NormalIndent"/>
              <w:ind w:firstLine="0"/>
              <w:jc w:val="center"/>
              <w:rPr>
                <w:sz w:val="22"/>
                <w:szCs w:val="22"/>
                <w:lang w:val="en-GB"/>
              </w:rPr>
            </w:pPr>
            <w:r>
              <w:rPr>
                <w:sz w:val="22"/>
                <w:szCs w:val="22"/>
                <w:lang w:val="en-GB"/>
              </w:rPr>
              <w:t>87.9%</w:t>
            </w:r>
          </w:p>
          <w:p w:rsidR="00171C3C" w:rsidRPr="006E2892" w:rsidRDefault="00171C3C" w:rsidP="00EC09EB">
            <w:pPr>
              <w:pStyle w:val="NormalIndent"/>
              <w:ind w:firstLine="0"/>
              <w:jc w:val="center"/>
              <w:rPr>
                <w:sz w:val="22"/>
                <w:szCs w:val="22"/>
                <w:lang w:val="en-GB"/>
              </w:rPr>
            </w:pPr>
            <w:r>
              <w:rPr>
                <w:sz w:val="22"/>
                <w:szCs w:val="22"/>
                <w:lang w:val="en-GB"/>
              </w:rPr>
              <w:t>(82.2%, 93.1%)</w:t>
            </w:r>
          </w:p>
        </w:tc>
      </w:tr>
    </w:tbl>
    <w:p w:rsidR="00171C3C" w:rsidRDefault="00171C3C" w:rsidP="00EC09EB">
      <w:pPr>
        <w:pStyle w:val="NormalIndent"/>
        <w:rPr>
          <w:sz w:val="22"/>
          <w:szCs w:val="22"/>
          <w:lang w:val="en-GB"/>
        </w:rPr>
      </w:pPr>
    </w:p>
    <w:p w:rsidR="00171C3C" w:rsidRDefault="00171C3C" w:rsidP="00EC09EB">
      <w:pPr>
        <w:pStyle w:val="NormalIndent"/>
        <w:rPr>
          <w:sz w:val="22"/>
          <w:szCs w:val="22"/>
          <w:lang w:val="en-GB"/>
        </w:rPr>
        <w:sectPr w:rsidR="00171C3C" w:rsidSect="00EC09EB">
          <w:pgSz w:w="15840" w:h="12240" w:orient="landscape" w:code="1"/>
          <w:pgMar w:top="1440" w:right="1440" w:bottom="1440" w:left="1440" w:header="1080" w:footer="1080" w:gutter="0"/>
          <w:cols w:space="540"/>
          <w:titlePg/>
          <w:docGrid w:linePitch="299"/>
        </w:sectPr>
      </w:pPr>
    </w:p>
    <w:p w:rsidR="00171C3C" w:rsidRDefault="00171C3C" w:rsidP="00EC09EB">
      <w:pPr>
        <w:pStyle w:val="Heading1"/>
      </w:pPr>
      <w:r>
        <w:lastRenderedPageBreak/>
        <w:t>DISCUSSION</w:t>
      </w:r>
    </w:p>
    <w:p w:rsidR="00171C3C" w:rsidRDefault="00171C3C" w:rsidP="00EC09EB">
      <w:pPr>
        <w:pStyle w:val="NormalIndent"/>
        <w:ind w:firstLine="0"/>
        <w:rPr>
          <w:sz w:val="22"/>
          <w:szCs w:val="22"/>
          <w:lang w:val="en-GB"/>
        </w:rPr>
      </w:pPr>
      <w:r>
        <w:rPr>
          <w:sz w:val="22"/>
          <w:szCs w:val="22"/>
          <w:lang w:val="en-GB"/>
        </w:rPr>
        <w:t>The findings above provide some insights that may help health care managers develop more targeted strategies for addressing the problem of non-urgent A&amp;E attendances. GP practice characteristics should be taken into account when developing such strategies. The results from the cluster analysis suggest that non-urgent A&amp;E attendance is less likely to be a problem among practices falling in the Affluent cluster. This cluster is associated with low A&amp;E self-referral rates and high levels of satisfaction among the patient population. When compared to the other four clusters, there are comparatively more practices in this cluster</w:t>
      </w:r>
      <w:r w:rsidR="008916BA">
        <w:rPr>
          <w:sz w:val="22"/>
          <w:szCs w:val="22"/>
          <w:lang w:val="en-GB"/>
        </w:rPr>
        <w:t xml:space="preserve"> that</w:t>
      </w:r>
      <w:r>
        <w:rPr>
          <w:sz w:val="22"/>
          <w:szCs w:val="22"/>
          <w:lang w:val="en-GB"/>
        </w:rPr>
        <w:t xml:space="preserve"> have adopted online capabilities that allow patients to have easier access to their GP. This is particularly </w:t>
      </w:r>
      <w:r w:rsidR="008916BA">
        <w:rPr>
          <w:sz w:val="22"/>
          <w:szCs w:val="22"/>
          <w:lang w:val="en-GB"/>
        </w:rPr>
        <w:t xml:space="preserve">the </w:t>
      </w:r>
      <w:r>
        <w:rPr>
          <w:sz w:val="22"/>
          <w:szCs w:val="22"/>
          <w:lang w:val="en-GB"/>
        </w:rPr>
        <w:t xml:space="preserve">case </w:t>
      </w:r>
      <w:r w:rsidR="008916BA">
        <w:rPr>
          <w:sz w:val="22"/>
          <w:szCs w:val="22"/>
          <w:lang w:val="en-GB"/>
        </w:rPr>
        <w:t>with respect to</w:t>
      </w:r>
      <w:r>
        <w:rPr>
          <w:sz w:val="22"/>
          <w:szCs w:val="22"/>
          <w:lang w:val="en-GB"/>
        </w:rPr>
        <w:t xml:space="preserve"> facilities that allow patients to book or cancel appointments electronically (attribute number 30) and to order repeat prescriptions electronically (attribute number 31). Non-urgent A&amp;E attendances may fall as more practices adopt online capabilities. However, a more in-depth analysis of this cluster needs to be carried out in order to determine the scope for reducing non-urgent attendance in this cluster. The Impressed cluster presents similar challenges in terms of identifying suitable interventions for reducing non-urgent A&amp;E attendances. A&amp;E self-referral rates may be higher in the case of the </w:t>
      </w:r>
      <w:proofErr w:type="gramStart"/>
      <w:r>
        <w:rPr>
          <w:sz w:val="22"/>
          <w:szCs w:val="22"/>
          <w:lang w:val="en-GB"/>
        </w:rPr>
        <w:t>Impressed</w:t>
      </w:r>
      <w:proofErr w:type="gramEnd"/>
      <w:r>
        <w:rPr>
          <w:sz w:val="22"/>
          <w:szCs w:val="22"/>
          <w:lang w:val="en-GB"/>
        </w:rPr>
        <w:t xml:space="preserve"> cluster but this cluster is similar in all other respects to the Affluent cluster.</w:t>
      </w:r>
    </w:p>
    <w:p w:rsidR="00171C3C" w:rsidRDefault="00171C3C" w:rsidP="00EC09EB">
      <w:pPr>
        <w:pStyle w:val="NormalIndent"/>
        <w:ind w:firstLine="0"/>
        <w:rPr>
          <w:sz w:val="22"/>
          <w:szCs w:val="22"/>
          <w:lang w:val="en-GB"/>
        </w:rPr>
      </w:pPr>
    </w:p>
    <w:p w:rsidR="00171C3C" w:rsidRDefault="00171C3C" w:rsidP="00EC09EB">
      <w:pPr>
        <w:pStyle w:val="NormalIndent"/>
        <w:ind w:firstLine="0"/>
        <w:rPr>
          <w:sz w:val="22"/>
          <w:szCs w:val="22"/>
          <w:lang w:val="en-GB"/>
        </w:rPr>
      </w:pPr>
      <w:r>
        <w:rPr>
          <w:sz w:val="22"/>
          <w:szCs w:val="22"/>
          <w:lang w:val="en-GB"/>
        </w:rPr>
        <w:t xml:space="preserve">The Nondescript, Dissatisfied and Maverick clusters offer </w:t>
      </w:r>
      <w:proofErr w:type="gramStart"/>
      <w:r>
        <w:rPr>
          <w:sz w:val="22"/>
          <w:szCs w:val="22"/>
          <w:lang w:val="en-GB"/>
        </w:rPr>
        <w:t>more clearer</w:t>
      </w:r>
      <w:proofErr w:type="gramEnd"/>
      <w:r>
        <w:rPr>
          <w:sz w:val="22"/>
          <w:szCs w:val="22"/>
          <w:lang w:val="en-GB"/>
        </w:rPr>
        <w:t xml:space="preserve"> opportunities for reducing non-urgent attendances. In all three cases, there may be a connection between non-urgent attendances and deprivation levels among the patient population. Other studies (including </w:t>
      </w:r>
      <w:r>
        <w:rPr>
          <w:noProof/>
          <w:sz w:val="22"/>
          <w:szCs w:val="22"/>
          <w:lang w:val="en-GB"/>
        </w:rPr>
        <w:t>Hull</w:t>
      </w:r>
      <w:r w:rsidRPr="00184225">
        <w:rPr>
          <w:i/>
          <w:noProof/>
          <w:sz w:val="22"/>
          <w:szCs w:val="22"/>
          <w:lang w:val="en-GB"/>
        </w:rPr>
        <w:t xml:space="preserve"> et al.</w:t>
      </w:r>
      <w:r>
        <w:rPr>
          <w:sz w:val="22"/>
          <w:szCs w:val="22"/>
          <w:lang w:val="en-GB"/>
        </w:rPr>
        <w:t xml:space="preserve">, 1997; </w:t>
      </w:r>
      <w:r>
        <w:rPr>
          <w:noProof/>
          <w:sz w:val="22"/>
          <w:szCs w:val="22"/>
          <w:lang w:val="en-GB"/>
        </w:rPr>
        <w:t>Beattie</w:t>
      </w:r>
      <w:r w:rsidRPr="00184225">
        <w:rPr>
          <w:i/>
          <w:noProof/>
          <w:sz w:val="22"/>
          <w:szCs w:val="22"/>
          <w:lang w:val="en-GB"/>
        </w:rPr>
        <w:t xml:space="preserve"> et al.</w:t>
      </w:r>
      <w:r>
        <w:rPr>
          <w:sz w:val="22"/>
          <w:szCs w:val="22"/>
          <w:lang w:val="en-GB"/>
        </w:rPr>
        <w:t>, 2001) have found that there is a correlation between deprivation and A&amp;E attendance (urgent or otherwise). Further studies</w:t>
      </w:r>
      <w:r w:rsidR="001B32A9">
        <w:rPr>
          <w:sz w:val="22"/>
          <w:szCs w:val="22"/>
          <w:lang w:val="en-GB"/>
        </w:rPr>
        <w:t>,</w:t>
      </w:r>
      <w:r>
        <w:rPr>
          <w:sz w:val="22"/>
          <w:szCs w:val="22"/>
          <w:lang w:val="en-GB"/>
        </w:rPr>
        <w:t xml:space="preserve"> however</w:t>
      </w:r>
      <w:r w:rsidR="001B32A9">
        <w:rPr>
          <w:sz w:val="22"/>
          <w:szCs w:val="22"/>
          <w:lang w:val="en-GB"/>
        </w:rPr>
        <w:t>,</w:t>
      </w:r>
      <w:r>
        <w:rPr>
          <w:sz w:val="22"/>
          <w:szCs w:val="22"/>
          <w:lang w:val="en-GB"/>
        </w:rPr>
        <w:t xml:space="preserve"> need to be carried out to assess whether there is a relationship between deprivation and </w:t>
      </w:r>
      <w:r w:rsidRPr="00184225">
        <w:rPr>
          <w:i/>
          <w:sz w:val="22"/>
          <w:szCs w:val="22"/>
          <w:lang w:val="en-GB"/>
        </w:rPr>
        <w:t>non-urgent</w:t>
      </w:r>
      <w:r>
        <w:rPr>
          <w:sz w:val="22"/>
          <w:szCs w:val="22"/>
          <w:lang w:val="en-GB"/>
        </w:rPr>
        <w:t xml:space="preserve"> attendances. In the case of the </w:t>
      </w:r>
      <w:proofErr w:type="gramStart"/>
      <w:r>
        <w:rPr>
          <w:sz w:val="22"/>
          <w:szCs w:val="22"/>
          <w:lang w:val="en-GB"/>
        </w:rPr>
        <w:t>Dissatisfied</w:t>
      </w:r>
      <w:proofErr w:type="gramEnd"/>
      <w:r>
        <w:rPr>
          <w:sz w:val="22"/>
          <w:szCs w:val="22"/>
          <w:lang w:val="en-GB"/>
        </w:rPr>
        <w:t xml:space="preserve"> cluster, there is scope for reducing non-urgent A&amp;E attendances by improving the quality of GP services. Opening hours could be increased and staff added in order to reduce waiting times. Practices in the </w:t>
      </w:r>
      <w:proofErr w:type="gramStart"/>
      <w:r>
        <w:rPr>
          <w:sz w:val="22"/>
          <w:szCs w:val="22"/>
          <w:lang w:val="en-GB"/>
        </w:rPr>
        <w:t>Impressed</w:t>
      </w:r>
      <w:proofErr w:type="gramEnd"/>
      <w:r>
        <w:rPr>
          <w:sz w:val="22"/>
          <w:szCs w:val="22"/>
          <w:lang w:val="en-GB"/>
        </w:rPr>
        <w:t xml:space="preserve"> cluster may have important lessons to offer in this area. </w:t>
      </w:r>
      <w:r w:rsidR="008916BA">
        <w:rPr>
          <w:sz w:val="22"/>
          <w:szCs w:val="22"/>
          <w:lang w:val="en-GB"/>
        </w:rPr>
        <w:t>A</w:t>
      </w:r>
      <w:r>
        <w:rPr>
          <w:sz w:val="22"/>
          <w:szCs w:val="22"/>
          <w:lang w:val="en-GB"/>
        </w:rPr>
        <w:t>doption rates for online technologies</w:t>
      </w:r>
      <w:r w:rsidR="008916BA">
        <w:rPr>
          <w:sz w:val="22"/>
          <w:szCs w:val="22"/>
          <w:lang w:val="en-GB"/>
        </w:rPr>
        <w:t xml:space="preserve"> are lower for the </w:t>
      </w:r>
      <w:proofErr w:type="gramStart"/>
      <w:r w:rsidR="008916BA">
        <w:rPr>
          <w:sz w:val="22"/>
          <w:szCs w:val="22"/>
          <w:lang w:val="en-GB"/>
        </w:rPr>
        <w:t>Dissatisfied</w:t>
      </w:r>
      <w:proofErr w:type="gramEnd"/>
      <w:r w:rsidR="008916BA">
        <w:rPr>
          <w:sz w:val="22"/>
          <w:szCs w:val="22"/>
          <w:lang w:val="en-GB"/>
        </w:rPr>
        <w:t xml:space="preserve"> cluster as compared to all the other clusters</w:t>
      </w:r>
      <w:r>
        <w:rPr>
          <w:sz w:val="22"/>
          <w:szCs w:val="22"/>
          <w:lang w:val="en-GB"/>
        </w:rPr>
        <w:t>. This is unfortunate because practices in th</w:t>
      </w:r>
      <w:r w:rsidR="008916BA">
        <w:rPr>
          <w:sz w:val="22"/>
          <w:szCs w:val="22"/>
          <w:lang w:val="en-GB"/>
        </w:rPr>
        <w:t xml:space="preserve">e </w:t>
      </w:r>
      <w:proofErr w:type="gramStart"/>
      <w:r w:rsidR="008916BA">
        <w:rPr>
          <w:sz w:val="22"/>
          <w:szCs w:val="22"/>
          <w:lang w:val="en-GB"/>
        </w:rPr>
        <w:t>Dissatisfied</w:t>
      </w:r>
      <w:proofErr w:type="gramEnd"/>
      <w:r w:rsidR="008916BA">
        <w:rPr>
          <w:sz w:val="22"/>
          <w:szCs w:val="22"/>
          <w:lang w:val="en-GB"/>
        </w:rPr>
        <w:t xml:space="preserve"> </w:t>
      </w:r>
      <w:r>
        <w:rPr>
          <w:sz w:val="22"/>
          <w:szCs w:val="22"/>
          <w:lang w:val="en-GB"/>
        </w:rPr>
        <w:t xml:space="preserve">cluster have got the most gain from online technologies in terms of patient experience of GP services. Online capabilities such as allowing patients to book and cancel appointments or ordering repeat prescriptions electronically may ease patient access and improve their experience of care at GP practices. </w:t>
      </w:r>
    </w:p>
    <w:p w:rsidR="00171C3C" w:rsidRDefault="00171C3C" w:rsidP="00EC09EB">
      <w:pPr>
        <w:pStyle w:val="NormalIndent"/>
        <w:ind w:firstLine="0"/>
        <w:rPr>
          <w:sz w:val="22"/>
          <w:szCs w:val="22"/>
          <w:lang w:val="en-GB"/>
        </w:rPr>
      </w:pPr>
    </w:p>
    <w:p w:rsidR="00171C3C" w:rsidRDefault="00171C3C" w:rsidP="00EC09EB">
      <w:pPr>
        <w:pStyle w:val="NormalIndent"/>
        <w:ind w:firstLine="0"/>
        <w:rPr>
          <w:sz w:val="22"/>
          <w:szCs w:val="22"/>
          <w:lang w:val="en-GB"/>
        </w:rPr>
      </w:pPr>
      <w:r w:rsidRPr="00184225">
        <w:rPr>
          <w:sz w:val="22"/>
          <w:szCs w:val="22"/>
          <w:lang w:val="en-GB"/>
        </w:rPr>
        <w:t xml:space="preserve">In the case of the Maverick cluster, </w:t>
      </w:r>
      <w:r>
        <w:rPr>
          <w:sz w:val="22"/>
          <w:szCs w:val="22"/>
          <w:lang w:val="en-GB"/>
        </w:rPr>
        <w:t>A&amp;E self-referral rates seem to be relatively high despite the positive impression</w:t>
      </w:r>
      <w:r w:rsidR="008916BA">
        <w:rPr>
          <w:sz w:val="22"/>
          <w:szCs w:val="22"/>
          <w:lang w:val="en-GB"/>
        </w:rPr>
        <w:t>s</w:t>
      </w:r>
      <w:r>
        <w:rPr>
          <w:sz w:val="22"/>
          <w:szCs w:val="22"/>
          <w:lang w:val="en-GB"/>
        </w:rPr>
        <w:t xml:space="preserve"> that patients have of GP services. More needs to be done to educate the patients on the appropriate use of A&amp;E. Patient education campaigns can build on the positive impressions </w:t>
      </w:r>
      <w:r w:rsidR="008916BA">
        <w:rPr>
          <w:sz w:val="22"/>
          <w:szCs w:val="22"/>
          <w:lang w:val="en-GB"/>
        </w:rPr>
        <w:t xml:space="preserve">that patients already have </w:t>
      </w:r>
      <w:r>
        <w:rPr>
          <w:sz w:val="22"/>
          <w:szCs w:val="22"/>
          <w:lang w:val="en-GB"/>
        </w:rPr>
        <w:t xml:space="preserve">of GP services. </w:t>
      </w:r>
      <w:r w:rsidR="008916BA">
        <w:rPr>
          <w:sz w:val="22"/>
          <w:szCs w:val="22"/>
          <w:lang w:val="en-GB"/>
        </w:rPr>
        <w:t xml:space="preserve">Besides public education, other interventions may be required in order to change patient behaviour. </w:t>
      </w:r>
      <w:r>
        <w:rPr>
          <w:sz w:val="22"/>
          <w:szCs w:val="22"/>
          <w:lang w:val="en-GB"/>
        </w:rPr>
        <w:t>Hospitals serving patients registered at practices in this cluster may also redirect non-urgent attendances back to the GPs where it is safe to do so.</w:t>
      </w:r>
    </w:p>
    <w:p w:rsidR="00875940" w:rsidRDefault="00875940" w:rsidP="00EC09EB">
      <w:pPr>
        <w:pStyle w:val="NormalIndent"/>
        <w:ind w:firstLine="0"/>
        <w:rPr>
          <w:sz w:val="22"/>
          <w:szCs w:val="22"/>
          <w:lang w:val="en-GB"/>
        </w:rPr>
      </w:pPr>
    </w:p>
    <w:p w:rsidR="00875940" w:rsidRDefault="00875940" w:rsidP="00875940">
      <w:pPr>
        <w:pStyle w:val="NormalIndent"/>
        <w:ind w:firstLine="0"/>
        <w:rPr>
          <w:sz w:val="22"/>
          <w:lang w:val="en-GB"/>
        </w:rPr>
      </w:pPr>
      <w:r>
        <w:rPr>
          <w:sz w:val="22"/>
          <w:lang w:val="en-GB"/>
        </w:rPr>
        <w:t xml:space="preserve">There were a number of limitations in this study. Firstly, the data used for cluster analysis was collected over a two year period. IT infrastructure data was collected more recently (2012) whereas data on other attributes such as attendance and referral rates was collected in 2010. Our analysis is therefore valid only in so far as there has not been significant change in GP practice characteristics over the two year period.  Furthermore, our findings with respect to the adoption of IT capabilities may have been valid in March 2012 but more practices would have adopted the identified online capabilities by the time of this paper is published. Unfortunately, the data used in this study is the most up-to-date data available. </w:t>
      </w:r>
    </w:p>
    <w:p w:rsidR="00875940" w:rsidRDefault="00875940" w:rsidP="00EC09EB">
      <w:pPr>
        <w:pStyle w:val="NormalIndent"/>
        <w:ind w:firstLine="0"/>
        <w:rPr>
          <w:sz w:val="22"/>
          <w:szCs w:val="22"/>
          <w:lang w:val="en-GB"/>
        </w:rPr>
      </w:pPr>
    </w:p>
    <w:p w:rsidR="00171C3C" w:rsidRDefault="00171C3C" w:rsidP="00EC09EB">
      <w:pPr>
        <w:pStyle w:val="Heading1"/>
      </w:pPr>
      <w:r>
        <w:rPr>
          <w:szCs w:val="22"/>
          <w:lang w:val="en-GB"/>
        </w:rPr>
        <w:lastRenderedPageBreak/>
        <w:t xml:space="preserve">   </w:t>
      </w:r>
      <w:r>
        <w:t>CONCLUSIONS</w:t>
      </w:r>
    </w:p>
    <w:p w:rsidR="00171C3C" w:rsidRDefault="00171C3C" w:rsidP="00EC09EB">
      <w:pPr>
        <w:pStyle w:val="NormalIndent"/>
        <w:ind w:firstLine="0"/>
        <w:rPr>
          <w:sz w:val="22"/>
          <w:lang w:val="en-GB"/>
        </w:rPr>
      </w:pPr>
      <w:r w:rsidRPr="00184225">
        <w:rPr>
          <w:sz w:val="22"/>
          <w:lang w:val="en-GB"/>
        </w:rPr>
        <w:t xml:space="preserve">A&amp;E departments are caring for more patients, including those with non-urgent needs that could be treated in alternative, more cost-effective settings such as general practitioners (GP) surgeries. </w:t>
      </w:r>
      <w:r>
        <w:rPr>
          <w:sz w:val="22"/>
          <w:lang w:val="en-GB"/>
        </w:rPr>
        <w:t xml:space="preserve">Such </w:t>
      </w:r>
      <w:r w:rsidR="008916BA">
        <w:rPr>
          <w:sz w:val="22"/>
          <w:lang w:val="en-GB"/>
        </w:rPr>
        <w:t xml:space="preserve">non-urgent </w:t>
      </w:r>
      <w:r>
        <w:rPr>
          <w:sz w:val="22"/>
          <w:lang w:val="en-GB"/>
        </w:rPr>
        <w:t>A&amp;E visits may be reduced by providing patients with better access to GP services. Recent advances in online and digital technology may allow patients to have greater access to GP services. However, GP practices have different characteristics with respect to A&amp;E attendances rates, deprivation rates among the patient population, patient experiences of care and other factors. Cluster analysis was carried out in this study in order to partition GP practices in England into meaningful groups based on GP practice characteristics.</w:t>
      </w:r>
    </w:p>
    <w:p w:rsidR="00875940" w:rsidRDefault="00875940" w:rsidP="00EC09EB">
      <w:pPr>
        <w:pStyle w:val="NormalIndent"/>
        <w:ind w:firstLine="0"/>
        <w:rPr>
          <w:sz w:val="22"/>
          <w:lang w:val="en-GB"/>
        </w:rPr>
      </w:pPr>
    </w:p>
    <w:p w:rsidR="00171C3C" w:rsidRDefault="00171C3C" w:rsidP="00EC09EB">
      <w:pPr>
        <w:pStyle w:val="NormalIndent"/>
        <w:ind w:firstLine="0"/>
        <w:rPr>
          <w:sz w:val="22"/>
          <w:lang w:val="en-GB"/>
        </w:rPr>
      </w:pPr>
      <w:r w:rsidRPr="00E649FD">
        <w:rPr>
          <w:sz w:val="22"/>
          <w:lang w:val="en-GB"/>
        </w:rPr>
        <w:t xml:space="preserve">The </w:t>
      </w:r>
      <w:r>
        <w:rPr>
          <w:sz w:val="22"/>
          <w:lang w:val="en-GB"/>
        </w:rPr>
        <w:t>clusters identified suggest that a targeted approach would be helpful in addressing the problem of non-urgent A&amp;E visits. There are some practices with</w:t>
      </w:r>
      <w:r w:rsidRPr="00184225">
        <w:rPr>
          <w:sz w:val="22"/>
          <w:lang w:val="en-GB"/>
        </w:rPr>
        <w:t xml:space="preserve"> </w:t>
      </w:r>
      <w:r>
        <w:rPr>
          <w:sz w:val="22"/>
          <w:lang w:val="en-GB"/>
        </w:rPr>
        <w:t xml:space="preserve">relatively high A&amp;E self-referral rates and poor patient experiences of care at GP practices. These practices are adopting online technologies at a slower rate when compared to other practices despite the potential for online technologies to improve patient care experiences. More needs to be done to encourage these practices to adopt online technologies that may improve their patients’ care experience. </w:t>
      </w:r>
    </w:p>
    <w:p w:rsidR="00875940" w:rsidRDefault="00875940" w:rsidP="00EC09EB">
      <w:pPr>
        <w:pStyle w:val="NormalIndent"/>
        <w:ind w:firstLine="0"/>
        <w:rPr>
          <w:sz w:val="22"/>
          <w:lang w:val="en-GB"/>
        </w:rPr>
      </w:pPr>
    </w:p>
    <w:p w:rsidR="00171C3C" w:rsidRPr="007B4962" w:rsidRDefault="00171C3C" w:rsidP="00EC09EB">
      <w:pPr>
        <w:pStyle w:val="Appendix"/>
      </w:pPr>
      <w:r w:rsidRPr="007B4962">
        <w:t>APPENDICES</w:t>
      </w:r>
    </w:p>
    <w:p w:rsidR="00171C3C" w:rsidRDefault="00171C3C" w:rsidP="00EC09EB">
      <w:r>
        <w:t xml:space="preserve">The attributes considered in the data mining exercise are given below. Further information on these attributes can be found at </w:t>
      </w:r>
      <w:r w:rsidRPr="009C3917">
        <w:rPr>
          <w:u w:val="single"/>
        </w:rPr>
        <w:t>https://indicators.ic.nhs.uk/webview/</w:t>
      </w:r>
      <w:r>
        <w:t>:</w:t>
      </w:r>
    </w:p>
    <w:p w:rsidR="00171C3C" w:rsidRDefault="00171C3C" w:rsidP="00EC09EB">
      <w:pPr>
        <w:pStyle w:val="NormalIndent"/>
        <w:ind w:firstLine="0"/>
        <w:rPr>
          <w:lang w:val="en-GB"/>
        </w:rPr>
      </w:pPr>
    </w:p>
    <w:p w:rsidR="00171C3C" w:rsidRPr="00A66A1F" w:rsidRDefault="00171C3C" w:rsidP="00EC09EB">
      <w:pPr>
        <w:ind w:left="426" w:hanging="284"/>
        <w:rPr>
          <w:u w:val="single"/>
        </w:rPr>
      </w:pPr>
      <w:r w:rsidRPr="00A66A1F">
        <w:rPr>
          <w:u w:val="single"/>
        </w:rPr>
        <w:t>Demography</w:t>
      </w:r>
    </w:p>
    <w:p w:rsidR="00171C3C" w:rsidRDefault="00171C3C" w:rsidP="00EC09EB">
      <w:pPr>
        <w:pStyle w:val="ListParagraph"/>
        <w:numPr>
          <w:ilvl w:val="0"/>
          <w:numId w:val="20"/>
        </w:numPr>
        <w:tabs>
          <w:tab w:val="clear" w:pos="720"/>
          <w:tab w:val="left" w:pos="426"/>
        </w:tabs>
        <w:ind w:left="426" w:hanging="284"/>
      </w:pPr>
      <w:r w:rsidRPr="00A66A1F">
        <w:t>Estimates of Index of Multiple Deprivation (IMD) 2010 for GP practices</w:t>
      </w:r>
      <w:r>
        <w:t xml:space="preserve">. (This attribute provides a measure of the level of deprivation in the community served by the practice. </w:t>
      </w:r>
      <w:r w:rsidRPr="009C3917">
        <w:t xml:space="preserve">The Index of Multiple Deprivation is made up </w:t>
      </w:r>
      <w:r>
        <w:t>of contributions from 7 domains:</w:t>
      </w:r>
      <w:r w:rsidRPr="009C3917">
        <w:t xml:space="preserve"> Income</w:t>
      </w:r>
      <w:r>
        <w:t>;</w:t>
      </w:r>
      <w:r w:rsidRPr="009C3917">
        <w:t xml:space="preserve"> Employment</w:t>
      </w:r>
      <w:r>
        <w:t>;</w:t>
      </w:r>
      <w:r w:rsidRPr="009C3917">
        <w:t xml:space="preserve"> Health and disability</w:t>
      </w:r>
      <w:r>
        <w:t>;</w:t>
      </w:r>
      <w:r w:rsidRPr="009C3917">
        <w:t xml:space="preserve"> Education, skills and training</w:t>
      </w:r>
      <w:r>
        <w:t>;</w:t>
      </w:r>
      <w:r w:rsidRPr="009C3917">
        <w:t xml:space="preserve"> Barriers to housing and services</w:t>
      </w:r>
      <w:r>
        <w:t>; Crime; and Living environment).</w:t>
      </w:r>
    </w:p>
    <w:p w:rsidR="00171C3C" w:rsidRDefault="00171C3C" w:rsidP="00EC09EB">
      <w:pPr>
        <w:pStyle w:val="ListParagraph"/>
        <w:numPr>
          <w:ilvl w:val="0"/>
          <w:numId w:val="20"/>
        </w:numPr>
        <w:tabs>
          <w:tab w:val="clear" w:pos="720"/>
          <w:tab w:val="left" w:pos="426"/>
        </w:tabs>
        <w:ind w:left="426" w:hanging="284"/>
      </w:pPr>
      <w:r w:rsidRPr="00A66A1F">
        <w:t>Rural/Urban definition of GP practice, December 2011</w:t>
      </w:r>
      <w:r>
        <w:t xml:space="preserve"> (Based </w:t>
      </w:r>
      <w:r w:rsidRPr="009C3917">
        <w:t xml:space="preserve">on the DEFRA 8(4) category system for defining </w:t>
      </w:r>
      <w:proofErr w:type="spellStart"/>
      <w:r w:rsidRPr="009C3917">
        <w:t>rurality</w:t>
      </w:r>
      <w:proofErr w:type="spellEnd"/>
      <w:r>
        <w:t>. The location of the practice is classified as Urban (&gt;10,000 people), Town &amp; Fringe, Village or Hamlet &amp; Isolated dwelling.</w:t>
      </w:r>
    </w:p>
    <w:p w:rsidR="00171C3C" w:rsidRDefault="00171C3C" w:rsidP="00EC09EB">
      <w:pPr>
        <w:pStyle w:val="ListParagraph"/>
        <w:numPr>
          <w:ilvl w:val="0"/>
          <w:numId w:val="20"/>
        </w:numPr>
        <w:tabs>
          <w:tab w:val="clear" w:pos="720"/>
          <w:tab w:val="left" w:pos="426"/>
        </w:tabs>
        <w:ind w:left="426" w:hanging="284"/>
      </w:pPr>
      <w:r>
        <w:t>Number of GPs (headcount)</w:t>
      </w:r>
      <w:r w:rsidRPr="00A66A1F">
        <w:t>, January 2011</w:t>
      </w:r>
      <w:r>
        <w:t>.</w:t>
      </w:r>
    </w:p>
    <w:p w:rsidR="00171C3C" w:rsidRDefault="00171C3C" w:rsidP="00EC09EB">
      <w:pPr>
        <w:pStyle w:val="ListParagraph"/>
        <w:numPr>
          <w:ilvl w:val="0"/>
          <w:numId w:val="20"/>
        </w:numPr>
        <w:tabs>
          <w:tab w:val="clear" w:pos="720"/>
          <w:tab w:val="left" w:pos="426"/>
        </w:tabs>
        <w:ind w:left="426" w:hanging="284"/>
      </w:pPr>
      <w:r>
        <w:t>Number of patients register at the practice, January 2011.</w:t>
      </w:r>
    </w:p>
    <w:p w:rsidR="00171C3C" w:rsidRDefault="00171C3C" w:rsidP="00EC09EB">
      <w:pPr>
        <w:pStyle w:val="ListParagraph"/>
        <w:numPr>
          <w:ilvl w:val="0"/>
          <w:numId w:val="20"/>
        </w:numPr>
        <w:tabs>
          <w:tab w:val="clear" w:pos="720"/>
          <w:tab w:val="left" w:pos="426"/>
        </w:tabs>
        <w:ind w:left="426" w:hanging="284"/>
      </w:pPr>
      <w:r w:rsidRPr="00A66A1F">
        <w:t>Number of GPs per registered practice population, 2010</w:t>
      </w:r>
      <w:r>
        <w:t>.</w:t>
      </w:r>
    </w:p>
    <w:p w:rsidR="00171C3C" w:rsidRDefault="00171C3C" w:rsidP="00EC09EB">
      <w:pPr>
        <w:pStyle w:val="ListParagraph"/>
        <w:numPr>
          <w:ilvl w:val="0"/>
          <w:numId w:val="20"/>
        </w:numPr>
        <w:tabs>
          <w:tab w:val="clear" w:pos="720"/>
          <w:tab w:val="left" w:pos="426"/>
        </w:tabs>
        <w:ind w:left="426" w:hanging="284"/>
      </w:pPr>
      <w:r w:rsidRPr="00A66A1F">
        <w:t xml:space="preserve">Asthma </w:t>
      </w:r>
      <w:r>
        <w:t>prevalence:</w:t>
      </w:r>
      <w:r w:rsidRPr="009C3917">
        <w:t xml:space="preserve"> </w:t>
      </w:r>
      <w:r>
        <w:t>Percentage</w:t>
      </w:r>
      <w:r w:rsidRPr="009C3917">
        <w:t xml:space="preserve"> of registered patients on the Asthma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proofErr w:type="spellStart"/>
      <w:r w:rsidRPr="00A66A1F">
        <w:t>Atrial</w:t>
      </w:r>
      <w:proofErr w:type="spellEnd"/>
      <w:r w:rsidRPr="00A66A1F">
        <w:t xml:space="preserve"> fibrillation </w:t>
      </w:r>
      <w:r>
        <w:t>prevalence:</w:t>
      </w:r>
      <w:r w:rsidRPr="009C3917">
        <w:t xml:space="preserve"> </w:t>
      </w:r>
      <w:r>
        <w:t>Percentage</w:t>
      </w:r>
      <w:r w:rsidRPr="009C3917">
        <w:t xml:space="preserve"> of registered patients on the </w:t>
      </w:r>
      <w:proofErr w:type="spellStart"/>
      <w:r w:rsidRPr="009C3917">
        <w:t>Atrial</w:t>
      </w:r>
      <w:proofErr w:type="spellEnd"/>
      <w:r w:rsidRPr="009C3917">
        <w:t xml:space="preserve"> Fibrillation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Cancer </w:t>
      </w:r>
      <w:r>
        <w:t>prevalence:</w:t>
      </w:r>
      <w:r w:rsidRPr="009C3917">
        <w:t xml:space="preserve"> </w:t>
      </w:r>
      <w:r>
        <w:t>Percentage</w:t>
      </w:r>
      <w:r w:rsidRPr="009C3917">
        <w:t xml:space="preserve"> of registered patients on the Cancer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Cardiovascular disease </w:t>
      </w:r>
      <w:r>
        <w:t>prevalence:</w:t>
      </w:r>
      <w:r w:rsidRPr="009C3917">
        <w:t xml:space="preserve"> </w:t>
      </w:r>
      <w:r>
        <w:t>Percentage</w:t>
      </w:r>
      <w:r w:rsidRPr="009C3917">
        <w:t xml:space="preserve"> of registered patients on the Cardiovascular Disease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Chronic kidney disease </w:t>
      </w:r>
      <w:r>
        <w:t>prevalence:</w:t>
      </w:r>
      <w:r w:rsidRPr="009C3917">
        <w:t xml:space="preserve"> </w:t>
      </w:r>
      <w:r>
        <w:t>Percentage</w:t>
      </w:r>
      <w:r w:rsidRPr="009C3917">
        <w:t xml:space="preserve"> of registered patients </w:t>
      </w:r>
      <w:r>
        <w:t xml:space="preserve">18 years or older </w:t>
      </w:r>
      <w:r w:rsidRPr="009C3917">
        <w:t>on the Chronic Kidney Disease register</w:t>
      </w:r>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Coronary heart disease </w:t>
      </w:r>
      <w:r>
        <w:t>prevalence:</w:t>
      </w:r>
      <w:r w:rsidRPr="009C3917">
        <w:t xml:space="preserve"> </w:t>
      </w:r>
      <w:r>
        <w:t>Percentage</w:t>
      </w:r>
      <w:r w:rsidRPr="009C3917">
        <w:t xml:space="preserve"> of registered patients on the Coronary Heart Disease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Chronic obstructive pulmonary disease </w:t>
      </w:r>
      <w:r>
        <w:t>prevalence:</w:t>
      </w:r>
      <w:r w:rsidRPr="009C3917">
        <w:t xml:space="preserve"> </w:t>
      </w:r>
      <w:r>
        <w:t>Percentage</w:t>
      </w:r>
      <w:r w:rsidRPr="009C3917">
        <w:t xml:space="preserve"> of registered patients on the Chronic Obstructive Pulmonary Disease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Diabetes mellitus </w:t>
      </w:r>
      <w:r>
        <w:t>prevalence:</w:t>
      </w:r>
      <w:r w:rsidRPr="009C3917">
        <w:t xml:space="preserve"> </w:t>
      </w:r>
      <w:r>
        <w:t>Percentage</w:t>
      </w:r>
      <w:r w:rsidRPr="009C3917">
        <w:t xml:space="preserve"> of registered patients </w:t>
      </w:r>
      <w:r>
        <w:t xml:space="preserve">17 years or older </w:t>
      </w:r>
      <w:r w:rsidRPr="009C3917">
        <w:t>on the Diabetes Mellitus register</w:t>
      </w:r>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lastRenderedPageBreak/>
        <w:t xml:space="preserve">Epilepsy </w:t>
      </w:r>
      <w:r>
        <w:t>prevalence among:</w:t>
      </w:r>
      <w:r w:rsidRPr="009C3917">
        <w:t xml:space="preserve"> </w:t>
      </w:r>
      <w:r>
        <w:t>Percentage</w:t>
      </w:r>
      <w:r w:rsidRPr="009C3917">
        <w:t xml:space="preserve"> of registered patients </w:t>
      </w:r>
      <w:r>
        <w:t xml:space="preserve">18 years or older </w:t>
      </w:r>
      <w:r w:rsidRPr="009C3917">
        <w:t>on the Epilepsy register</w:t>
      </w:r>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Heart failure </w:t>
      </w:r>
      <w:r>
        <w:t>prevalence:</w:t>
      </w:r>
      <w:r w:rsidRPr="009C3917">
        <w:t xml:space="preserve"> </w:t>
      </w:r>
      <w:r>
        <w:t>Percentage</w:t>
      </w:r>
      <w:r w:rsidRPr="009C3917">
        <w:t xml:space="preserve"> of registered patients on the Heart Failure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Hypertension </w:t>
      </w:r>
      <w:r>
        <w:t>prevalence:</w:t>
      </w:r>
      <w:r w:rsidRPr="009C3917">
        <w:t xml:space="preserve"> </w:t>
      </w:r>
      <w:r>
        <w:t>Percentage</w:t>
      </w:r>
      <w:r w:rsidRPr="009C3917">
        <w:t xml:space="preserve"> of registered patients on the Hypertension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Hypothyroidism </w:t>
      </w:r>
      <w:r>
        <w:t>prevalence:</w:t>
      </w:r>
      <w:r w:rsidRPr="009C3917">
        <w:t xml:space="preserve"> </w:t>
      </w:r>
      <w:r>
        <w:t>Percentage</w:t>
      </w:r>
      <w:r w:rsidRPr="009C3917">
        <w:t xml:space="preserve"> of registered patients on the Hypothyroidism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Learning disabilities </w:t>
      </w:r>
      <w:r>
        <w:t>prevalence: Percentage</w:t>
      </w:r>
      <w:r w:rsidRPr="009C3917">
        <w:t xml:space="preserve"> of registered patients </w:t>
      </w:r>
      <w:r>
        <w:t xml:space="preserve">18 years or older </w:t>
      </w:r>
      <w:r w:rsidRPr="009C3917">
        <w:t>on the Learning Disabilities register</w:t>
      </w:r>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Depression </w:t>
      </w:r>
      <w:r>
        <w:t>prevalence:</w:t>
      </w:r>
      <w:r w:rsidRPr="009C3917">
        <w:t xml:space="preserve"> </w:t>
      </w:r>
      <w:r>
        <w:t>Percentage</w:t>
      </w:r>
      <w:r w:rsidRPr="009C3917">
        <w:t xml:space="preserve"> of registered patients </w:t>
      </w:r>
      <w:r>
        <w:t xml:space="preserve">18 years or older </w:t>
      </w:r>
      <w:r w:rsidRPr="009C3917">
        <w:t>on the Depression register</w:t>
      </w:r>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Dementia </w:t>
      </w:r>
      <w:r>
        <w:t>prevalence: Percentage</w:t>
      </w:r>
      <w:r w:rsidRPr="009C3917">
        <w:t xml:space="preserve"> of registered patients on the Dementia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Mental health </w:t>
      </w:r>
      <w:r>
        <w:t>prevalence:</w:t>
      </w:r>
      <w:r w:rsidRPr="009C3917">
        <w:t xml:space="preserve"> </w:t>
      </w:r>
      <w:r>
        <w:t>Percentage</w:t>
      </w:r>
      <w:r w:rsidRPr="009C3917">
        <w:t xml:space="preserve"> of registered patients on the Mental Health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Obesity </w:t>
      </w:r>
      <w:r>
        <w:t>prevalence: Percentage</w:t>
      </w:r>
      <w:r w:rsidRPr="009C3917">
        <w:t xml:space="preserve"> of registered patients </w:t>
      </w:r>
      <w:r>
        <w:t xml:space="preserve">16 or older </w:t>
      </w:r>
      <w:r w:rsidRPr="009C3917">
        <w:t xml:space="preserve">on the Obesity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Palliative care </w:t>
      </w:r>
      <w:r>
        <w:t>prevalence: Percentage</w:t>
      </w:r>
      <w:r w:rsidRPr="009C3917">
        <w:t xml:space="preserve"> of registered patients on the Palliative Care </w:t>
      </w:r>
      <w:proofErr w:type="gramStart"/>
      <w:r w:rsidRPr="009C3917">
        <w:t>register</w:t>
      </w:r>
      <w:proofErr w:type="gramEnd"/>
      <w:r w:rsidRPr="00A66A1F">
        <w:t>, 2010-11</w:t>
      </w:r>
      <w:r>
        <w:t>.</w:t>
      </w:r>
    </w:p>
    <w:p w:rsidR="00171C3C" w:rsidRDefault="00171C3C" w:rsidP="00EC09EB">
      <w:pPr>
        <w:pStyle w:val="ListParagraph"/>
        <w:numPr>
          <w:ilvl w:val="0"/>
          <w:numId w:val="20"/>
        </w:numPr>
        <w:tabs>
          <w:tab w:val="clear" w:pos="720"/>
          <w:tab w:val="left" w:pos="426"/>
        </w:tabs>
        <w:ind w:left="426" w:hanging="284"/>
      </w:pPr>
      <w:r w:rsidRPr="00A66A1F">
        <w:t xml:space="preserve">Stroke or transient </w:t>
      </w:r>
      <w:proofErr w:type="spellStart"/>
      <w:r>
        <w:t>I</w:t>
      </w:r>
      <w:r w:rsidRPr="00A66A1F">
        <w:t>schaemic</w:t>
      </w:r>
      <w:proofErr w:type="spellEnd"/>
      <w:r w:rsidRPr="00A66A1F">
        <w:t xml:space="preserve"> attacks (</w:t>
      </w:r>
      <w:r>
        <w:t>TIA</w:t>
      </w:r>
      <w:r w:rsidRPr="00A66A1F">
        <w:t xml:space="preserve">) </w:t>
      </w:r>
      <w:r>
        <w:t>prevalence: Percentage</w:t>
      </w:r>
      <w:r w:rsidRPr="009C3917">
        <w:t xml:space="preserve"> of registered patients on the Stroke or TIA register</w:t>
      </w:r>
      <w:r w:rsidRPr="00A66A1F">
        <w:t>, 2010-11</w:t>
      </w:r>
      <w:r>
        <w:t>.</w:t>
      </w:r>
    </w:p>
    <w:p w:rsidR="00171C3C" w:rsidRDefault="00171C3C" w:rsidP="00EC09EB">
      <w:pPr>
        <w:pStyle w:val="ListParagraph"/>
        <w:tabs>
          <w:tab w:val="clear" w:pos="720"/>
          <w:tab w:val="left" w:pos="426"/>
        </w:tabs>
        <w:ind w:left="426" w:hanging="284"/>
      </w:pPr>
    </w:p>
    <w:p w:rsidR="00171C3C" w:rsidRPr="00A66A1F" w:rsidRDefault="00171C3C" w:rsidP="00EC09EB">
      <w:pPr>
        <w:ind w:left="426" w:hanging="284"/>
        <w:rPr>
          <w:u w:val="single"/>
        </w:rPr>
      </w:pPr>
      <w:r>
        <w:rPr>
          <w:u w:val="single"/>
        </w:rPr>
        <w:t>A&amp;E attendance</w:t>
      </w:r>
    </w:p>
    <w:p w:rsidR="00171C3C" w:rsidRDefault="00171C3C" w:rsidP="00EC09EB">
      <w:pPr>
        <w:pStyle w:val="ListParagraph"/>
        <w:numPr>
          <w:ilvl w:val="0"/>
          <w:numId w:val="20"/>
        </w:numPr>
        <w:tabs>
          <w:tab w:val="clear" w:pos="720"/>
          <w:tab w:val="left" w:pos="426"/>
        </w:tabs>
        <w:ind w:left="426" w:hanging="284"/>
      </w:pPr>
      <w:r w:rsidRPr="00A66A1F">
        <w:t xml:space="preserve">Accident and emergency referrals per 1,000 </w:t>
      </w:r>
      <w:r w:rsidRPr="009C3917">
        <w:t>of the GP Practice's registered patients</w:t>
      </w:r>
      <w:r w:rsidRPr="00A66A1F">
        <w:t>, 2010</w:t>
      </w:r>
      <w:r>
        <w:t>.</w:t>
      </w:r>
    </w:p>
    <w:p w:rsidR="00171C3C" w:rsidRDefault="00171C3C" w:rsidP="00EC09EB">
      <w:pPr>
        <w:pStyle w:val="ListParagraph"/>
        <w:numPr>
          <w:ilvl w:val="0"/>
          <w:numId w:val="20"/>
        </w:numPr>
        <w:tabs>
          <w:tab w:val="clear" w:pos="720"/>
          <w:tab w:val="left" w:pos="426"/>
        </w:tabs>
        <w:ind w:left="426" w:hanging="284"/>
      </w:pPr>
      <w:r w:rsidRPr="00A66A1F">
        <w:t xml:space="preserve">Accident and emergency attendances per 1,000 </w:t>
      </w:r>
      <w:r w:rsidRPr="009C3917">
        <w:t>of the GP Practice's registered patients</w:t>
      </w:r>
      <w:r>
        <w:t>,</w:t>
      </w:r>
      <w:r w:rsidRPr="00A66A1F">
        <w:t xml:space="preserve"> 2010</w:t>
      </w:r>
      <w:r>
        <w:t>.</w:t>
      </w:r>
    </w:p>
    <w:p w:rsidR="00171C3C" w:rsidRPr="00A66A1F" w:rsidRDefault="00171C3C" w:rsidP="00EC09EB">
      <w:pPr>
        <w:pStyle w:val="NormalIndent"/>
        <w:ind w:hanging="284"/>
        <w:rPr>
          <w:lang w:val="en-GB"/>
        </w:rPr>
      </w:pPr>
    </w:p>
    <w:p w:rsidR="00171C3C" w:rsidRPr="00A66A1F" w:rsidRDefault="00171C3C" w:rsidP="00EC09EB">
      <w:pPr>
        <w:ind w:left="426" w:hanging="284"/>
        <w:rPr>
          <w:u w:val="single"/>
        </w:rPr>
      </w:pPr>
      <w:proofErr w:type="gramStart"/>
      <w:r>
        <w:rPr>
          <w:u w:val="single"/>
        </w:rPr>
        <w:t>IT</w:t>
      </w:r>
      <w:proofErr w:type="gramEnd"/>
      <w:r>
        <w:rPr>
          <w:u w:val="single"/>
        </w:rPr>
        <w:t xml:space="preserve"> Infrastructure</w:t>
      </w:r>
    </w:p>
    <w:p w:rsidR="00171C3C" w:rsidRDefault="00171C3C" w:rsidP="00EC09EB">
      <w:pPr>
        <w:pStyle w:val="ListParagraph"/>
        <w:numPr>
          <w:ilvl w:val="0"/>
          <w:numId w:val="20"/>
        </w:numPr>
        <w:tabs>
          <w:tab w:val="clear" w:pos="720"/>
          <w:tab w:val="left" w:pos="426"/>
        </w:tabs>
        <w:ind w:left="426" w:hanging="284"/>
      </w:pPr>
      <w:r>
        <w:t>Whether the p</w:t>
      </w:r>
      <w:r w:rsidRPr="00A66A1F">
        <w:t>ractice</w:t>
      </w:r>
      <w:r>
        <w:t xml:space="preserve"> has commenced</w:t>
      </w:r>
      <w:r w:rsidRPr="00A66A1F">
        <w:t xml:space="preserve"> Upload</w:t>
      </w:r>
      <w:r>
        <w:t>ing</w:t>
      </w:r>
      <w:r w:rsidRPr="00A66A1F">
        <w:t xml:space="preserve"> Summary Care Records</w:t>
      </w:r>
      <w:r>
        <w:t>, March 2012. (</w:t>
      </w:r>
      <w:r w:rsidRPr="009C3917">
        <w:t>The Summary Care Record supports patient care by providing healthcare staff in urgent and emergency care settings with the essential medical information they need to support safe treatment</w:t>
      </w:r>
      <w:r>
        <w:t>)</w:t>
      </w:r>
      <w:r w:rsidRPr="009C3917">
        <w:t>.</w:t>
      </w:r>
    </w:p>
    <w:p w:rsidR="00171C3C" w:rsidRDefault="00171C3C" w:rsidP="00EC09EB">
      <w:pPr>
        <w:pStyle w:val="ListParagraph"/>
        <w:numPr>
          <w:ilvl w:val="0"/>
          <w:numId w:val="20"/>
        </w:numPr>
        <w:tabs>
          <w:tab w:val="clear" w:pos="720"/>
          <w:tab w:val="left" w:pos="426"/>
        </w:tabs>
        <w:ind w:left="426" w:hanging="284"/>
      </w:pPr>
      <w:r>
        <w:t>Whether the p</w:t>
      </w:r>
      <w:r w:rsidRPr="00A66A1F">
        <w:t>ractice</w:t>
      </w:r>
      <w:r>
        <w:t xml:space="preserve"> has gone </w:t>
      </w:r>
      <w:r w:rsidRPr="00A66A1F">
        <w:t xml:space="preserve">live with GP2GP and </w:t>
      </w:r>
      <w:r>
        <w:t xml:space="preserve">is </w:t>
      </w:r>
      <w:proofErr w:type="gramStart"/>
      <w:r w:rsidRPr="00A66A1F">
        <w:t>Actively</w:t>
      </w:r>
      <w:proofErr w:type="gramEnd"/>
      <w:r w:rsidRPr="00A66A1F">
        <w:t xml:space="preserve"> using GP2GP</w:t>
      </w:r>
      <w:r>
        <w:t>, March 2012. (</w:t>
      </w:r>
      <w:r w:rsidRPr="009C3917">
        <w:t xml:space="preserve">GP2GP enables patients' electronic health records (EHRs) to be transferred directly </w:t>
      </w:r>
      <w:r>
        <w:t>from one GP practice to another).</w:t>
      </w:r>
    </w:p>
    <w:p w:rsidR="00171C3C" w:rsidRDefault="00171C3C" w:rsidP="00EC09EB">
      <w:pPr>
        <w:pStyle w:val="ListParagraph"/>
        <w:numPr>
          <w:ilvl w:val="0"/>
          <w:numId w:val="20"/>
        </w:numPr>
        <w:tabs>
          <w:tab w:val="clear" w:pos="720"/>
          <w:tab w:val="left" w:pos="426"/>
        </w:tabs>
        <w:ind w:left="426" w:hanging="284"/>
      </w:pPr>
      <w:r>
        <w:t>Whether the p</w:t>
      </w:r>
      <w:r w:rsidRPr="00A66A1F">
        <w:t>ractice</w:t>
      </w:r>
      <w:r>
        <w:t xml:space="preserve"> has gone </w:t>
      </w:r>
      <w:r w:rsidRPr="00A66A1F">
        <w:t>live with Release 2 of the Electronic Prescription Service</w:t>
      </w:r>
      <w:r>
        <w:t>, March 2012. (</w:t>
      </w:r>
      <w:r w:rsidRPr="009C3917">
        <w:t>The Electronic Prescription Service (EPS) is an NHS service</w:t>
      </w:r>
      <w:r>
        <w:t xml:space="preserve"> that enables</w:t>
      </w:r>
      <w:r w:rsidRPr="009C3917">
        <w:t xml:space="preserve"> GP practice</w:t>
      </w:r>
      <w:r>
        <w:t>s</w:t>
      </w:r>
      <w:r w:rsidRPr="009C3917">
        <w:t xml:space="preserve"> </w:t>
      </w:r>
      <w:r>
        <w:t>to</w:t>
      </w:r>
      <w:r w:rsidRPr="009C3917">
        <w:t xml:space="preserve"> </w:t>
      </w:r>
      <w:proofErr w:type="gramStart"/>
      <w:r w:rsidRPr="009C3917">
        <w:t>send prescription</w:t>
      </w:r>
      <w:r>
        <w:t>s</w:t>
      </w:r>
      <w:r w:rsidRPr="009C3917">
        <w:t xml:space="preserve"> electronically to the p</w:t>
      </w:r>
      <w:r>
        <w:t>harmacy of the patient’s</w:t>
      </w:r>
      <w:proofErr w:type="gramEnd"/>
      <w:r>
        <w:t xml:space="preserve"> choosing).</w:t>
      </w:r>
    </w:p>
    <w:p w:rsidR="00171C3C" w:rsidRPr="00A66A1F" w:rsidRDefault="00171C3C" w:rsidP="00EC09EB">
      <w:pPr>
        <w:pStyle w:val="ListParagraph"/>
        <w:numPr>
          <w:ilvl w:val="0"/>
          <w:numId w:val="20"/>
        </w:numPr>
        <w:tabs>
          <w:tab w:val="clear" w:pos="720"/>
          <w:tab w:val="left" w:pos="426"/>
        </w:tabs>
        <w:ind w:left="426" w:hanging="284"/>
        <w:rPr>
          <w:lang w:val="fr-FR"/>
        </w:rPr>
      </w:pPr>
      <w:r w:rsidRPr="00A66A1F">
        <w:t xml:space="preserve">Whether </w:t>
      </w:r>
      <w:r>
        <w:t>the p</w:t>
      </w:r>
      <w:r w:rsidRPr="00A66A1F">
        <w:t>ractice provide</w:t>
      </w:r>
      <w:r>
        <w:t>s</w:t>
      </w:r>
      <w:r w:rsidRPr="00A66A1F">
        <w:t xml:space="preserve"> functionality for patients to book or cancel appointments electronically</w:t>
      </w:r>
      <w:r>
        <w:t>, March 2012.</w:t>
      </w:r>
    </w:p>
    <w:p w:rsidR="00171C3C" w:rsidRPr="00A66A1F" w:rsidRDefault="00171C3C" w:rsidP="00EC09EB">
      <w:pPr>
        <w:pStyle w:val="ListParagraph"/>
        <w:numPr>
          <w:ilvl w:val="0"/>
          <w:numId w:val="20"/>
        </w:numPr>
        <w:tabs>
          <w:tab w:val="clear" w:pos="720"/>
          <w:tab w:val="left" w:pos="426"/>
        </w:tabs>
        <w:ind w:left="426" w:hanging="284"/>
        <w:rPr>
          <w:szCs w:val="22"/>
        </w:rPr>
      </w:pPr>
      <w:r w:rsidRPr="00A66A1F">
        <w:t xml:space="preserve">Whether </w:t>
      </w:r>
      <w:r>
        <w:t>the</w:t>
      </w:r>
      <w:r w:rsidRPr="00A66A1F">
        <w:t xml:space="preserve"> practices provide</w:t>
      </w:r>
      <w:r>
        <w:t>s</w:t>
      </w:r>
      <w:r w:rsidRPr="00A66A1F">
        <w:t xml:space="preserve"> functionality for patients to view or order repeat prescriptions electronically</w:t>
      </w:r>
      <w:r>
        <w:rPr>
          <w:lang w:val="fr-FR"/>
        </w:rPr>
        <w:t xml:space="preserve">, </w:t>
      </w:r>
      <w:r>
        <w:t>March 2012.</w:t>
      </w:r>
    </w:p>
    <w:p w:rsidR="00171C3C" w:rsidRPr="00A66A1F" w:rsidRDefault="00171C3C" w:rsidP="00EC09EB">
      <w:pPr>
        <w:pStyle w:val="ListParagraph"/>
        <w:numPr>
          <w:ilvl w:val="0"/>
          <w:numId w:val="20"/>
        </w:numPr>
        <w:tabs>
          <w:tab w:val="clear" w:pos="720"/>
          <w:tab w:val="left" w:pos="426"/>
        </w:tabs>
        <w:ind w:left="426" w:hanging="284"/>
        <w:rPr>
          <w:szCs w:val="22"/>
        </w:rPr>
      </w:pPr>
      <w:proofErr w:type="spellStart"/>
      <w:r w:rsidRPr="00A66A1F">
        <w:rPr>
          <w:lang w:val="fr-FR"/>
        </w:rPr>
        <w:t>Whether</w:t>
      </w:r>
      <w:proofErr w:type="spellEnd"/>
      <w:r w:rsidRPr="00A66A1F">
        <w:rPr>
          <w:lang w:val="fr-FR"/>
        </w:rPr>
        <w:t xml:space="preserve"> </w:t>
      </w:r>
      <w:r>
        <w:rPr>
          <w:lang w:val="fr-FR"/>
        </w:rPr>
        <w:t>the</w:t>
      </w:r>
      <w:r w:rsidRPr="00A66A1F">
        <w:rPr>
          <w:lang w:val="fr-FR"/>
        </w:rPr>
        <w:t xml:space="preserve"> practice </w:t>
      </w:r>
      <w:proofErr w:type="spellStart"/>
      <w:r w:rsidRPr="00A66A1F">
        <w:rPr>
          <w:lang w:val="fr-FR"/>
        </w:rPr>
        <w:t>provide</w:t>
      </w:r>
      <w:r>
        <w:rPr>
          <w:lang w:val="fr-FR"/>
        </w:rPr>
        <w:t>s</w:t>
      </w:r>
      <w:proofErr w:type="spellEnd"/>
      <w:r w:rsidRPr="00A66A1F">
        <w:rPr>
          <w:lang w:val="fr-FR"/>
        </w:rPr>
        <w:t xml:space="preserve"> </w:t>
      </w:r>
      <w:proofErr w:type="spellStart"/>
      <w:r w:rsidRPr="00A66A1F">
        <w:rPr>
          <w:lang w:val="fr-FR"/>
        </w:rPr>
        <w:t>functionality</w:t>
      </w:r>
      <w:proofErr w:type="spellEnd"/>
      <w:r w:rsidRPr="00A66A1F">
        <w:rPr>
          <w:lang w:val="fr-FR"/>
        </w:rPr>
        <w:t xml:space="preserve"> for patients to </w:t>
      </w:r>
      <w:proofErr w:type="spellStart"/>
      <w:r w:rsidRPr="00A66A1F">
        <w:rPr>
          <w:lang w:val="fr-FR"/>
        </w:rPr>
        <w:t>view</w:t>
      </w:r>
      <w:proofErr w:type="spellEnd"/>
      <w:r w:rsidRPr="00A66A1F">
        <w:rPr>
          <w:lang w:val="fr-FR"/>
        </w:rPr>
        <w:t xml:space="preserve"> </w:t>
      </w:r>
      <w:proofErr w:type="spellStart"/>
      <w:r w:rsidRPr="00A66A1F">
        <w:rPr>
          <w:lang w:val="fr-FR"/>
        </w:rPr>
        <w:t>their</w:t>
      </w:r>
      <w:proofErr w:type="spellEnd"/>
      <w:r w:rsidRPr="00A66A1F">
        <w:rPr>
          <w:lang w:val="fr-FR"/>
        </w:rPr>
        <w:t xml:space="preserve"> full </w:t>
      </w:r>
      <w:proofErr w:type="spellStart"/>
      <w:r w:rsidRPr="00A66A1F">
        <w:rPr>
          <w:lang w:val="fr-FR"/>
        </w:rPr>
        <w:t>medical</w:t>
      </w:r>
      <w:proofErr w:type="spellEnd"/>
      <w:r w:rsidRPr="00A66A1F">
        <w:rPr>
          <w:lang w:val="fr-FR"/>
        </w:rPr>
        <w:t xml:space="preserve"> record </w:t>
      </w:r>
      <w:proofErr w:type="spellStart"/>
      <w:r w:rsidRPr="00A66A1F">
        <w:rPr>
          <w:lang w:val="fr-FR"/>
        </w:rPr>
        <w:t>electronically</w:t>
      </w:r>
      <w:proofErr w:type="spellEnd"/>
      <w:r>
        <w:rPr>
          <w:lang w:val="fr-FR"/>
        </w:rPr>
        <w:t>,</w:t>
      </w:r>
      <w:r w:rsidRPr="00A66A1F">
        <w:t xml:space="preserve"> </w:t>
      </w:r>
      <w:r>
        <w:t>March 2012.</w:t>
      </w:r>
    </w:p>
    <w:p w:rsidR="00171C3C" w:rsidRDefault="00171C3C" w:rsidP="00EC09EB">
      <w:pPr>
        <w:tabs>
          <w:tab w:val="clear" w:pos="720"/>
          <w:tab w:val="left" w:pos="426"/>
        </w:tabs>
        <w:ind w:left="66"/>
        <w:rPr>
          <w:szCs w:val="22"/>
        </w:rPr>
      </w:pPr>
    </w:p>
    <w:p w:rsidR="00171C3C" w:rsidRPr="00A66A1F" w:rsidRDefault="00171C3C" w:rsidP="00EC09EB">
      <w:pPr>
        <w:ind w:left="426" w:hanging="284"/>
        <w:rPr>
          <w:u w:val="single"/>
        </w:rPr>
      </w:pPr>
      <w:r>
        <w:rPr>
          <w:u w:val="single"/>
        </w:rPr>
        <w:t>Patient experience</w:t>
      </w:r>
    </w:p>
    <w:p w:rsidR="00171C3C" w:rsidRDefault="00171C3C" w:rsidP="00EC09EB">
      <w:pPr>
        <w:pStyle w:val="ListParagraph"/>
        <w:numPr>
          <w:ilvl w:val="0"/>
          <w:numId w:val="20"/>
        </w:numPr>
        <w:tabs>
          <w:tab w:val="clear" w:pos="720"/>
          <w:tab w:val="left" w:pos="426"/>
        </w:tabs>
        <w:ind w:left="426" w:hanging="284"/>
        <w:rPr>
          <w:lang w:val="fr-FR"/>
        </w:rPr>
      </w:pPr>
      <w:r w:rsidRPr="00A66A1F">
        <w:rPr>
          <w:lang w:val="fr-FR"/>
        </w:rPr>
        <w:t xml:space="preserve">Patient satisfaction with opening hours from the GP Patient Survey: </w:t>
      </w:r>
      <w:proofErr w:type="spellStart"/>
      <w:r>
        <w:rPr>
          <w:lang w:val="fr-FR"/>
        </w:rPr>
        <w:t>P</w:t>
      </w:r>
      <w:r w:rsidRPr="00A66A1F">
        <w:rPr>
          <w:lang w:val="fr-FR"/>
        </w:rPr>
        <w:t>ercent</w:t>
      </w:r>
      <w:r>
        <w:rPr>
          <w:lang w:val="fr-FR"/>
        </w:rPr>
        <w:t>age</w:t>
      </w:r>
      <w:proofErr w:type="spellEnd"/>
      <w:r w:rsidRPr="00A66A1F">
        <w:rPr>
          <w:lang w:val="fr-FR"/>
        </w:rPr>
        <w:t xml:space="preserve"> of </w:t>
      </w:r>
      <w:r>
        <w:rPr>
          <w:lang w:val="fr-FR"/>
        </w:rPr>
        <w:t xml:space="preserve">patients </w:t>
      </w:r>
      <w:proofErr w:type="spellStart"/>
      <w:r>
        <w:rPr>
          <w:lang w:val="fr-FR"/>
        </w:rPr>
        <w:t>who</w:t>
      </w:r>
      <w:proofErr w:type="spellEnd"/>
      <w:r>
        <w:rPr>
          <w:lang w:val="fr-FR"/>
        </w:rPr>
        <w:t xml:space="preserve"> </w:t>
      </w:r>
      <w:proofErr w:type="spellStart"/>
      <w:r>
        <w:rPr>
          <w:lang w:val="fr-FR"/>
        </w:rPr>
        <w:t>indicated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satisfied</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opening</w:t>
      </w:r>
      <w:proofErr w:type="spellEnd"/>
      <w:r>
        <w:rPr>
          <w:lang w:val="fr-FR"/>
        </w:rPr>
        <w:t xml:space="preserve"> </w:t>
      </w:r>
      <w:proofErr w:type="spellStart"/>
      <w:r>
        <w:rPr>
          <w:lang w:val="fr-FR"/>
        </w:rPr>
        <w:t>hours</w:t>
      </w:r>
      <w:proofErr w:type="spellEnd"/>
      <w:r>
        <w:rPr>
          <w:lang w:val="fr-FR"/>
        </w:rPr>
        <w:t xml:space="preserve"> </w:t>
      </w:r>
      <w:proofErr w:type="spellStart"/>
      <w:r>
        <w:rPr>
          <w:lang w:val="fr-FR"/>
        </w:rPr>
        <w:t>at</w:t>
      </w:r>
      <w:proofErr w:type="spellEnd"/>
      <w:r>
        <w:rPr>
          <w:lang w:val="fr-FR"/>
        </w:rPr>
        <w:t xml:space="preserve"> </w:t>
      </w:r>
      <w:proofErr w:type="spellStart"/>
      <w:r>
        <w:rPr>
          <w:lang w:val="fr-FR"/>
        </w:rPr>
        <w:t>their</w:t>
      </w:r>
      <w:proofErr w:type="spellEnd"/>
      <w:r>
        <w:rPr>
          <w:lang w:val="fr-FR"/>
        </w:rPr>
        <w:t xml:space="preserve"> GP practice</w:t>
      </w:r>
      <w:r w:rsidRPr="00A66A1F">
        <w:rPr>
          <w:lang w:val="fr-FR"/>
        </w:rPr>
        <w:t>, 2010/11</w:t>
      </w:r>
      <w:r>
        <w:rPr>
          <w:lang w:val="fr-FR"/>
        </w:rPr>
        <w:t>.</w:t>
      </w:r>
    </w:p>
    <w:p w:rsidR="00171C3C" w:rsidRDefault="00171C3C" w:rsidP="00EC09EB">
      <w:pPr>
        <w:pStyle w:val="ListParagraph"/>
        <w:numPr>
          <w:ilvl w:val="0"/>
          <w:numId w:val="20"/>
        </w:numPr>
        <w:tabs>
          <w:tab w:val="clear" w:pos="720"/>
          <w:tab w:val="left" w:pos="426"/>
        </w:tabs>
        <w:ind w:left="426" w:hanging="284"/>
        <w:rPr>
          <w:lang w:val="fr-FR"/>
        </w:rPr>
      </w:pPr>
      <w:r w:rsidRPr="00A66A1F">
        <w:rPr>
          <w:lang w:val="fr-FR"/>
        </w:rPr>
        <w:t xml:space="preserve">Patient </w:t>
      </w:r>
      <w:proofErr w:type="spellStart"/>
      <w:r w:rsidRPr="00A66A1F">
        <w:rPr>
          <w:lang w:val="fr-FR"/>
        </w:rPr>
        <w:t>experience</w:t>
      </w:r>
      <w:proofErr w:type="spellEnd"/>
      <w:r w:rsidRPr="00A66A1F">
        <w:rPr>
          <w:lang w:val="fr-FR"/>
        </w:rPr>
        <w:t xml:space="preserve"> of the </w:t>
      </w:r>
      <w:proofErr w:type="spellStart"/>
      <w:r w:rsidRPr="00A66A1F">
        <w:rPr>
          <w:lang w:val="fr-FR"/>
        </w:rPr>
        <w:t>waiting</w:t>
      </w:r>
      <w:proofErr w:type="spellEnd"/>
      <w:r w:rsidRPr="00A66A1F">
        <w:rPr>
          <w:lang w:val="fr-FR"/>
        </w:rPr>
        <w:t xml:space="preserve"> time </w:t>
      </w:r>
      <w:proofErr w:type="spellStart"/>
      <w:r w:rsidRPr="00A66A1F">
        <w:rPr>
          <w:lang w:val="fr-FR"/>
        </w:rPr>
        <w:t>at</w:t>
      </w:r>
      <w:proofErr w:type="spellEnd"/>
      <w:r w:rsidRPr="00A66A1F">
        <w:rPr>
          <w:lang w:val="fr-FR"/>
        </w:rPr>
        <w:t xml:space="preserve"> </w:t>
      </w:r>
      <w:proofErr w:type="spellStart"/>
      <w:r w:rsidRPr="00A66A1F">
        <w:rPr>
          <w:lang w:val="fr-FR"/>
        </w:rPr>
        <w:t>surgery</w:t>
      </w:r>
      <w:proofErr w:type="spellEnd"/>
      <w:r w:rsidRPr="00A66A1F">
        <w:rPr>
          <w:lang w:val="fr-FR"/>
        </w:rPr>
        <w:t xml:space="preserve"> </w:t>
      </w:r>
      <w:proofErr w:type="spellStart"/>
      <w:r w:rsidRPr="00A66A1F">
        <w:rPr>
          <w:lang w:val="fr-FR"/>
        </w:rPr>
        <w:t>from</w:t>
      </w:r>
      <w:proofErr w:type="spellEnd"/>
      <w:r w:rsidRPr="00A66A1F">
        <w:rPr>
          <w:lang w:val="fr-FR"/>
        </w:rPr>
        <w:t xml:space="preserve"> the GP Patient Survey: </w:t>
      </w:r>
      <w:proofErr w:type="spellStart"/>
      <w:r>
        <w:rPr>
          <w:lang w:val="fr-FR"/>
        </w:rPr>
        <w:t>P</w:t>
      </w:r>
      <w:r w:rsidRPr="00A66A1F">
        <w:rPr>
          <w:lang w:val="fr-FR"/>
        </w:rPr>
        <w:t>ercent</w:t>
      </w:r>
      <w:r>
        <w:rPr>
          <w:lang w:val="fr-FR"/>
        </w:rPr>
        <w:t>age</w:t>
      </w:r>
      <w:proofErr w:type="spellEnd"/>
      <w:r w:rsidRPr="00A66A1F">
        <w:rPr>
          <w:lang w:val="fr-FR"/>
        </w:rPr>
        <w:t xml:space="preserve"> of </w:t>
      </w:r>
      <w:r>
        <w:rPr>
          <w:lang w:val="fr-FR"/>
        </w:rPr>
        <w:t xml:space="preserve">patients </w:t>
      </w:r>
      <w:proofErr w:type="spellStart"/>
      <w:r>
        <w:rPr>
          <w:lang w:val="fr-FR"/>
        </w:rPr>
        <w:t>who</w:t>
      </w:r>
      <w:proofErr w:type="spellEnd"/>
      <w:r>
        <w:rPr>
          <w:lang w:val="fr-FR"/>
        </w:rPr>
        <w:t xml:space="preserve"> </w:t>
      </w:r>
      <w:proofErr w:type="spellStart"/>
      <w:r>
        <w:rPr>
          <w:lang w:val="fr-FR"/>
        </w:rPr>
        <w:t>indicated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seen</w:t>
      </w:r>
      <w:proofErr w:type="spellEnd"/>
      <w:r>
        <w:rPr>
          <w:lang w:val="fr-FR"/>
        </w:rPr>
        <w:t xml:space="preserve"> </w:t>
      </w:r>
      <w:proofErr w:type="spellStart"/>
      <w:r>
        <w:rPr>
          <w:lang w:val="fr-FR"/>
        </w:rPr>
        <w:t>within</w:t>
      </w:r>
      <w:proofErr w:type="spellEnd"/>
      <w:r>
        <w:rPr>
          <w:lang w:val="fr-FR"/>
        </w:rPr>
        <w:t xml:space="preserve"> 15 minutes </w:t>
      </w:r>
      <w:proofErr w:type="spellStart"/>
      <w:r>
        <w:rPr>
          <w:lang w:val="fr-FR"/>
        </w:rPr>
        <w:t>after</w:t>
      </w:r>
      <w:proofErr w:type="spellEnd"/>
      <w:r>
        <w:rPr>
          <w:lang w:val="fr-FR"/>
        </w:rPr>
        <w:t xml:space="preserve"> </w:t>
      </w:r>
      <w:proofErr w:type="spellStart"/>
      <w:r>
        <w:rPr>
          <w:lang w:val="fr-FR"/>
        </w:rPr>
        <w:t>their</w:t>
      </w:r>
      <w:proofErr w:type="spellEnd"/>
      <w:r>
        <w:rPr>
          <w:lang w:val="fr-FR"/>
        </w:rPr>
        <w:t xml:space="preserve"> </w:t>
      </w:r>
      <w:proofErr w:type="spellStart"/>
      <w:r>
        <w:rPr>
          <w:lang w:val="fr-FR"/>
        </w:rPr>
        <w:t>appointment</w:t>
      </w:r>
      <w:proofErr w:type="spellEnd"/>
      <w:r>
        <w:rPr>
          <w:lang w:val="fr-FR"/>
        </w:rPr>
        <w:t xml:space="preserve"> time,</w:t>
      </w:r>
      <w:r w:rsidRPr="00A66A1F">
        <w:rPr>
          <w:lang w:val="fr-FR"/>
        </w:rPr>
        <w:t xml:space="preserve"> 2010/11</w:t>
      </w:r>
      <w:r>
        <w:rPr>
          <w:lang w:val="fr-FR"/>
        </w:rPr>
        <w:t>.</w:t>
      </w:r>
    </w:p>
    <w:p w:rsidR="00171C3C" w:rsidRDefault="00171C3C" w:rsidP="00EC09EB">
      <w:pPr>
        <w:pStyle w:val="ListParagraph"/>
        <w:numPr>
          <w:ilvl w:val="0"/>
          <w:numId w:val="20"/>
        </w:numPr>
        <w:tabs>
          <w:tab w:val="clear" w:pos="720"/>
          <w:tab w:val="left" w:pos="426"/>
        </w:tabs>
        <w:ind w:left="426" w:hanging="284"/>
        <w:rPr>
          <w:lang w:val="fr-FR"/>
        </w:rPr>
      </w:pPr>
      <w:r w:rsidRPr="00A66A1F">
        <w:rPr>
          <w:lang w:val="fr-FR"/>
        </w:rPr>
        <w:t xml:space="preserve">Patient </w:t>
      </w:r>
      <w:proofErr w:type="spellStart"/>
      <w:r w:rsidRPr="00A66A1F">
        <w:rPr>
          <w:lang w:val="fr-FR"/>
        </w:rPr>
        <w:t>experience</w:t>
      </w:r>
      <w:proofErr w:type="spellEnd"/>
      <w:r w:rsidRPr="00A66A1F">
        <w:rPr>
          <w:lang w:val="fr-FR"/>
        </w:rPr>
        <w:t xml:space="preserve"> of </w:t>
      </w:r>
      <w:proofErr w:type="spellStart"/>
      <w:r w:rsidRPr="00A66A1F">
        <w:rPr>
          <w:lang w:val="fr-FR"/>
        </w:rPr>
        <w:t>being</w:t>
      </w:r>
      <w:proofErr w:type="spellEnd"/>
      <w:r w:rsidRPr="00A66A1F">
        <w:rPr>
          <w:lang w:val="fr-FR"/>
        </w:rPr>
        <w:t xml:space="preserve"> able to </w:t>
      </w:r>
      <w:proofErr w:type="spellStart"/>
      <w:r w:rsidRPr="00A66A1F">
        <w:rPr>
          <w:lang w:val="fr-FR"/>
        </w:rPr>
        <w:t>see</w:t>
      </w:r>
      <w:proofErr w:type="spellEnd"/>
      <w:r w:rsidRPr="00A66A1F">
        <w:rPr>
          <w:lang w:val="fr-FR"/>
        </w:rPr>
        <w:t xml:space="preserve"> a </w:t>
      </w:r>
      <w:proofErr w:type="spellStart"/>
      <w:r w:rsidRPr="00A66A1F">
        <w:rPr>
          <w:lang w:val="fr-FR"/>
        </w:rPr>
        <w:t>doctor</w:t>
      </w:r>
      <w:proofErr w:type="spellEnd"/>
      <w:r w:rsidRPr="00A66A1F">
        <w:rPr>
          <w:lang w:val="fr-FR"/>
        </w:rPr>
        <w:t xml:space="preserve"> </w:t>
      </w:r>
      <w:proofErr w:type="spellStart"/>
      <w:r w:rsidRPr="00A66A1F">
        <w:rPr>
          <w:lang w:val="fr-FR"/>
        </w:rPr>
        <w:t>fairly</w:t>
      </w:r>
      <w:proofErr w:type="spellEnd"/>
      <w:r w:rsidRPr="00A66A1F">
        <w:rPr>
          <w:lang w:val="fr-FR"/>
        </w:rPr>
        <w:t xml:space="preserve"> </w:t>
      </w:r>
      <w:proofErr w:type="spellStart"/>
      <w:r w:rsidRPr="00A66A1F">
        <w:rPr>
          <w:lang w:val="fr-FR"/>
        </w:rPr>
        <w:t>quickly</w:t>
      </w:r>
      <w:proofErr w:type="spellEnd"/>
      <w:r w:rsidRPr="00A66A1F">
        <w:rPr>
          <w:lang w:val="fr-FR"/>
        </w:rPr>
        <w:t xml:space="preserve"> </w:t>
      </w:r>
      <w:proofErr w:type="spellStart"/>
      <w:r w:rsidRPr="00A66A1F">
        <w:rPr>
          <w:lang w:val="fr-FR"/>
        </w:rPr>
        <w:t>from</w:t>
      </w:r>
      <w:proofErr w:type="spellEnd"/>
      <w:r w:rsidRPr="00A66A1F">
        <w:rPr>
          <w:lang w:val="fr-FR"/>
        </w:rPr>
        <w:t xml:space="preserve"> the GP Patient Survey: </w:t>
      </w:r>
      <w:proofErr w:type="spellStart"/>
      <w:r>
        <w:rPr>
          <w:lang w:val="fr-FR"/>
        </w:rPr>
        <w:t>P</w:t>
      </w:r>
      <w:r w:rsidRPr="00A66A1F">
        <w:rPr>
          <w:lang w:val="fr-FR"/>
        </w:rPr>
        <w:t>ercent</w:t>
      </w:r>
      <w:r>
        <w:rPr>
          <w:lang w:val="fr-FR"/>
        </w:rPr>
        <w:t>age</w:t>
      </w:r>
      <w:proofErr w:type="spellEnd"/>
      <w:r w:rsidRPr="00A66A1F">
        <w:rPr>
          <w:lang w:val="fr-FR"/>
        </w:rPr>
        <w:t xml:space="preserve"> of </w:t>
      </w:r>
      <w:r>
        <w:rPr>
          <w:lang w:val="fr-FR"/>
        </w:rPr>
        <w:t xml:space="preserve">patients </w:t>
      </w:r>
      <w:proofErr w:type="spellStart"/>
      <w:r>
        <w:rPr>
          <w:lang w:val="fr-FR"/>
        </w:rPr>
        <w:t>who</w:t>
      </w:r>
      <w:proofErr w:type="spellEnd"/>
      <w:r>
        <w:rPr>
          <w:lang w:val="fr-FR"/>
        </w:rPr>
        <w:t xml:space="preserve"> </w:t>
      </w:r>
      <w:proofErr w:type="spellStart"/>
      <w:r>
        <w:rPr>
          <w:lang w:val="fr-FR"/>
        </w:rPr>
        <w:t>indicated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able to </w:t>
      </w:r>
      <w:proofErr w:type="spellStart"/>
      <w:r>
        <w:rPr>
          <w:lang w:val="fr-FR"/>
        </w:rPr>
        <w:t>see</w:t>
      </w:r>
      <w:proofErr w:type="spellEnd"/>
      <w:r>
        <w:rPr>
          <w:lang w:val="fr-FR"/>
        </w:rPr>
        <w:t xml:space="preserve"> a </w:t>
      </w:r>
      <w:proofErr w:type="spellStart"/>
      <w:r>
        <w:rPr>
          <w:lang w:val="fr-FR"/>
        </w:rPr>
        <w:t>doctor</w:t>
      </w:r>
      <w:proofErr w:type="spellEnd"/>
      <w:r>
        <w:rPr>
          <w:lang w:val="fr-FR"/>
        </w:rPr>
        <w:t xml:space="preserve"> on the </w:t>
      </w:r>
      <w:proofErr w:type="spellStart"/>
      <w:r>
        <w:rPr>
          <w:lang w:val="fr-FR"/>
        </w:rPr>
        <w:t>next</w:t>
      </w:r>
      <w:proofErr w:type="spellEnd"/>
      <w:r>
        <w:rPr>
          <w:lang w:val="fr-FR"/>
        </w:rPr>
        <w:t xml:space="preserve"> 2 </w:t>
      </w:r>
      <w:proofErr w:type="spellStart"/>
      <w:r>
        <w:rPr>
          <w:lang w:val="fr-FR"/>
        </w:rPr>
        <w:t>days</w:t>
      </w:r>
      <w:proofErr w:type="spellEnd"/>
      <w:r>
        <w:rPr>
          <w:lang w:val="fr-FR"/>
        </w:rPr>
        <w:t xml:space="preserve"> the </w:t>
      </w:r>
      <w:proofErr w:type="spellStart"/>
      <w:r>
        <w:rPr>
          <w:lang w:val="fr-FR"/>
        </w:rPr>
        <w:t>surgery</w:t>
      </w:r>
      <w:proofErr w:type="spellEnd"/>
      <w:r>
        <w:rPr>
          <w:lang w:val="fr-FR"/>
        </w:rPr>
        <w:t xml:space="preserve"> </w:t>
      </w:r>
      <w:proofErr w:type="spellStart"/>
      <w:r>
        <w:rPr>
          <w:lang w:val="fr-FR"/>
        </w:rPr>
        <w:t>was</w:t>
      </w:r>
      <w:proofErr w:type="spellEnd"/>
      <w:r>
        <w:rPr>
          <w:lang w:val="fr-FR"/>
        </w:rPr>
        <w:t xml:space="preserve"> open</w:t>
      </w:r>
      <w:r w:rsidRPr="00A66A1F">
        <w:rPr>
          <w:lang w:val="fr-FR"/>
        </w:rPr>
        <w:t>, 2010/11</w:t>
      </w:r>
      <w:r>
        <w:rPr>
          <w:lang w:val="fr-FR"/>
        </w:rPr>
        <w:t>.</w:t>
      </w:r>
    </w:p>
    <w:p w:rsidR="00171C3C" w:rsidRDefault="00171C3C" w:rsidP="00EC09EB">
      <w:pPr>
        <w:pStyle w:val="ListParagraph"/>
        <w:numPr>
          <w:ilvl w:val="0"/>
          <w:numId w:val="20"/>
        </w:numPr>
        <w:tabs>
          <w:tab w:val="clear" w:pos="720"/>
          <w:tab w:val="left" w:pos="426"/>
        </w:tabs>
        <w:ind w:left="426" w:hanging="284"/>
        <w:rPr>
          <w:lang w:val="fr-FR"/>
        </w:rPr>
      </w:pPr>
      <w:r w:rsidRPr="00A66A1F">
        <w:rPr>
          <w:lang w:val="fr-FR"/>
        </w:rPr>
        <w:t xml:space="preserve">Patient </w:t>
      </w:r>
      <w:proofErr w:type="spellStart"/>
      <w:r w:rsidRPr="00A66A1F">
        <w:rPr>
          <w:lang w:val="fr-FR"/>
        </w:rPr>
        <w:t>experience</w:t>
      </w:r>
      <w:proofErr w:type="spellEnd"/>
      <w:r w:rsidRPr="00A66A1F">
        <w:rPr>
          <w:lang w:val="fr-FR"/>
        </w:rPr>
        <w:t xml:space="preserve"> of </w:t>
      </w:r>
      <w:proofErr w:type="spellStart"/>
      <w:r w:rsidRPr="00A66A1F">
        <w:rPr>
          <w:lang w:val="fr-FR"/>
        </w:rPr>
        <w:t>being</w:t>
      </w:r>
      <w:proofErr w:type="spellEnd"/>
      <w:r w:rsidRPr="00A66A1F">
        <w:rPr>
          <w:lang w:val="fr-FR"/>
        </w:rPr>
        <w:t xml:space="preserve"> able to book </w:t>
      </w:r>
      <w:proofErr w:type="spellStart"/>
      <w:r w:rsidRPr="00A66A1F">
        <w:rPr>
          <w:lang w:val="fr-FR"/>
        </w:rPr>
        <w:t>ahead</w:t>
      </w:r>
      <w:proofErr w:type="spellEnd"/>
      <w:r w:rsidRPr="00A66A1F">
        <w:rPr>
          <w:lang w:val="fr-FR"/>
        </w:rPr>
        <w:t xml:space="preserve"> for an </w:t>
      </w:r>
      <w:proofErr w:type="spellStart"/>
      <w:r w:rsidRPr="00A66A1F">
        <w:rPr>
          <w:lang w:val="fr-FR"/>
        </w:rPr>
        <w:t>appointment</w:t>
      </w:r>
      <w:proofErr w:type="spellEnd"/>
      <w:r w:rsidRPr="00A66A1F">
        <w:rPr>
          <w:lang w:val="fr-FR"/>
        </w:rPr>
        <w:t xml:space="preserve"> </w:t>
      </w:r>
      <w:proofErr w:type="spellStart"/>
      <w:r w:rsidRPr="00A66A1F">
        <w:rPr>
          <w:lang w:val="fr-FR"/>
        </w:rPr>
        <w:t>with</w:t>
      </w:r>
      <w:proofErr w:type="spellEnd"/>
      <w:r w:rsidRPr="00A66A1F">
        <w:rPr>
          <w:lang w:val="fr-FR"/>
        </w:rPr>
        <w:t xml:space="preserve"> a </w:t>
      </w:r>
      <w:proofErr w:type="spellStart"/>
      <w:r w:rsidRPr="00A66A1F">
        <w:rPr>
          <w:lang w:val="fr-FR"/>
        </w:rPr>
        <w:t>doctor</w:t>
      </w:r>
      <w:proofErr w:type="spellEnd"/>
      <w:r w:rsidRPr="00A66A1F">
        <w:rPr>
          <w:lang w:val="fr-FR"/>
        </w:rPr>
        <w:t xml:space="preserve"> </w:t>
      </w:r>
      <w:proofErr w:type="spellStart"/>
      <w:r w:rsidRPr="00A66A1F">
        <w:rPr>
          <w:lang w:val="fr-FR"/>
        </w:rPr>
        <w:t>from</w:t>
      </w:r>
      <w:proofErr w:type="spellEnd"/>
      <w:r w:rsidRPr="00A66A1F">
        <w:rPr>
          <w:lang w:val="fr-FR"/>
        </w:rPr>
        <w:t xml:space="preserve"> the GP Patient Survey: </w:t>
      </w:r>
      <w:proofErr w:type="spellStart"/>
      <w:r>
        <w:rPr>
          <w:lang w:val="fr-FR"/>
        </w:rPr>
        <w:t>P</w:t>
      </w:r>
      <w:r w:rsidRPr="00A66A1F">
        <w:rPr>
          <w:lang w:val="fr-FR"/>
        </w:rPr>
        <w:t>ercent</w:t>
      </w:r>
      <w:r>
        <w:rPr>
          <w:lang w:val="fr-FR"/>
        </w:rPr>
        <w:t>age</w:t>
      </w:r>
      <w:proofErr w:type="spellEnd"/>
      <w:r w:rsidRPr="00A66A1F">
        <w:rPr>
          <w:lang w:val="fr-FR"/>
        </w:rPr>
        <w:t xml:space="preserve"> of </w:t>
      </w:r>
      <w:r>
        <w:rPr>
          <w:lang w:val="fr-FR"/>
        </w:rPr>
        <w:t xml:space="preserve">patients </w:t>
      </w:r>
      <w:proofErr w:type="spellStart"/>
      <w:r>
        <w:rPr>
          <w:lang w:val="fr-FR"/>
        </w:rPr>
        <w:t>who</w:t>
      </w:r>
      <w:proofErr w:type="spellEnd"/>
      <w:r>
        <w:rPr>
          <w:lang w:val="fr-FR"/>
        </w:rPr>
        <w:t xml:space="preserve"> </w:t>
      </w:r>
      <w:proofErr w:type="spellStart"/>
      <w:r>
        <w:rPr>
          <w:lang w:val="fr-FR"/>
        </w:rPr>
        <w:t>indicated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able to </w:t>
      </w:r>
      <w:proofErr w:type="spellStart"/>
      <w:r>
        <w:rPr>
          <w:lang w:val="fr-FR"/>
        </w:rPr>
        <w:t>get</w:t>
      </w:r>
      <w:proofErr w:type="spellEnd"/>
      <w:r>
        <w:rPr>
          <w:lang w:val="fr-FR"/>
        </w:rPr>
        <w:t xml:space="preserve"> an </w:t>
      </w:r>
      <w:proofErr w:type="spellStart"/>
      <w:r>
        <w:rPr>
          <w:lang w:val="fr-FR"/>
        </w:rPr>
        <w:t>appointment</w:t>
      </w:r>
      <w:proofErr w:type="spellEnd"/>
      <w:r>
        <w:rPr>
          <w:lang w:val="fr-FR"/>
        </w:rPr>
        <w:t xml:space="preserve"> </w:t>
      </w:r>
      <w:proofErr w:type="spellStart"/>
      <w:r>
        <w:rPr>
          <w:lang w:val="fr-FR"/>
        </w:rPr>
        <w:t>with</w:t>
      </w:r>
      <w:proofErr w:type="spellEnd"/>
      <w:r>
        <w:rPr>
          <w:lang w:val="fr-FR"/>
        </w:rPr>
        <w:t xml:space="preserve"> a </w:t>
      </w:r>
      <w:proofErr w:type="spellStart"/>
      <w:r>
        <w:rPr>
          <w:lang w:val="fr-FR"/>
        </w:rPr>
        <w:t>doctor</w:t>
      </w:r>
      <w:proofErr w:type="spellEnd"/>
      <w:r>
        <w:rPr>
          <w:lang w:val="fr-FR"/>
        </w:rPr>
        <w:t xml:space="preserve"> more </w:t>
      </w:r>
      <w:proofErr w:type="spellStart"/>
      <w:r>
        <w:rPr>
          <w:lang w:val="fr-FR"/>
        </w:rPr>
        <w:t>than</w:t>
      </w:r>
      <w:proofErr w:type="spellEnd"/>
      <w:r>
        <w:rPr>
          <w:lang w:val="fr-FR"/>
        </w:rPr>
        <w:t xml:space="preserve"> 2 full </w:t>
      </w:r>
      <w:proofErr w:type="spellStart"/>
      <w:r>
        <w:rPr>
          <w:lang w:val="fr-FR"/>
        </w:rPr>
        <w:t>weekdays</w:t>
      </w:r>
      <w:proofErr w:type="spellEnd"/>
      <w:r>
        <w:rPr>
          <w:lang w:val="fr-FR"/>
        </w:rPr>
        <w:t xml:space="preserve"> in </w:t>
      </w:r>
      <w:proofErr w:type="spellStart"/>
      <w:r>
        <w:rPr>
          <w:lang w:val="fr-FR"/>
        </w:rPr>
        <w:t>advance</w:t>
      </w:r>
      <w:proofErr w:type="spellEnd"/>
      <w:r w:rsidRPr="00A66A1F">
        <w:rPr>
          <w:lang w:val="fr-FR"/>
        </w:rPr>
        <w:t>, 2010/11</w:t>
      </w:r>
      <w:r>
        <w:rPr>
          <w:lang w:val="fr-FR"/>
        </w:rPr>
        <w:t>.</w:t>
      </w:r>
    </w:p>
    <w:p w:rsidR="00171C3C" w:rsidRDefault="00171C3C" w:rsidP="00EC09EB">
      <w:pPr>
        <w:pStyle w:val="ListParagraph"/>
        <w:numPr>
          <w:ilvl w:val="0"/>
          <w:numId w:val="20"/>
        </w:numPr>
        <w:tabs>
          <w:tab w:val="clear" w:pos="720"/>
          <w:tab w:val="left" w:pos="426"/>
        </w:tabs>
        <w:ind w:left="426" w:hanging="284"/>
        <w:rPr>
          <w:lang w:val="fr-FR"/>
        </w:rPr>
      </w:pPr>
      <w:r w:rsidRPr="00A66A1F">
        <w:rPr>
          <w:lang w:val="fr-FR"/>
        </w:rPr>
        <w:lastRenderedPageBreak/>
        <w:t xml:space="preserve">Patient </w:t>
      </w:r>
      <w:proofErr w:type="spellStart"/>
      <w:r w:rsidRPr="00A66A1F">
        <w:rPr>
          <w:lang w:val="fr-FR"/>
        </w:rPr>
        <w:t>experience</w:t>
      </w:r>
      <w:proofErr w:type="spellEnd"/>
      <w:r w:rsidRPr="00A66A1F">
        <w:rPr>
          <w:lang w:val="fr-FR"/>
        </w:rPr>
        <w:t xml:space="preserve"> of </w:t>
      </w:r>
      <w:proofErr w:type="spellStart"/>
      <w:r w:rsidRPr="00A66A1F">
        <w:rPr>
          <w:lang w:val="fr-FR"/>
        </w:rPr>
        <w:t>getting</w:t>
      </w:r>
      <w:proofErr w:type="spellEnd"/>
      <w:r w:rsidRPr="00A66A1F">
        <w:rPr>
          <w:lang w:val="fr-FR"/>
        </w:rPr>
        <w:t xml:space="preserve"> </w:t>
      </w:r>
      <w:proofErr w:type="spellStart"/>
      <w:r w:rsidRPr="00A66A1F">
        <w:rPr>
          <w:lang w:val="fr-FR"/>
        </w:rPr>
        <w:t>through</w:t>
      </w:r>
      <w:proofErr w:type="spellEnd"/>
      <w:r w:rsidRPr="00A66A1F">
        <w:rPr>
          <w:lang w:val="fr-FR"/>
        </w:rPr>
        <w:t xml:space="preserve"> to </w:t>
      </w:r>
      <w:proofErr w:type="spellStart"/>
      <w:r w:rsidRPr="00A66A1F">
        <w:rPr>
          <w:lang w:val="fr-FR"/>
        </w:rPr>
        <w:t>their</w:t>
      </w:r>
      <w:proofErr w:type="spellEnd"/>
      <w:r w:rsidRPr="00A66A1F">
        <w:rPr>
          <w:lang w:val="fr-FR"/>
        </w:rPr>
        <w:t xml:space="preserve"> practice on the phone </w:t>
      </w:r>
      <w:proofErr w:type="spellStart"/>
      <w:r w:rsidRPr="00A66A1F">
        <w:rPr>
          <w:lang w:val="fr-FR"/>
        </w:rPr>
        <w:t>from</w:t>
      </w:r>
      <w:proofErr w:type="spellEnd"/>
      <w:r w:rsidRPr="00A66A1F">
        <w:rPr>
          <w:lang w:val="fr-FR"/>
        </w:rPr>
        <w:t xml:space="preserve"> the GP Patient Survey: </w:t>
      </w:r>
      <w:proofErr w:type="spellStart"/>
      <w:r>
        <w:rPr>
          <w:lang w:val="fr-FR"/>
        </w:rPr>
        <w:t>P</w:t>
      </w:r>
      <w:r w:rsidRPr="00A66A1F">
        <w:rPr>
          <w:lang w:val="fr-FR"/>
        </w:rPr>
        <w:t>ercent</w:t>
      </w:r>
      <w:r>
        <w:rPr>
          <w:lang w:val="fr-FR"/>
        </w:rPr>
        <w:t>age</w:t>
      </w:r>
      <w:proofErr w:type="spellEnd"/>
      <w:r w:rsidRPr="00A66A1F">
        <w:rPr>
          <w:lang w:val="fr-FR"/>
        </w:rPr>
        <w:t xml:space="preserve"> of </w:t>
      </w:r>
      <w:r>
        <w:rPr>
          <w:lang w:val="fr-FR"/>
        </w:rPr>
        <w:t xml:space="preserve">patients </w:t>
      </w:r>
      <w:proofErr w:type="spellStart"/>
      <w:r>
        <w:rPr>
          <w:lang w:val="fr-FR"/>
        </w:rPr>
        <w:t>who</w:t>
      </w:r>
      <w:proofErr w:type="spellEnd"/>
      <w:r>
        <w:rPr>
          <w:lang w:val="fr-FR"/>
        </w:rPr>
        <w:t xml:space="preserve"> </w:t>
      </w:r>
      <w:proofErr w:type="spellStart"/>
      <w:r>
        <w:rPr>
          <w:lang w:val="fr-FR"/>
        </w:rPr>
        <w:t>indicated</w:t>
      </w:r>
      <w:proofErr w:type="spellEnd"/>
      <w:r>
        <w:rPr>
          <w:lang w:val="fr-FR"/>
        </w:rPr>
        <w:t xml:space="preserve"> </w:t>
      </w:r>
      <w:proofErr w:type="spellStart"/>
      <w:r>
        <w:rPr>
          <w:lang w:val="fr-FR"/>
        </w:rPr>
        <w:t>found</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easy</w:t>
      </w:r>
      <w:proofErr w:type="spellEnd"/>
      <w:r>
        <w:rPr>
          <w:lang w:val="fr-FR"/>
        </w:rPr>
        <w:t xml:space="preserve"> to </w:t>
      </w:r>
      <w:proofErr w:type="spellStart"/>
      <w:r>
        <w:rPr>
          <w:lang w:val="fr-FR"/>
        </w:rPr>
        <w:t>get</w:t>
      </w:r>
      <w:proofErr w:type="spellEnd"/>
      <w:r>
        <w:rPr>
          <w:lang w:val="fr-FR"/>
        </w:rPr>
        <w:t xml:space="preserve"> </w:t>
      </w:r>
      <w:proofErr w:type="spellStart"/>
      <w:r>
        <w:rPr>
          <w:lang w:val="fr-FR"/>
        </w:rPr>
        <w:t>through</w:t>
      </w:r>
      <w:proofErr w:type="spellEnd"/>
      <w:r>
        <w:rPr>
          <w:lang w:val="fr-FR"/>
        </w:rPr>
        <w:t xml:space="preserve"> on the phone</w:t>
      </w:r>
      <w:r w:rsidRPr="00A66A1F">
        <w:rPr>
          <w:lang w:val="fr-FR"/>
        </w:rPr>
        <w:t>, 2010/11</w:t>
      </w:r>
      <w:r>
        <w:rPr>
          <w:lang w:val="fr-FR"/>
        </w:rPr>
        <w:t>.</w:t>
      </w:r>
    </w:p>
    <w:p w:rsidR="00171C3C" w:rsidRDefault="00171C3C" w:rsidP="00EC09EB">
      <w:pPr>
        <w:pStyle w:val="ListParagraph"/>
        <w:numPr>
          <w:ilvl w:val="0"/>
          <w:numId w:val="20"/>
        </w:numPr>
        <w:tabs>
          <w:tab w:val="clear" w:pos="720"/>
          <w:tab w:val="left" w:pos="426"/>
        </w:tabs>
        <w:ind w:left="426" w:hanging="284"/>
        <w:rPr>
          <w:lang w:val="fr-FR"/>
        </w:rPr>
      </w:pPr>
      <w:r w:rsidRPr="00A66A1F">
        <w:rPr>
          <w:lang w:val="fr-FR"/>
        </w:rPr>
        <w:t xml:space="preserve">Patient confidence and trust in the </w:t>
      </w:r>
      <w:proofErr w:type="spellStart"/>
      <w:r w:rsidRPr="00A66A1F">
        <w:rPr>
          <w:lang w:val="fr-FR"/>
        </w:rPr>
        <w:t>doctor</w:t>
      </w:r>
      <w:proofErr w:type="spellEnd"/>
      <w:r w:rsidRPr="00A66A1F">
        <w:rPr>
          <w:lang w:val="fr-FR"/>
        </w:rPr>
        <w:t xml:space="preserve"> </w:t>
      </w:r>
      <w:proofErr w:type="spellStart"/>
      <w:r w:rsidRPr="00A66A1F">
        <w:rPr>
          <w:lang w:val="fr-FR"/>
        </w:rPr>
        <w:t>from</w:t>
      </w:r>
      <w:proofErr w:type="spellEnd"/>
      <w:r w:rsidRPr="00A66A1F">
        <w:rPr>
          <w:lang w:val="fr-FR"/>
        </w:rPr>
        <w:t xml:space="preserve"> the GP Patient Survey: </w:t>
      </w:r>
      <w:proofErr w:type="spellStart"/>
      <w:r>
        <w:rPr>
          <w:lang w:val="fr-FR"/>
        </w:rPr>
        <w:t>P</w:t>
      </w:r>
      <w:r w:rsidRPr="00A66A1F">
        <w:rPr>
          <w:lang w:val="fr-FR"/>
        </w:rPr>
        <w:t>ercent</w:t>
      </w:r>
      <w:r>
        <w:rPr>
          <w:lang w:val="fr-FR"/>
        </w:rPr>
        <w:t>age</w:t>
      </w:r>
      <w:proofErr w:type="spellEnd"/>
      <w:r w:rsidRPr="00A66A1F">
        <w:rPr>
          <w:lang w:val="fr-FR"/>
        </w:rPr>
        <w:t xml:space="preserve"> of </w:t>
      </w:r>
      <w:r>
        <w:rPr>
          <w:lang w:val="fr-FR"/>
        </w:rPr>
        <w:t xml:space="preserve">confidence </w:t>
      </w:r>
      <w:proofErr w:type="spellStart"/>
      <w:r>
        <w:rPr>
          <w:lang w:val="fr-FR"/>
        </w:rPr>
        <w:t>who</w:t>
      </w:r>
      <w:proofErr w:type="spellEnd"/>
      <w:r>
        <w:rPr>
          <w:lang w:val="fr-FR"/>
        </w:rPr>
        <w:t xml:space="preserve"> </w:t>
      </w:r>
      <w:proofErr w:type="spellStart"/>
      <w:r>
        <w:rPr>
          <w:lang w:val="fr-FR"/>
        </w:rPr>
        <w:t>responded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they</w:t>
      </w:r>
      <w:proofErr w:type="spellEnd"/>
      <w:r>
        <w:rPr>
          <w:lang w:val="fr-FR"/>
        </w:rPr>
        <w:t xml:space="preserve"> have trust in </w:t>
      </w:r>
      <w:proofErr w:type="spellStart"/>
      <w:r>
        <w:rPr>
          <w:lang w:val="fr-FR"/>
        </w:rPr>
        <w:t>their</w:t>
      </w:r>
      <w:proofErr w:type="spellEnd"/>
      <w:r>
        <w:rPr>
          <w:lang w:val="fr-FR"/>
        </w:rPr>
        <w:t xml:space="preserve"> </w:t>
      </w:r>
      <w:proofErr w:type="spellStart"/>
      <w:r>
        <w:rPr>
          <w:lang w:val="fr-FR"/>
        </w:rPr>
        <w:t>doctor</w:t>
      </w:r>
      <w:proofErr w:type="spellEnd"/>
      <w:r w:rsidRPr="00A66A1F">
        <w:rPr>
          <w:lang w:val="fr-FR"/>
        </w:rPr>
        <w:t>, 2010/11</w:t>
      </w:r>
      <w:r>
        <w:rPr>
          <w:lang w:val="fr-FR"/>
        </w:rPr>
        <w:t>.</w:t>
      </w:r>
    </w:p>
    <w:p w:rsidR="00171C3C" w:rsidRDefault="00171C3C" w:rsidP="00EC09EB">
      <w:pPr>
        <w:pStyle w:val="ListParagraph"/>
        <w:numPr>
          <w:ilvl w:val="0"/>
          <w:numId w:val="20"/>
        </w:numPr>
        <w:tabs>
          <w:tab w:val="clear" w:pos="720"/>
          <w:tab w:val="left" w:pos="426"/>
        </w:tabs>
        <w:ind w:left="426" w:hanging="284"/>
        <w:rPr>
          <w:lang w:val="fr-FR"/>
        </w:rPr>
      </w:pPr>
      <w:r w:rsidRPr="00A66A1F">
        <w:rPr>
          <w:lang w:val="fr-FR"/>
        </w:rPr>
        <w:t xml:space="preserve">Patient satisfaction </w:t>
      </w:r>
      <w:proofErr w:type="spellStart"/>
      <w:r w:rsidRPr="00A66A1F">
        <w:rPr>
          <w:lang w:val="fr-FR"/>
        </w:rPr>
        <w:t>with</w:t>
      </w:r>
      <w:proofErr w:type="spellEnd"/>
      <w:r w:rsidRPr="00A66A1F">
        <w:rPr>
          <w:lang w:val="fr-FR"/>
        </w:rPr>
        <w:t xml:space="preserve"> care </w:t>
      </w:r>
      <w:proofErr w:type="spellStart"/>
      <w:r w:rsidRPr="00A66A1F">
        <w:rPr>
          <w:lang w:val="fr-FR"/>
        </w:rPr>
        <w:t>received</w:t>
      </w:r>
      <w:proofErr w:type="spellEnd"/>
      <w:r w:rsidRPr="00A66A1F">
        <w:rPr>
          <w:lang w:val="fr-FR"/>
        </w:rPr>
        <w:t xml:space="preserve"> </w:t>
      </w:r>
      <w:proofErr w:type="spellStart"/>
      <w:r w:rsidRPr="00A66A1F">
        <w:rPr>
          <w:lang w:val="fr-FR"/>
        </w:rPr>
        <w:t>at</w:t>
      </w:r>
      <w:proofErr w:type="spellEnd"/>
      <w:r w:rsidRPr="00A66A1F">
        <w:rPr>
          <w:lang w:val="fr-FR"/>
        </w:rPr>
        <w:t xml:space="preserve"> the </w:t>
      </w:r>
      <w:proofErr w:type="spellStart"/>
      <w:r w:rsidRPr="00A66A1F">
        <w:rPr>
          <w:lang w:val="fr-FR"/>
        </w:rPr>
        <w:t>surgery</w:t>
      </w:r>
      <w:proofErr w:type="spellEnd"/>
      <w:r w:rsidRPr="00A66A1F">
        <w:rPr>
          <w:lang w:val="fr-FR"/>
        </w:rPr>
        <w:t xml:space="preserve"> </w:t>
      </w:r>
      <w:proofErr w:type="spellStart"/>
      <w:r w:rsidRPr="00A66A1F">
        <w:rPr>
          <w:lang w:val="fr-FR"/>
        </w:rPr>
        <w:t>from</w:t>
      </w:r>
      <w:proofErr w:type="spellEnd"/>
      <w:r w:rsidRPr="00A66A1F">
        <w:rPr>
          <w:lang w:val="fr-FR"/>
        </w:rPr>
        <w:t xml:space="preserve"> the GP Patient Survey: </w:t>
      </w:r>
      <w:proofErr w:type="spellStart"/>
      <w:r>
        <w:rPr>
          <w:lang w:val="fr-FR"/>
        </w:rPr>
        <w:t>P</w:t>
      </w:r>
      <w:r w:rsidRPr="00A66A1F">
        <w:rPr>
          <w:lang w:val="fr-FR"/>
        </w:rPr>
        <w:t>ercent</w:t>
      </w:r>
      <w:r>
        <w:rPr>
          <w:lang w:val="fr-FR"/>
        </w:rPr>
        <w:t>age</w:t>
      </w:r>
      <w:proofErr w:type="spellEnd"/>
      <w:r w:rsidRPr="00A66A1F">
        <w:rPr>
          <w:lang w:val="fr-FR"/>
        </w:rPr>
        <w:t xml:space="preserve"> of </w:t>
      </w:r>
      <w:r>
        <w:rPr>
          <w:lang w:val="fr-FR"/>
        </w:rPr>
        <w:t xml:space="preserve">patients </w:t>
      </w:r>
      <w:proofErr w:type="spellStart"/>
      <w:r>
        <w:rPr>
          <w:lang w:val="fr-FR"/>
        </w:rPr>
        <w:t>who</w:t>
      </w:r>
      <w:proofErr w:type="spellEnd"/>
      <w:r>
        <w:rPr>
          <w:lang w:val="fr-FR"/>
        </w:rPr>
        <w:t xml:space="preserve"> </w:t>
      </w:r>
      <w:proofErr w:type="spellStart"/>
      <w:r>
        <w:rPr>
          <w:lang w:val="fr-FR"/>
        </w:rPr>
        <w:t>indicated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satified</w:t>
      </w:r>
      <w:proofErr w:type="spellEnd"/>
      <w:r>
        <w:rPr>
          <w:lang w:val="fr-FR"/>
        </w:rPr>
        <w:t xml:space="preserve"> </w:t>
      </w:r>
      <w:proofErr w:type="spellStart"/>
      <w:r>
        <w:rPr>
          <w:lang w:val="fr-FR"/>
        </w:rPr>
        <w:t>with</w:t>
      </w:r>
      <w:proofErr w:type="spellEnd"/>
      <w:r>
        <w:rPr>
          <w:lang w:val="fr-FR"/>
        </w:rPr>
        <w:t xml:space="preserve"> the care </w:t>
      </w:r>
      <w:proofErr w:type="spellStart"/>
      <w:r>
        <w:rPr>
          <w:lang w:val="fr-FR"/>
        </w:rPr>
        <w:t>they</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at</w:t>
      </w:r>
      <w:proofErr w:type="spellEnd"/>
      <w:r>
        <w:rPr>
          <w:lang w:val="fr-FR"/>
        </w:rPr>
        <w:t xml:space="preserve"> the practice</w:t>
      </w:r>
      <w:r w:rsidRPr="00A66A1F">
        <w:rPr>
          <w:lang w:val="fr-FR"/>
        </w:rPr>
        <w:t>, 2010/11</w:t>
      </w:r>
      <w:r>
        <w:rPr>
          <w:lang w:val="fr-FR"/>
        </w:rPr>
        <w:t>.</w:t>
      </w:r>
    </w:p>
    <w:p w:rsidR="00171C3C" w:rsidRPr="007B4962" w:rsidRDefault="00171C3C" w:rsidP="00EC09EB">
      <w:pPr>
        <w:pStyle w:val="Heading"/>
        <w:rPr>
          <w:szCs w:val="22"/>
        </w:rPr>
      </w:pPr>
      <w:r w:rsidRPr="007B4962">
        <w:rPr>
          <w:szCs w:val="22"/>
        </w:rPr>
        <w:t>author biographIES</w:t>
      </w:r>
    </w:p>
    <w:p w:rsidR="00171C3C" w:rsidRDefault="00171C3C" w:rsidP="00EC09EB">
      <w:pPr>
        <w:pStyle w:val="NormalIndent"/>
        <w:ind w:firstLine="0"/>
        <w:rPr>
          <w:b/>
          <w:szCs w:val="22"/>
        </w:rPr>
      </w:pPr>
    </w:p>
    <w:p w:rsidR="00171C3C" w:rsidRDefault="00171C3C" w:rsidP="00EC09EB">
      <w:r>
        <w:rPr>
          <w:b/>
        </w:rPr>
        <w:t>DAVID LENGU</w:t>
      </w:r>
      <w:r w:rsidRPr="002B4A54">
        <w:t xml:space="preserve"> received </w:t>
      </w:r>
      <w:proofErr w:type="gramStart"/>
      <w:r w:rsidRPr="002B4A54">
        <w:t>a</w:t>
      </w:r>
      <w:proofErr w:type="gramEnd"/>
      <w:r w:rsidRPr="002B4A54">
        <w:t xml:space="preserve"> </w:t>
      </w:r>
      <w:r>
        <w:t>M</w:t>
      </w:r>
      <w:r w:rsidRPr="002B4A54">
        <w:t xml:space="preserve">Sc </w:t>
      </w:r>
      <w:r>
        <w:t>Operations Research and Applied Statistics</w:t>
      </w:r>
      <w:r w:rsidRPr="002B4A54">
        <w:t xml:space="preserve"> from the University of S</w:t>
      </w:r>
      <w:r>
        <w:t>alford</w:t>
      </w:r>
      <w:r w:rsidRPr="002B4A54">
        <w:t xml:space="preserve"> in </w:t>
      </w:r>
      <w:r>
        <w:t>2007</w:t>
      </w:r>
      <w:r w:rsidRPr="002B4A54">
        <w:t xml:space="preserve">.  </w:t>
      </w:r>
      <w:r>
        <w:t>H</w:t>
      </w:r>
      <w:r w:rsidRPr="002B4A54">
        <w:t>e completed h</w:t>
      </w:r>
      <w:r>
        <w:t>is</w:t>
      </w:r>
      <w:r w:rsidRPr="002B4A54">
        <w:t xml:space="preserve"> PhD at the same University in </w:t>
      </w:r>
      <w:r>
        <w:t>2012</w:t>
      </w:r>
      <w:r w:rsidRPr="002B4A54">
        <w:t xml:space="preserve">. </w:t>
      </w:r>
      <w:r>
        <w:t>H</w:t>
      </w:r>
      <w:r w:rsidRPr="002B4A54">
        <w:t xml:space="preserve">e is currently a researcher in the </w:t>
      </w:r>
      <w:r>
        <w:t>School of Built Environment</w:t>
      </w:r>
      <w:r w:rsidRPr="002B4A54">
        <w:t xml:space="preserve">. </w:t>
      </w:r>
      <w:r w:rsidR="00154CBA" w:rsidRPr="00D50140">
        <w:rPr>
          <w:szCs w:val="22"/>
        </w:rPr>
        <w:t xml:space="preserve">His research interests are in </w:t>
      </w:r>
      <w:r w:rsidR="00154CBA">
        <w:rPr>
          <w:szCs w:val="22"/>
        </w:rPr>
        <w:t xml:space="preserve">stochastic processes </w:t>
      </w:r>
      <w:r w:rsidR="00154CBA" w:rsidRPr="00D50140">
        <w:rPr>
          <w:szCs w:val="22"/>
        </w:rPr>
        <w:t>and</w:t>
      </w:r>
      <w:r w:rsidR="00154CBA">
        <w:rPr>
          <w:szCs w:val="22"/>
        </w:rPr>
        <w:t xml:space="preserve"> </w:t>
      </w:r>
      <w:r w:rsidR="00154CBA" w:rsidRPr="00D50140">
        <w:rPr>
          <w:szCs w:val="22"/>
        </w:rPr>
        <w:t>simulation</w:t>
      </w:r>
      <w:r w:rsidR="00154CBA">
        <w:rPr>
          <w:szCs w:val="22"/>
        </w:rPr>
        <w:t xml:space="preserve"> </w:t>
      </w:r>
      <w:r w:rsidR="00154CBA" w:rsidRPr="00D50140">
        <w:rPr>
          <w:szCs w:val="22"/>
        </w:rPr>
        <w:t>modelling</w:t>
      </w:r>
      <w:r w:rsidR="00154CBA">
        <w:rPr>
          <w:szCs w:val="22"/>
        </w:rPr>
        <w:t>.</w:t>
      </w:r>
    </w:p>
    <w:p w:rsidR="00D50140" w:rsidRPr="00D50140" w:rsidRDefault="00D50140" w:rsidP="00D50140">
      <w:pPr>
        <w:pStyle w:val="NormalIndent"/>
        <w:rPr>
          <w:lang w:val="en-GB"/>
        </w:rPr>
      </w:pPr>
    </w:p>
    <w:p w:rsidR="00D50140" w:rsidRDefault="00D50140" w:rsidP="00D50140">
      <w:pPr>
        <w:pStyle w:val="NormalIndent"/>
        <w:ind w:firstLine="0"/>
        <w:rPr>
          <w:sz w:val="22"/>
          <w:szCs w:val="22"/>
          <w:lang w:val="en-GB"/>
        </w:rPr>
      </w:pPr>
      <w:r w:rsidRPr="00D50140">
        <w:rPr>
          <w:b/>
          <w:sz w:val="22"/>
          <w:szCs w:val="22"/>
          <w:lang w:val="en-GB"/>
        </w:rPr>
        <w:t>STELIOS SAPOUNTZIS</w:t>
      </w:r>
      <w:r w:rsidRPr="00D50140">
        <w:rPr>
          <w:sz w:val="22"/>
          <w:szCs w:val="22"/>
          <w:lang w:val="en-GB"/>
        </w:rPr>
        <w:t xml:space="preserve"> is a Research Fellow at the Health and Care Infrastructure</w:t>
      </w:r>
      <w:r>
        <w:rPr>
          <w:sz w:val="22"/>
          <w:szCs w:val="22"/>
          <w:lang w:val="en-GB"/>
        </w:rPr>
        <w:t xml:space="preserve"> </w:t>
      </w:r>
      <w:r w:rsidRPr="00D50140">
        <w:rPr>
          <w:sz w:val="22"/>
          <w:szCs w:val="22"/>
          <w:lang w:val="en-GB"/>
        </w:rPr>
        <w:t>Research and Innovation Centre (</w:t>
      </w:r>
      <w:proofErr w:type="spellStart"/>
      <w:r w:rsidRPr="00D50140">
        <w:rPr>
          <w:sz w:val="22"/>
          <w:szCs w:val="22"/>
          <w:lang w:val="en-GB"/>
        </w:rPr>
        <w:t>HaCIRIC</w:t>
      </w:r>
      <w:proofErr w:type="spellEnd"/>
      <w:r w:rsidRPr="00D50140">
        <w:rPr>
          <w:sz w:val="22"/>
          <w:szCs w:val="22"/>
          <w:lang w:val="en-GB"/>
        </w:rPr>
        <w:t>) at the University of Salford. He</w:t>
      </w:r>
      <w:r>
        <w:rPr>
          <w:sz w:val="22"/>
          <w:szCs w:val="22"/>
          <w:lang w:val="en-GB"/>
        </w:rPr>
        <w:t xml:space="preserve"> </w:t>
      </w:r>
      <w:r w:rsidRPr="00D50140">
        <w:rPr>
          <w:sz w:val="22"/>
          <w:szCs w:val="22"/>
          <w:lang w:val="en-GB"/>
        </w:rPr>
        <w:t>studied Manufacturing Engineering and Management and Advanced</w:t>
      </w:r>
      <w:r>
        <w:rPr>
          <w:sz w:val="22"/>
          <w:szCs w:val="22"/>
          <w:lang w:val="en-GB"/>
        </w:rPr>
        <w:t xml:space="preserve"> </w:t>
      </w:r>
      <w:r w:rsidRPr="00D50140">
        <w:rPr>
          <w:sz w:val="22"/>
          <w:szCs w:val="22"/>
          <w:lang w:val="en-GB"/>
        </w:rPr>
        <w:t>Manufacturing Systems and has extensive industrial experience as an</w:t>
      </w:r>
      <w:r>
        <w:rPr>
          <w:sz w:val="22"/>
          <w:szCs w:val="22"/>
          <w:lang w:val="en-GB"/>
        </w:rPr>
        <w:t xml:space="preserve"> </w:t>
      </w:r>
      <w:r w:rsidRPr="00D50140">
        <w:rPr>
          <w:sz w:val="22"/>
          <w:szCs w:val="22"/>
          <w:lang w:val="en-GB"/>
        </w:rPr>
        <w:t>operation/production manager within the electronics sector. During that time he</w:t>
      </w:r>
      <w:r>
        <w:rPr>
          <w:sz w:val="22"/>
          <w:szCs w:val="22"/>
          <w:lang w:val="en-GB"/>
        </w:rPr>
        <w:t xml:space="preserve"> </w:t>
      </w:r>
      <w:r w:rsidRPr="00D50140">
        <w:rPr>
          <w:sz w:val="22"/>
          <w:szCs w:val="22"/>
          <w:lang w:val="en-GB"/>
        </w:rPr>
        <w:t>was also the organisation's UK champion for lean implementation in</w:t>
      </w:r>
      <w:r>
        <w:rPr>
          <w:sz w:val="22"/>
          <w:szCs w:val="22"/>
          <w:lang w:val="en-GB"/>
        </w:rPr>
        <w:t xml:space="preserve"> </w:t>
      </w:r>
      <w:r w:rsidRPr="00D50140">
        <w:rPr>
          <w:sz w:val="22"/>
          <w:szCs w:val="22"/>
          <w:lang w:val="en-GB"/>
        </w:rPr>
        <w:t>production processes and supporting functions. He is conducting his PhD</w:t>
      </w:r>
      <w:r w:rsidR="00E80233">
        <w:rPr>
          <w:sz w:val="22"/>
          <w:szCs w:val="22"/>
          <w:lang w:val="en-GB"/>
        </w:rPr>
        <w:t xml:space="preserve"> </w:t>
      </w:r>
      <w:r w:rsidRPr="00D50140">
        <w:rPr>
          <w:sz w:val="22"/>
          <w:szCs w:val="22"/>
          <w:lang w:val="en-GB"/>
        </w:rPr>
        <w:t>research on benefits realisation and management for the UK healthcare sector,</w:t>
      </w:r>
      <w:r>
        <w:rPr>
          <w:sz w:val="22"/>
          <w:szCs w:val="22"/>
          <w:lang w:val="en-GB"/>
        </w:rPr>
        <w:t xml:space="preserve"> </w:t>
      </w:r>
      <w:r w:rsidRPr="00D50140">
        <w:rPr>
          <w:sz w:val="22"/>
          <w:szCs w:val="22"/>
          <w:lang w:val="en-GB"/>
        </w:rPr>
        <w:t>his other research interests including process optimisation, change management</w:t>
      </w:r>
      <w:r>
        <w:rPr>
          <w:sz w:val="22"/>
          <w:szCs w:val="22"/>
          <w:lang w:val="en-GB"/>
        </w:rPr>
        <w:t xml:space="preserve"> </w:t>
      </w:r>
      <w:r w:rsidRPr="00D50140">
        <w:rPr>
          <w:sz w:val="22"/>
          <w:szCs w:val="22"/>
          <w:lang w:val="en-GB"/>
        </w:rPr>
        <w:t>and the applications of lean theory in service planning and delivery. He has</w:t>
      </w:r>
      <w:r>
        <w:rPr>
          <w:sz w:val="22"/>
          <w:szCs w:val="22"/>
          <w:lang w:val="en-GB"/>
        </w:rPr>
        <w:t xml:space="preserve"> </w:t>
      </w:r>
      <w:r w:rsidRPr="00D50140">
        <w:rPr>
          <w:sz w:val="22"/>
          <w:szCs w:val="22"/>
          <w:lang w:val="en-GB"/>
        </w:rPr>
        <w:t>published in journals, books and conferences and has delivered keynotes to</w:t>
      </w:r>
      <w:r w:rsidR="00E80233">
        <w:rPr>
          <w:sz w:val="22"/>
          <w:szCs w:val="22"/>
          <w:lang w:val="en-GB"/>
        </w:rPr>
        <w:t xml:space="preserve"> </w:t>
      </w:r>
      <w:r w:rsidRPr="00D50140">
        <w:rPr>
          <w:sz w:val="22"/>
          <w:szCs w:val="22"/>
          <w:lang w:val="en-GB"/>
        </w:rPr>
        <w:t>healthcare events and project management practitioners. He was a reviewer for</w:t>
      </w:r>
      <w:r>
        <w:rPr>
          <w:sz w:val="22"/>
          <w:szCs w:val="22"/>
          <w:lang w:val="en-GB"/>
        </w:rPr>
        <w:t xml:space="preserve"> </w:t>
      </w:r>
      <w:r w:rsidRPr="00D50140">
        <w:rPr>
          <w:sz w:val="22"/>
          <w:szCs w:val="22"/>
          <w:lang w:val="en-GB"/>
        </w:rPr>
        <w:t>the new edition of Managing Successful Programmes (MSP) and member of</w:t>
      </w:r>
      <w:r>
        <w:rPr>
          <w:sz w:val="22"/>
          <w:szCs w:val="22"/>
          <w:lang w:val="en-GB"/>
        </w:rPr>
        <w:t xml:space="preserve"> </w:t>
      </w:r>
      <w:r w:rsidRPr="00D50140">
        <w:rPr>
          <w:sz w:val="22"/>
          <w:szCs w:val="22"/>
          <w:lang w:val="en-GB"/>
        </w:rPr>
        <w:t xml:space="preserve">the scientific committee for the </w:t>
      </w:r>
      <w:proofErr w:type="spellStart"/>
      <w:r w:rsidRPr="00D50140">
        <w:rPr>
          <w:sz w:val="22"/>
          <w:szCs w:val="22"/>
          <w:lang w:val="en-GB"/>
        </w:rPr>
        <w:t>HaCIRIC</w:t>
      </w:r>
      <w:proofErr w:type="spellEnd"/>
      <w:r w:rsidRPr="00D50140">
        <w:rPr>
          <w:sz w:val="22"/>
          <w:szCs w:val="22"/>
          <w:lang w:val="en-GB"/>
        </w:rPr>
        <w:t xml:space="preserve"> and International Group of Lean</w:t>
      </w:r>
      <w:r>
        <w:rPr>
          <w:sz w:val="22"/>
          <w:szCs w:val="22"/>
          <w:lang w:val="en-GB"/>
        </w:rPr>
        <w:t xml:space="preserve"> </w:t>
      </w:r>
      <w:r w:rsidRPr="00D50140">
        <w:rPr>
          <w:sz w:val="22"/>
          <w:szCs w:val="22"/>
          <w:lang w:val="en-GB"/>
        </w:rPr>
        <w:t>Construction (IGLC) conferences.</w:t>
      </w:r>
    </w:p>
    <w:p w:rsidR="00E80233" w:rsidRDefault="00E80233" w:rsidP="00D50140">
      <w:pPr>
        <w:pStyle w:val="NormalIndent"/>
        <w:ind w:firstLine="0"/>
        <w:rPr>
          <w:sz w:val="22"/>
          <w:szCs w:val="22"/>
          <w:lang w:val="en-GB"/>
        </w:rPr>
      </w:pPr>
    </w:p>
    <w:p w:rsidR="00E80233" w:rsidRPr="00D50140" w:rsidRDefault="00E80233" w:rsidP="00E80233">
      <w:pPr>
        <w:pStyle w:val="NormalIndent"/>
        <w:ind w:firstLine="0"/>
        <w:rPr>
          <w:sz w:val="22"/>
          <w:szCs w:val="22"/>
          <w:lang w:val="en-GB"/>
        </w:rPr>
      </w:pPr>
      <w:r w:rsidRPr="00E80233">
        <w:rPr>
          <w:b/>
          <w:sz w:val="22"/>
          <w:szCs w:val="22"/>
          <w:lang w:val="en-GB"/>
        </w:rPr>
        <w:t>ROB SMITH</w:t>
      </w:r>
      <w:r w:rsidRPr="00E80233">
        <w:rPr>
          <w:sz w:val="22"/>
          <w:szCs w:val="22"/>
          <w:lang w:val="en-GB"/>
        </w:rPr>
        <w:t xml:space="preserve"> graduated from the University of Manchester Institute of Science and Technology (UMIST) in 1971, worked in the design and construction industry becoming a Chartered Engineer attaining membership of the Institutions of Civil and Structural Engineering before returning to UMIST to undertake ESRC funded research and gain an MSc.</w:t>
      </w:r>
      <w:r>
        <w:rPr>
          <w:sz w:val="22"/>
          <w:szCs w:val="22"/>
          <w:lang w:val="en-GB"/>
        </w:rPr>
        <w:t xml:space="preserve"> </w:t>
      </w:r>
      <w:r w:rsidRPr="00E80233">
        <w:rPr>
          <w:sz w:val="22"/>
          <w:szCs w:val="22"/>
          <w:lang w:val="en-GB"/>
        </w:rPr>
        <w:t>He worked in the NHS from 1986 to 2002 in strategic planning, operational management, delivery of major projects and change programmes holding a number of posts including that of Chief Executive of a large NHS Trust and Project Director for the delivery and commissioning of the first Private Finance Initiative Teaching Hospital in England.</w:t>
      </w:r>
      <w:r>
        <w:rPr>
          <w:sz w:val="22"/>
          <w:szCs w:val="22"/>
          <w:lang w:val="en-GB"/>
        </w:rPr>
        <w:t xml:space="preserve"> </w:t>
      </w:r>
      <w:r w:rsidRPr="00E80233">
        <w:rPr>
          <w:sz w:val="22"/>
          <w:szCs w:val="22"/>
          <w:lang w:val="en-GB"/>
        </w:rPr>
        <w:t xml:space="preserve">He joined the Department of Health working as Director of Estates and Facilities responsible for policy for the NHS in England, including the </w:t>
      </w:r>
      <w:proofErr w:type="spellStart"/>
      <w:r w:rsidRPr="00E80233">
        <w:rPr>
          <w:sz w:val="22"/>
          <w:szCs w:val="22"/>
          <w:lang w:val="en-GB"/>
        </w:rPr>
        <w:t>ProCure</w:t>
      </w:r>
      <w:proofErr w:type="spellEnd"/>
      <w:r w:rsidRPr="00E80233">
        <w:rPr>
          <w:sz w:val="22"/>
          <w:szCs w:val="22"/>
          <w:lang w:val="en-GB"/>
        </w:rPr>
        <w:t xml:space="preserve"> 21 Framework contract used by the NHS and the application of the Office of Government Commerce Gateway Review process.</w:t>
      </w:r>
      <w:r>
        <w:rPr>
          <w:sz w:val="22"/>
          <w:szCs w:val="22"/>
          <w:lang w:val="en-GB"/>
        </w:rPr>
        <w:t xml:space="preserve"> </w:t>
      </w:r>
      <w:r w:rsidRPr="00E80233">
        <w:rPr>
          <w:sz w:val="22"/>
          <w:szCs w:val="22"/>
          <w:lang w:val="en-GB"/>
        </w:rPr>
        <w:t xml:space="preserve">In 2012 he joined Salford University as a Visiting Professor in the School of the Built Environment as part of the EPSRC </w:t>
      </w:r>
      <w:proofErr w:type="spellStart"/>
      <w:r w:rsidRPr="00E80233">
        <w:rPr>
          <w:sz w:val="22"/>
          <w:szCs w:val="22"/>
          <w:lang w:val="en-GB"/>
        </w:rPr>
        <w:t>HaCIRIC</w:t>
      </w:r>
      <w:proofErr w:type="spellEnd"/>
      <w:r w:rsidRPr="00E80233">
        <w:rPr>
          <w:sz w:val="22"/>
          <w:szCs w:val="22"/>
          <w:lang w:val="en-GB"/>
        </w:rPr>
        <w:t xml:space="preserve"> programme.</w:t>
      </w:r>
      <w:r w:rsidR="00154CBA">
        <w:rPr>
          <w:sz w:val="22"/>
          <w:szCs w:val="22"/>
          <w:lang w:val="en-GB"/>
        </w:rPr>
        <w:t xml:space="preserve"> </w:t>
      </w:r>
      <w:r w:rsidRPr="00E80233">
        <w:rPr>
          <w:sz w:val="22"/>
          <w:szCs w:val="22"/>
          <w:lang w:val="en-GB"/>
        </w:rPr>
        <w:t>For two years he was President of the Institute of Healthcare Engineering and Estate Management and is currently Honorary President of the Health Estates and Facilities Management Association.</w:t>
      </w:r>
    </w:p>
    <w:p w:rsidR="00D50140" w:rsidRDefault="00D50140" w:rsidP="00D50140">
      <w:pPr>
        <w:pStyle w:val="NormalIndent"/>
        <w:ind w:firstLine="0"/>
      </w:pPr>
    </w:p>
    <w:p w:rsidR="00D50140" w:rsidRPr="00B869BB" w:rsidRDefault="00D50140" w:rsidP="00D50140">
      <w:pPr>
        <w:pStyle w:val="NormalIndent"/>
        <w:ind w:firstLine="0"/>
        <w:rPr>
          <w:sz w:val="22"/>
          <w:szCs w:val="22"/>
          <w:lang w:val="en-GB"/>
        </w:rPr>
      </w:pPr>
      <w:r w:rsidRPr="00B869BB">
        <w:rPr>
          <w:b/>
          <w:sz w:val="22"/>
          <w:szCs w:val="22"/>
          <w:lang w:val="en-GB"/>
        </w:rPr>
        <w:t>KHAIRY A.H. KOBBACY</w:t>
      </w:r>
      <w:r w:rsidRPr="00B869BB">
        <w:rPr>
          <w:sz w:val="22"/>
          <w:szCs w:val="22"/>
          <w:lang w:val="en-GB"/>
        </w:rPr>
        <w:t xml:space="preserve"> is a Professor of Management Science in the School of Built Environment, University of Salford, UK. He has long-standing interest in ‘applied’ operational research. He previously lectured at Strathclyde University after gaining industrial experience in the Strategic and Production Planning Department of a major oil company. His research interests are in modelling and simulation in healthcare, maintenance modelling and the development of intelligent management systems in operations. His research has been funded by industry and the research councils. He chaired four European conferences on Intelligent Management Systems in Operations, since 1997 with the </w:t>
      </w:r>
      <w:proofErr w:type="gramStart"/>
      <w:r w:rsidRPr="00B869BB">
        <w:rPr>
          <w:sz w:val="22"/>
          <w:szCs w:val="22"/>
          <w:lang w:val="en-GB"/>
        </w:rPr>
        <w:t>5</w:t>
      </w:r>
      <w:r w:rsidRPr="00B869BB">
        <w:rPr>
          <w:sz w:val="22"/>
          <w:szCs w:val="22"/>
          <w:vertAlign w:val="superscript"/>
          <w:lang w:val="en-GB"/>
        </w:rPr>
        <w:t>th</w:t>
      </w:r>
      <w:proofErr w:type="gramEnd"/>
      <w:r w:rsidRPr="00B869BB">
        <w:rPr>
          <w:sz w:val="22"/>
          <w:szCs w:val="22"/>
          <w:lang w:val="en-GB"/>
        </w:rPr>
        <w:t xml:space="preserve"> planned for 2013. He will be chairing the next International Conference on Industrial Logistics (ICIL) 2014. He was awarded the Operational Research President’s medal in 1990 and the Literati Club Award in 2001. He was a Vice President of the Operational Research Society, UK (2002–2004).</w:t>
      </w:r>
    </w:p>
    <w:p w:rsidR="00D50140" w:rsidRPr="00B869BB" w:rsidRDefault="00D50140" w:rsidP="00D50140">
      <w:pPr>
        <w:pStyle w:val="NormalIndent"/>
        <w:ind w:firstLine="0"/>
        <w:rPr>
          <w:sz w:val="22"/>
          <w:szCs w:val="22"/>
          <w:lang w:val="en-GB"/>
        </w:rPr>
      </w:pPr>
    </w:p>
    <w:p w:rsidR="00D50140" w:rsidRPr="00B869BB" w:rsidRDefault="00D50140" w:rsidP="00D50140">
      <w:pPr>
        <w:pStyle w:val="NormalIndent"/>
        <w:ind w:firstLine="0"/>
        <w:rPr>
          <w:sz w:val="22"/>
          <w:szCs w:val="22"/>
          <w:lang w:val="en-GB"/>
        </w:rPr>
      </w:pPr>
      <w:r w:rsidRPr="00B869BB">
        <w:rPr>
          <w:b/>
          <w:sz w:val="22"/>
          <w:szCs w:val="22"/>
          <w:lang w:val="en-GB"/>
        </w:rPr>
        <w:lastRenderedPageBreak/>
        <w:t>MIKE KAGIOGLOU</w:t>
      </w:r>
      <w:r w:rsidRPr="00B869BB">
        <w:rPr>
          <w:sz w:val="22"/>
          <w:szCs w:val="22"/>
          <w:lang w:val="en-GB"/>
        </w:rPr>
        <w:t xml:space="preserve"> is the Head of School of the School of the Built Environment (</w:t>
      </w:r>
      <w:proofErr w:type="spellStart"/>
      <w:r w:rsidRPr="00B869BB">
        <w:rPr>
          <w:sz w:val="22"/>
          <w:szCs w:val="22"/>
          <w:lang w:val="en-GB"/>
        </w:rPr>
        <w:t>SoBE</w:t>
      </w:r>
      <w:proofErr w:type="spellEnd"/>
      <w:r w:rsidRPr="00B869BB">
        <w:rPr>
          <w:sz w:val="22"/>
          <w:szCs w:val="22"/>
          <w:lang w:val="en-GB"/>
        </w:rPr>
        <w:t>), University of Salford. He is an Academic Director for the £11M EPSRC funded interdisciplinary IMRC in Health and Care Infrastructures Research and Innovation Centre (</w:t>
      </w:r>
      <w:proofErr w:type="spellStart"/>
      <w:r w:rsidRPr="00B869BB">
        <w:rPr>
          <w:sz w:val="22"/>
          <w:szCs w:val="22"/>
          <w:lang w:val="en-GB"/>
        </w:rPr>
        <w:t>HaCIRIC</w:t>
      </w:r>
      <w:proofErr w:type="spellEnd"/>
      <w:r w:rsidRPr="00B869BB">
        <w:rPr>
          <w:sz w:val="22"/>
          <w:szCs w:val="22"/>
          <w:lang w:val="en-GB"/>
        </w:rPr>
        <w:t>) and PI for Salford University. Partners include Imperial College, Salford, Loughborough and Reading Universities. He was previously the Director of the £8M EPSRC (Engineering and Physical Sciences Research Council) funded Salford Centre for Research and Innovation (SCRI) in the Built and Human Environment. He is a Professor</w:t>
      </w:r>
    </w:p>
    <w:p w:rsidR="005F2B0C" w:rsidRPr="00B869BB" w:rsidRDefault="00D50140">
      <w:pPr>
        <w:pStyle w:val="NormalIndent"/>
        <w:ind w:firstLine="0"/>
        <w:rPr>
          <w:sz w:val="22"/>
          <w:lang w:val="en-GB"/>
        </w:rPr>
      </w:pPr>
      <w:proofErr w:type="gramStart"/>
      <w:r w:rsidRPr="00B869BB">
        <w:rPr>
          <w:sz w:val="22"/>
          <w:szCs w:val="22"/>
          <w:lang w:val="en-GB"/>
        </w:rPr>
        <w:t>of</w:t>
      </w:r>
      <w:proofErr w:type="gramEnd"/>
      <w:r w:rsidRPr="00B869BB">
        <w:rPr>
          <w:sz w:val="22"/>
          <w:szCs w:val="22"/>
          <w:lang w:val="en-GB"/>
        </w:rPr>
        <w:t xml:space="preserve"> Process Management, Director of Protocol Lab, a spin out company resulting from the process protocol research and a Fellow of the Higher Education Academy. He has published more than 120 academic refereed papers, many industrial reports and </w:t>
      </w:r>
      <w:proofErr w:type="gramStart"/>
      <w:r w:rsidRPr="00B869BB">
        <w:rPr>
          <w:sz w:val="22"/>
          <w:szCs w:val="22"/>
          <w:lang w:val="en-GB"/>
        </w:rPr>
        <w:t>two</w:t>
      </w:r>
      <w:proofErr w:type="gramEnd"/>
      <w:r w:rsidRPr="00B869BB">
        <w:rPr>
          <w:sz w:val="22"/>
          <w:szCs w:val="22"/>
          <w:lang w:val="en-GB"/>
        </w:rPr>
        <w:t xml:space="preserve"> books. His current research is around healthcare infrastructure and better decision making in complex setting, </w:t>
      </w:r>
      <w:r w:rsidR="00634288" w:rsidRPr="00B869BB">
        <w:rPr>
          <w:sz w:val="22"/>
          <w:szCs w:val="22"/>
          <w:lang w:val="en-GB"/>
        </w:rPr>
        <w:t>following an outcomes/benefits-based philosophy.</w:t>
      </w:r>
    </w:p>
    <w:p w:rsidR="00171C3C" w:rsidRDefault="00171C3C" w:rsidP="00EC09EB">
      <w:pPr>
        <w:pStyle w:val="NormalIndent"/>
      </w:pPr>
    </w:p>
    <w:p w:rsidR="00171C3C" w:rsidRDefault="00171C3C" w:rsidP="00EC09EB"/>
    <w:p w:rsidR="00171C3C" w:rsidRPr="00A323BB" w:rsidRDefault="00171C3C" w:rsidP="00EC09EB">
      <w:pPr>
        <w:jc w:val="center"/>
        <w:rPr>
          <w:b/>
          <w:noProof/>
        </w:rPr>
      </w:pPr>
      <w:r w:rsidRPr="00A323BB">
        <w:rPr>
          <w:b/>
          <w:noProof/>
        </w:rPr>
        <w:t>References</w:t>
      </w:r>
    </w:p>
    <w:p w:rsidR="00171C3C" w:rsidRPr="00A323BB" w:rsidRDefault="00171C3C" w:rsidP="00EC09EB">
      <w:pPr>
        <w:jc w:val="center"/>
        <w:rPr>
          <w:b/>
          <w:noProof/>
        </w:rPr>
      </w:pPr>
    </w:p>
    <w:p w:rsidR="00171C3C" w:rsidRPr="00A323BB" w:rsidRDefault="00171C3C" w:rsidP="00EC09EB">
      <w:pPr>
        <w:ind w:left="720" w:hanging="720"/>
        <w:rPr>
          <w:noProof/>
        </w:rPr>
      </w:pPr>
      <w:r w:rsidRPr="00A323BB">
        <w:rPr>
          <w:noProof/>
        </w:rPr>
        <w:t xml:space="preserve">Afilalo, J., Marinovich, A., Afilalo, M., Colacone, A., Leger, R., Unger, B., and Giguere, C. (2004), "Nonurgent emergency department patient characteristics and barriers to primary care," </w:t>
      </w:r>
      <w:r w:rsidRPr="00A323BB">
        <w:rPr>
          <w:i/>
          <w:noProof/>
        </w:rPr>
        <w:t xml:space="preserve">Academic Emergency Medicine, </w:t>
      </w:r>
      <w:r w:rsidRPr="00A323BB">
        <w:rPr>
          <w:noProof/>
        </w:rPr>
        <w:t>Vol. 11 No. 12, pp. 1302-1310.</w:t>
      </w:r>
    </w:p>
    <w:p w:rsidR="00171C3C" w:rsidRPr="00A323BB" w:rsidRDefault="00171C3C" w:rsidP="00EC09EB">
      <w:pPr>
        <w:ind w:left="720" w:hanging="720"/>
        <w:rPr>
          <w:noProof/>
        </w:rPr>
      </w:pPr>
      <w:r w:rsidRPr="00A323BB">
        <w:rPr>
          <w:noProof/>
        </w:rPr>
        <w:t xml:space="preserve">Anderberg, M. R. (1973), </w:t>
      </w:r>
      <w:r w:rsidRPr="00A323BB">
        <w:rPr>
          <w:i/>
          <w:noProof/>
        </w:rPr>
        <w:t>Cluster Analysis for Applications,</w:t>
      </w:r>
      <w:r w:rsidRPr="00A323BB">
        <w:rPr>
          <w:noProof/>
        </w:rPr>
        <w:t xml:space="preserve"> Academic Press, Inc. ,  NY.</w:t>
      </w:r>
    </w:p>
    <w:p w:rsidR="00171C3C" w:rsidRPr="00A323BB" w:rsidRDefault="00171C3C" w:rsidP="00EC09EB">
      <w:pPr>
        <w:ind w:left="720" w:hanging="720"/>
        <w:rPr>
          <w:noProof/>
        </w:rPr>
      </w:pPr>
      <w:r w:rsidRPr="00A323BB">
        <w:rPr>
          <w:noProof/>
        </w:rPr>
        <w:t xml:space="preserve">Beattie, T., Gorman, D., and Walker, J. (2001), "The association between deprivation levels, attendance rate and triage category of children attending a children's accident and emergency department," </w:t>
      </w:r>
      <w:r w:rsidRPr="00A323BB">
        <w:rPr>
          <w:i/>
          <w:noProof/>
        </w:rPr>
        <w:t xml:space="preserve">Emergency Medicine Journal, </w:t>
      </w:r>
      <w:r w:rsidRPr="00A323BB">
        <w:rPr>
          <w:noProof/>
        </w:rPr>
        <w:t>Vol. 18 No. 2, pp. 110-111.</w:t>
      </w:r>
    </w:p>
    <w:p w:rsidR="00171C3C" w:rsidRPr="00A323BB" w:rsidRDefault="00171C3C" w:rsidP="00EC09EB">
      <w:pPr>
        <w:ind w:left="720" w:hanging="720"/>
        <w:rPr>
          <w:noProof/>
        </w:rPr>
      </w:pPr>
      <w:r w:rsidRPr="00A323BB">
        <w:rPr>
          <w:noProof/>
        </w:rPr>
        <w:t xml:space="preserve">Derlet, R. W. and Richards, J. R. (2000), "Overcrowding in the nation’s emergency departments: complex causes and disturbing effects," </w:t>
      </w:r>
      <w:r w:rsidRPr="00A323BB">
        <w:rPr>
          <w:i/>
          <w:noProof/>
        </w:rPr>
        <w:t xml:space="preserve">Annals of emergency medicine, </w:t>
      </w:r>
      <w:r w:rsidRPr="00A323BB">
        <w:rPr>
          <w:noProof/>
        </w:rPr>
        <w:t>Vol. 35 No. 1, pp. 63-68.</w:t>
      </w:r>
    </w:p>
    <w:p w:rsidR="00171C3C" w:rsidRPr="00A323BB" w:rsidRDefault="00171C3C" w:rsidP="00EC09EB">
      <w:pPr>
        <w:ind w:left="720" w:hanging="720"/>
        <w:rPr>
          <w:noProof/>
        </w:rPr>
      </w:pPr>
      <w:r w:rsidRPr="00A323BB">
        <w:rPr>
          <w:noProof/>
        </w:rPr>
        <w:t xml:space="preserve">Han, J., Kamber, M., and Pei, J. (2006), </w:t>
      </w:r>
      <w:r w:rsidRPr="00A323BB">
        <w:rPr>
          <w:i/>
          <w:noProof/>
        </w:rPr>
        <w:t>Data mining: concepts and techniques,</w:t>
      </w:r>
      <w:r w:rsidRPr="00A323BB">
        <w:rPr>
          <w:noProof/>
        </w:rPr>
        <w:t xml:space="preserve"> Second Edition ed., Morgan kaufmann,  San Francisco, CA.</w:t>
      </w:r>
    </w:p>
    <w:p w:rsidR="00171C3C" w:rsidRPr="00A323BB" w:rsidRDefault="00171C3C" w:rsidP="00EC09EB">
      <w:pPr>
        <w:ind w:left="720" w:hanging="720"/>
        <w:rPr>
          <w:noProof/>
        </w:rPr>
      </w:pPr>
      <w:r w:rsidRPr="00A323BB">
        <w:rPr>
          <w:noProof/>
        </w:rPr>
        <w:t xml:space="preserve">Howard, M. S., Davis, B. A., Anderson, C., Cherry, D., Koller, P., and Shelton, D. (2005), "Patients' perspective on choosing the emergency department for nonurgent medical care: a qualitative study exploring one reason for overcrowding," </w:t>
      </w:r>
      <w:r w:rsidRPr="00A323BB">
        <w:rPr>
          <w:i/>
          <w:noProof/>
        </w:rPr>
        <w:t xml:space="preserve">Journal of emergency nursing: JEN: official publication of the Emergency Department Nurses Association, </w:t>
      </w:r>
      <w:r w:rsidRPr="00A323BB">
        <w:rPr>
          <w:noProof/>
        </w:rPr>
        <w:t>Vol. 31 No. 5, p. 429.</w:t>
      </w:r>
    </w:p>
    <w:p w:rsidR="00171C3C" w:rsidRPr="00A323BB" w:rsidRDefault="00171C3C" w:rsidP="00EC09EB">
      <w:pPr>
        <w:ind w:left="720" w:hanging="720"/>
        <w:rPr>
          <w:noProof/>
        </w:rPr>
      </w:pPr>
      <w:r w:rsidRPr="00A323BB">
        <w:rPr>
          <w:noProof/>
        </w:rPr>
        <w:t xml:space="preserve">Hull, S., Jones, I. R., and Moser, K. (1997), "Factors influencing the attendance rate at accident and emergency departments in East London: the contributions of practice organization, population characteristics and distance," </w:t>
      </w:r>
      <w:r w:rsidRPr="00A323BB">
        <w:rPr>
          <w:i/>
          <w:noProof/>
        </w:rPr>
        <w:t xml:space="preserve">Journal of health services research &amp; policy, </w:t>
      </w:r>
      <w:r w:rsidRPr="00A323BB">
        <w:rPr>
          <w:noProof/>
        </w:rPr>
        <w:t>Vol. 2 No. 1, p. 6.</w:t>
      </w:r>
    </w:p>
    <w:p w:rsidR="00171C3C" w:rsidRPr="00A323BB" w:rsidRDefault="00171C3C" w:rsidP="00EC09EB">
      <w:pPr>
        <w:ind w:left="720" w:hanging="720"/>
        <w:rPr>
          <w:noProof/>
        </w:rPr>
      </w:pPr>
      <w:r w:rsidRPr="00A323BB">
        <w:rPr>
          <w:noProof/>
        </w:rPr>
        <w:t xml:space="preserve">Kellermann, A. L. (1994), "Nonurgent emergency department visits," </w:t>
      </w:r>
      <w:r w:rsidRPr="00A323BB">
        <w:rPr>
          <w:i/>
          <w:noProof/>
        </w:rPr>
        <w:t xml:space="preserve">JAMA: The Journal of the American Medical Association, </w:t>
      </w:r>
      <w:r w:rsidRPr="00A323BB">
        <w:rPr>
          <w:noProof/>
        </w:rPr>
        <w:t>Vol. 271 No. 24, pp. 1953-1954.</w:t>
      </w:r>
    </w:p>
    <w:p w:rsidR="00171C3C" w:rsidRPr="00A323BB" w:rsidRDefault="00171C3C" w:rsidP="00EC09EB">
      <w:pPr>
        <w:ind w:left="720" w:hanging="720"/>
        <w:rPr>
          <w:noProof/>
        </w:rPr>
      </w:pPr>
      <w:r w:rsidRPr="00A323BB">
        <w:rPr>
          <w:noProof/>
        </w:rPr>
        <w:t xml:space="preserve">Shih, F.-Y., Huel-Ming, M., Chen, S.-C., Wang, H.-P., Fang, C.-C., Shyu, R.-S., Huang, G.-T., and Wang, S.-M. (1999), "ED overcrowding in Taiwan: facts and strategies," </w:t>
      </w:r>
      <w:r w:rsidRPr="00A323BB">
        <w:rPr>
          <w:i/>
          <w:noProof/>
        </w:rPr>
        <w:t xml:space="preserve">The American journal of emergency medicine, </w:t>
      </w:r>
      <w:r w:rsidRPr="00A323BB">
        <w:rPr>
          <w:noProof/>
        </w:rPr>
        <w:t>Vol. 17 No. 2, pp. 198-202.</w:t>
      </w:r>
    </w:p>
    <w:p w:rsidR="00171C3C" w:rsidRDefault="00171C3C" w:rsidP="00EC09EB">
      <w:pPr>
        <w:ind w:left="720" w:hanging="720"/>
        <w:rPr>
          <w:b/>
          <w:noProof/>
        </w:rPr>
      </w:pPr>
    </w:p>
    <w:p w:rsidR="00171C3C" w:rsidRPr="002B4A54" w:rsidRDefault="00171C3C" w:rsidP="00EC09EB"/>
    <w:p w:rsidR="004E1EE1" w:rsidRDefault="004E1EE1"/>
    <w:sectPr w:rsidR="004E1EE1" w:rsidSect="00EC09EB">
      <w:pgSz w:w="12240" w:h="15840" w:code="1"/>
      <w:pgMar w:top="1440" w:right="1440" w:bottom="1440" w:left="1440" w:header="1080" w:footer="1080" w:gutter="0"/>
      <w:cols w:space="54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9EB" w:rsidRDefault="00EC09EB" w:rsidP="00171C3C">
      <w:r>
        <w:separator/>
      </w:r>
    </w:p>
  </w:endnote>
  <w:endnote w:type="continuationSeparator" w:id="1">
    <w:p w:rsidR="00EC09EB" w:rsidRDefault="00EC09EB" w:rsidP="00171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9EB" w:rsidRDefault="00EC09EB" w:rsidP="00171C3C">
      <w:r>
        <w:separator/>
      </w:r>
    </w:p>
  </w:footnote>
  <w:footnote w:type="continuationSeparator" w:id="1">
    <w:p w:rsidR="00EC09EB" w:rsidRDefault="00EC09EB" w:rsidP="00171C3C">
      <w:r>
        <w:continuationSeparator/>
      </w:r>
    </w:p>
  </w:footnote>
  <w:footnote w:id="2">
    <w:p w:rsidR="00EC09EB" w:rsidRPr="001B32A9" w:rsidRDefault="00EC09EB" w:rsidP="00EC09EB">
      <w:pPr>
        <w:pStyle w:val="FootnoteText"/>
      </w:pPr>
      <w:r>
        <w:rPr>
          <w:rStyle w:val="FootnoteReference"/>
        </w:rPr>
        <w:footnoteRef/>
      </w:r>
      <w:r>
        <w:t xml:space="preserve"> </w:t>
      </w:r>
      <w:r w:rsidRPr="001B32A9">
        <w:t>School of the Built Environment, University of Salford, 4th Floor, Maxwell Building, The Crescent, Salford, Greater Manchester, M5 4WT</w:t>
      </w:r>
    </w:p>
  </w:footnote>
  <w:footnote w:id="3">
    <w:p w:rsidR="001B32A9" w:rsidRDefault="001B32A9">
      <w:pPr>
        <w:pStyle w:val="FootnoteText"/>
      </w:pPr>
      <w:r>
        <w:rPr>
          <w:rStyle w:val="FootnoteReference"/>
        </w:rPr>
        <w:footnoteRef/>
      </w:r>
      <w:r>
        <w:t xml:space="preserve"> Deprivation levels (Attribute 1); A&amp;E Self-referral rates (Attribute 26 minus 25).</w:t>
      </w:r>
    </w:p>
  </w:footnote>
  <w:footnote w:id="4">
    <w:p w:rsidR="001B32A9" w:rsidRDefault="001B32A9">
      <w:pPr>
        <w:pStyle w:val="FootnoteText"/>
      </w:pPr>
      <w:r>
        <w:rPr>
          <w:rStyle w:val="FootnoteReference"/>
        </w:rPr>
        <w:footnoteRef/>
      </w:r>
      <w:r>
        <w:t xml:space="preserve"> </w:t>
      </w:r>
      <w:proofErr w:type="gramStart"/>
      <w:r>
        <w:t>Patient experience (Attributes 33-39); Appointments/Repeat prescriptions (Attributes 30 &amp; 31).</w:t>
      </w:r>
      <w:proofErr w:type="gramEnd"/>
    </w:p>
  </w:footnote>
  <w:footnote w:id="5">
    <w:p w:rsidR="00EC09EB" w:rsidRDefault="001B32A9">
      <w:pPr>
        <w:pStyle w:val="FootnoteText"/>
      </w:pPr>
      <w:r>
        <w:rPr>
          <w:rStyle w:val="FootnoteReference"/>
        </w:rPr>
        <w:t>4</w:t>
      </w:r>
      <w:r w:rsidR="00EC09EB">
        <w:t xml:space="preserve"> Further details on these attributes can be found in Appendix A. The results given for attributes number 27-32 correspond to the percentage of practices in each cluster that had the identified functionality. In the case of all the other attributes (excluding the cluster size), the results are given in the form ‘Median (5% percentile, 95% percentile)’.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EB" w:rsidRDefault="00EC09EB" w:rsidP="00EC09EB">
    <w:pPr>
      <w:jc w:val="left"/>
      <w:rPr>
        <w:i/>
      </w:rPr>
    </w:pPr>
    <w:r>
      <w:rPr>
        <w:i/>
      </w:rPr>
      <w:t xml:space="preserve">Lengu, </w:t>
    </w:r>
    <w:proofErr w:type="spellStart"/>
    <w:r>
      <w:rPr>
        <w:i/>
      </w:rPr>
      <w:t>Sapountzis</w:t>
    </w:r>
    <w:proofErr w:type="spellEnd"/>
    <w:r>
      <w:rPr>
        <w:i/>
      </w:rPr>
      <w:t xml:space="preserve">, Smith, </w:t>
    </w:r>
    <w:proofErr w:type="spellStart"/>
    <w:r>
      <w:rPr>
        <w:i/>
      </w:rPr>
      <w:t>Kagioglou</w:t>
    </w:r>
    <w:proofErr w:type="spellEnd"/>
    <w:r>
      <w:rPr>
        <w:i/>
      </w:rPr>
      <w:t xml:space="preserve"> and Kobbacy</w:t>
    </w:r>
  </w:p>
  <w:p w:rsidR="00EC09EB" w:rsidRPr="00600A5C" w:rsidRDefault="00EC09EB" w:rsidP="00EC09EB">
    <w:pPr>
      <w:pStyle w:val="NormalInden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EB" w:rsidRPr="00452D5A" w:rsidRDefault="00EC09EB" w:rsidP="00EC09EB">
    <w:pPr>
      <w:jc w:val="left"/>
      <w:rPr>
        <w:i/>
      </w:rPr>
    </w:pPr>
    <w:r w:rsidRPr="00CD19E1">
      <w:rPr>
        <w:i/>
      </w:rPr>
      <w:t xml:space="preserve">Proceedings of </w:t>
    </w:r>
    <w:r>
      <w:rPr>
        <w:i/>
      </w:rPr>
      <w:t>The 5</w:t>
    </w:r>
    <w:r w:rsidRPr="003D3494">
      <w:rPr>
        <w:i/>
        <w:vertAlign w:val="superscript"/>
      </w:rPr>
      <w:t>th</w:t>
    </w:r>
    <w:r>
      <w:rPr>
        <w:i/>
      </w:rPr>
      <w:t xml:space="preserve"> European Conference on Intelligent Management Systems in Operations</w:t>
    </w:r>
  </w:p>
  <w:p w:rsidR="00EC09EB" w:rsidRPr="005A734D" w:rsidRDefault="00EC09EB" w:rsidP="00EC09EB">
    <w:pPr>
      <w:jc w:val="left"/>
      <w:rPr>
        <w:i/>
        <w:lang w:val="nl-NL"/>
      </w:rPr>
    </w:pPr>
    <w:r>
      <w:rPr>
        <w:i/>
        <w:lang w:val="nl-NL"/>
      </w:rPr>
      <w:t>Khairy A.H Kobbacy and Sunil Vadera</w:t>
    </w:r>
  </w:p>
  <w:p w:rsidR="00EC09EB" w:rsidRPr="005A734D" w:rsidRDefault="00EC09EB" w:rsidP="00EC09EB">
    <w:pPr>
      <w:pStyle w:val="NormalIndent"/>
      <w:rPr>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9">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F16C6"/>
    <w:multiLevelType w:val="hybridMultilevel"/>
    <w:tmpl w:val="D5C44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F7A5EA4"/>
    <w:multiLevelType w:val="hybridMultilevel"/>
    <w:tmpl w:val="9872D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3">
    <w:nsid w:val="2B947CE9"/>
    <w:multiLevelType w:val="hybridMultilevel"/>
    <w:tmpl w:val="4502F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4B7F48"/>
    <w:multiLevelType w:val="hybridMultilevel"/>
    <w:tmpl w:val="63DC57BC"/>
    <w:lvl w:ilvl="0" w:tplc="CA2ED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CD6433"/>
    <w:multiLevelType w:val="hybridMultilevel"/>
    <w:tmpl w:val="7E841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C20F55"/>
    <w:multiLevelType w:val="hybridMultilevel"/>
    <w:tmpl w:val="BFEAE444"/>
    <w:lvl w:ilvl="0" w:tplc="CCFA357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ED6E74"/>
    <w:multiLevelType w:val="hybridMultilevel"/>
    <w:tmpl w:val="4DCE54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nsid w:val="52717BCF"/>
    <w:multiLevelType w:val="hybridMultilevel"/>
    <w:tmpl w:val="E974A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6E4D51"/>
    <w:multiLevelType w:val="hybridMultilevel"/>
    <w:tmpl w:val="D26E5358"/>
    <w:lvl w:ilvl="0" w:tplc="CCFA357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3F6CAB"/>
    <w:multiLevelType w:val="multilevel"/>
    <w:tmpl w:val="9D5EA474"/>
    <w:lvl w:ilvl="0">
      <w:start w:val="1"/>
      <w:numFmt w:val="upperLetter"/>
      <w:pStyle w:val="Appendices"/>
      <w:lvlText w:val="%1"/>
      <w:lvlJc w:val="left"/>
      <w:pPr>
        <w:tabs>
          <w:tab w:val="num" w:pos="450"/>
        </w:tabs>
        <w:ind w:left="450" w:hanging="360"/>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nsid w:val="654C6F4F"/>
    <w:multiLevelType w:val="hybridMultilevel"/>
    <w:tmpl w:val="E67A6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72392F"/>
    <w:multiLevelType w:val="hybridMultilevel"/>
    <w:tmpl w:val="63DC57BC"/>
    <w:lvl w:ilvl="0" w:tplc="CA2ED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0"/>
  </w:num>
  <w:num w:numId="18">
    <w:abstractNumId w:val="17"/>
  </w:num>
  <w:num w:numId="19">
    <w:abstractNumId w:val="15"/>
  </w:num>
  <w:num w:numId="20">
    <w:abstractNumId w:val="13"/>
  </w:num>
  <w:num w:numId="21">
    <w:abstractNumId w:val="19"/>
  </w:num>
  <w:num w:numId="22">
    <w:abstractNumId w:val="11"/>
  </w:num>
  <w:num w:numId="23">
    <w:abstractNumId w:val="23"/>
  </w:num>
  <w:num w:numId="24">
    <w:abstractNumId w:val="14"/>
  </w:num>
  <w:num w:numId="25">
    <w:abstractNumId w:val="16"/>
  </w:num>
  <w:num w:numId="26">
    <w:abstractNumId w:val="20"/>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docVars>
    <w:docVar w:name="EN.InstantFormat" w:val="&lt;ENInstantFormat&gt;&lt;Enabled&gt;0&lt;/Enabled&gt;&lt;ScanUnformatted&gt;1&lt;/ScanUnformatted&gt;&lt;ScanChanges&gt;1&lt;/ScanChanges&gt;&lt;/ENInstantFormat&gt;"/>
  </w:docVars>
  <w:rsids>
    <w:rsidRoot w:val="00171C3C"/>
    <w:rsid w:val="000A2533"/>
    <w:rsid w:val="00132624"/>
    <w:rsid w:val="00154CBA"/>
    <w:rsid w:val="00171C3C"/>
    <w:rsid w:val="00190223"/>
    <w:rsid w:val="001B32A9"/>
    <w:rsid w:val="001F084C"/>
    <w:rsid w:val="001F1D6F"/>
    <w:rsid w:val="00213C8E"/>
    <w:rsid w:val="00240B54"/>
    <w:rsid w:val="00312873"/>
    <w:rsid w:val="003A65E7"/>
    <w:rsid w:val="004463B1"/>
    <w:rsid w:val="00482F02"/>
    <w:rsid w:val="004E1EE1"/>
    <w:rsid w:val="00503BF5"/>
    <w:rsid w:val="00542AA3"/>
    <w:rsid w:val="00554909"/>
    <w:rsid w:val="005A6CE0"/>
    <w:rsid w:val="005F2B0C"/>
    <w:rsid w:val="006042B4"/>
    <w:rsid w:val="00634288"/>
    <w:rsid w:val="006F13D9"/>
    <w:rsid w:val="007E51CB"/>
    <w:rsid w:val="00875940"/>
    <w:rsid w:val="008916BA"/>
    <w:rsid w:val="008B52F0"/>
    <w:rsid w:val="008C75D0"/>
    <w:rsid w:val="008F68E6"/>
    <w:rsid w:val="00915044"/>
    <w:rsid w:val="00947DC7"/>
    <w:rsid w:val="00985BB1"/>
    <w:rsid w:val="00996380"/>
    <w:rsid w:val="009A052C"/>
    <w:rsid w:val="009F7459"/>
    <w:rsid w:val="00A55704"/>
    <w:rsid w:val="00B02790"/>
    <w:rsid w:val="00B869BB"/>
    <w:rsid w:val="00BA71D2"/>
    <w:rsid w:val="00C1592B"/>
    <w:rsid w:val="00C26C7D"/>
    <w:rsid w:val="00CC5B3A"/>
    <w:rsid w:val="00D20E3F"/>
    <w:rsid w:val="00D50140"/>
    <w:rsid w:val="00D90467"/>
    <w:rsid w:val="00DE78AB"/>
    <w:rsid w:val="00E23C08"/>
    <w:rsid w:val="00E80233"/>
    <w:rsid w:val="00EC09EB"/>
    <w:rsid w:val="00ED4CA0"/>
    <w:rsid w:val="00F71991"/>
    <w:rsid w:val="00FC56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16" type="connector" idref="#_x0000_s1086">
          <o:proxy start="" idref="#_x0000_s1084" connectloc="0"/>
        </o:r>
        <o:r id="V:Rule17" type="connector" idref="#_x0000_s1091">
          <o:proxy start="" idref="#_x0000_s1089" connectloc="3"/>
        </o:r>
        <o:r id="V:Rule18" type="connector" idref="#_x0000_s1048">
          <o:proxy start="" idref="#_x0000_s1047" connectloc="2"/>
          <o:proxy end="" idref="#_x0000_s1049" connectloc="0"/>
        </o:r>
        <o:r id="V:Rule19" type="connector" idref="#_x0000_s1090">
          <o:proxy start="" idref="#_x0000_s1089" connectloc="1"/>
        </o:r>
        <o:r id="V:Rule20" type="connector" idref="#_x0000_s1078"/>
        <o:r id="V:Rule21" type="connector" idref="#_x0000_s1042">
          <o:proxy start="" idref="#_x0000_s1040" connectloc="3"/>
        </o:r>
        <o:r id="V:Rule22" type="connector" idref="#_x0000_s1077"/>
        <o:r id="V:Rule23" type="connector" idref="#_x0000_s1036">
          <o:proxy start="" idref="#_x0000_s1035" connectloc="2"/>
        </o:r>
        <o:r id="V:Rule24" type="connector" idref="#_x0000_s1085">
          <o:proxy start="" idref="#_x0000_s1084" connectloc="2"/>
        </o:r>
        <o:r id="V:Rule25" type="connector" idref="#_x0000_s1037">
          <o:proxy start="" idref="#_x0000_s1035" connectloc="0"/>
        </o:r>
        <o:r id="V:Rule26" type="connector" idref="#_x0000_s1029"/>
        <o:r id="V:Rule27" type="connector" idref="#_x0000_s1053">
          <o:proxy start="" idref="#_x0000_s1051" connectloc="2"/>
          <o:proxy end="" idref="#_x0000_s1052" connectloc="0"/>
        </o:r>
        <o:r id="V:Rule28" type="connector" idref="#_x0000_s1041">
          <o:proxy start="" idref="#_x0000_s1040" connectloc="1"/>
        </o:r>
        <o:r id="V:Rule29" type="connector" idref="#_x0000_s1028"/>
        <o:r id="V:Rule30" type="connector" idref="#_x0000_s1050">
          <o:proxy start="" idref="#_x0000_s1049" connectloc="2"/>
          <o:proxy end="" idref="#_x0000_s105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709"/>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171C3C"/>
    <w:pPr>
      <w:tabs>
        <w:tab w:val="left" w:pos="360"/>
        <w:tab w:val="left" w:pos="720"/>
        <w:tab w:val="left" w:pos="1080"/>
      </w:tabs>
      <w:ind w:left="0"/>
    </w:pPr>
    <w:rPr>
      <w:rFonts w:ascii="Times New Roman" w:eastAsia="Times New Roman" w:hAnsi="Times New Roman" w:cs="Times New Roman"/>
      <w:snapToGrid w:val="0"/>
      <w:szCs w:val="20"/>
    </w:rPr>
  </w:style>
  <w:style w:type="paragraph" w:styleId="Heading1">
    <w:name w:val="heading 1"/>
    <w:basedOn w:val="Normal"/>
    <w:next w:val="Normal"/>
    <w:link w:val="Heading1Char"/>
    <w:qFormat/>
    <w:rsid w:val="00171C3C"/>
    <w:pPr>
      <w:keepNext/>
      <w:numPr>
        <w:numId w:val="2"/>
      </w:numPr>
      <w:tabs>
        <w:tab w:val="clear" w:pos="360"/>
      </w:tabs>
      <w:suppressAutoHyphens/>
      <w:spacing w:before="240" w:after="120"/>
      <w:ind w:left="518" w:hanging="518"/>
      <w:jc w:val="left"/>
      <w:outlineLvl w:val="0"/>
    </w:pPr>
    <w:rPr>
      <w:b/>
      <w:caps/>
      <w:lang w:val="en-US"/>
    </w:rPr>
  </w:style>
  <w:style w:type="paragraph" w:styleId="Heading2">
    <w:name w:val="heading 2"/>
    <w:basedOn w:val="Normal"/>
    <w:next w:val="Normal"/>
    <w:link w:val="Heading2Char"/>
    <w:qFormat/>
    <w:rsid w:val="00171C3C"/>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link w:val="Heading3Char"/>
    <w:qFormat/>
    <w:rsid w:val="00171C3C"/>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link w:val="Heading4Char"/>
    <w:qFormat/>
    <w:rsid w:val="00171C3C"/>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link w:val="Heading5Char"/>
    <w:qFormat/>
    <w:rsid w:val="00171C3C"/>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link w:val="Heading6Char"/>
    <w:qFormat/>
    <w:rsid w:val="00171C3C"/>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link w:val="Heading7Char"/>
    <w:qFormat/>
    <w:rsid w:val="00171C3C"/>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link w:val="Heading8Char"/>
    <w:qFormat/>
    <w:rsid w:val="00171C3C"/>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link w:val="Heading9Char"/>
    <w:qFormat/>
    <w:rsid w:val="00171C3C"/>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1C3C"/>
    <w:rPr>
      <w:rFonts w:ascii="Times New Roman" w:eastAsia="Times New Roman" w:hAnsi="Times New Roman" w:cs="Times New Roman"/>
      <w:b/>
      <w:caps/>
      <w:snapToGrid w:val="0"/>
      <w:szCs w:val="20"/>
      <w:lang w:val="en-US"/>
    </w:rPr>
  </w:style>
  <w:style w:type="character" w:customStyle="1" w:styleId="Heading2Char">
    <w:name w:val="Heading 2 Char"/>
    <w:basedOn w:val="DefaultParagraphFont"/>
    <w:link w:val="Heading2"/>
    <w:rsid w:val="00171C3C"/>
    <w:rPr>
      <w:rFonts w:ascii="Times New Roman" w:eastAsia="Times New Roman" w:hAnsi="Times New Roman" w:cs="Times New Roman"/>
      <w:b/>
      <w:snapToGrid w:val="0"/>
      <w:szCs w:val="20"/>
    </w:rPr>
  </w:style>
  <w:style w:type="character" w:customStyle="1" w:styleId="Heading3Char">
    <w:name w:val="Heading 3 Char"/>
    <w:basedOn w:val="DefaultParagraphFont"/>
    <w:link w:val="Heading3"/>
    <w:rsid w:val="00171C3C"/>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171C3C"/>
    <w:rPr>
      <w:rFonts w:ascii="Times New Roman" w:eastAsia="Times New Roman" w:hAnsi="Times New Roman" w:cs="Times New Roman"/>
      <w:b/>
      <w:snapToGrid w:val="0"/>
      <w:szCs w:val="20"/>
    </w:rPr>
  </w:style>
  <w:style w:type="character" w:customStyle="1" w:styleId="Heading5Char">
    <w:name w:val="Heading 5 Char"/>
    <w:basedOn w:val="DefaultParagraphFont"/>
    <w:link w:val="Heading5"/>
    <w:rsid w:val="00171C3C"/>
    <w:rPr>
      <w:rFonts w:ascii="Times New Roman" w:eastAsia="Times New Roman" w:hAnsi="Times New Roman" w:cs="Times New Roman"/>
      <w:b/>
      <w:snapToGrid w:val="0"/>
      <w:szCs w:val="20"/>
    </w:rPr>
  </w:style>
  <w:style w:type="character" w:customStyle="1" w:styleId="Heading6Char">
    <w:name w:val="Heading 6 Char"/>
    <w:basedOn w:val="DefaultParagraphFont"/>
    <w:link w:val="Heading6"/>
    <w:rsid w:val="00171C3C"/>
    <w:rPr>
      <w:rFonts w:ascii="Times New Roman" w:eastAsia="Times New Roman" w:hAnsi="Times New Roman" w:cs="Times New Roman"/>
      <w:b/>
      <w:snapToGrid w:val="0"/>
      <w:szCs w:val="20"/>
    </w:rPr>
  </w:style>
  <w:style w:type="character" w:customStyle="1" w:styleId="Heading7Char">
    <w:name w:val="Heading 7 Char"/>
    <w:basedOn w:val="DefaultParagraphFont"/>
    <w:link w:val="Heading7"/>
    <w:rsid w:val="00171C3C"/>
    <w:rPr>
      <w:rFonts w:ascii="Times New Roman" w:eastAsia="Times New Roman" w:hAnsi="Times New Roman" w:cs="Times New Roman"/>
      <w:b/>
      <w:snapToGrid w:val="0"/>
      <w:szCs w:val="20"/>
    </w:rPr>
  </w:style>
  <w:style w:type="character" w:customStyle="1" w:styleId="Heading8Char">
    <w:name w:val="Heading 8 Char"/>
    <w:basedOn w:val="DefaultParagraphFont"/>
    <w:link w:val="Heading8"/>
    <w:rsid w:val="00171C3C"/>
    <w:rPr>
      <w:rFonts w:ascii="Times New Roman" w:eastAsia="Times New Roman" w:hAnsi="Times New Roman" w:cs="Times New Roman"/>
      <w:b/>
      <w:snapToGrid w:val="0"/>
      <w:szCs w:val="20"/>
    </w:rPr>
  </w:style>
  <w:style w:type="character" w:customStyle="1" w:styleId="Heading9Char">
    <w:name w:val="Heading 9 Char"/>
    <w:basedOn w:val="DefaultParagraphFont"/>
    <w:link w:val="Heading9"/>
    <w:rsid w:val="00171C3C"/>
    <w:rPr>
      <w:rFonts w:ascii="Times New Roman" w:eastAsia="Times New Roman" w:hAnsi="Times New Roman" w:cs="Times New Roman"/>
      <w:b/>
      <w:snapToGrid w:val="0"/>
      <w:szCs w:val="20"/>
    </w:rPr>
  </w:style>
  <w:style w:type="paragraph" w:styleId="NormalIndent">
    <w:name w:val="Normal Indent"/>
    <w:basedOn w:val="Normal"/>
    <w:link w:val="NormalIndentChar"/>
    <w:rsid w:val="00171C3C"/>
    <w:pPr>
      <w:ind w:firstLine="360"/>
    </w:pPr>
    <w:rPr>
      <w:sz w:val="20"/>
      <w:lang w:val="en-US"/>
    </w:rPr>
  </w:style>
  <w:style w:type="character" w:customStyle="1" w:styleId="NormalIndentChar">
    <w:name w:val="Normal Indent Char"/>
    <w:link w:val="NormalIndent"/>
    <w:rsid w:val="00171C3C"/>
    <w:rPr>
      <w:rFonts w:ascii="Times New Roman" w:eastAsia="Times New Roman" w:hAnsi="Times New Roman" w:cs="Times New Roman"/>
      <w:snapToGrid w:val="0"/>
      <w:sz w:val="20"/>
      <w:szCs w:val="20"/>
      <w:lang w:val="en-US"/>
    </w:rPr>
  </w:style>
  <w:style w:type="paragraph" w:customStyle="1" w:styleId="Heading">
    <w:name w:val="Heading"/>
    <w:basedOn w:val="Normal"/>
    <w:next w:val="Normal"/>
    <w:link w:val="HeadingChar"/>
    <w:rsid w:val="00171C3C"/>
    <w:pPr>
      <w:keepNext/>
      <w:suppressAutoHyphens/>
      <w:spacing w:before="240" w:after="240"/>
      <w:jc w:val="left"/>
    </w:pPr>
    <w:rPr>
      <w:b/>
      <w:caps/>
      <w:lang w:val="en-US"/>
    </w:rPr>
  </w:style>
  <w:style w:type="paragraph" w:customStyle="1" w:styleId="Program">
    <w:name w:val="Program"/>
    <w:basedOn w:val="Normal"/>
    <w:link w:val="ProgramChar"/>
    <w:rsid w:val="00171C3C"/>
    <w:pPr>
      <w:ind w:left="360"/>
    </w:pPr>
    <w:rPr>
      <w:rFonts w:ascii="Courier New" w:hAnsi="Courier New"/>
      <w:sz w:val="18"/>
      <w:lang w:val="en-US"/>
    </w:rPr>
  </w:style>
  <w:style w:type="paragraph" w:customStyle="1" w:styleId="ProgramStart">
    <w:name w:val="ProgramStart"/>
    <w:basedOn w:val="Program"/>
    <w:link w:val="ProgramStartChar"/>
    <w:rsid w:val="00171C3C"/>
  </w:style>
  <w:style w:type="paragraph" w:customStyle="1" w:styleId="ProgramEnd">
    <w:name w:val="ProgramEnd"/>
    <w:basedOn w:val="Program"/>
    <w:rsid w:val="00171C3C"/>
    <w:pPr>
      <w:spacing w:after="40"/>
    </w:pPr>
  </w:style>
  <w:style w:type="paragraph" w:customStyle="1" w:styleId="ProgramBoth">
    <w:name w:val="ProgramBoth"/>
    <w:basedOn w:val="Normal"/>
    <w:rsid w:val="00171C3C"/>
    <w:pPr>
      <w:spacing w:after="40"/>
      <w:ind w:left="360"/>
    </w:pPr>
    <w:rPr>
      <w:rFonts w:ascii="Courier New" w:hAnsi="Courier New"/>
      <w:sz w:val="18"/>
    </w:rPr>
  </w:style>
  <w:style w:type="paragraph" w:customStyle="1" w:styleId="Equation">
    <w:name w:val="Equation"/>
    <w:basedOn w:val="Normal"/>
    <w:rsid w:val="00171C3C"/>
    <w:pPr>
      <w:tabs>
        <w:tab w:val="clear" w:pos="360"/>
        <w:tab w:val="clear" w:pos="720"/>
        <w:tab w:val="clear" w:pos="1080"/>
        <w:tab w:val="center" w:pos="2380"/>
        <w:tab w:val="right" w:pos="4760"/>
      </w:tabs>
    </w:pPr>
  </w:style>
  <w:style w:type="character" w:customStyle="1" w:styleId="style91">
    <w:name w:val="style91"/>
    <w:rsid w:val="00171C3C"/>
    <w:rPr>
      <w:sz w:val="24"/>
      <w:szCs w:val="24"/>
    </w:rPr>
  </w:style>
  <w:style w:type="paragraph" w:customStyle="1" w:styleId="Reference">
    <w:name w:val="Reference"/>
    <w:basedOn w:val="Normal"/>
    <w:link w:val="ReferenceChar"/>
    <w:rsid w:val="00171C3C"/>
    <w:pPr>
      <w:ind w:left="360" w:hanging="360"/>
    </w:pPr>
    <w:rPr>
      <w:lang w:val="en-US"/>
    </w:rPr>
  </w:style>
  <w:style w:type="paragraph" w:styleId="Title">
    <w:name w:val="Title"/>
    <w:basedOn w:val="Normal"/>
    <w:link w:val="TitleChar"/>
    <w:qFormat/>
    <w:rsid w:val="00171C3C"/>
    <w:pPr>
      <w:suppressAutoHyphens/>
      <w:jc w:val="center"/>
    </w:pPr>
    <w:rPr>
      <w:b/>
      <w:caps/>
    </w:rPr>
  </w:style>
  <w:style w:type="character" w:customStyle="1" w:styleId="TitleChar">
    <w:name w:val="Title Char"/>
    <w:basedOn w:val="DefaultParagraphFont"/>
    <w:link w:val="Title"/>
    <w:rsid w:val="00171C3C"/>
    <w:rPr>
      <w:rFonts w:ascii="Times New Roman" w:eastAsia="Times New Roman" w:hAnsi="Times New Roman" w:cs="Times New Roman"/>
      <w:b/>
      <w:caps/>
      <w:snapToGrid w:val="0"/>
      <w:szCs w:val="20"/>
    </w:rPr>
  </w:style>
  <w:style w:type="paragraph" w:customStyle="1" w:styleId="FigureLabel">
    <w:name w:val="Figure Label"/>
    <w:basedOn w:val="Normal"/>
    <w:next w:val="NormalIndent"/>
    <w:rsid w:val="00171C3C"/>
    <w:pPr>
      <w:spacing w:before="120" w:after="240"/>
      <w:jc w:val="center"/>
    </w:pPr>
  </w:style>
  <w:style w:type="paragraph" w:customStyle="1" w:styleId="Biography">
    <w:name w:val="Biography"/>
    <w:basedOn w:val="Normal"/>
    <w:rsid w:val="00171C3C"/>
    <w:pPr>
      <w:spacing w:after="240"/>
    </w:pPr>
  </w:style>
  <w:style w:type="paragraph" w:customStyle="1" w:styleId="Appendices">
    <w:name w:val="Appendices"/>
    <w:basedOn w:val="Heading1"/>
    <w:next w:val="Normal"/>
    <w:link w:val="AppendicesChar"/>
    <w:rsid w:val="00171C3C"/>
    <w:pPr>
      <w:numPr>
        <w:numId w:val="16"/>
      </w:numPr>
      <w:ind w:hanging="450"/>
    </w:pPr>
  </w:style>
  <w:style w:type="character" w:styleId="CommentReference">
    <w:name w:val="annotation reference"/>
    <w:semiHidden/>
    <w:rsid w:val="00171C3C"/>
    <w:rPr>
      <w:sz w:val="16"/>
    </w:rPr>
  </w:style>
  <w:style w:type="paragraph" w:styleId="CommentText">
    <w:name w:val="annotation text"/>
    <w:basedOn w:val="Normal"/>
    <w:link w:val="CommentTextChar"/>
    <w:semiHidden/>
    <w:rsid w:val="00171C3C"/>
  </w:style>
  <w:style w:type="character" w:customStyle="1" w:styleId="CommentTextChar">
    <w:name w:val="Comment Text Char"/>
    <w:basedOn w:val="DefaultParagraphFont"/>
    <w:link w:val="CommentText"/>
    <w:semiHidden/>
    <w:rsid w:val="00171C3C"/>
    <w:rPr>
      <w:rFonts w:ascii="Times New Roman" w:eastAsia="Times New Roman" w:hAnsi="Times New Roman" w:cs="Times New Roman"/>
      <w:snapToGrid w:val="0"/>
      <w:szCs w:val="20"/>
    </w:rPr>
  </w:style>
  <w:style w:type="paragraph" w:customStyle="1" w:styleId="FigureLabelMultiline">
    <w:name w:val="Figure Label Multiline"/>
    <w:basedOn w:val="FigureLabel"/>
    <w:next w:val="NormalIndent"/>
    <w:rsid w:val="00171C3C"/>
    <w:pPr>
      <w:jc w:val="both"/>
    </w:pPr>
  </w:style>
  <w:style w:type="paragraph" w:customStyle="1" w:styleId="TableLabelMultiline">
    <w:name w:val="Table Label Multiline"/>
    <w:basedOn w:val="TableLabel"/>
    <w:rsid w:val="00171C3C"/>
    <w:pPr>
      <w:jc w:val="both"/>
    </w:pPr>
  </w:style>
  <w:style w:type="paragraph" w:customStyle="1" w:styleId="TableLabel">
    <w:name w:val="Table Label"/>
    <w:basedOn w:val="FigureLabel"/>
    <w:rsid w:val="00171C3C"/>
    <w:pPr>
      <w:spacing w:before="240" w:after="120"/>
    </w:pPr>
  </w:style>
  <w:style w:type="character" w:styleId="Hyperlink">
    <w:name w:val="Hyperlink"/>
    <w:rsid w:val="00171C3C"/>
    <w:rPr>
      <w:color w:val="4F81BD"/>
    </w:rPr>
  </w:style>
  <w:style w:type="paragraph" w:customStyle="1" w:styleId="AbstractHeading">
    <w:name w:val="Abstract Heading"/>
    <w:basedOn w:val="Heading"/>
    <w:next w:val="Normal"/>
    <w:rsid w:val="00171C3C"/>
    <w:pPr>
      <w:spacing w:before="0"/>
    </w:pPr>
  </w:style>
  <w:style w:type="paragraph" w:styleId="BalloonText">
    <w:name w:val="Balloon Text"/>
    <w:basedOn w:val="Normal"/>
    <w:link w:val="BalloonTextChar"/>
    <w:semiHidden/>
    <w:rsid w:val="00171C3C"/>
    <w:rPr>
      <w:rFonts w:ascii="Tahoma" w:hAnsi="Tahoma" w:cs="Tahoma"/>
      <w:sz w:val="16"/>
      <w:szCs w:val="16"/>
    </w:rPr>
  </w:style>
  <w:style w:type="character" w:customStyle="1" w:styleId="BalloonTextChar">
    <w:name w:val="Balloon Text Char"/>
    <w:basedOn w:val="DefaultParagraphFont"/>
    <w:link w:val="BalloonText"/>
    <w:semiHidden/>
    <w:rsid w:val="00171C3C"/>
    <w:rPr>
      <w:rFonts w:ascii="Tahoma" w:eastAsia="Times New Roman" w:hAnsi="Tahoma" w:cs="Tahoma"/>
      <w:snapToGrid w:val="0"/>
      <w:sz w:val="16"/>
      <w:szCs w:val="16"/>
    </w:rPr>
  </w:style>
  <w:style w:type="paragraph" w:customStyle="1" w:styleId="Listenum">
    <w:name w:val="List enum"/>
    <w:basedOn w:val="Normal"/>
    <w:rsid w:val="00171C3C"/>
    <w:pPr>
      <w:numPr>
        <w:numId w:val="3"/>
      </w:numPr>
    </w:pPr>
  </w:style>
  <w:style w:type="paragraph" w:customStyle="1" w:styleId="ListBulleted">
    <w:name w:val="List Bulleted"/>
    <w:basedOn w:val="Normal"/>
    <w:rsid w:val="00171C3C"/>
    <w:pPr>
      <w:numPr>
        <w:numId w:val="1"/>
      </w:numPr>
    </w:pPr>
  </w:style>
  <w:style w:type="character" w:customStyle="1" w:styleId="ExternalHyperlink">
    <w:name w:val="External Hyperlink"/>
    <w:rsid w:val="00171C3C"/>
    <w:rPr>
      <w:rFonts w:ascii="Courier New" w:hAnsi="Courier New"/>
      <w:dstrike w:val="0"/>
      <w:color w:val="FF0000"/>
      <w:sz w:val="22"/>
      <w:vertAlign w:val="baseline"/>
    </w:rPr>
  </w:style>
  <w:style w:type="paragraph" w:styleId="CommentSubject">
    <w:name w:val="annotation subject"/>
    <w:basedOn w:val="CommentText"/>
    <w:next w:val="CommentText"/>
    <w:link w:val="CommentSubjectChar"/>
    <w:semiHidden/>
    <w:rsid w:val="00171C3C"/>
    <w:rPr>
      <w:b/>
      <w:bCs/>
    </w:rPr>
  </w:style>
  <w:style w:type="character" w:customStyle="1" w:styleId="CommentSubjectChar">
    <w:name w:val="Comment Subject Char"/>
    <w:basedOn w:val="CommentTextChar"/>
    <w:link w:val="CommentSubject"/>
    <w:semiHidden/>
    <w:rsid w:val="00171C3C"/>
    <w:rPr>
      <w:b/>
      <w:bCs/>
    </w:rPr>
  </w:style>
  <w:style w:type="table" w:styleId="TableGrid">
    <w:name w:val="Table Grid"/>
    <w:basedOn w:val="TableNormal"/>
    <w:rsid w:val="00171C3C"/>
    <w:pPr>
      <w:tabs>
        <w:tab w:val="left" w:pos="360"/>
        <w:tab w:val="left" w:pos="720"/>
        <w:tab w:val="left" w:pos="1080"/>
      </w:tabs>
      <w:ind w:left="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71C3C"/>
    <w:pPr>
      <w:tabs>
        <w:tab w:val="clear" w:pos="360"/>
        <w:tab w:val="clear" w:pos="720"/>
        <w:tab w:val="clear" w:pos="1080"/>
        <w:tab w:val="center" w:pos="4320"/>
        <w:tab w:val="right" w:pos="8640"/>
      </w:tabs>
    </w:pPr>
  </w:style>
  <w:style w:type="character" w:customStyle="1" w:styleId="HeaderChar">
    <w:name w:val="Header Char"/>
    <w:basedOn w:val="DefaultParagraphFont"/>
    <w:link w:val="Header"/>
    <w:rsid w:val="00171C3C"/>
    <w:rPr>
      <w:rFonts w:ascii="Times New Roman" w:eastAsia="Times New Roman" w:hAnsi="Times New Roman" w:cs="Times New Roman"/>
      <w:snapToGrid w:val="0"/>
      <w:szCs w:val="20"/>
    </w:rPr>
  </w:style>
  <w:style w:type="paragraph" w:styleId="Footer">
    <w:name w:val="footer"/>
    <w:basedOn w:val="Normal"/>
    <w:link w:val="FooterChar"/>
    <w:rsid w:val="00171C3C"/>
    <w:pPr>
      <w:tabs>
        <w:tab w:val="clear" w:pos="360"/>
        <w:tab w:val="clear" w:pos="720"/>
        <w:tab w:val="clear" w:pos="1080"/>
        <w:tab w:val="center" w:pos="4320"/>
        <w:tab w:val="right" w:pos="8640"/>
      </w:tabs>
    </w:pPr>
  </w:style>
  <w:style w:type="character" w:customStyle="1" w:styleId="FooterChar">
    <w:name w:val="Footer Char"/>
    <w:basedOn w:val="DefaultParagraphFont"/>
    <w:link w:val="Footer"/>
    <w:rsid w:val="00171C3C"/>
    <w:rPr>
      <w:rFonts w:ascii="Times New Roman" w:eastAsia="Times New Roman" w:hAnsi="Times New Roman" w:cs="Times New Roman"/>
      <w:snapToGrid w:val="0"/>
      <w:szCs w:val="20"/>
    </w:rPr>
  </w:style>
  <w:style w:type="character" w:styleId="FollowedHyperlink">
    <w:name w:val="FollowedHyperlink"/>
    <w:rsid w:val="00171C3C"/>
    <w:rPr>
      <w:color w:val="800080"/>
      <w:u w:val="single"/>
    </w:rPr>
  </w:style>
  <w:style w:type="paragraph" w:styleId="BlockText">
    <w:name w:val="Block Text"/>
    <w:basedOn w:val="Normal"/>
    <w:rsid w:val="00171C3C"/>
    <w:pPr>
      <w:spacing w:after="120"/>
      <w:ind w:left="1440" w:right="1440"/>
    </w:pPr>
  </w:style>
  <w:style w:type="paragraph" w:styleId="BodyText">
    <w:name w:val="Body Text"/>
    <w:basedOn w:val="Normal"/>
    <w:link w:val="BodyTextChar"/>
    <w:rsid w:val="00171C3C"/>
    <w:pPr>
      <w:spacing w:after="120"/>
    </w:pPr>
  </w:style>
  <w:style w:type="character" w:customStyle="1" w:styleId="BodyTextChar">
    <w:name w:val="Body Text Char"/>
    <w:basedOn w:val="DefaultParagraphFont"/>
    <w:link w:val="BodyText"/>
    <w:rsid w:val="00171C3C"/>
    <w:rPr>
      <w:rFonts w:ascii="Times New Roman" w:eastAsia="Times New Roman" w:hAnsi="Times New Roman" w:cs="Times New Roman"/>
      <w:snapToGrid w:val="0"/>
      <w:szCs w:val="20"/>
    </w:rPr>
  </w:style>
  <w:style w:type="paragraph" w:styleId="BodyText2">
    <w:name w:val="Body Text 2"/>
    <w:basedOn w:val="Normal"/>
    <w:link w:val="BodyText2Char"/>
    <w:rsid w:val="00171C3C"/>
    <w:pPr>
      <w:spacing w:after="120" w:line="480" w:lineRule="auto"/>
    </w:pPr>
  </w:style>
  <w:style w:type="character" w:customStyle="1" w:styleId="BodyText2Char">
    <w:name w:val="Body Text 2 Char"/>
    <w:basedOn w:val="DefaultParagraphFont"/>
    <w:link w:val="BodyText2"/>
    <w:rsid w:val="00171C3C"/>
    <w:rPr>
      <w:rFonts w:ascii="Times New Roman" w:eastAsia="Times New Roman" w:hAnsi="Times New Roman" w:cs="Times New Roman"/>
      <w:snapToGrid w:val="0"/>
      <w:szCs w:val="20"/>
    </w:rPr>
  </w:style>
  <w:style w:type="paragraph" w:styleId="BodyText3">
    <w:name w:val="Body Text 3"/>
    <w:basedOn w:val="Normal"/>
    <w:link w:val="BodyText3Char"/>
    <w:rsid w:val="00171C3C"/>
    <w:pPr>
      <w:spacing w:after="120"/>
    </w:pPr>
    <w:rPr>
      <w:sz w:val="18"/>
      <w:szCs w:val="16"/>
    </w:rPr>
  </w:style>
  <w:style w:type="character" w:customStyle="1" w:styleId="BodyText3Char">
    <w:name w:val="Body Text 3 Char"/>
    <w:basedOn w:val="DefaultParagraphFont"/>
    <w:link w:val="BodyText3"/>
    <w:rsid w:val="00171C3C"/>
    <w:rPr>
      <w:rFonts w:ascii="Times New Roman" w:eastAsia="Times New Roman" w:hAnsi="Times New Roman" w:cs="Times New Roman"/>
      <w:snapToGrid w:val="0"/>
      <w:sz w:val="18"/>
      <w:szCs w:val="16"/>
    </w:rPr>
  </w:style>
  <w:style w:type="paragraph" w:styleId="BodyTextFirstIndent">
    <w:name w:val="Body Text First Indent"/>
    <w:basedOn w:val="BodyText"/>
    <w:link w:val="BodyTextFirstIndentChar"/>
    <w:rsid w:val="00171C3C"/>
    <w:pPr>
      <w:ind w:firstLine="210"/>
    </w:pPr>
  </w:style>
  <w:style w:type="character" w:customStyle="1" w:styleId="BodyTextFirstIndentChar">
    <w:name w:val="Body Text First Indent Char"/>
    <w:basedOn w:val="BodyTextChar"/>
    <w:link w:val="BodyTextFirstIndent"/>
    <w:rsid w:val="00171C3C"/>
  </w:style>
  <w:style w:type="paragraph" w:styleId="BodyTextIndent">
    <w:name w:val="Body Text Indent"/>
    <w:basedOn w:val="Normal"/>
    <w:link w:val="BodyTextIndentChar"/>
    <w:rsid w:val="00171C3C"/>
    <w:pPr>
      <w:spacing w:after="120"/>
      <w:ind w:left="360"/>
    </w:pPr>
  </w:style>
  <w:style w:type="character" w:customStyle="1" w:styleId="BodyTextIndentChar">
    <w:name w:val="Body Text Indent Char"/>
    <w:basedOn w:val="DefaultParagraphFont"/>
    <w:link w:val="BodyTextIndent"/>
    <w:rsid w:val="00171C3C"/>
    <w:rPr>
      <w:rFonts w:ascii="Times New Roman" w:eastAsia="Times New Roman" w:hAnsi="Times New Roman" w:cs="Times New Roman"/>
      <w:snapToGrid w:val="0"/>
      <w:szCs w:val="20"/>
    </w:rPr>
  </w:style>
  <w:style w:type="paragraph" w:styleId="BodyTextFirstIndent2">
    <w:name w:val="Body Text First Indent 2"/>
    <w:basedOn w:val="BodyTextIndent"/>
    <w:link w:val="BodyTextFirstIndent2Char"/>
    <w:rsid w:val="00171C3C"/>
    <w:pPr>
      <w:ind w:firstLine="210"/>
    </w:pPr>
  </w:style>
  <w:style w:type="character" w:customStyle="1" w:styleId="BodyTextFirstIndent2Char">
    <w:name w:val="Body Text First Indent 2 Char"/>
    <w:basedOn w:val="BodyTextIndentChar"/>
    <w:link w:val="BodyTextFirstIndent2"/>
    <w:rsid w:val="00171C3C"/>
  </w:style>
  <w:style w:type="paragraph" w:styleId="BodyTextIndent2">
    <w:name w:val="Body Text Indent 2"/>
    <w:basedOn w:val="Normal"/>
    <w:link w:val="BodyTextIndent2Char"/>
    <w:rsid w:val="00171C3C"/>
    <w:pPr>
      <w:spacing w:after="120" w:line="480" w:lineRule="auto"/>
      <w:ind w:left="360"/>
    </w:pPr>
  </w:style>
  <w:style w:type="character" w:customStyle="1" w:styleId="BodyTextIndent2Char">
    <w:name w:val="Body Text Indent 2 Char"/>
    <w:basedOn w:val="DefaultParagraphFont"/>
    <w:link w:val="BodyTextIndent2"/>
    <w:rsid w:val="00171C3C"/>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171C3C"/>
    <w:pPr>
      <w:spacing w:after="120"/>
      <w:ind w:left="360"/>
    </w:pPr>
    <w:rPr>
      <w:sz w:val="18"/>
      <w:szCs w:val="16"/>
    </w:rPr>
  </w:style>
  <w:style w:type="character" w:customStyle="1" w:styleId="BodyTextIndent3Char">
    <w:name w:val="Body Text Indent 3 Char"/>
    <w:basedOn w:val="DefaultParagraphFont"/>
    <w:link w:val="BodyTextIndent3"/>
    <w:rsid w:val="00171C3C"/>
    <w:rPr>
      <w:rFonts w:ascii="Times New Roman" w:eastAsia="Times New Roman" w:hAnsi="Times New Roman" w:cs="Times New Roman"/>
      <w:snapToGrid w:val="0"/>
      <w:sz w:val="18"/>
      <w:szCs w:val="16"/>
    </w:rPr>
  </w:style>
  <w:style w:type="paragraph" w:styleId="Caption">
    <w:name w:val="caption"/>
    <w:basedOn w:val="Normal"/>
    <w:next w:val="Normal"/>
    <w:qFormat/>
    <w:rsid w:val="00171C3C"/>
    <w:pPr>
      <w:spacing w:before="120" w:after="120"/>
    </w:pPr>
    <w:rPr>
      <w:b/>
      <w:bCs/>
    </w:rPr>
  </w:style>
  <w:style w:type="paragraph" w:styleId="Closing">
    <w:name w:val="Closing"/>
    <w:basedOn w:val="Normal"/>
    <w:link w:val="ClosingChar"/>
    <w:rsid w:val="00171C3C"/>
    <w:pPr>
      <w:ind w:left="4320"/>
    </w:pPr>
  </w:style>
  <w:style w:type="character" w:customStyle="1" w:styleId="ClosingChar">
    <w:name w:val="Closing Char"/>
    <w:basedOn w:val="DefaultParagraphFont"/>
    <w:link w:val="Closing"/>
    <w:rsid w:val="00171C3C"/>
    <w:rPr>
      <w:rFonts w:ascii="Times New Roman" w:eastAsia="Times New Roman" w:hAnsi="Times New Roman" w:cs="Times New Roman"/>
      <w:snapToGrid w:val="0"/>
      <w:szCs w:val="20"/>
    </w:rPr>
  </w:style>
  <w:style w:type="paragraph" w:styleId="Date">
    <w:name w:val="Date"/>
    <w:basedOn w:val="Normal"/>
    <w:next w:val="Normal"/>
    <w:link w:val="DateChar"/>
    <w:rsid w:val="00171C3C"/>
  </w:style>
  <w:style w:type="character" w:customStyle="1" w:styleId="DateChar">
    <w:name w:val="Date Char"/>
    <w:basedOn w:val="DefaultParagraphFont"/>
    <w:link w:val="Date"/>
    <w:rsid w:val="00171C3C"/>
    <w:rPr>
      <w:rFonts w:ascii="Times New Roman" w:eastAsia="Times New Roman" w:hAnsi="Times New Roman" w:cs="Times New Roman"/>
      <w:snapToGrid w:val="0"/>
      <w:szCs w:val="20"/>
    </w:rPr>
  </w:style>
  <w:style w:type="paragraph" w:styleId="DocumentMap">
    <w:name w:val="Document Map"/>
    <w:basedOn w:val="Normal"/>
    <w:link w:val="DocumentMapChar"/>
    <w:semiHidden/>
    <w:rsid w:val="00171C3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71C3C"/>
    <w:rPr>
      <w:rFonts w:ascii="Tahoma" w:eastAsia="Times New Roman" w:hAnsi="Tahoma" w:cs="Tahoma"/>
      <w:snapToGrid w:val="0"/>
      <w:szCs w:val="20"/>
      <w:shd w:val="clear" w:color="auto" w:fill="000080"/>
    </w:rPr>
  </w:style>
  <w:style w:type="paragraph" w:styleId="E-mailSignature">
    <w:name w:val="E-mail Signature"/>
    <w:basedOn w:val="Normal"/>
    <w:link w:val="E-mailSignatureChar"/>
    <w:rsid w:val="00171C3C"/>
  </w:style>
  <w:style w:type="character" w:customStyle="1" w:styleId="E-mailSignatureChar">
    <w:name w:val="E-mail Signature Char"/>
    <w:basedOn w:val="DefaultParagraphFont"/>
    <w:link w:val="E-mailSignature"/>
    <w:rsid w:val="00171C3C"/>
    <w:rPr>
      <w:rFonts w:ascii="Times New Roman" w:eastAsia="Times New Roman" w:hAnsi="Times New Roman" w:cs="Times New Roman"/>
      <w:snapToGrid w:val="0"/>
      <w:szCs w:val="20"/>
    </w:rPr>
  </w:style>
  <w:style w:type="paragraph" w:styleId="EndnoteText">
    <w:name w:val="endnote text"/>
    <w:basedOn w:val="Normal"/>
    <w:link w:val="EndnoteTextChar"/>
    <w:semiHidden/>
    <w:rsid w:val="00171C3C"/>
  </w:style>
  <w:style w:type="character" w:customStyle="1" w:styleId="EndnoteTextChar">
    <w:name w:val="Endnote Text Char"/>
    <w:basedOn w:val="DefaultParagraphFont"/>
    <w:link w:val="EndnoteText"/>
    <w:semiHidden/>
    <w:rsid w:val="00171C3C"/>
    <w:rPr>
      <w:rFonts w:ascii="Times New Roman" w:eastAsia="Times New Roman" w:hAnsi="Times New Roman" w:cs="Times New Roman"/>
      <w:snapToGrid w:val="0"/>
      <w:szCs w:val="20"/>
    </w:rPr>
  </w:style>
  <w:style w:type="paragraph" w:styleId="EnvelopeAddress">
    <w:name w:val="envelope address"/>
    <w:basedOn w:val="Normal"/>
    <w:rsid w:val="00171C3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71C3C"/>
    <w:rPr>
      <w:rFonts w:ascii="Arial" w:hAnsi="Arial" w:cs="Arial"/>
    </w:rPr>
  </w:style>
  <w:style w:type="paragraph" w:styleId="FootnoteText">
    <w:name w:val="footnote text"/>
    <w:basedOn w:val="Normal"/>
    <w:link w:val="FootnoteTextChar"/>
    <w:semiHidden/>
    <w:rsid w:val="00171C3C"/>
  </w:style>
  <w:style w:type="character" w:customStyle="1" w:styleId="FootnoteTextChar">
    <w:name w:val="Footnote Text Char"/>
    <w:basedOn w:val="DefaultParagraphFont"/>
    <w:link w:val="FootnoteText"/>
    <w:semiHidden/>
    <w:rsid w:val="00171C3C"/>
    <w:rPr>
      <w:rFonts w:ascii="Times New Roman" w:eastAsia="Times New Roman" w:hAnsi="Times New Roman" w:cs="Times New Roman"/>
      <w:snapToGrid w:val="0"/>
      <w:szCs w:val="20"/>
    </w:rPr>
  </w:style>
  <w:style w:type="paragraph" w:styleId="HTMLAddress">
    <w:name w:val="HTML Address"/>
    <w:basedOn w:val="Normal"/>
    <w:link w:val="HTMLAddressChar"/>
    <w:rsid w:val="00171C3C"/>
    <w:rPr>
      <w:i/>
      <w:iCs/>
    </w:rPr>
  </w:style>
  <w:style w:type="character" w:customStyle="1" w:styleId="HTMLAddressChar">
    <w:name w:val="HTML Address Char"/>
    <w:basedOn w:val="DefaultParagraphFont"/>
    <w:link w:val="HTMLAddress"/>
    <w:rsid w:val="00171C3C"/>
    <w:rPr>
      <w:rFonts w:ascii="Times New Roman" w:eastAsia="Times New Roman" w:hAnsi="Times New Roman" w:cs="Times New Roman"/>
      <w:i/>
      <w:iCs/>
      <w:snapToGrid w:val="0"/>
      <w:szCs w:val="20"/>
    </w:rPr>
  </w:style>
  <w:style w:type="paragraph" w:styleId="HTMLPreformatted">
    <w:name w:val="HTML Preformatted"/>
    <w:basedOn w:val="Normal"/>
    <w:link w:val="HTMLPreformattedChar"/>
    <w:rsid w:val="00171C3C"/>
    <w:rPr>
      <w:rFonts w:ascii="Courier New" w:hAnsi="Courier New" w:cs="Courier New"/>
    </w:rPr>
  </w:style>
  <w:style w:type="character" w:customStyle="1" w:styleId="HTMLPreformattedChar">
    <w:name w:val="HTML Preformatted Char"/>
    <w:basedOn w:val="DefaultParagraphFont"/>
    <w:link w:val="HTMLPreformatted"/>
    <w:rsid w:val="00171C3C"/>
    <w:rPr>
      <w:rFonts w:ascii="Courier New" w:eastAsia="Times New Roman" w:hAnsi="Courier New" w:cs="Courier New"/>
      <w:snapToGrid w:val="0"/>
      <w:szCs w:val="20"/>
    </w:rPr>
  </w:style>
  <w:style w:type="paragraph" w:styleId="Index1">
    <w:name w:val="index 1"/>
    <w:basedOn w:val="Normal"/>
    <w:next w:val="Normal"/>
    <w:autoRedefine/>
    <w:semiHidden/>
    <w:rsid w:val="00171C3C"/>
    <w:pPr>
      <w:tabs>
        <w:tab w:val="clear" w:pos="360"/>
        <w:tab w:val="clear" w:pos="720"/>
        <w:tab w:val="clear" w:pos="1080"/>
      </w:tabs>
      <w:ind w:left="200" w:hanging="200"/>
    </w:pPr>
  </w:style>
  <w:style w:type="paragraph" w:styleId="Index2">
    <w:name w:val="index 2"/>
    <w:basedOn w:val="Normal"/>
    <w:next w:val="Normal"/>
    <w:autoRedefine/>
    <w:semiHidden/>
    <w:rsid w:val="00171C3C"/>
    <w:pPr>
      <w:tabs>
        <w:tab w:val="clear" w:pos="360"/>
        <w:tab w:val="clear" w:pos="720"/>
        <w:tab w:val="clear" w:pos="1080"/>
      </w:tabs>
      <w:ind w:left="400" w:hanging="200"/>
    </w:pPr>
  </w:style>
  <w:style w:type="paragraph" w:styleId="Index3">
    <w:name w:val="index 3"/>
    <w:basedOn w:val="Normal"/>
    <w:next w:val="Normal"/>
    <w:autoRedefine/>
    <w:semiHidden/>
    <w:rsid w:val="00171C3C"/>
    <w:pPr>
      <w:tabs>
        <w:tab w:val="clear" w:pos="360"/>
        <w:tab w:val="clear" w:pos="720"/>
        <w:tab w:val="clear" w:pos="1080"/>
      </w:tabs>
      <w:ind w:left="600" w:hanging="200"/>
    </w:pPr>
  </w:style>
  <w:style w:type="paragraph" w:styleId="Index4">
    <w:name w:val="index 4"/>
    <w:basedOn w:val="Normal"/>
    <w:next w:val="Normal"/>
    <w:autoRedefine/>
    <w:semiHidden/>
    <w:rsid w:val="00171C3C"/>
    <w:pPr>
      <w:tabs>
        <w:tab w:val="clear" w:pos="360"/>
        <w:tab w:val="clear" w:pos="720"/>
        <w:tab w:val="clear" w:pos="1080"/>
      </w:tabs>
      <w:ind w:left="800" w:hanging="200"/>
    </w:pPr>
  </w:style>
  <w:style w:type="paragraph" w:styleId="Index5">
    <w:name w:val="index 5"/>
    <w:basedOn w:val="Normal"/>
    <w:next w:val="Normal"/>
    <w:autoRedefine/>
    <w:semiHidden/>
    <w:rsid w:val="00171C3C"/>
    <w:pPr>
      <w:tabs>
        <w:tab w:val="clear" w:pos="360"/>
        <w:tab w:val="clear" w:pos="720"/>
        <w:tab w:val="clear" w:pos="1080"/>
      </w:tabs>
      <w:ind w:left="1000" w:hanging="200"/>
    </w:pPr>
  </w:style>
  <w:style w:type="paragraph" w:styleId="Index6">
    <w:name w:val="index 6"/>
    <w:basedOn w:val="Normal"/>
    <w:next w:val="Normal"/>
    <w:autoRedefine/>
    <w:semiHidden/>
    <w:rsid w:val="00171C3C"/>
    <w:pPr>
      <w:tabs>
        <w:tab w:val="clear" w:pos="360"/>
        <w:tab w:val="clear" w:pos="720"/>
        <w:tab w:val="clear" w:pos="1080"/>
      </w:tabs>
      <w:ind w:left="1200" w:hanging="200"/>
    </w:pPr>
  </w:style>
  <w:style w:type="paragraph" w:styleId="Index7">
    <w:name w:val="index 7"/>
    <w:basedOn w:val="Normal"/>
    <w:next w:val="Normal"/>
    <w:autoRedefine/>
    <w:semiHidden/>
    <w:rsid w:val="00171C3C"/>
    <w:pPr>
      <w:tabs>
        <w:tab w:val="clear" w:pos="360"/>
        <w:tab w:val="clear" w:pos="720"/>
        <w:tab w:val="clear" w:pos="1080"/>
      </w:tabs>
      <w:ind w:left="1400" w:hanging="200"/>
    </w:pPr>
  </w:style>
  <w:style w:type="paragraph" w:styleId="Index8">
    <w:name w:val="index 8"/>
    <w:basedOn w:val="Normal"/>
    <w:next w:val="Normal"/>
    <w:autoRedefine/>
    <w:semiHidden/>
    <w:rsid w:val="00171C3C"/>
    <w:pPr>
      <w:tabs>
        <w:tab w:val="clear" w:pos="360"/>
        <w:tab w:val="clear" w:pos="720"/>
        <w:tab w:val="clear" w:pos="1080"/>
      </w:tabs>
      <w:ind w:left="1600" w:hanging="200"/>
    </w:pPr>
  </w:style>
  <w:style w:type="paragraph" w:styleId="Index9">
    <w:name w:val="index 9"/>
    <w:basedOn w:val="Normal"/>
    <w:next w:val="Normal"/>
    <w:autoRedefine/>
    <w:semiHidden/>
    <w:rsid w:val="00171C3C"/>
    <w:pPr>
      <w:tabs>
        <w:tab w:val="clear" w:pos="360"/>
        <w:tab w:val="clear" w:pos="720"/>
        <w:tab w:val="clear" w:pos="1080"/>
      </w:tabs>
      <w:ind w:left="1800" w:hanging="200"/>
    </w:pPr>
  </w:style>
  <w:style w:type="paragraph" w:styleId="IndexHeading">
    <w:name w:val="index heading"/>
    <w:basedOn w:val="Normal"/>
    <w:next w:val="Index1"/>
    <w:semiHidden/>
    <w:rsid w:val="00171C3C"/>
    <w:rPr>
      <w:rFonts w:ascii="Arial" w:hAnsi="Arial" w:cs="Arial"/>
      <w:b/>
      <w:bCs/>
    </w:rPr>
  </w:style>
  <w:style w:type="paragraph" w:styleId="List">
    <w:name w:val="List"/>
    <w:basedOn w:val="Normal"/>
    <w:rsid w:val="00171C3C"/>
    <w:pPr>
      <w:ind w:left="360" w:hanging="360"/>
    </w:pPr>
  </w:style>
  <w:style w:type="paragraph" w:styleId="List2">
    <w:name w:val="List 2"/>
    <w:basedOn w:val="Normal"/>
    <w:rsid w:val="00171C3C"/>
    <w:pPr>
      <w:ind w:left="720" w:hanging="360"/>
    </w:pPr>
  </w:style>
  <w:style w:type="paragraph" w:styleId="List3">
    <w:name w:val="List 3"/>
    <w:basedOn w:val="Normal"/>
    <w:rsid w:val="00171C3C"/>
    <w:pPr>
      <w:ind w:left="1080" w:hanging="360"/>
    </w:pPr>
  </w:style>
  <w:style w:type="paragraph" w:styleId="List4">
    <w:name w:val="List 4"/>
    <w:basedOn w:val="Normal"/>
    <w:rsid w:val="00171C3C"/>
    <w:pPr>
      <w:ind w:left="1440" w:hanging="360"/>
    </w:pPr>
  </w:style>
  <w:style w:type="paragraph" w:styleId="List5">
    <w:name w:val="List 5"/>
    <w:basedOn w:val="Normal"/>
    <w:rsid w:val="00171C3C"/>
    <w:pPr>
      <w:ind w:left="1800" w:hanging="360"/>
    </w:pPr>
  </w:style>
  <w:style w:type="paragraph" w:styleId="ListBullet">
    <w:name w:val="List Bullet"/>
    <w:basedOn w:val="Normal"/>
    <w:autoRedefine/>
    <w:rsid w:val="00171C3C"/>
    <w:pPr>
      <w:numPr>
        <w:numId w:val="6"/>
      </w:numPr>
    </w:pPr>
  </w:style>
  <w:style w:type="paragraph" w:styleId="ListBullet2">
    <w:name w:val="List Bullet 2"/>
    <w:basedOn w:val="Normal"/>
    <w:autoRedefine/>
    <w:rsid w:val="00171C3C"/>
    <w:pPr>
      <w:numPr>
        <w:numId w:val="7"/>
      </w:numPr>
    </w:pPr>
  </w:style>
  <w:style w:type="paragraph" w:styleId="ListBullet3">
    <w:name w:val="List Bullet 3"/>
    <w:basedOn w:val="Normal"/>
    <w:autoRedefine/>
    <w:rsid w:val="00171C3C"/>
    <w:pPr>
      <w:numPr>
        <w:numId w:val="8"/>
      </w:numPr>
    </w:pPr>
  </w:style>
  <w:style w:type="paragraph" w:styleId="ListBullet4">
    <w:name w:val="List Bullet 4"/>
    <w:basedOn w:val="Normal"/>
    <w:autoRedefine/>
    <w:rsid w:val="00171C3C"/>
    <w:pPr>
      <w:numPr>
        <w:numId w:val="9"/>
      </w:numPr>
    </w:pPr>
  </w:style>
  <w:style w:type="paragraph" w:styleId="ListBullet5">
    <w:name w:val="List Bullet 5"/>
    <w:basedOn w:val="Normal"/>
    <w:autoRedefine/>
    <w:rsid w:val="00171C3C"/>
    <w:pPr>
      <w:numPr>
        <w:numId w:val="10"/>
      </w:numPr>
    </w:pPr>
  </w:style>
  <w:style w:type="paragraph" w:styleId="ListContinue">
    <w:name w:val="List Continue"/>
    <w:basedOn w:val="Normal"/>
    <w:rsid w:val="00171C3C"/>
    <w:pPr>
      <w:spacing w:after="120"/>
      <w:ind w:left="360"/>
    </w:pPr>
  </w:style>
  <w:style w:type="paragraph" w:styleId="ListContinue2">
    <w:name w:val="List Continue 2"/>
    <w:basedOn w:val="Normal"/>
    <w:rsid w:val="00171C3C"/>
    <w:pPr>
      <w:spacing w:after="120"/>
      <w:ind w:left="720"/>
    </w:pPr>
  </w:style>
  <w:style w:type="paragraph" w:styleId="ListContinue3">
    <w:name w:val="List Continue 3"/>
    <w:basedOn w:val="Normal"/>
    <w:rsid w:val="00171C3C"/>
    <w:pPr>
      <w:spacing w:after="120"/>
      <w:ind w:left="1080"/>
    </w:pPr>
  </w:style>
  <w:style w:type="paragraph" w:styleId="ListContinue4">
    <w:name w:val="List Continue 4"/>
    <w:basedOn w:val="Normal"/>
    <w:rsid w:val="00171C3C"/>
    <w:pPr>
      <w:spacing w:after="120"/>
      <w:ind w:left="1440"/>
    </w:pPr>
  </w:style>
  <w:style w:type="paragraph" w:styleId="ListContinue5">
    <w:name w:val="List Continue 5"/>
    <w:basedOn w:val="Normal"/>
    <w:rsid w:val="00171C3C"/>
    <w:pPr>
      <w:spacing w:after="120"/>
      <w:ind w:left="1800"/>
    </w:pPr>
  </w:style>
  <w:style w:type="paragraph" w:styleId="ListNumber">
    <w:name w:val="List Number"/>
    <w:basedOn w:val="Normal"/>
    <w:rsid w:val="00171C3C"/>
    <w:pPr>
      <w:numPr>
        <w:numId w:val="11"/>
      </w:numPr>
    </w:pPr>
  </w:style>
  <w:style w:type="paragraph" w:styleId="ListNumber2">
    <w:name w:val="List Number 2"/>
    <w:basedOn w:val="Normal"/>
    <w:rsid w:val="00171C3C"/>
    <w:pPr>
      <w:numPr>
        <w:numId w:val="12"/>
      </w:numPr>
    </w:pPr>
  </w:style>
  <w:style w:type="paragraph" w:styleId="ListNumber3">
    <w:name w:val="List Number 3"/>
    <w:basedOn w:val="Normal"/>
    <w:rsid w:val="00171C3C"/>
    <w:pPr>
      <w:numPr>
        <w:numId w:val="13"/>
      </w:numPr>
    </w:pPr>
  </w:style>
  <w:style w:type="paragraph" w:styleId="ListNumber4">
    <w:name w:val="List Number 4"/>
    <w:basedOn w:val="Normal"/>
    <w:rsid w:val="00171C3C"/>
    <w:pPr>
      <w:numPr>
        <w:numId w:val="14"/>
      </w:numPr>
    </w:pPr>
  </w:style>
  <w:style w:type="paragraph" w:styleId="ListNumber5">
    <w:name w:val="List Number 5"/>
    <w:basedOn w:val="Normal"/>
    <w:rsid w:val="00171C3C"/>
    <w:pPr>
      <w:numPr>
        <w:numId w:val="15"/>
      </w:numPr>
    </w:pPr>
  </w:style>
  <w:style w:type="paragraph" w:styleId="MacroText">
    <w:name w:val="macro"/>
    <w:link w:val="MacroTextChar"/>
    <w:semiHidden/>
    <w:rsid w:val="00171C3C"/>
    <w:pPr>
      <w:tabs>
        <w:tab w:val="left" w:pos="480"/>
        <w:tab w:val="left" w:pos="960"/>
        <w:tab w:val="left" w:pos="1440"/>
        <w:tab w:val="left" w:pos="1920"/>
        <w:tab w:val="left" w:pos="2400"/>
        <w:tab w:val="left" w:pos="2880"/>
        <w:tab w:val="left" w:pos="3360"/>
        <w:tab w:val="left" w:pos="3840"/>
        <w:tab w:val="left" w:pos="4320"/>
      </w:tabs>
      <w:ind w:left="0"/>
    </w:pPr>
    <w:rPr>
      <w:rFonts w:ascii="Courier New" w:eastAsia="Times New Roman" w:hAnsi="Courier New" w:cs="Courier New"/>
      <w:snapToGrid w:val="0"/>
      <w:sz w:val="20"/>
      <w:szCs w:val="20"/>
      <w:lang w:val="en-US"/>
    </w:rPr>
  </w:style>
  <w:style w:type="character" w:customStyle="1" w:styleId="MacroTextChar">
    <w:name w:val="Macro Text Char"/>
    <w:basedOn w:val="DefaultParagraphFont"/>
    <w:link w:val="MacroText"/>
    <w:semiHidden/>
    <w:rsid w:val="00171C3C"/>
    <w:rPr>
      <w:rFonts w:ascii="Courier New" w:eastAsia="Times New Roman" w:hAnsi="Courier New" w:cs="Courier New"/>
      <w:snapToGrid w:val="0"/>
      <w:sz w:val="20"/>
      <w:szCs w:val="20"/>
      <w:lang w:val="en-US"/>
    </w:rPr>
  </w:style>
  <w:style w:type="paragraph" w:styleId="MessageHeader">
    <w:name w:val="Message Header"/>
    <w:basedOn w:val="Normal"/>
    <w:link w:val="MessageHeaderChar"/>
    <w:rsid w:val="00171C3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171C3C"/>
    <w:rPr>
      <w:rFonts w:ascii="Arial" w:eastAsia="Times New Roman" w:hAnsi="Arial" w:cs="Arial"/>
      <w:snapToGrid w:val="0"/>
      <w:sz w:val="24"/>
      <w:szCs w:val="24"/>
      <w:shd w:val="pct20" w:color="auto" w:fill="auto"/>
    </w:rPr>
  </w:style>
  <w:style w:type="paragraph" w:styleId="NormalWeb">
    <w:name w:val="Normal (Web)"/>
    <w:basedOn w:val="Normal"/>
    <w:rsid w:val="00171C3C"/>
    <w:rPr>
      <w:sz w:val="24"/>
      <w:szCs w:val="24"/>
    </w:rPr>
  </w:style>
  <w:style w:type="paragraph" w:styleId="NoteHeading">
    <w:name w:val="Note Heading"/>
    <w:basedOn w:val="Normal"/>
    <w:next w:val="Normal"/>
    <w:link w:val="NoteHeadingChar"/>
    <w:rsid w:val="00171C3C"/>
  </w:style>
  <w:style w:type="character" w:customStyle="1" w:styleId="NoteHeadingChar">
    <w:name w:val="Note Heading Char"/>
    <w:basedOn w:val="DefaultParagraphFont"/>
    <w:link w:val="NoteHeading"/>
    <w:rsid w:val="00171C3C"/>
    <w:rPr>
      <w:rFonts w:ascii="Times New Roman" w:eastAsia="Times New Roman" w:hAnsi="Times New Roman" w:cs="Times New Roman"/>
      <w:snapToGrid w:val="0"/>
      <w:szCs w:val="20"/>
    </w:rPr>
  </w:style>
  <w:style w:type="paragraph" w:styleId="PlainText">
    <w:name w:val="Plain Text"/>
    <w:basedOn w:val="Normal"/>
    <w:link w:val="PlainTextChar"/>
    <w:rsid w:val="00171C3C"/>
    <w:rPr>
      <w:rFonts w:ascii="Courier New" w:hAnsi="Courier New" w:cs="Courier New"/>
    </w:rPr>
  </w:style>
  <w:style w:type="character" w:customStyle="1" w:styleId="PlainTextChar">
    <w:name w:val="Plain Text Char"/>
    <w:basedOn w:val="DefaultParagraphFont"/>
    <w:link w:val="PlainText"/>
    <w:rsid w:val="00171C3C"/>
    <w:rPr>
      <w:rFonts w:ascii="Courier New" w:eastAsia="Times New Roman" w:hAnsi="Courier New" w:cs="Courier New"/>
      <w:snapToGrid w:val="0"/>
      <w:szCs w:val="20"/>
    </w:rPr>
  </w:style>
  <w:style w:type="paragraph" w:styleId="Salutation">
    <w:name w:val="Salutation"/>
    <w:basedOn w:val="Normal"/>
    <w:next w:val="Normal"/>
    <w:link w:val="SalutationChar"/>
    <w:rsid w:val="00171C3C"/>
  </w:style>
  <w:style w:type="character" w:customStyle="1" w:styleId="SalutationChar">
    <w:name w:val="Salutation Char"/>
    <w:basedOn w:val="DefaultParagraphFont"/>
    <w:link w:val="Salutation"/>
    <w:rsid w:val="00171C3C"/>
    <w:rPr>
      <w:rFonts w:ascii="Times New Roman" w:eastAsia="Times New Roman" w:hAnsi="Times New Roman" w:cs="Times New Roman"/>
      <w:snapToGrid w:val="0"/>
      <w:szCs w:val="20"/>
    </w:rPr>
  </w:style>
  <w:style w:type="paragraph" w:styleId="Signature">
    <w:name w:val="Signature"/>
    <w:basedOn w:val="Normal"/>
    <w:link w:val="SignatureChar"/>
    <w:rsid w:val="00171C3C"/>
    <w:pPr>
      <w:ind w:left="4320"/>
    </w:pPr>
  </w:style>
  <w:style w:type="character" w:customStyle="1" w:styleId="SignatureChar">
    <w:name w:val="Signature Char"/>
    <w:basedOn w:val="DefaultParagraphFont"/>
    <w:link w:val="Signature"/>
    <w:rsid w:val="00171C3C"/>
    <w:rPr>
      <w:rFonts w:ascii="Times New Roman" w:eastAsia="Times New Roman" w:hAnsi="Times New Roman" w:cs="Times New Roman"/>
      <w:snapToGrid w:val="0"/>
      <w:szCs w:val="20"/>
    </w:rPr>
  </w:style>
  <w:style w:type="paragraph" w:styleId="Subtitle">
    <w:name w:val="Subtitle"/>
    <w:basedOn w:val="Normal"/>
    <w:link w:val="SubtitleChar"/>
    <w:qFormat/>
    <w:rsid w:val="00171C3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171C3C"/>
    <w:rPr>
      <w:rFonts w:ascii="Arial" w:eastAsia="Times New Roman" w:hAnsi="Arial" w:cs="Arial"/>
      <w:snapToGrid w:val="0"/>
      <w:sz w:val="24"/>
      <w:szCs w:val="24"/>
    </w:rPr>
  </w:style>
  <w:style w:type="paragraph" w:styleId="TableofAuthorities">
    <w:name w:val="table of authorities"/>
    <w:basedOn w:val="Normal"/>
    <w:next w:val="Normal"/>
    <w:semiHidden/>
    <w:rsid w:val="00171C3C"/>
    <w:pPr>
      <w:tabs>
        <w:tab w:val="clear" w:pos="360"/>
        <w:tab w:val="clear" w:pos="720"/>
        <w:tab w:val="clear" w:pos="1080"/>
      </w:tabs>
      <w:ind w:left="200" w:hanging="200"/>
    </w:pPr>
  </w:style>
  <w:style w:type="paragraph" w:styleId="TableofFigures">
    <w:name w:val="table of figures"/>
    <w:basedOn w:val="Normal"/>
    <w:next w:val="Normal"/>
    <w:semiHidden/>
    <w:rsid w:val="00171C3C"/>
    <w:pPr>
      <w:tabs>
        <w:tab w:val="clear" w:pos="360"/>
        <w:tab w:val="clear" w:pos="720"/>
        <w:tab w:val="clear" w:pos="1080"/>
      </w:tabs>
      <w:ind w:left="400" w:hanging="400"/>
    </w:pPr>
  </w:style>
  <w:style w:type="paragraph" w:styleId="TOAHeading">
    <w:name w:val="toa heading"/>
    <w:basedOn w:val="Normal"/>
    <w:next w:val="Normal"/>
    <w:semiHidden/>
    <w:rsid w:val="00171C3C"/>
    <w:pPr>
      <w:spacing w:before="120"/>
    </w:pPr>
    <w:rPr>
      <w:rFonts w:ascii="Arial" w:hAnsi="Arial" w:cs="Arial"/>
      <w:b/>
      <w:bCs/>
      <w:sz w:val="24"/>
      <w:szCs w:val="24"/>
    </w:rPr>
  </w:style>
  <w:style w:type="paragraph" w:styleId="TOC1">
    <w:name w:val="toc 1"/>
    <w:basedOn w:val="Normal"/>
    <w:next w:val="Normal"/>
    <w:autoRedefine/>
    <w:semiHidden/>
    <w:rsid w:val="00171C3C"/>
    <w:pPr>
      <w:tabs>
        <w:tab w:val="clear" w:pos="360"/>
        <w:tab w:val="clear" w:pos="720"/>
        <w:tab w:val="clear" w:pos="1080"/>
      </w:tabs>
    </w:pPr>
  </w:style>
  <w:style w:type="paragraph" w:styleId="TOC2">
    <w:name w:val="toc 2"/>
    <w:basedOn w:val="Normal"/>
    <w:next w:val="Normal"/>
    <w:autoRedefine/>
    <w:semiHidden/>
    <w:rsid w:val="00171C3C"/>
    <w:pPr>
      <w:tabs>
        <w:tab w:val="clear" w:pos="360"/>
        <w:tab w:val="clear" w:pos="720"/>
        <w:tab w:val="clear" w:pos="1080"/>
      </w:tabs>
      <w:ind w:left="200"/>
    </w:pPr>
  </w:style>
  <w:style w:type="paragraph" w:styleId="TOC3">
    <w:name w:val="toc 3"/>
    <w:basedOn w:val="Normal"/>
    <w:next w:val="Normal"/>
    <w:autoRedefine/>
    <w:semiHidden/>
    <w:rsid w:val="00171C3C"/>
    <w:pPr>
      <w:tabs>
        <w:tab w:val="clear" w:pos="360"/>
        <w:tab w:val="clear" w:pos="720"/>
        <w:tab w:val="clear" w:pos="1080"/>
      </w:tabs>
      <w:ind w:left="400"/>
    </w:pPr>
  </w:style>
  <w:style w:type="paragraph" w:styleId="TOC4">
    <w:name w:val="toc 4"/>
    <w:basedOn w:val="Normal"/>
    <w:next w:val="Normal"/>
    <w:autoRedefine/>
    <w:semiHidden/>
    <w:rsid w:val="00171C3C"/>
    <w:pPr>
      <w:tabs>
        <w:tab w:val="clear" w:pos="360"/>
        <w:tab w:val="clear" w:pos="720"/>
        <w:tab w:val="clear" w:pos="1080"/>
      </w:tabs>
      <w:ind w:left="600"/>
    </w:pPr>
  </w:style>
  <w:style w:type="paragraph" w:styleId="TOC5">
    <w:name w:val="toc 5"/>
    <w:basedOn w:val="Normal"/>
    <w:next w:val="Normal"/>
    <w:autoRedefine/>
    <w:semiHidden/>
    <w:rsid w:val="00171C3C"/>
    <w:pPr>
      <w:tabs>
        <w:tab w:val="clear" w:pos="360"/>
        <w:tab w:val="clear" w:pos="720"/>
        <w:tab w:val="clear" w:pos="1080"/>
      </w:tabs>
      <w:ind w:left="800"/>
    </w:pPr>
  </w:style>
  <w:style w:type="paragraph" w:styleId="TOC6">
    <w:name w:val="toc 6"/>
    <w:basedOn w:val="Normal"/>
    <w:next w:val="Normal"/>
    <w:autoRedefine/>
    <w:semiHidden/>
    <w:rsid w:val="00171C3C"/>
    <w:pPr>
      <w:tabs>
        <w:tab w:val="clear" w:pos="360"/>
        <w:tab w:val="clear" w:pos="720"/>
        <w:tab w:val="clear" w:pos="1080"/>
      </w:tabs>
      <w:ind w:left="1000"/>
    </w:pPr>
  </w:style>
  <w:style w:type="paragraph" w:styleId="TOC7">
    <w:name w:val="toc 7"/>
    <w:basedOn w:val="Normal"/>
    <w:next w:val="Normal"/>
    <w:autoRedefine/>
    <w:semiHidden/>
    <w:rsid w:val="00171C3C"/>
    <w:pPr>
      <w:tabs>
        <w:tab w:val="clear" w:pos="360"/>
        <w:tab w:val="clear" w:pos="720"/>
        <w:tab w:val="clear" w:pos="1080"/>
      </w:tabs>
      <w:ind w:left="1200"/>
    </w:pPr>
  </w:style>
  <w:style w:type="paragraph" w:styleId="TOC8">
    <w:name w:val="toc 8"/>
    <w:basedOn w:val="Normal"/>
    <w:next w:val="Normal"/>
    <w:autoRedefine/>
    <w:semiHidden/>
    <w:rsid w:val="00171C3C"/>
    <w:pPr>
      <w:tabs>
        <w:tab w:val="clear" w:pos="360"/>
        <w:tab w:val="clear" w:pos="720"/>
        <w:tab w:val="clear" w:pos="1080"/>
      </w:tabs>
      <w:ind w:left="1400"/>
    </w:pPr>
  </w:style>
  <w:style w:type="paragraph" w:styleId="TOC9">
    <w:name w:val="toc 9"/>
    <w:basedOn w:val="Normal"/>
    <w:next w:val="Normal"/>
    <w:autoRedefine/>
    <w:semiHidden/>
    <w:rsid w:val="00171C3C"/>
    <w:pPr>
      <w:tabs>
        <w:tab w:val="clear" w:pos="360"/>
        <w:tab w:val="clear" w:pos="720"/>
        <w:tab w:val="clear" w:pos="1080"/>
      </w:tabs>
      <w:ind w:left="1600"/>
    </w:pPr>
  </w:style>
  <w:style w:type="paragraph" w:styleId="NoSpacing">
    <w:name w:val="No Spacing"/>
    <w:uiPriority w:val="1"/>
    <w:qFormat/>
    <w:rsid w:val="00171C3C"/>
    <w:pPr>
      <w:tabs>
        <w:tab w:val="left" w:pos="360"/>
        <w:tab w:val="left" w:pos="720"/>
        <w:tab w:val="left" w:pos="1080"/>
      </w:tabs>
      <w:ind w:left="0"/>
    </w:pPr>
    <w:rPr>
      <w:rFonts w:ascii="Times New Roman" w:eastAsia="Times New Roman" w:hAnsi="Times New Roman" w:cs="Times New Roman"/>
      <w:snapToGrid w:val="0"/>
      <w:szCs w:val="20"/>
      <w:lang w:val="en-US"/>
    </w:rPr>
  </w:style>
  <w:style w:type="character" w:styleId="HTMLCode">
    <w:name w:val="HTML Code"/>
    <w:uiPriority w:val="99"/>
    <w:unhideWhenUsed/>
    <w:rsid w:val="00171C3C"/>
    <w:rPr>
      <w:rFonts w:ascii="Courier New" w:eastAsia="Times New Roman" w:hAnsi="Courier New" w:cs="Courier New"/>
      <w:sz w:val="20"/>
      <w:szCs w:val="20"/>
    </w:rPr>
  </w:style>
  <w:style w:type="character" w:customStyle="1" w:styleId="i">
    <w:name w:val="i"/>
    <w:basedOn w:val="DefaultParagraphFont"/>
    <w:rsid w:val="00171C3C"/>
  </w:style>
  <w:style w:type="character" w:customStyle="1" w:styleId="b">
    <w:name w:val="b"/>
    <w:basedOn w:val="DefaultParagraphFont"/>
    <w:rsid w:val="00171C3C"/>
  </w:style>
  <w:style w:type="paragraph" w:customStyle="1" w:styleId="Normal2">
    <w:name w:val="Normal 2"/>
    <w:basedOn w:val="Normal"/>
    <w:link w:val="Normal2Char"/>
    <w:qFormat/>
    <w:rsid w:val="00171C3C"/>
    <w:pPr>
      <w:ind w:firstLine="357"/>
    </w:pPr>
    <w:rPr>
      <w:szCs w:val="22"/>
      <w:lang w:val="en-US"/>
    </w:rPr>
  </w:style>
  <w:style w:type="paragraph" w:customStyle="1" w:styleId="ReferenceList">
    <w:name w:val="Reference List"/>
    <w:basedOn w:val="Reference"/>
    <w:link w:val="ReferenceListChar"/>
    <w:qFormat/>
    <w:rsid w:val="00171C3C"/>
    <w:pPr>
      <w:ind w:left="357" w:hanging="357"/>
    </w:pPr>
  </w:style>
  <w:style w:type="character" w:customStyle="1" w:styleId="Normal2Char">
    <w:name w:val="Normal 2 Char"/>
    <w:link w:val="Normal2"/>
    <w:rsid w:val="00171C3C"/>
    <w:rPr>
      <w:rFonts w:ascii="Times New Roman" w:eastAsia="Times New Roman" w:hAnsi="Times New Roman" w:cs="Times New Roman"/>
      <w:snapToGrid w:val="0"/>
      <w:lang w:val="en-US"/>
    </w:rPr>
  </w:style>
  <w:style w:type="paragraph" w:customStyle="1" w:styleId="Acknowledgment">
    <w:name w:val="Acknowledgment"/>
    <w:basedOn w:val="Heading"/>
    <w:link w:val="AppendixChar"/>
    <w:qFormat/>
    <w:rsid w:val="00171C3C"/>
    <w:rPr>
      <w:szCs w:val="22"/>
    </w:rPr>
  </w:style>
  <w:style w:type="character" w:customStyle="1" w:styleId="ReferenceChar">
    <w:name w:val="Reference Char"/>
    <w:link w:val="Reference"/>
    <w:rsid w:val="00171C3C"/>
    <w:rPr>
      <w:rFonts w:ascii="Times New Roman" w:eastAsia="Times New Roman" w:hAnsi="Times New Roman" w:cs="Times New Roman"/>
      <w:snapToGrid w:val="0"/>
      <w:szCs w:val="20"/>
      <w:lang w:val="en-US"/>
    </w:rPr>
  </w:style>
  <w:style w:type="character" w:customStyle="1" w:styleId="ReferenceListChar">
    <w:name w:val="Reference List Char"/>
    <w:basedOn w:val="ReferenceChar"/>
    <w:link w:val="ReferenceList"/>
    <w:rsid w:val="00171C3C"/>
  </w:style>
  <w:style w:type="paragraph" w:customStyle="1" w:styleId="Appendix">
    <w:name w:val="Appendix"/>
    <w:basedOn w:val="Appendices"/>
    <w:link w:val="AppendixChar1"/>
    <w:qFormat/>
    <w:rsid w:val="00171C3C"/>
    <w:rPr>
      <w:szCs w:val="22"/>
    </w:rPr>
  </w:style>
  <w:style w:type="character" w:customStyle="1" w:styleId="HeadingChar">
    <w:name w:val="Heading Char"/>
    <w:link w:val="Heading"/>
    <w:rsid w:val="00171C3C"/>
    <w:rPr>
      <w:rFonts w:ascii="Times New Roman" w:eastAsia="Times New Roman" w:hAnsi="Times New Roman" w:cs="Times New Roman"/>
      <w:b/>
      <w:caps/>
      <w:snapToGrid w:val="0"/>
      <w:szCs w:val="20"/>
      <w:lang w:val="en-US"/>
    </w:rPr>
  </w:style>
  <w:style w:type="character" w:customStyle="1" w:styleId="AppendixChar">
    <w:name w:val="Appendix Char"/>
    <w:basedOn w:val="HeadingChar"/>
    <w:link w:val="Acknowledgment"/>
    <w:rsid w:val="00171C3C"/>
  </w:style>
  <w:style w:type="character" w:styleId="BookTitle">
    <w:name w:val="Book Title"/>
    <w:uiPriority w:val="33"/>
    <w:qFormat/>
    <w:rsid w:val="00171C3C"/>
    <w:rPr>
      <w:b/>
      <w:bCs/>
      <w:smallCaps/>
      <w:spacing w:val="5"/>
    </w:rPr>
  </w:style>
  <w:style w:type="character" w:customStyle="1" w:styleId="AppendicesChar">
    <w:name w:val="Appendices Char"/>
    <w:basedOn w:val="Heading1Char"/>
    <w:link w:val="Appendices"/>
    <w:rsid w:val="00171C3C"/>
  </w:style>
  <w:style w:type="character" w:customStyle="1" w:styleId="AppendixChar1">
    <w:name w:val="Appendix Char1"/>
    <w:basedOn w:val="AppendicesChar"/>
    <w:link w:val="Appendix"/>
    <w:rsid w:val="00171C3C"/>
  </w:style>
  <w:style w:type="paragraph" w:customStyle="1" w:styleId="Code">
    <w:name w:val="Code"/>
    <w:basedOn w:val="ProgramStart"/>
    <w:link w:val="CodeChar"/>
    <w:qFormat/>
    <w:rsid w:val="00171C3C"/>
  </w:style>
  <w:style w:type="character" w:customStyle="1" w:styleId="ProgramChar">
    <w:name w:val="Program Char"/>
    <w:link w:val="Program"/>
    <w:rsid w:val="00171C3C"/>
    <w:rPr>
      <w:rFonts w:ascii="Courier New" w:eastAsia="Times New Roman" w:hAnsi="Courier New" w:cs="Times New Roman"/>
      <w:snapToGrid w:val="0"/>
      <w:sz w:val="18"/>
      <w:szCs w:val="20"/>
      <w:lang w:val="en-US"/>
    </w:rPr>
  </w:style>
  <w:style w:type="character" w:customStyle="1" w:styleId="ProgramStartChar">
    <w:name w:val="ProgramStart Char"/>
    <w:basedOn w:val="ProgramChar"/>
    <w:link w:val="ProgramStart"/>
    <w:rsid w:val="00171C3C"/>
  </w:style>
  <w:style w:type="character" w:customStyle="1" w:styleId="CodeChar">
    <w:name w:val="Code Char"/>
    <w:basedOn w:val="ProgramStartChar"/>
    <w:link w:val="Code"/>
    <w:rsid w:val="00171C3C"/>
  </w:style>
  <w:style w:type="character" w:styleId="FootnoteReference">
    <w:name w:val="footnote reference"/>
    <w:basedOn w:val="DefaultParagraphFont"/>
    <w:rsid w:val="00171C3C"/>
    <w:rPr>
      <w:vertAlign w:val="superscript"/>
    </w:rPr>
  </w:style>
  <w:style w:type="paragraph" w:styleId="ListParagraph">
    <w:name w:val="List Paragraph"/>
    <w:basedOn w:val="Normal"/>
    <w:uiPriority w:val="34"/>
    <w:qFormat/>
    <w:rsid w:val="00171C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rmationstrategy.d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indicators.ic.nhs.uk/web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0D931-F439-4F47-BB43-0557730A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12</Pages>
  <Words>5218</Words>
  <Characters>29747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Quadcore</dc:creator>
  <cp:lastModifiedBy>Dave Quadcore</cp:lastModifiedBy>
  <cp:revision>8</cp:revision>
  <dcterms:created xsi:type="dcterms:W3CDTF">2013-05-11T18:12:00Z</dcterms:created>
  <dcterms:modified xsi:type="dcterms:W3CDTF">2013-05-13T16:40:00Z</dcterms:modified>
</cp:coreProperties>
</file>