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4679511" w14:textId="77777777" w:rsidR="00497F1E" w:rsidRDefault="00497F1E" w:rsidP="00497F1E"/>
    <w:p w14:paraId="54CE78C7" w14:textId="77777777" w:rsidR="00497F1E" w:rsidRDefault="00497F1E" w:rsidP="00497F1E">
      <w:pPr>
        <w:ind w:left="5040"/>
      </w:pPr>
      <w:r>
        <w:rPr>
          <w:noProof/>
        </w:rPr>
        <w:drawing>
          <wp:inline distT="0" distB="0" distL="0" distR="0" wp14:anchorId="596AAFE4" wp14:editId="05BB823F">
            <wp:extent cx="2126485" cy="862965"/>
            <wp:effectExtent l="0" t="0" r="7620" b="0"/>
            <wp:docPr id="630470213" name="Picture 1" descr="Ho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om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138518" cy="867848"/>
                    </a:xfrm>
                    <a:prstGeom prst="rect">
                      <a:avLst/>
                    </a:prstGeom>
                    <a:noFill/>
                    <a:ln>
                      <a:noFill/>
                    </a:ln>
                  </pic:spPr>
                </pic:pic>
              </a:graphicData>
            </a:graphic>
          </wp:inline>
        </w:drawing>
      </w:r>
    </w:p>
    <w:p w14:paraId="0FFC4EB3" w14:textId="77777777" w:rsidR="00497F1E" w:rsidRDefault="00497F1E" w:rsidP="00497F1E"/>
    <w:p w14:paraId="5D63EBC9" w14:textId="77777777" w:rsidR="00497F1E" w:rsidRPr="00EE169F" w:rsidRDefault="00497F1E" w:rsidP="000439E0">
      <w:pPr>
        <w:spacing w:line="480" w:lineRule="auto"/>
        <w:jc w:val="both"/>
        <w:rPr>
          <w:rFonts w:asciiTheme="minorBidi" w:hAnsiTheme="minorBidi"/>
          <w:b/>
          <w:bCs/>
          <w:sz w:val="32"/>
          <w:szCs w:val="32"/>
        </w:rPr>
      </w:pPr>
      <w:r w:rsidRPr="00EE169F">
        <w:rPr>
          <w:rFonts w:asciiTheme="minorBidi" w:hAnsiTheme="minorBidi"/>
          <w:b/>
          <w:bCs/>
          <w:sz w:val="32"/>
          <w:szCs w:val="32"/>
        </w:rPr>
        <w:t xml:space="preserve">UNIVERSITY OF SALFORD </w:t>
      </w:r>
    </w:p>
    <w:p w14:paraId="5D597827" w14:textId="77777777" w:rsidR="00497F1E" w:rsidRPr="00EE169F" w:rsidRDefault="00497F1E" w:rsidP="000439E0">
      <w:pPr>
        <w:spacing w:line="480" w:lineRule="auto"/>
        <w:jc w:val="both"/>
        <w:rPr>
          <w:rFonts w:asciiTheme="minorBidi" w:hAnsiTheme="minorBidi"/>
          <w:b/>
          <w:bCs/>
          <w:sz w:val="32"/>
          <w:szCs w:val="32"/>
        </w:rPr>
      </w:pPr>
      <w:r w:rsidRPr="00EE169F">
        <w:rPr>
          <w:rFonts w:asciiTheme="minorBidi" w:hAnsiTheme="minorBidi"/>
          <w:b/>
          <w:bCs/>
          <w:sz w:val="32"/>
          <w:szCs w:val="32"/>
        </w:rPr>
        <w:t>SALFORD BUSINESS SCHOOL</w:t>
      </w:r>
    </w:p>
    <w:p w14:paraId="4C634CDB" w14:textId="77777777" w:rsidR="00497F1E" w:rsidRPr="00EE169F" w:rsidRDefault="00497F1E" w:rsidP="000439E0">
      <w:pPr>
        <w:spacing w:line="480" w:lineRule="auto"/>
        <w:jc w:val="both"/>
        <w:rPr>
          <w:rFonts w:asciiTheme="minorBidi" w:hAnsiTheme="minorBidi"/>
          <w:b/>
          <w:bCs/>
          <w:sz w:val="32"/>
          <w:szCs w:val="32"/>
        </w:rPr>
      </w:pPr>
      <w:r w:rsidRPr="00EE169F">
        <w:rPr>
          <w:rFonts w:asciiTheme="minorBidi" w:hAnsiTheme="minorBidi"/>
          <w:b/>
          <w:bCs/>
          <w:sz w:val="32"/>
          <w:szCs w:val="32"/>
        </w:rPr>
        <w:t>A Thesis Submitted for the Degree of PhD in Accounting</w:t>
      </w:r>
    </w:p>
    <w:p w14:paraId="18883B7D" w14:textId="77777777" w:rsidR="00497F1E" w:rsidRDefault="00497F1E" w:rsidP="00497F1E"/>
    <w:p w14:paraId="3D5EDA4A" w14:textId="77777777" w:rsidR="00497F1E" w:rsidRDefault="00497F1E" w:rsidP="00497F1E"/>
    <w:p w14:paraId="7AE92557" w14:textId="77777777" w:rsidR="00497F1E" w:rsidRPr="00EE169F" w:rsidRDefault="00497F1E" w:rsidP="00497F1E">
      <w:pPr>
        <w:pBdr>
          <w:top w:val="single" w:sz="4" w:space="1" w:color="auto"/>
          <w:left w:val="single" w:sz="4" w:space="4" w:color="auto"/>
          <w:bottom w:val="single" w:sz="4" w:space="1" w:color="auto"/>
          <w:right w:val="single" w:sz="4" w:space="4" w:color="auto"/>
        </w:pBdr>
        <w:spacing w:line="480" w:lineRule="auto"/>
        <w:jc w:val="both"/>
        <w:rPr>
          <w:rFonts w:asciiTheme="minorBidi" w:hAnsiTheme="minorBidi"/>
          <w:b/>
          <w:bCs/>
          <w:i/>
          <w:iCs/>
          <w:sz w:val="28"/>
          <w:szCs w:val="28"/>
        </w:rPr>
      </w:pPr>
      <w:r w:rsidRPr="00EE169F">
        <w:rPr>
          <w:rFonts w:asciiTheme="minorBidi" w:hAnsiTheme="minorBidi"/>
          <w:b/>
          <w:bCs/>
          <w:i/>
          <w:iCs/>
          <w:sz w:val="28"/>
          <w:szCs w:val="28"/>
        </w:rPr>
        <w:t>Challenging Accounting Fraud</w:t>
      </w:r>
      <w:r>
        <w:rPr>
          <w:rFonts w:asciiTheme="minorBidi" w:hAnsiTheme="minorBidi"/>
          <w:b/>
          <w:bCs/>
          <w:i/>
          <w:iCs/>
          <w:sz w:val="28"/>
          <w:szCs w:val="28"/>
        </w:rPr>
        <w:t xml:space="preserve"> </w:t>
      </w:r>
      <w:r w:rsidRPr="00EE169F">
        <w:rPr>
          <w:rFonts w:asciiTheme="minorBidi" w:hAnsiTheme="minorBidi"/>
          <w:b/>
          <w:bCs/>
          <w:i/>
          <w:iCs/>
          <w:sz w:val="28"/>
          <w:szCs w:val="28"/>
        </w:rPr>
        <w:t xml:space="preserve">and The Corporate Psychopath Accountant through Blockchain Technology. </w:t>
      </w:r>
    </w:p>
    <w:p w14:paraId="5D4A805A" w14:textId="77777777" w:rsidR="00497F1E" w:rsidRDefault="00497F1E" w:rsidP="00497F1E"/>
    <w:p w14:paraId="0E2ADF61" w14:textId="77777777" w:rsidR="00497F1E" w:rsidRDefault="00497F1E" w:rsidP="00497F1E">
      <w:pPr>
        <w:rPr>
          <w:rFonts w:ascii="Arial" w:hAnsi="Arial" w:cs="Arial"/>
          <w:b/>
          <w:bCs/>
        </w:rPr>
      </w:pPr>
    </w:p>
    <w:p w14:paraId="1DC8482F" w14:textId="77777777" w:rsidR="00497F1E" w:rsidRDefault="00497F1E" w:rsidP="00497F1E">
      <w:pPr>
        <w:rPr>
          <w:rFonts w:ascii="Arial" w:hAnsi="Arial" w:cs="Arial"/>
          <w:b/>
          <w:bCs/>
        </w:rPr>
      </w:pPr>
    </w:p>
    <w:p w14:paraId="2785F28A" w14:textId="77777777" w:rsidR="00497F1E" w:rsidRDefault="00497F1E" w:rsidP="00497F1E">
      <w:pPr>
        <w:rPr>
          <w:rFonts w:ascii="Arial" w:hAnsi="Arial" w:cs="Arial"/>
          <w:b/>
          <w:bCs/>
        </w:rPr>
      </w:pPr>
    </w:p>
    <w:p w14:paraId="58B66C34" w14:textId="77777777" w:rsidR="00497F1E" w:rsidRDefault="00497F1E" w:rsidP="00497F1E">
      <w:pPr>
        <w:rPr>
          <w:rFonts w:ascii="Arial" w:hAnsi="Arial" w:cs="Arial"/>
          <w:b/>
          <w:bCs/>
        </w:rPr>
      </w:pPr>
    </w:p>
    <w:p w14:paraId="6961D916" w14:textId="77777777" w:rsidR="00497F1E" w:rsidRDefault="00497F1E" w:rsidP="00497F1E">
      <w:pPr>
        <w:rPr>
          <w:rFonts w:ascii="Arial" w:hAnsi="Arial" w:cs="Arial"/>
          <w:b/>
          <w:bCs/>
        </w:rPr>
      </w:pPr>
    </w:p>
    <w:p w14:paraId="69D204CB" w14:textId="77777777" w:rsidR="00497F1E" w:rsidRDefault="00497F1E" w:rsidP="00497F1E">
      <w:pPr>
        <w:rPr>
          <w:rFonts w:ascii="Arial" w:hAnsi="Arial" w:cs="Arial"/>
          <w:b/>
          <w:bCs/>
        </w:rPr>
      </w:pPr>
    </w:p>
    <w:p w14:paraId="0DBDAA8C" w14:textId="77777777" w:rsidR="003E44A1" w:rsidRDefault="003E44A1" w:rsidP="00497F1E">
      <w:pPr>
        <w:rPr>
          <w:rFonts w:ascii="Arial" w:hAnsi="Arial" w:cs="Arial"/>
          <w:b/>
          <w:bCs/>
        </w:rPr>
      </w:pPr>
    </w:p>
    <w:p w14:paraId="390EDDDA" w14:textId="77777777" w:rsidR="00497F1E" w:rsidRDefault="00497F1E" w:rsidP="00497F1E">
      <w:pPr>
        <w:rPr>
          <w:rFonts w:ascii="Arial" w:hAnsi="Arial" w:cs="Arial"/>
          <w:b/>
          <w:bCs/>
        </w:rPr>
      </w:pPr>
    </w:p>
    <w:p w14:paraId="0A61C293" w14:textId="77777777" w:rsidR="00497F1E" w:rsidRPr="00EE169F" w:rsidRDefault="00497F1E" w:rsidP="00497F1E">
      <w:pPr>
        <w:spacing w:line="480" w:lineRule="auto"/>
        <w:rPr>
          <w:rFonts w:ascii="Arial" w:hAnsi="Arial" w:cs="Arial"/>
          <w:b/>
          <w:bCs/>
        </w:rPr>
      </w:pPr>
      <w:r w:rsidRPr="00EE169F">
        <w:rPr>
          <w:rFonts w:ascii="Arial" w:hAnsi="Arial" w:cs="Arial"/>
          <w:b/>
          <w:bCs/>
        </w:rPr>
        <w:t xml:space="preserve">By </w:t>
      </w:r>
    </w:p>
    <w:p w14:paraId="637234BA" w14:textId="77777777" w:rsidR="00497F1E" w:rsidRPr="00EE169F" w:rsidRDefault="00497F1E" w:rsidP="00497F1E">
      <w:pPr>
        <w:spacing w:line="480" w:lineRule="auto"/>
        <w:rPr>
          <w:rFonts w:ascii="Arial" w:hAnsi="Arial" w:cs="Arial"/>
          <w:b/>
          <w:bCs/>
        </w:rPr>
      </w:pPr>
      <w:r w:rsidRPr="00EE169F">
        <w:rPr>
          <w:rFonts w:ascii="Arial" w:hAnsi="Arial" w:cs="Arial"/>
          <w:b/>
          <w:bCs/>
        </w:rPr>
        <w:t xml:space="preserve">Dr. Faisal Sheikh </w:t>
      </w:r>
    </w:p>
    <w:p w14:paraId="2F5DADAC" w14:textId="77777777" w:rsidR="00497F1E" w:rsidRDefault="00497F1E" w:rsidP="00497F1E">
      <w:pPr>
        <w:spacing w:line="480" w:lineRule="auto"/>
        <w:rPr>
          <w:rFonts w:ascii="Arial" w:hAnsi="Arial" w:cs="Arial"/>
          <w:b/>
          <w:bCs/>
        </w:rPr>
      </w:pPr>
      <w:r w:rsidRPr="00EE169F">
        <w:rPr>
          <w:rFonts w:ascii="Arial" w:hAnsi="Arial" w:cs="Arial"/>
          <w:b/>
          <w:bCs/>
        </w:rPr>
        <w:t xml:space="preserve">PhD, FCCA, BSc. (Hons) </w:t>
      </w:r>
    </w:p>
    <w:p w14:paraId="37DC5AC1" w14:textId="67EFC748" w:rsidR="00497F1E" w:rsidRPr="00EE169F" w:rsidRDefault="00497F1E" w:rsidP="00497F1E">
      <w:pPr>
        <w:spacing w:line="480" w:lineRule="auto"/>
        <w:jc w:val="both"/>
        <w:rPr>
          <w:rFonts w:asciiTheme="minorBidi" w:hAnsiTheme="minorBidi"/>
          <w:b/>
          <w:bCs/>
          <w:sz w:val="28"/>
          <w:szCs w:val="28"/>
        </w:rPr>
      </w:pPr>
      <w:r w:rsidRPr="00EE169F">
        <w:rPr>
          <w:rFonts w:asciiTheme="minorBidi" w:hAnsiTheme="minorBidi"/>
          <w:b/>
          <w:bCs/>
          <w:sz w:val="28"/>
          <w:szCs w:val="28"/>
        </w:rPr>
        <w:lastRenderedPageBreak/>
        <w:t xml:space="preserve">DECLARATION </w:t>
      </w:r>
    </w:p>
    <w:p w14:paraId="1B926B97" w14:textId="77777777" w:rsidR="00497F1E" w:rsidRPr="00EE169F" w:rsidRDefault="00497F1E" w:rsidP="00497F1E">
      <w:pPr>
        <w:spacing w:line="480" w:lineRule="auto"/>
        <w:jc w:val="both"/>
        <w:rPr>
          <w:rFonts w:asciiTheme="minorBidi" w:hAnsiTheme="minorBidi"/>
          <w:b/>
          <w:bCs/>
          <w:sz w:val="28"/>
          <w:szCs w:val="28"/>
        </w:rPr>
      </w:pPr>
      <w:r w:rsidRPr="00EE169F">
        <w:rPr>
          <w:rFonts w:asciiTheme="minorBidi" w:hAnsiTheme="minorBidi"/>
          <w:b/>
          <w:bCs/>
          <w:sz w:val="28"/>
          <w:szCs w:val="28"/>
        </w:rPr>
        <w:t xml:space="preserve">This Thesis is submitted in partial fulfilment of The PhD in Accounting. </w:t>
      </w:r>
    </w:p>
    <w:p w14:paraId="5B3652A6" w14:textId="77777777" w:rsidR="00497F1E" w:rsidRPr="00EE169F" w:rsidRDefault="00497F1E" w:rsidP="00497F1E">
      <w:pPr>
        <w:spacing w:line="480" w:lineRule="auto"/>
        <w:jc w:val="both"/>
        <w:rPr>
          <w:rFonts w:asciiTheme="minorBidi" w:hAnsiTheme="minorBidi"/>
        </w:rPr>
      </w:pPr>
    </w:p>
    <w:p w14:paraId="4E0D9F7E" w14:textId="77777777" w:rsidR="00497F1E" w:rsidRPr="00EE169F" w:rsidRDefault="00497F1E" w:rsidP="00497F1E">
      <w:pPr>
        <w:spacing w:line="480" w:lineRule="auto"/>
        <w:jc w:val="both"/>
        <w:rPr>
          <w:rFonts w:asciiTheme="minorBidi" w:hAnsiTheme="minorBidi"/>
        </w:rPr>
      </w:pPr>
      <w:r w:rsidRPr="00EE169F">
        <w:rPr>
          <w:rFonts w:asciiTheme="minorBidi" w:hAnsiTheme="minorBidi"/>
        </w:rPr>
        <w:t xml:space="preserve">I declare that this Thesis is the result of my own independent work and investigation. I also declare that all sources are accordingly acknowledged in the References. The material contained within this Dissertation has not been previously submitted to any degree. </w:t>
      </w:r>
    </w:p>
    <w:p w14:paraId="7BAC81E8" w14:textId="77777777" w:rsidR="00497F1E" w:rsidRPr="00EE169F" w:rsidRDefault="00497F1E" w:rsidP="00497F1E">
      <w:pPr>
        <w:spacing w:line="480" w:lineRule="auto"/>
        <w:jc w:val="both"/>
        <w:rPr>
          <w:rFonts w:asciiTheme="minorBidi" w:hAnsiTheme="minorBidi"/>
        </w:rPr>
      </w:pPr>
    </w:p>
    <w:p w14:paraId="24009905" w14:textId="77777777" w:rsidR="00497F1E" w:rsidRPr="00EE169F" w:rsidRDefault="00497F1E" w:rsidP="00497F1E">
      <w:pPr>
        <w:spacing w:line="480" w:lineRule="auto"/>
        <w:jc w:val="both"/>
        <w:rPr>
          <w:rFonts w:asciiTheme="minorBidi" w:hAnsiTheme="minorBidi"/>
        </w:rPr>
      </w:pPr>
      <w:r w:rsidRPr="00EE169F">
        <w:rPr>
          <w:rFonts w:asciiTheme="minorBidi" w:hAnsiTheme="minorBidi"/>
        </w:rPr>
        <w:t xml:space="preserve">Dr. </w:t>
      </w:r>
      <w:r>
        <w:rPr>
          <w:rFonts w:asciiTheme="minorBidi" w:hAnsiTheme="minorBidi"/>
        </w:rPr>
        <w:t xml:space="preserve">Faisal Sheikh </w:t>
      </w:r>
      <w:r w:rsidRPr="00EE169F">
        <w:rPr>
          <w:rFonts w:asciiTheme="minorBidi" w:hAnsiTheme="minorBidi"/>
        </w:rPr>
        <w:t xml:space="preserve"> </w:t>
      </w:r>
    </w:p>
    <w:p w14:paraId="45FB127B" w14:textId="77777777" w:rsidR="00497F1E" w:rsidRPr="00EE169F" w:rsidRDefault="00497F1E" w:rsidP="00497F1E">
      <w:pPr>
        <w:spacing w:line="480" w:lineRule="auto"/>
        <w:jc w:val="both"/>
        <w:rPr>
          <w:rFonts w:asciiTheme="minorBidi" w:hAnsiTheme="minorBidi"/>
        </w:rPr>
      </w:pPr>
    </w:p>
    <w:p w14:paraId="4C00E554" w14:textId="5A5ED93B" w:rsidR="00497F1E" w:rsidRPr="00EE169F" w:rsidRDefault="00497F1E" w:rsidP="00497F1E">
      <w:pPr>
        <w:spacing w:line="480" w:lineRule="auto"/>
        <w:jc w:val="both"/>
        <w:rPr>
          <w:rFonts w:asciiTheme="minorBidi" w:hAnsiTheme="minorBidi"/>
        </w:rPr>
      </w:pPr>
      <w:r w:rsidRPr="00EE169F">
        <w:rPr>
          <w:rFonts w:asciiTheme="minorBidi" w:hAnsiTheme="minorBidi"/>
        </w:rPr>
        <w:t xml:space="preserve">Date: </w:t>
      </w:r>
      <w:r w:rsidR="00F47802">
        <w:rPr>
          <w:rFonts w:asciiTheme="minorBidi" w:hAnsiTheme="minorBidi"/>
        </w:rPr>
        <w:t>4</w:t>
      </w:r>
      <w:r w:rsidR="00F47802" w:rsidRPr="00F47802">
        <w:rPr>
          <w:rFonts w:asciiTheme="minorBidi" w:hAnsiTheme="minorBidi"/>
          <w:vertAlign w:val="superscript"/>
        </w:rPr>
        <w:t>th</w:t>
      </w:r>
      <w:r w:rsidR="00F47802">
        <w:rPr>
          <w:rFonts w:asciiTheme="minorBidi" w:hAnsiTheme="minorBidi"/>
        </w:rPr>
        <w:t xml:space="preserve"> August </w:t>
      </w:r>
      <w:r w:rsidRPr="00EE169F">
        <w:rPr>
          <w:rFonts w:asciiTheme="minorBidi" w:hAnsiTheme="minorBidi"/>
        </w:rPr>
        <w:t>2024</w:t>
      </w:r>
    </w:p>
    <w:p w14:paraId="638122A6" w14:textId="77777777" w:rsidR="006527AA" w:rsidRDefault="006527AA" w:rsidP="00E749D9">
      <w:pPr>
        <w:spacing w:line="480" w:lineRule="auto"/>
        <w:rPr>
          <w:rFonts w:asciiTheme="minorBidi" w:hAnsiTheme="minorBidi"/>
          <w:b/>
          <w:bCs/>
          <w:sz w:val="36"/>
          <w:szCs w:val="36"/>
        </w:rPr>
      </w:pPr>
    </w:p>
    <w:p w14:paraId="6B1944F9" w14:textId="77777777" w:rsidR="006527AA" w:rsidRDefault="006527AA" w:rsidP="00E749D9">
      <w:pPr>
        <w:spacing w:line="480" w:lineRule="auto"/>
        <w:rPr>
          <w:rFonts w:asciiTheme="minorBidi" w:hAnsiTheme="minorBidi"/>
          <w:b/>
          <w:bCs/>
          <w:sz w:val="36"/>
          <w:szCs w:val="36"/>
        </w:rPr>
      </w:pPr>
    </w:p>
    <w:p w14:paraId="6E91168D" w14:textId="77777777" w:rsidR="006527AA" w:rsidRDefault="006527AA" w:rsidP="00E749D9">
      <w:pPr>
        <w:spacing w:line="480" w:lineRule="auto"/>
        <w:rPr>
          <w:rFonts w:asciiTheme="minorBidi" w:hAnsiTheme="minorBidi"/>
          <w:b/>
          <w:bCs/>
          <w:sz w:val="36"/>
          <w:szCs w:val="36"/>
        </w:rPr>
      </w:pPr>
    </w:p>
    <w:p w14:paraId="5EB108FF" w14:textId="77777777" w:rsidR="006527AA" w:rsidRDefault="006527AA" w:rsidP="00E749D9">
      <w:pPr>
        <w:spacing w:line="480" w:lineRule="auto"/>
        <w:rPr>
          <w:rFonts w:asciiTheme="minorBidi" w:hAnsiTheme="minorBidi"/>
          <w:b/>
          <w:bCs/>
          <w:sz w:val="36"/>
          <w:szCs w:val="36"/>
        </w:rPr>
      </w:pPr>
    </w:p>
    <w:p w14:paraId="633A04A2" w14:textId="77777777" w:rsidR="006527AA" w:rsidRDefault="006527AA" w:rsidP="00E749D9">
      <w:pPr>
        <w:spacing w:line="480" w:lineRule="auto"/>
        <w:rPr>
          <w:rFonts w:asciiTheme="minorBidi" w:hAnsiTheme="minorBidi"/>
          <w:b/>
          <w:bCs/>
          <w:sz w:val="36"/>
          <w:szCs w:val="36"/>
        </w:rPr>
      </w:pPr>
    </w:p>
    <w:p w14:paraId="2655429E" w14:textId="77777777" w:rsidR="00497F1E" w:rsidRDefault="00497F1E" w:rsidP="00E749D9">
      <w:pPr>
        <w:spacing w:line="480" w:lineRule="auto"/>
        <w:rPr>
          <w:rFonts w:asciiTheme="minorBidi" w:hAnsiTheme="minorBidi"/>
          <w:b/>
          <w:bCs/>
          <w:sz w:val="36"/>
          <w:szCs w:val="36"/>
        </w:rPr>
      </w:pPr>
    </w:p>
    <w:p w14:paraId="717E66A3" w14:textId="77777777" w:rsidR="00AF5681" w:rsidRPr="009413FF" w:rsidRDefault="00CC3F13" w:rsidP="009413FF">
      <w:pPr>
        <w:pBdr>
          <w:top w:val="single" w:sz="4" w:space="1" w:color="auto"/>
          <w:left w:val="single" w:sz="4" w:space="4" w:color="auto"/>
          <w:bottom w:val="single" w:sz="4" w:space="1" w:color="auto"/>
          <w:right w:val="single" w:sz="4" w:space="4" w:color="auto"/>
        </w:pBdr>
        <w:rPr>
          <w:rFonts w:asciiTheme="minorBidi" w:hAnsiTheme="minorBidi"/>
          <w:b/>
          <w:bCs/>
        </w:rPr>
      </w:pPr>
      <w:r w:rsidRPr="009413FF">
        <w:rPr>
          <w:rFonts w:asciiTheme="minorBidi" w:hAnsiTheme="minorBidi"/>
          <w:b/>
          <w:bCs/>
        </w:rPr>
        <w:lastRenderedPageBreak/>
        <w:t>Acknowledgement</w:t>
      </w:r>
    </w:p>
    <w:p w14:paraId="1F0E4D30" w14:textId="54BE95AC" w:rsidR="00FF0285" w:rsidRPr="00FF0285" w:rsidRDefault="00FF0285" w:rsidP="00FF0285">
      <w:pPr>
        <w:spacing w:line="480" w:lineRule="auto"/>
        <w:jc w:val="both"/>
        <w:rPr>
          <w:rFonts w:ascii="Arial" w:hAnsi="Arial" w:cs="Arial"/>
        </w:rPr>
      </w:pPr>
      <w:r w:rsidRPr="00FF0285">
        <w:rPr>
          <w:rFonts w:ascii="Arial" w:hAnsi="Arial" w:cs="Arial"/>
        </w:rPr>
        <w:t>This six-year doctoral journey has been marked by both profound joy and intense creative struggle—a period in which I stared into the 'Nietzschean abyss' yet emerged wiser and stronger. This transformation was made possible by the unwavering support of my "village," including Brian Leigh, Martin Walsh, and especially my supervisors, Tony Syme and Fateha Shaheen. My deepest and most heartfelt gratitude goes to my beloved wife, Ruby, and my beautiful daughters—Zahrah, Maryam, and Halimah—whose love and encouragement sustained me throughout</w:t>
      </w:r>
      <w:r w:rsidR="00B80BE7">
        <w:rPr>
          <w:rFonts w:ascii="Arial" w:hAnsi="Arial" w:cs="Arial"/>
        </w:rPr>
        <w:t>.</w:t>
      </w:r>
      <w:r>
        <w:rPr>
          <w:rFonts w:ascii="Arial" w:hAnsi="Arial" w:cs="Arial"/>
        </w:rPr>
        <w:t xml:space="preserve"> </w:t>
      </w:r>
      <w:r w:rsidR="00AF5681" w:rsidRPr="00FF0285">
        <w:rPr>
          <w:rFonts w:ascii="Arial" w:hAnsi="Arial" w:cs="Arial"/>
        </w:rPr>
        <w:t xml:space="preserve">In the words of Rumi, </w:t>
      </w:r>
    </w:p>
    <w:p w14:paraId="6F09160E" w14:textId="77777777" w:rsidR="00AF5681" w:rsidRDefault="00AF5681" w:rsidP="003E5C81">
      <w:pPr>
        <w:pStyle w:val="NoSpacing"/>
        <w:spacing w:line="480" w:lineRule="auto"/>
        <w:rPr>
          <w:rFonts w:ascii="Arial" w:hAnsi="Arial" w:cs="Arial"/>
          <w:b/>
          <w:bCs/>
          <w:sz w:val="24"/>
          <w:szCs w:val="24"/>
          <w:shd w:val="clear" w:color="auto" w:fill="FFFFFF"/>
        </w:rPr>
      </w:pPr>
      <w:r w:rsidRPr="00DA16C5">
        <w:rPr>
          <w:rFonts w:ascii="Arial" w:hAnsi="Arial" w:cs="Arial"/>
          <w:b/>
          <w:bCs/>
          <w:sz w:val="24"/>
          <w:szCs w:val="24"/>
          <w:shd w:val="clear" w:color="auto" w:fill="FFFFFF"/>
        </w:rPr>
        <w:t>“</w:t>
      </w:r>
      <w:r w:rsidRPr="00DA16C5">
        <w:rPr>
          <w:rFonts w:ascii="Arial" w:hAnsi="Arial" w:cs="Arial"/>
          <w:b/>
          <w:bCs/>
          <w:i/>
          <w:iCs/>
          <w:sz w:val="24"/>
          <w:szCs w:val="24"/>
          <w:shd w:val="clear" w:color="auto" w:fill="FFFFFF"/>
        </w:rPr>
        <w:t>On the seeker’s path, wise men and fools are one.</w:t>
      </w:r>
      <w:r w:rsidRPr="00DA16C5">
        <w:rPr>
          <w:rFonts w:ascii="Arial" w:hAnsi="Arial" w:cs="Arial"/>
          <w:b/>
          <w:bCs/>
          <w:i/>
          <w:iCs/>
          <w:sz w:val="24"/>
          <w:szCs w:val="24"/>
        </w:rPr>
        <w:br/>
      </w:r>
      <w:r w:rsidRPr="00DA16C5">
        <w:rPr>
          <w:rFonts w:ascii="Arial" w:hAnsi="Arial" w:cs="Arial"/>
          <w:b/>
          <w:bCs/>
          <w:i/>
          <w:iCs/>
          <w:sz w:val="24"/>
          <w:szCs w:val="24"/>
          <w:shd w:val="clear" w:color="auto" w:fill="FFFFFF"/>
        </w:rPr>
        <w:t>In His love, brothers and strangers are one.</w:t>
      </w:r>
      <w:r w:rsidRPr="00DA16C5">
        <w:rPr>
          <w:rFonts w:ascii="Arial" w:hAnsi="Arial" w:cs="Arial"/>
          <w:b/>
          <w:bCs/>
          <w:i/>
          <w:iCs/>
          <w:sz w:val="24"/>
          <w:szCs w:val="24"/>
        </w:rPr>
        <w:br/>
      </w:r>
      <w:r w:rsidRPr="00DA16C5">
        <w:rPr>
          <w:rFonts w:ascii="Arial" w:hAnsi="Arial" w:cs="Arial"/>
          <w:b/>
          <w:bCs/>
          <w:i/>
          <w:iCs/>
          <w:sz w:val="24"/>
          <w:szCs w:val="24"/>
          <w:shd w:val="clear" w:color="auto" w:fill="FFFFFF"/>
        </w:rPr>
        <w:t>Go on! Drink the wine of the Beloved!</w:t>
      </w:r>
      <w:r w:rsidRPr="00DA16C5">
        <w:rPr>
          <w:rFonts w:ascii="Arial" w:hAnsi="Arial" w:cs="Arial"/>
          <w:b/>
          <w:bCs/>
          <w:i/>
          <w:iCs/>
          <w:sz w:val="24"/>
          <w:szCs w:val="24"/>
        </w:rPr>
        <w:br/>
      </w:r>
      <w:r w:rsidRPr="00DA16C5">
        <w:rPr>
          <w:rFonts w:ascii="Arial" w:hAnsi="Arial" w:cs="Arial"/>
          <w:b/>
          <w:bCs/>
          <w:i/>
          <w:iCs/>
          <w:sz w:val="24"/>
          <w:szCs w:val="24"/>
          <w:shd w:val="clear" w:color="auto" w:fill="FFFFFF"/>
        </w:rPr>
        <w:t>In that faith, Muslims and pagans are one” …</w:t>
      </w:r>
    </w:p>
    <w:p w14:paraId="4AA01484" w14:textId="77777777" w:rsidR="00AF5681" w:rsidRDefault="00AF5681" w:rsidP="003E5C81">
      <w:pPr>
        <w:pStyle w:val="NoSpacing"/>
        <w:spacing w:line="480" w:lineRule="auto"/>
        <w:rPr>
          <w:rFonts w:ascii="Arial" w:hAnsi="Arial" w:cs="Arial"/>
          <w:b/>
          <w:bCs/>
          <w:sz w:val="24"/>
          <w:szCs w:val="24"/>
          <w:shd w:val="clear" w:color="auto" w:fill="FFFFFF"/>
        </w:rPr>
      </w:pPr>
    </w:p>
    <w:p w14:paraId="7A3FE87D" w14:textId="77777777" w:rsidR="00AF5681" w:rsidRDefault="00AF5681" w:rsidP="003E5C81">
      <w:pPr>
        <w:pStyle w:val="NoSpacing"/>
        <w:spacing w:line="480" w:lineRule="auto"/>
        <w:rPr>
          <w:rFonts w:ascii="Arial" w:hAnsi="Arial" w:cs="Arial"/>
          <w:b/>
          <w:bCs/>
          <w:sz w:val="24"/>
          <w:szCs w:val="24"/>
          <w:shd w:val="clear" w:color="auto" w:fill="FFFFFF"/>
        </w:rPr>
      </w:pPr>
      <w:r>
        <w:rPr>
          <w:rFonts w:ascii="Arial" w:hAnsi="Arial" w:cs="Arial"/>
          <w:b/>
          <w:bCs/>
          <w:sz w:val="24"/>
          <w:szCs w:val="24"/>
          <w:shd w:val="clear" w:color="auto" w:fill="FFFFFF"/>
        </w:rPr>
        <w:t>I am to learn…</w:t>
      </w:r>
    </w:p>
    <w:p w14:paraId="00C6E9C4" w14:textId="77777777" w:rsidR="00AF5681" w:rsidRDefault="00AF5681" w:rsidP="003E5C81">
      <w:pPr>
        <w:pStyle w:val="NoSpacing"/>
        <w:spacing w:line="480" w:lineRule="auto"/>
        <w:rPr>
          <w:rFonts w:ascii="Arial" w:hAnsi="Arial" w:cs="Arial"/>
          <w:b/>
          <w:bCs/>
          <w:sz w:val="24"/>
          <w:szCs w:val="24"/>
          <w:shd w:val="clear" w:color="auto" w:fill="FFFFFF"/>
        </w:rPr>
      </w:pPr>
    </w:p>
    <w:p w14:paraId="6A02BC79" w14:textId="56E799FA" w:rsidR="00AF5681" w:rsidRPr="00DA16C5" w:rsidRDefault="00AF5681" w:rsidP="003E5C81">
      <w:pPr>
        <w:pStyle w:val="NoSpacing"/>
        <w:spacing w:line="480" w:lineRule="auto"/>
        <w:rPr>
          <w:rFonts w:ascii="Arial" w:hAnsi="Arial" w:cs="Arial"/>
          <w:sz w:val="24"/>
          <w:szCs w:val="24"/>
          <w:shd w:val="clear" w:color="auto" w:fill="FFFFFF"/>
        </w:rPr>
      </w:pPr>
      <w:r w:rsidRPr="00DA16C5">
        <w:rPr>
          <w:rFonts w:ascii="Arial" w:hAnsi="Arial" w:cs="Arial"/>
          <w:sz w:val="24"/>
          <w:szCs w:val="24"/>
          <w:shd w:val="clear" w:color="auto" w:fill="FFFFFF"/>
        </w:rPr>
        <w:t xml:space="preserve">Faisal Sheikh </w:t>
      </w:r>
    </w:p>
    <w:p w14:paraId="5906B90D" w14:textId="38DD335F" w:rsidR="00CC3F13" w:rsidRDefault="00AF5681" w:rsidP="003E5C81">
      <w:pPr>
        <w:spacing w:line="480" w:lineRule="auto"/>
        <w:rPr>
          <w:rFonts w:ascii="Arial" w:hAnsi="Arial" w:cs="Arial"/>
        </w:rPr>
      </w:pPr>
      <w:r w:rsidRPr="00AF5681">
        <w:rPr>
          <w:rFonts w:ascii="Arial" w:hAnsi="Arial" w:cs="Arial"/>
        </w:rPr>
        <w:t>22</w:t>
      </w:r>
      <w:r w:rsidRPr="00AF5681">
        <w:rPr>
          <w:rFonts w:ascii="Arial" w:hAnsi="Arial" w:cs="Arial"/>
          <w:vertAlign w:val="superscript"/>
        </w:rPr>
        <w:t>nd</w:t>
      </w:r>
      <w:r w:rsidRPr="00AF5681">
        <w:rPr>
          <w:rFonts w:ascii="Arial" w:hAnsi="Arial" w:cs="Arial"/>
        </w:rPr>
        <w:t xml:space="preserve"> July 2024</w:t>
      </w:r>
    </w:p>
    <w:p w14:paraId="48D858A7" w14:textId="77777777" w:rsidR="00B402F9" w:rsidRDefault="00B402F9" w:rsidP="00E749D9">
      <w:pPr>
        <w:spacing w:line="480" w:lineRule="auto"/>
        <w:rPr>
          <w:rFonts w:ascii="Arial" w:hAnsi="Arial" w:cs="Arial"/>
        </w:rPr>
      </w:pPr>
    </w:p>
    <w:p w14:paraId="2BC3B035" w14:textId="77777777" w:rsidR="00B402F9" w:rsidRDefault="00B402F9" w:rsidP="00E749D9">
      <w:pPr>
        <w:spacing w:line="480" w:lineRule="auto"/>
        <w:rPr>
          <w:rFonts w:ascii="Arial" w:hAnsi="Arial" w:cs="Arial"/>
        </w:rPr>
      </w:pPr>
    </w:p>
    <w:p w14:paraId="2C302695" w14:textId="77777777" w:rsidR="00B402F9" w:rsidRDefault="00B402F9" w:rsidP="00E749D9">
      <w:pPr>
        <w:spacing w:line="480" w:lineRule="auto"/>
        <w:rPr>
          <w:rFonts w:ascii="Arial" w:hAnsi="Arial" w:cs="Arial"/>
        </w:rPr>
      </w:pPr>
    </w:p>
    <w:p w14:paraId="661C477C" w14:textId="77777777" w:rsidR="007205F4" w:rsidRDefault="007205F4" w:rsidP="00E749D9">
      <w:pPr>
        <w:spacing w:line="480" w:lineRule="auto"/>
        <w:rPr>
          <w:rFonts w:ascii="Arial" w:hAnsi="Arial" w:cs="Arial"/>
        </w:rPr>
      </w:pPr>
    </w:p>
    <w:p w14:paraId="1B65B2A0" w14:textId="77777777" w:rsidR="003E44A1" w:rsidRDefault="003E44A1" w:rsidP="00E749D9">
      <w:pPr>
        <w:spacing w:line="480" w:lineRule="auto"/>
        <w:rPr>
          <w:rFonts w:ascii="Arial" w:hAnsi="Arial" w:cs="Arial"/>
        </w:rPr>
      </w:pPr>
    </w:p>
    <w:p w14:paraId="33B0FB58" w14:textId="77777777" w:rsidR="00FF0285" w:rsidRDefault="00FF0285" w:rsidP="00E749D9">
      <w:pPr>
        <w:spacing w:line="480" w:lineRule="auto"/>
        <w:rPr>
          <w:rFonts w:ascii="Arial" w:hAnsi="Arial" w:cs="Arial"/>
        </w:rPr>
      </w:pPr>
    </w:p>
    <w:p w14:paraId="4BA40838" w14:textId="5ECCBB61" w:rsidR="00B402F9" w:rsidRPr="009413FF" w:rsidRDefault="00B402F9" w:rsidP="009413FF">
      <w:pPr>
        <w:pBdr>
          <w:top w:val="single" w:sz="4" w:space="1" w:color="auto"/>
          <w:left w:val="single" w:sz="4" w:space="4" w:color="auto"/>
          <w:bottom w:val="single" w:sz="4" w:space="1" w:color="auto"/>
          <w:right w:val="single" w:sz="4" w:space="4" w:color="auto"/>
        </w:pBdr>
        <w:rPr>
          <w:rFonts w:asciiTheme="minorBidi" w:hAnsiTheme="minorBidi"/>
          <w:b/>
          <w:bCs/>
        </w:rPr>
      </w:pPr>
      <w:r w:rsidRPr="009413FF">
        <w:rPr>
          <w:rFonts w:asciiTheme="minorBidi" w:hAnsiTheme="minorBidi"/>
          <w:b/>
          <w:bCs/>
        </w:rPr>
        <w:lastRenderedPageBreak/>
        <w:t>Abstract</w:t>
      </w:r>
    </w:p>
    <w:p w14:paraId="4BD7965A" w14:textId="3C907E1F" w:rsidR="009413FF" w:rsidRPr="00905EC8" w:rsidRDefault="009413FF" w:rsidP="003E5C81">
      <w:pPr>
        <w:pStyle w:val="NormalWeb"/>
        <w:spacing w:line="480" w:lineRule="auto"/>
        <w:jc w:val="both"/>
        <w:rPr>
          <w:rFonts w:asciiTheme="minorBidi" w:hAnsiTheme="minorBidi" w:cstheme="minorBidi"/>
        </w:rPr>
      </w:pPr>
      <w:r w:rsidRPr="00905EC8">
        <w:rPr>
          <w:rFonts w:asciiTheme="minorBidi" w:hAnsiTheme="minorBidi" w:cstheme="minorBidi"/>
        </w:rPr>
        <w:t>This research focuses on understanding why Accounting Fraud (AF) persists despite advancements in internal controls, corporate governance, and audit standards. Existing literature mainly focuses on how AF is undertaken, the motivations for why it occurs, and how this phenomenon may be prevented, deterred, and detected. However, the literature does not adequately address the influence of personality types within corporate environments. Recent research has highlighted three nonstandard personality types—narcissism, Machiavellianism, and psychopathy, collectively known as the Dark Triad—whose behaviours may help to explain AF. Therefore, this study focuses on modelling psychopathy, posits the existence of the Corporate Psychopath Accountant (CPA), and explores the extent to which nascent Blockchain Technology (BCT) could mitigate AF and limit the influence of the CPA.</w:t>
      </w:r>
    </w:p>
    <w:p w14:paraId="28AFEA0A" w14:textId="77777777" w:rsidR="009413FF" w:rsidRDefault="009413FF" w:rsidP="003E5C81">
      <w:pPr>
        <w:pStyle w:val="NormalWeb"/>
        <w:spacing w:line="480" w:lineRule="auto"/>
        <w:jc w:val="both"/>
        <w:rPr>
          <w:rFonts w:asciiTheme="minorBidi" w:hAnsiTheme="minorBidi" w:cstheme="minorBidi"/>
        </w:rPr>
      </w:pPr>
      <w:r w:rsidRPr="00905EC8">
        <w:rPr>
          <w:rFonts w:asciiTheme="minorBidi" w:hAnsiTheme="minorBidi" w:cstheme="minorBidi"/>
        </w:rPr>
        <w:t>This research is located in the positivist epistemology, utili</w:t>
      </w:r>
      <w:r>
        <w:rPr>
          <w:rFonts w:asciiTheme="minorBidi" w:hAnsiTheme="minorBidi" w:cstheme="minorBidi"/>
        </w:rPr>
        <w:t>s</w:t>
      </w:r>
      <w:r w:rsidRPr="00905EC8">
        <w:rPr>
          <w:rFonts w:asciiTheme="minorBidi" w:hAnsiTheme="minorBidi" w:cstheme="minorBidi"/>
        </w:rPr>
        <w:t xml:space="preserve">ing a deductive approach. A mixed-methods research design is employed, initially using the quantitative technique of a survey to model psychopathic tendencies in a sample of British final-year undergraduate students and UAE practitioners working for a top 10 global practice—an achievement not yet documented in the literature. </w:t>
      </w:r>
    </w:p>
    <w:p w14:paraId="7FB25852" w14:textId="52CE1717" w:rsidR="009413FF" w:rsidRPr="00905EC8" w:rsidRDefault="009413FF" w:rsidP="003E5C81">
      <w:pPr>
        <w:pStyle w:val="NormalWeb"/>
        <w:spacing w:line="480" w:lineRule="auto"/>
        <w:jc w:val="both"/>
        <w:rPr>
          <w:rFonts w:asciiTheme="minorBidi" w:hAnsiTheme="minorBidi" w:cstheme="minorBidi"/>
        </w:rPr>
      </w:pPr>
      <w:r w:rsidRPr="00905EC8">
        <w:rPr>
          <w:rFonts w:asciiTheme="minorBidi" w:hAnsiTheme="minorBidi" w:cstheme="minorBidi"/>
        </w:rPr>
        <w:t>The qualitative method of semi-structured interviews is conducted with audit practitioners and subject matter experts to gauge their perceptions of corporate psychopathy and BCT. The participants confirm the existence of the CPA and agree that BCT’s features—distributed ledger, immutability, and permissioned access—could potentially mitigate the influence of the CPA and reduce A</w:t>
      </w:r>
      <w:r w:rsidR="00B80BE7">
        <w:rPr>
          <w:rFonts w:asciiTheme="minorBidi" w:hAnsiTheme="minorBidi" w:cstheme="minorBidi"/>
        </w:rPr>
        <w:t>F</w:t>
      </w:r>
      <w:r w:rsidRPr="00905EC8">
        <w:rPr>
          <w:rFonts w:asciiTheme="minorBidi" w:hAnsiTheme="minorBidi" w:cstheme="minorBidi"/>
        </w:rPr>
        <w:t>. However, this mitigation is only effective at the transactional level and not where judgment is required on financial statements, such as the revaluation of non-current assets.</w:t>
      </w:r>
    </w:p>
    <w:p w14:paraId="77F3480F" w14:textId="77777777" w:rsidR="009413FF" w:rsidRDefault="009413FF" w:rsidP="003E5C81">
      <w:pPr>
        <w:pStyle w:val="NormalWeb"/>
        <w:spacing w:line="480" w:lineRule="auto"/>
        <w:jc w:val="both"/>
      </w:pPr>
      <w:r w:rsidRPr="00905EC8">
        <w:rPr>
          <w:rFonts w:asciiTheme="minorBidi" w:hAnsiTheme="minorBidi" w:cstheme="minorBidi"/>
        </w:rPr>
        <w:lastRenderedPageBreak/>
        <w:t>The research produces three key contributions: Firstly, a theoretical contribution by redefining a major fraud model and extending another model. Secondly, a practical contribution by developing predictive models to measure psychopathy in accounting professionals and accounting &amp; finance students (future accountants). Finally, an operational contribution by exploring broader technological solutions—not just BCT—to reduce AF and the influence of the CPA, and by promoting cultural change through a novel model developed by the researcher</w:t>
      </w:r>
      <w:r>
        <w:t>.</w:t>
      </w:r>
    </w:p>
    <w:p w14:paraId="3B3BC81A" w14:textId="77777777" w:rsidR="00B402F9" w:rsidRDefault="00B402F9" w:rsidP="003E5C81">
      <w:pPr>
        <w:spacing w:line="480" w:lineRule="auto"/>
        <w:contextualSpacing/>
        <w:jc w:val="both"/>
        <w:rPr>
          <w:rFonts w:asciiTheme="minorBidi" w:hAnsiTheme="minorBidi"/>
          <w:b/>
          <w:bCs/>
        </w:rPr>
      </w:pPr>
      <w:r w:rsidRPr="00887D2D">
        <w:rPr>
          <w:rFonts w:asciiTheme="minorBidi" w:hAnsiTheme="minorBidi"/>
          <w:b/>
          <w:bCs/>
        </w:rPr>
        <w:t xml:space="preserve">Key words: Accounting Fraud, Psychopathy, The Corporate Psychopath Accountant, and Blockchain Technology. </w:t>
      </w:r>
    </w:p>
    <w:p w14:paraId="5D0BEF28" w14:textId="77777777" w:rsidR="009413FF" w:rsidRDefault="009413FF" w:rsidP="00B402F9">
      <w:pPr>
        <w:spacing w:line="360" w:lineRule="auto"/>
        <w:contextualSpacing/>
        <w:jc w:val="both"/>
        <w:rPr>
          <w:rFonts w:asciiTheme="minorBidi" w:hAnsiTheme="minorBidi"/>
          <w:b/>
          <w:bCs/>
        </w:rPr>
      </w:pPr>
    </w:p>
    <w:p w14:paraId="6CA14400" w14:textId="77777777" w:rsidR="009413FF" w:rsidRDefault="009413FF" w:rsidP="00B402F9">
      <w:pPr>
        <w:spacing w:line="360" w:lineRule="auto"/>
        <w:contextualSpacing/>
        <w:jc w:val="both"/>
        <w:rPr>
          <w:rFonts w:asciiTheme="minorBidi" w:hAnsiTheme="minorBidi"/>
          <w:b/>
          <w:bCs/>
        </w:rPr>
      </w:pPr>
    </w:p>
    <w:p w14:paraId="6EF40AD9" w14:textId="77777777" w:rsidR="009413FF" w:rsidRDefault="009413FF" w:rsidP="00B402F9">
      <w:pPr>
        <w:spacing w:line="360" w:lineRule="auto"/>
        <w:contextualSpacing/>
        <w:jc w:val="both"/>
        <w:rPr>
          <w:rFonts w:asciiTheme="minorBidi" w:hAnsiTheme="minorBidi"/>
          <w:b/>
          <w:bCs/>
        </w:rPr>
      </w:pPr>
    </w:p>
    <w:p w14:paraId="7BFD0563" w14:textId="77777777" w:rsidR="009413FF" w:rsidRDefault="009413FF" w:rsidP="00B402F9">
      <w:pPr>
        <w:spacing w:line="360" w:lineRule="auto"/>
        <w:contextualSpacing/>
        <w:jc w:val="both"/>
        <w:rPr>
          <w:rFonts w:asciiTheme="minorBidi" w:hAnsiTheme="minorBidi"/>
          <w:b/>
          <w:bCs/>
        </w:rPr>
      </w:pPr>
    </w:p>
    <w:p w14:paraId="74FAE90F" w14:textId="77777777" w:rsidR="009413FF" w:rsidRDefault="009413FF" w:rsidP="00B402F9">
      <w:pPr>
        <w:spacing w:line="360" w:lineRule="auto"/>
        <w:contextualSpacing/>
        <w:jc w:val="both"/>
        <w:rPr>
          <w:rFonts w:asciiTheme="minorBidi" w:hAnsiTheme="minorBidi"/>
          <w:b/>
          <w:bCs/>
        </w:rPr>
      </w:pPr>
    </w:p>
    <w:p w14:paraId="225A3D9F" w14:textId="77777777" w:rsidR="009413FF" w:rsidRDefault="009413FF" w:rsidP="00B402F9">
      <w:pPr>
        <w:spacing w:line="360" w:lineRule="auto"/>
        <w:contextualSpacing/>
        <w:jc w:val="both"/>
        <w:rPr>
          <w:rFonts w:asciiTheme="minorBidi" w:hAnsiTheme="minorBidi"/>
          <w:b/>
          <w:bCs/>
        </w:rPr>
      </w:pPr>
    </w:p>
    <w:p w14:paraId="7E4505F5" w14:textId="77777777" w:rsidR="009413FF" w:rsidRDefault="009413FF" w:rsidP="00B402F9">
      <w:pPr>
        <w:spacing w:line="360" w:lineRule="auto"/>
        <w:contextualSpacing/>
        <w:jc w:val="both"/>
        <w:rPr>
          <w:rFonts w:asciiTheme="minorBidi" w:hAnsiTheme="minorBidi"/>
          <w:b/>
          <w:bCs/>
        </w:rPr>
      </w:pPr>
    </w:p>
    <w:p w14:paraId="31BFE489" w14:textId="77777777" w:rsidR="009413FF" w:rsidRDefault="009413FF" w:rsidP="00B402F9">
      <w:pPr>
        <w:spacing w:line="360" w:lineRule="auto"/>
        <w:contextualSpacing/>
        <w:jc w:val="both"/>
        <w:rPr>
          <w:rFonts w:asciiTheme="minorBidi" w:hAnsiTheme="minorBidi"/>
          <w:b/>
          <w:bCs/>
        </w:rPr>
      </w:pPr>
    </w:p>
    <w:p w14:paraId="408060AA" w14:textId="77777777" w:rsidR="009413FF" w:rsidRDefault="009413FF" w:rsidP="00B402F9">
      <w:pPr>
        <w:spacing w:line="360" w:lineRule="auto"/>
        <w:contextualSpacing/>
        <w:jc w:val="both"/>
        <w:rPr>
          <w:rFonts w:asciiTheme="minorBidi" w:hAnsiTheme="minorBidi"/>
          <w:b/>
          <w:bCs/>
        </w:rPr>
      </w:pPr>
    </w:p>
    <w:p w14:paraId="345AE2C3" w14:textId="77777777" w:rsidR="009413FF" w:rsidRDefault="009413FF" w:rsidP="00B402F9">
      <w:pPr>
        <w:spacing w:line="360" w:lineRule="auto"/>
        <w:contextualSpacing/>
        <w:jc w:val="both"/>
        <w:rPr>
          <w:rFonts w:asciiTheme="minorBidi" w:hAnsiTheme="minorBidi"/>
          <w:b/>
          <w:bCs/>
        </w:rPr>
      </w:pPr>
    </w:p>
    <w:p w14:paraId="0AD23B11" w14:textId="77777777" w:rsidR="009413FF" w:rsidRDefault="009413FF" w:rsidP="00B402F9">
      <w:pPr>
        <w:spacing w:line="360" w:lineRule="auto"/>
        <w:contextualSpacing/>
        <w:jc w:val="both"/>
        <w:rPr>
          <w:rFonts w:asciiTheme="minorBidi" w:hAnsiTheme="minorBidi"/>
          <w:b/>
          <w:bCs/>
        </w:rPr>
      </w:pPr>
    </w:p>
    <w:p w14:paraId="6D8C241F" w14:textId="77777777" w:rsidR="009413FF" w:rsidRDefault="009413FF" w:rsidP="00B402F9">
      <w:pPr>
        <w:spacing w:line="360" w:lineRule="auto"/>
        <w:contextualSpacing/>
        <w:jc w:val="both"/>
        <w:rPr>
          <w:rFonts w:asciiTheme="minorBidi" w:hAnsiTheme="minorBidi"/>
          <w:b/>
          <w:bCs/>
        </w:rPr>
      </w:pPr>
    </w:p>
    <w:p w14:paraId="61C4DCE1" w14:textId="77777777" w:rsidR="009413FF" w:rsidRDefault="009413FF" w:rsidP="00B402F9">
      <w:pPr>
        <w:spacing w:line="360" w:lineRule="auto"/>
        <w:contextualSpacing/>
        <w:jc w:val="both"/>
        <w:rPr>
          <w:rFonts w:asciiTheme="minorBidi" w:hAnsiTheme="minorBidi"/>
          <w:b/>
          <w:bCs/>
        </w:rPr>
      </w:pPr>
    </w:p>
    <w:p w14:paraId="726F0411" w14:textId="77777777" w:rsidR="00C01F4B" w:rsidRDefault="00C01F4B" w:rsidP="00E749D9">
      <w:pPr>
        <w:spacing w:line="480" w:lineRule="auto"/>
        <w:rPr>
          <w:rFonts w:asciiTheme="minorBidi" w:hAnsiTheme="minorBidi"/>
          <w:b/>
          <w:bCs/>
        </w:rPr>
      </w:pPr>
    </w:p>
    <w:p w14:paraId="508F67C9" w14:textId="77777777" w:rsidR="003E44A1" w:rsidRDefault="003E44A1" w:rsidP="00E749D9">
      <w:pPr>
        <w:spacing w:line="480" w:lineRule="auto"/>
        <w:rPr>
          <w:rFonts w:asciiTheme="minorBidi" w:hAnsiTheme="minorBidi"/>
          <w:b/>
          <w:bCs/>
        </w:rPr>
      </w:pPr>
    </w:p>
    <w:p w14:paraId="5553688A" w14:textId="77777777" w:rsidR="003E44A1" w:rsidRDefault="003E44A1" w:rsidP="00E749D9">
      <w:pPr>
        <w:spacing w:line="480" w:lineRule="auto"/>
        <w:rPr>
          <w:rFonts w:asciiTheme="minorBidi" w:hAnsiTheme="minorBidi"/>
          <w:b/>
          <w:bCs/>
        </w:rPr>
      </w:pPr>
    </w:p>
    <w:p w14:paraId="1ABA549D" w14:textId="77777777" w:rsidR="003E44A1" w:rsidRDefault="003E44A1" w:rsidP="00E749D9">
      <w:pPr>
        <w:spacing w:line="480" w:lineRule="auto"/>
        <w:rPr>
          <w:rFonts w:asciiTheme="minorBidi" w:hAnsiTheme="minorBidi"/>
          <w:b/>
          <w:bCs/>
        </w:rPr>
      </w:pPr>
    </w:p>
    <w:p w14:paraId="0229A00F" w14:textId="77777777" w:rsidR="003E5C81" w:rsidRDefault="003E5C81" w:rsidP="00E749D9">
      <w:pPr>
        <w:spacing w:line="480" w:lineRule="auto"/>
        <w:rPr>
          <w:rFonts w:ascii="Arial" w:hAnsi="Arial" w:cs="Arial"/>
          <w:b/>
          <w:bCs/>
        </w:rPr>
      </w:pPr>
    </w:p>
    <w:p w14:paraId="551B8735" w14:textId="5C0207B8" w:rsidR="007205F4" w:rsidRPr="007A476A" w:rsidRDefault="00C01F4B" w:rsidP="00C01F4B">
      <w:pPr>
        <w:pBdr>
          <w:top w:val="single" w:sz="4" w:space="1" w:color="auto"/>
          <w:left w:val="single" w:sz="4" w:space="4" w:color="auto"/>
          <w:bottom w:val="single" w:sz="4" w:space="1" w:color="auto"/>
          <w:right w:val="single" w:sz="4" w:space="4" w:color="auto"/>
        </w:pBdr>
        <w:rPr>
          <w:rFonts w:asciiTheme="minorBidi" w:hAnsiTheme="minorBidi"/>
          <w:b/>
          <w:bCs/>
        </w:rPr>
      </w:pPr>
      <w:r w:rsidRPr="007A476A">
        <w:rPr>
          <w:rFonts w:asciiTheme="minorBidi" w:hAnsiTheme="minorBidi"/>
          <w:b/>
          <w:bCs/>
        </w:rPr>
        <w:lastRenderedPageBreak/>
        <w:t>Table of Contents</w:t>
      </w:r>
    </w:p>
    <w:p w14:paraId="6606C9B6" w14:textId="77777777" w:rsidR="003F2E92" w:rsidRDefault="003F2E92" w:rsidP="003F2E92">
      <w:pPr>
        <w:pStyle w:val="NoSpacing"/>
        <w:spacing w:line="480" w:lineRule="auto"/>
        <w:rPr>
          <w:rFonts w:asciiTheme="minorBidi" w:hAnsiTheme="minorBidi"/>
          <w:sz w:val="24"/>
          <w:szCs w:val="24"/>
        </w:rPr>
      </w:pPr>
    </w:p>
    <w:bookmarkStart w:id="0" w:name="C1"/>
    <w:p w14:paraId="50B1A6CF" w14:textId="0D78E6B2" w:rsidR="00B86D36" w:rsidRPr="00584DBC" w:rsidRDefault="00734444" w:rsidP="00B86D36">
      <w:pPr>
        <w:pBdr>
          <w:top w:val="single" w:sz="4" w:space="1" w:color="auto"/>
          <w:left w:val="single" w:sz="4" w:space="4" w:color="auto"/>
          <w:bottom w:val="single" w:sz="4" w:space="1" w:color="auto"/>
          <w:right w:val="single" w:sz="4" w:space="4" w:color="auto"/>
        </w:pBdr>
        <w:rPr>
          <w:rFonts w:asciiTheme="minorBidi" w:hAnsiTheme="minorBidi"/>
          <w:b/>
          <w:bCs/>
        </w:rPr>
      </w:pPr>
      <w:r w:rsidRPr="00584DBC">
        <w:rPr>
          <w:rFonts w:asciiTheme="minorBidi" w:hAnsiTheme="minorBidi"/>
          <w:b/>
          <w:bCs/>
        </w:rPr>
        <w:fldChar w:fldCharType="begin"/>
      </w:r>
      <w:r w:rsidRPr="00584DBC">
        <w:rPr>
          <w:rFonts w:asciiTheme="minorBidi" w:hAnsiTheme="minorBidi"/>
          <w:b/>
          <w:bCs/>
        </w:rPr>
        <w:instrText>HYPERLINK  \l "D1"</w:instrText>
      </w:r>
      <w:r w:rsidRPr="00584DBC">
        <w:rPr>
          <w:rFonts w:asciiTheme="minorBidi" w:hAnsiTheme="minorBidi"/>
          <w:b/>
          <w:bCs/>
        </w:rPr>
      </w:r>
      <w:r w:rsidRPr="00584DBC">
        <w:rPr>
          <w:rFonts w:asciiTheme="minorBidi" w:hAnsiTheme="minorBidi"/>
          <w:b/>
          <w:bCs/>
        </w:rPr>
        <w:fldChar w:fldCharType="separate"/>
      </w:r>
      <w:r w:rsidR="00B86D36" w:rsidRPr="00584DBC">
        <w:rPr>
          <w:rStyle w:val="Hyperlink"/>
          <w:rFonts w:asciiTheme="minorBidi" w:hAnsiTheme="minorBidi"/>
          <w:b/>
          <w:bCs/>
        </w:rPr>
        <w:t>Chapter One</w:t>
      </w:r>
      <w:r w:rsidR="00F82F8A" w:rsidRPr="00584DBC">
        <w:rPr>
          <w:rStyle w:val="Hyperlink"/>
          <w:rFonts w:asciiTheme="minorBidi" w:hAnsiTheme="minorBidi"/>
          <w:b/>
          <w:bCs/>
        </w:rPr>
        <w:t>: Introduction</w:t>
      </w:r>
      <w:r w:rsidRPr="00584DBC">
        <w:rPr>
          <w:rFonts w:asciiTheme="minorBidi" w:hAnsiTheme="minorBidi"/>
          <w:b/>
          <w:bCs/>
        </w:rPr>
        <w:fldChar w:fldCharType="end"/>
      </w:r>
    </w:p>
    <w:p w14:paraId="0F2B6F13" w14:textId="77777777" w:rsidR="00D21E0B" w:rsidRDefault="00D21E0B" w:rsidP="00B86D36">
      <w:pPr>
        <w:pStyle w:val="NoSpacing"/>
        <w:spacing w:line="480" w:lineRule="auto"/>
        <w:rPr>
          <w:rFonts w:asciiTheme="minorBidi" w:hAnsiTheme="minorBidi"/>
          <w:b/>
          <w:bCs/>
          <w:sz w:val="24"/>
          <w:szCs w:val="24"/>
        </w:rPr>
      </w:pPr>
      <w:bookmarkStart w:id="1" w:name="C2"/>
      <w:bookmarkEnd w:id="0"/>
    </w:p>
    <w:p w14:paraId="5E50248F" w14:textId="3B142710" w:rsidR="000B7D0B" w:rsidRPr="00584DBC" w:rsidRDefault="00000000" w:rsidP="00B86D36">
      <w:pPr>
        <w:pStyle w:val="NoSpacing"/>
        <w:spacing w:line="480" w:lineRule="auto"/>
        <w:rPr>
          <w:rFonts w:asciiTheme="minorBidi" w:hAnsiTheme="minorBidi"/>
          <w:b/>
          <w:bCs/>
          <w:sz w:val="24"/>
          <w:szCs w:val="24"/>
        </w:rPr>
      </w:pPr>
      <w:hyperlink w:anchor="D2" w:history="1">
        <w:r w:rsidR="000B7D0B" w:rsidRPr="00584DBC">
          <w:rPr>
            <w:rStyle w:val="Hyperlink"/>
            <w:rFonts w:asciiTheme="minorBidi" w:hAnsiTheme="minorBidi"/>
            <w:b/>
            <w:bCs/>
            <w:sz w:val="24"/>
            <w:szCs w:val="24"/>
          </w:rPr>
          <w:t>1.0 Introduction</w:t>
        </w:r>
        <w:r w:rsidR="00F82F8A" w:rsidRPr="00584DBC">
          <w:rPr>
            <w:rStyle w:val="Hyperlink"/>
            <w:rFonts w:asciiTheme="minorBidi" w:hAnsiTheme="minorBidi"/>
            <w:b/>
            <w:bCs/>
            <w:sz w:val="24"/>
            <w:szCs w:val="24"/>
          </w:rPr>
          <w:t xml:space="preserve"> to Study</w:t>
        </w:r>
      </w:hyperlink>
      <w:r w:rsidR="00B1245C">
        <w:rPr>
          <w:rFonts w:asciiTheme="minorBidi" w:hAnsiTheme="minorBidi"/>
          <w:b/>
          <w:bCs/>
          <w:sz w:val="24"/>
          <w:szCs w:val="24"/>
        </w:rPr>
        <w:t>………………………………………………………….</w:t>
      </w:r>
      <w:r w:rsidR="004E2C7B">
        <w:rPr>
          <w:rFonts w:asciiTheme="minorBidi" w:hAnsiTheme="minorBidi"/>
          <w:b/>
          <w:bCs/>
          <w:sz w:val="24"/>
          <w:szCs w:val="24"/>
        </w:rPr>
        <w:tab/>
      </w:r>
      <w:r w:rsidR="00B1245C">
        <w:rPr>
          <w:rFonts w:asciiTheme="minorBidi" w:hAnsiTheme="minorBidi"/>
          <w:b/>
          <w:bCs/>
          <w:sz w:val="24"/>
          <w:szCs w:val="24"/>
        </w:rPr>
        <w:t>15</w:t>
      </w:r>
    </w:p>
    <w:bookmarkStart w:id="2" w:name="B1"/>
    <w:bookmarkStart w:id="3" w:name="C3"/>
    <w:bookmarkEnd w:id="1"/>
    <w:p w14:paraId="43975F3C" w14:textId="3799C014" w:rsidR="000B7D0B" w:rsidRPr="00584DBC" w:rsidRDefault="00734444" w:rsidP="003F2E92">
      <w:pPr>
        <w:pStyle w:val="NoSpacing"/>
        <w:spacing w:line="480" w:lineRule="auto"/>
        <w:rPr>
          <w:rFonts w:asciiTheme="minorBidi" w:hAnsiTheme="minorBidi"/>
          <w:b/>
          <w:bCs/>
          <w:sz w:val="24"/>
          <w:szCs w:val="24"/>
          <w:lang w:val="en-US"/>
        </w:rPr>
      </w:pPr>
      <w:r w:rsidRPr="00584DBC">
        <w:rPr>
          <w:rFonts w:asciiTheme="minorBidi" w:hAnsiTheme="minorBidi"/>
          <w:b/>
          <w:bCs/>
          <w:sz w:val="24"/>
          <w:szCs w:val="24"/>
          <w:lang w:val="en-US"/>
        </w:rPr>
        <w:fldChar w:fldCharType="begin"/>
      </w:r>
      <w:r w:rsidRPr="00584DBC">
        <w:rPr>
          <w:rFonts w:asciiTheme="minorBidi" w:hAnsiTheme="minorBidi"/>
          <w:b/>
          <w:bCs/>
          <w:sz w:val="24"/>
          <w:szCs w:val="24"/>
          <w:lang w:val="en-US"/>
        </w:rPr>
        <w:instrText>HYPERLINK  \l "D3"</w:instrText>
      </w:r>
      <w:r w:rsidRPr="00584DBC">
        <w:rPr>
          <w:rFonts w:asciiTheme="minorBidi" w:hAnsiTheme="minorBidi"/>
          <w:b/>
          <w:bCs/>
          <w:sz w:val="24"/>
          <w:szCs w:val="24"/>
          <w:lang w:val="en-US"/>
        </w:rPr>
      </w:r>
      <w:r w:rsidRPr="00584DBC">
        <w:rPr>
          <w:rFonts w:asciiTheme="minorBidi" w:hAnsiTheme="minorBidi"/>
          <w:b/>
          <w:bCs/>
          <w:sz w:val="24"/>
          <w:szCs w:val="24"/>
          <w:lang w:val="en-US"/>
        </w:rPr>
        <w:fldChar w:fldCharType="separate"/>
      </w:r>
      <w:r w:rsidR="000B7D0B" w:rsidRPr="00584DBC">
        <w:rPr>
          <w:rStyle w:val="Hyperlink"/>
          <w:rFonts w:asciiTheme="minorBidi" w:hAnsiTheme="minorBidi"/>
          <w:b/>
          <w:bCs/>
          <w:sz w:val="24"/>
          <w:szCs w:val="24"/>
          <w:lang w:val="en-US"/>
        </w:rPr>
        <w:t>1.1 Study Motivation</w:t>
      </w:r>
      <w:r w:rsidRPr="00584DBC">
        <w:rPr>
          <w:rFonts w:asciiTheme="minorBidi" w:hAnsiTheme="minorBidi"/>
          <w:b/>
          <w:bCs/>
          <w:sz w:val="24"/>
          <w:szCs w:val="24"/>
          <w:lang w:val="en-US"/>
        </w:rPr>
        <w:fldChar w:fldCharType="end"/>
      </w:r>
      <w:r w:rsidR="00E87B05">
        <w:rPr>
          <w:rFonts w:asciiTheme="minorBidi" w:hAnsiTheme="minorBidi"/>
          <w:b/>
          <w:bCs/>
          <w:sz w:val="24"/>
          <w:szCs w:val="24"/>
          <w:lang w:val="en-US"/>
        </w:rPr>
        <w:t>………………………………………………………………..</w:t>
      </w:r>
      <w:r w:rsidR="004E2C7B">
        <w:rPr>
          <w:rFonts w:asciiTheme="minorBidi" w:hAnsiTheme="minorBidi"/>
          <w:b/>
          <w:bCs/>
          <w:sz w:val="24"/>
          <w:szCs w:val="24"/>
          <w:lang w:val="en-US"/>
        </w:rPr>
        <w:tab/>
      </w:r>
      <w:r w:rsidR="00E87B05">
        <w:rPr>
          <w:rFonts w:asciiTheme="minorBidi" w:hAnsiTheme="minorBidi"/>
          <w:b/>
          <w:bCs/>
          <w:sz w:val="24"/>
          <w:szCs w:val="24"/>
          <w:lang w:val="en-US"/>
        </w:rPr>
        <w:t>18</w:t>
      </w:r>
    </w:p>
    <w:bookmarkStart w:id="4" w:name="C4"/>
    <w:bookmarkEnd w:id="2"/>
    <w:bookmarkEnd w:id="3"/>
    <w:p w14:paraId="212D601C" w14:textId="206A80FB" w:rsidR="000B7D0B" w:rsidRPr="00584DBC" w:rsidRDefault="00734444" w:rsidP="003F2E92">
      <w:pPr>
        <w:pStyle w:val="NoSpacing"/>
        <w:spacing w:line="480" w:lineRule="auto"/>
        <w:rPr>
          <w:rFonts w:asciiTheme="minorBidi" w:hAnsiTheme="minorBidi"/>
          <w:b/>
          <w:bCs/>
          <w:sz w:val="24"/>
          <w:szCs w:val="24"/>
        </w:rPr>
      </w:pPr>
      <w:r w:rsidRPr="00584DBC">
        <w:rPr>
          <w:rFonts w:asciiTheme="minorBidi" w:hAnsiTheme="minorBidi"/>
          <w:b/>
          <w:bCs/>
          <w:sz w:val="24"/>
          <w:szCs w:val="24"/>
        </w:rPr>
        <w:fldChar w:fldCharType="begin"/>
      </w:r>
      <w:r w:rsidRPr="00584DBC">
        <w:rPr>
          <w:rFonts w:asciiTheme="minorBidi" w:hAnsiTheme="minorBidi"/>
          <w:b/>
          <w:bCs/>
          <w:sz w:val="24"/>
          <w:szCs w:val="24"/>
        </w:rPr>
        <w:instrText>HYPERLINK  \l "D4"</w:instrText>
      </w:r>
      <w:r w:rsidRPr="00584DBC">
        <w:rPr>
          <w:rFonts w:asciiTheme="minorBidi" w:hAnsiTheme="minorBidi"/>
          <w:b/>
          <w:bCs/>
          <w:sz w:val="24"/>
          <w:szCs w:val="24"/>
        </w:rPr>
      </w:r>
      <w:r w:rsidRPr="00584DBC">
        <w:rPr>
          <w:rFonts w:asciiTheme="minorBidi" w:hAnsiTheme="minorBidi"/>
          <w:b/>
          <w:bCs/>
          <w:sz w:val="24"/>
          <w:szCs w:val="24"/>
        </w:rPr>
        <w:fldChar w:fldCharType="separate"/>
      </w:r>
      <w:r w:rsidR="000B7D0B" w:rsidRPr="00584DBC">
        <w:rPr>
          <w:rStyle w:val="Hyperlink"/>
          <w:rFonts w:asciiTheme="minorBidi" w:hAnsiTheme="minorBidi"/>
          <w:b/>
          <w:bCs/>
          <w:sz w:val="24"/>
          <w:szCs w:val="24"/>
        </w:rPr>
        <w:t>1.2 Background to Study</w:t>
      </w:r>
      <w:r w:rsidRPr="00584DBC">
        <w:rPr>
          <w:rFonts w:asciiTheme="minorBidi" w:hAnsiTheme="minorBidi"/>
          <w:b/>
          <w:bCs/>
          <w:sz w:val="24"/>
          <w:szCs w:val="24"/>
        </w:rPr>
        <w:fldChar w:fldCharType="end"/>
      </w:r>
      <w:r w:rsidR="00EF0EC4">
        <w:rPr>
          <w:rFonts w:asciiTheme="minorBidi" w:hAnsiTheme="minorBidi"/>
          <w:b/>
          <w:bCs/>
          <w:sz w:val="24"/>
          <w:szCs w:val="24"/>
        </w:rPr>
        <w:t>………………………………………………………….</w:t>
      </w:r>
      <w:r w:rsidR="004E2C7B">
        <w:rPr>
          <w:rFonts w:asciiTheme="minorBidi" w:hAnsiTheme="minorBidi"/>
          <w:b/>
          <w:bCs/>
          <w:sz w:val="24"/>
          <w:szCs w:val="24"/>
        </w:rPr>
        <w:tab/>
      </w:r>
      <w:r w:rsidR="00EF0EC4">
        <w:rPr>
          <w:rFonts w:asciiTheme="minorBidi" w:hAnsiTheme="minorBidi"/>
          <w:b/>
          <w:bCs/>
          <w:sz w:val="24"/>
          <w:szCs w:val="24"/>
        </w:rPr>
        <w:t>19</w:t>
      </w:r>
    </w:p>
    <w:bookmarkStart w:id="5" w:name="C5"/>
    <w:bookmarkEnd w:id="4"/>
    <w:p w14:paraId="64CCC772" w14:textId="30E2DC20" w:rsidR="000B7D0B" w:rsidRPr="00584DBC" w:rsidRDefault="00734444" w:rsidP="003F2E92">
      <w:pPr>
        <w:pStyle w:val="NoSpacing"/>
        <w:spacing w:line="480" w:lineRule="auto"/>
        <w:rPr>
          <w:rFonts w:asciiTheme="minorBidi" w:hAnsiTheme="minorBidi"/>
          <w:b/>
          <w:bCs/>
          <w:sz w:val="24"/>
          <w:szCs w:val="24"/>
        </w:rPr>
      </w:pPr>
      <w:r w:rsidRPr="00584DBC">
        <w:rPr>
          <w:rFonts w:asciiTheme="minorBidi" w:hAnsiTheme="minorBidi"/>
          <w:b/>
          <w:bCs/>
          <w:sz w:val="24"/>
          <w:szCs w:val="24"/>
        </w:rPr>
        <w:fldChar w:fldCharType="begin"/>
      </w:r>
      <w:r w:rsidRPr="00584DBC">
        <w:rPr>
          <w:rFonts w:asciiTheme="minorBidi" w:hAnsiTheme="minorBidi"/>
          <w:b/>
          <w:bCs/>
          <w:sz w:val="24"/>
          <w:szCs w:val="24"/>
        </w:rPr>
        <w:instrText>HYPERLINK  \l "D5"</w:instrText>
      </w:r>
      <w:r w:rsidRPr="00584DBC">
        <w:rPr>
          <w:rFonts w:asciiTheme="minorBidi" w:hAnsiTheme="minorBidi"/>
          <w:b/>
          <w:bCs/>
          <w:sz w:val="24"/>
          <w:szCs w:val="24"/>
        </w:rPr>
      </w:r>
      <w:r w:rsidRPr="00584DBC">
        <w:rPr>
          <w:rFonts w:asciiTheme="minorBidi" w:hAnsiTheme="minorBidi"/>
          <w:b/>
          <w:bCs/>
          <w:sz w:val="24"/>
          <w:szCs w:val="24"/>
        </w:rPr>
        <w:fldChar w:fldCharType="separate"/>
      </w:r>
      <w:r w:rsidR="000B7D0B" w:rsidRPr="00584DBC">
        <w:rPr>
          <w:rStyle w:val="Hyperlink"/>
          <w:rFonts w:asciiTheme="minorBidi" w:hAnsiTheme="minorBidi"/>
          <w:b/>
          <w:bCs/>
          <w:sz w:val="24"/>
          <w:szCs w:val="24"/>
        </w:rPr>
        <w:t>1.3 Problem Statement</w:t>
      </w:r>
      <w:r w:rsidRPr="00584DBC">
        <w:rPr>
          <w:rFonts w:asciiTheme="minorBidi" w:hAnsiTheme="minorBidi"/>
          <w:b/>
          <w:bCs/>
          <w:sz w:val="24"/>
          <w:szCs w:val="24"/>
        </w:rPr>
        <w:fldChar w:fldCharType="end"/>
      </w:r>
      <w:r w:rsidR="0077488C">
        <w:rPr>
          <w:rFonts w:asciiTheme="minorBidi" w:hAnsiTheme="minorBidi"/>
          <w:b/>
          <w:bCs/>
          <w:sz w:val="24"/>
          <w:szCs w:val="24"/>
        </w:rPr>
        <w:t>…………………………………………………………….</w:t>
      </w:r>
      <w:r w:rsidR="004E2C7B">
        <w:rPr>
          <w:rFonts w:asciiTheme="minorBidi" w:hAnsiTheme="minorBidi"/>
          <w:b/>
          <w:bCs/>
          <w:sz w:val="24"/>
          <w:szCs w:val="24"/>
        </w:rPr>
        <w:tab/>
      </w:r>
      <w:r w:rsidR="0077488C">
        <w:rPr>
          <w:rFonts w:asciiTheme="minorBidi" w:hAnsiTheme="minorBidi"/>
          <w:b/>
          <w:bCs/>
          <w:sz w:val="24"/>
          <w:szCs w:val="24"/>
        </w:rPr>
        <w:t>22</w:t>
      </w:r>
    </w:p>
    <w:bookmarkStart w:id="6" w:name="E1"/>
    <w:bookmarkStart w:id="7" w:name="C6"/>
    <w:bookmarkStart w:id="8" w:name="C7"/>
    <w:bookmarkEnd w:id="5"/>
    <w:p w14:paraId="1F0C3FE0" w14:textId="3823ABF7" w:rsidR="000B7D0B" w:rsidRPr="00584DBC" w:rsidRDefault="00734444" w:rsidP="003F2E92">
      <w:pPr>
        <w:pStyle w:val="NoSpacing"/>
        <w:spacing w:line="480" w:lineRule="auto"/>
        <w:rPr>
          <w:rFonts w:asciiTheme="minorBidi" w:hAnsiTheme="minorBidi"/>
          <w:b/>
          <w:bCs/>
          <w:sz w:val="24"/>
          <w:szCs w:val="24"/>
        </w:rPr>
      </w:pPr>
      <w:r w:rsidRPr="00584DBC">
        <w:rPr>
          <w:rFonts w:asciiTheme="minorBidi" w:hAnsiTheme="minorBidi"/>
          <w:b/>
          <w:bCs/>
          <w:sz w:val="24"/>
          <w:szCs w:val="24"/>
        </w:rPr>
        <w:fldChar w:fldCharType="begin"/>
      </w:r>
      <w:r w:rsidRPr="00584DBC">
        <w:rPr>
          <w:rFonts w:asciiTheme="minorBidi" w:hAnsiTheme="minorBidi"/>
          <w:b/>
          <w:bCs/>
          <w:sz w:val="24"/>
          <w:szCs w:val="24"/>
        </w:rPr>
        <w:instrText>HYPERLINK  \l "D6"</w:instrText>
      </w:r>
      <w:r w:rsidRPr="00584DBC">
        <w:rPr>
          <w:rFonts w:asciiTheme="minorBidi" w:hAnsiTheme="minorBidi"/>
          <w:b/>
          <w:bCs/>
          <w:sz w:val="24"/>
          <w:szCs w:val="24"/>
        </w:rPr>
      </w:r>
      <w:r w:rsidRPr="00584DBC">
        <w:rPr>
          <w:rFonts w:asciiTheme="minorBidi" w:hAnsiTheme="minorBidi"/>
          <w:b/>
          <w:bCs/>
          <w:sz w:val="24"/>
          <w:szCs w:val="24"/>
        </w:rPr>
        <w:fldChar w:fldCharType="separate"/>
      </w:r>
      <w:r w:rsidR="000B7D0B" w:rsidRPr="00584DBC">
        <w:rPr>
          <w:rStyle w:val="Hyperlink"/>
          <w:rFonts w:asciiTheme="minorBidi" w:hAnsiTheme="minorBidi"/>
          <w:b/>
          <w:bCs/>
          <w:sz w:val="24"/>
          <w:szCs w:val="24"/>
        </w:rPr>
        <w:t>1.3.1 Research Impact</w:t>
      </w:r>
      <w:r w:rsidRPr="00584DBC">
        <w:rPr>
          <w:rFonts w:asciiTheme="minorBidi" w:hAnsiTheme="minorBidi"/>
          <w:b/>
          <w:bCs/>
          <w:sz w:val="24"/>
          <w:szCs w:val="24"/>
        </w:rPr>
        <w:fldChar w:fldCharType="end"/>
      </w:r>
      <w:r w:rsidR="00B46E4F">
        <w:rPr>
          <w:rFonts w:asciiTheme="minorBidi" w:hAnsiTheme="minorBidi"/>
          <w:b/>
          <w:bCs/>
          <w:sz w:val="24"/>
          <w:szCs w:val="24"/>
        </w:rPr>
        <w:t>…………………………………………………………</w:t>
      </w:r>
      <w:r w:rsidR="004A22C2">
        <w:rPr>
          <w:rFonts w:asciiTheme="minorBidi" w:hAnsiTheme="minorBidi"/>
          <w:b/>
          <w:bCs/>
          <w:sz w:val="24"/>
          <w:szCs w:val="24"/>
        </w:rPr>
        <w:t>…...</w:t>
      </w:r>
      <w:r w:rsidR="004E2C7B">
        <w:rPr>
          <w:rFonts w:asciiTheme="minorBidi" w:hAnsiTheme="minorBidi"/>
          <w:b/>
          <w:bCs/>
          <w:sz w:val="24"/>
          <w:szCs w:val="24"/>
        </w:rPr>
        <w:tab/>
      </w:r>
      <w:r w:rsidR="00B46E4F">
        <w:rPr>
          <w:rFonts w:asciiTheme="minorBidi" w:hAnsiTheme="minorBidi"/>
          <w:b/>
          <w:bCs/>
          <w:sz w:val="24"/>
          <w:szCs w:val="24"/>
        </w:rPr>
        <w:t>23</w:t>
      </w:r>
    </w:p>
    <w:bookmarkStart w:id="9" w:name="F1"/>
    <w:bookmarkEnd w:id="6"/>
    <w:bookmarkEnd w:id="7"/>
    <w:p w14:paraId="33FB3796" w14:textId="1212E774" w:rsidR="000B7D0B" w:rsidRPr="00584DBC" w:rsidRDefault="002F726E" w:rsidP="003F2E92">
      <w:pPr>
        <w:pStyle w:val="NoSpacing"/>
        <w:spacing w:line="480" w:lineRule="auto"/>
        <w:rPr>
          <w:rFonts w:asciiTheme="minorBidi" w:hAnsiTheme="minorBidi"/>
          <w:b/>
          <w:bCs/>
          <w:sz w:val="24"/>
          <w:szCs w:val="24"/>
        </w:rPr>
      </w:pPr>
      <w:r w:rsidRPr="00584DBC">
        <w:rPr>
          <w:rFonts w:asciiTheme="minorBidi" w:hAnsiTheme="minorBidi"/>
          <w:b/>
          <w:bCs/>
          <w:sz w:val="24"/>
          <w:szCs w:val="24"/>
        </w:rPr>
        <w:fldChar w:fldCharType="begin"/>
      </w:r>
      <w:r w:rsidRPr="00584DBC">
        <w:rPr>
          <w:rFonts w:asciiTheme="minorBidi" w:hAnsiTheme="minorBidi"/>
          <w:b/>
          <w:bCs/>
          <w:sz w:val="24"/>
          <w:szCs w:val="24"/>
        </w:rPr>
        <w:instrText>HYPERLINK  \l "D7"</w:instrText>
      </w:r>
      <w:r w:rsidRPr="00584DBC">
        <w:rPr>
          <w:rFonts w:asciiTheme="minorBidi" w:hAnsiTheme="minorBidi"/>
          <w:b/>
          <w:bCs/>
          <w:sz w:val="24"/>
          <w:szCs w:val="24"/>
        </w:rPr>
      </w:r>
      <w:r w:rsidRPr="00584DBC">
        <w:rPr>
          <w:rFonts w:asciiTheme="minorBidi" w:hAnsiTheme="minorBidi"/>
          <w:b/>
          <w:bCs/>
          <w:sz w:val="24"/>
          <w:szCs w:val="24"/>
        </w:rPr>
        <w:fldChar w:fldCharType="separate"/>
      </w:r>
      <w:r w:rsidR="000B7D0B" w:rsidRPr="00584DBC">
        <w:rPr>
          <w:rStyle w:val="Hyperlink"/>
          <w:rFonts w:asciiTheme="minorBidi" w:hAnsiTheme="minorBidi"/>
          <w:b/>
          <w:bCs/>
          <w:sz w:val="24"/>
          <w:szCs w:val="24"/>
        </w:rPr>
        <w:t>1.4 The Research Aim</w:t>
      </w:r>
      <w:r w:rsidRPr="00584DBC">
        <w:rPr>
          <w:rFonts w:asciiTheme="minorBidi" w:hAnsiTheme="minorBidi"/>
          <w:b/>
          <w:bCs/>
          <w:sz w:val="24"/>
          <w:szCs w:val="24"/>
        </w:rPr>
        <w:fldChar w:fldCharType="end"/>
      </w:r>
      <w:r w:rsidR="00B46E4F">
        <w:rPr>
          <w:rFonts w:asciiTheme="minorBidi" w:hAnsiTheme="minorBidi"/>
          <w:b/>
          <w:bCs/>
          <w:sz w:val="24"/>
          <w:szCs w:val="24"/>
        </w:rPr>
        <w:t>……………………………………………………………...</w:t>
      </w:r>
      <w:r w:rsidR="004E2C7B">
        <w:rPr>
          <w:rFonts w:asciiTheme="minorBidi" w:hAnsiTheme="minorBidi"/>
          <w:b/>
          <w:bCs/>
          <w:sz w:val="24"/>
          <w:szCs w:val="24"/>
        </w:rPr>
        <w:tab/>
      </w:r>
      <w:r w:rsidR="00B46E4F">
        <w:rPr>
          <w:rFonts w:asciiTheme="minorBidi" w:hAnsiTheme="minorBidi"/>
          <w:b/>
          <w:bCs/>
          <w:sz w:val="24"/>
          <w:szCs w:val="24"/>
        </w:rPr>
        <w:t>2</w:t>
      </w:r>
      <w:r w:rsidR="00E03D1F">
        <w:rPr>
          <w:rFonts w:asciiTheme="minorBidi" w:hAnsiTheme="minorBidi"/>
          <w:b/>
          <w:bCs/>
          <w:sz w:val="24"/>
          <w:szCs w:val="24"/>
        </w:rPr>
        <w:t>6</w:t>
      </w:r>
    </w:p>
    <w:bookmarkStart w:id="10" w:name="G1"/>
    <w:bookmarkStart w:id="11" w:name="C8"/>
    <w:bookmarkEnd w:id="8"/>
    <w:bookmarkEnd w:id="9"/>
    <w:p w14:paraId="47904CB5" w14:textId="5D8645EC" w:rsidR="000B7D0B" w:rsidRPr="00584DBC" w:rsidRDefault="002F726E" w:rsidP="003F2E92">
      <w:pPr>
        <w:pStyle w:val="NoSpacing"/>
        <w:spacing w:line="480" w:lineRule="auto"/>
        <w:rPr>
          <w:rFonts w:asciiTheme="minorBidi" w:hAnsiTheme="minorBidi"/>
          <w:b/>
          <w:bCs/>
          <w:sz w:val="24"/>
          <w:szCs w:val="24"/>
        </w:rPr>
      </w:pPr>
      <w:r w:rsidRPr="00584DBC">
        <w:rPr>
          <w:rFonts w:asciiTheme="minorBidi" w:hAnsiTheme="minorBidi"/>
          <w:b/>
          <w:bCs/>
          <w:sz w:val="24"/>
          <w:szCs w:val="24"/>
        </w:rPr>
        <w:fldChar w:fldCharType="begin"/>
      </w:r>
      <w:r w:rsidRPr="00584DBC">
        <w:rPr>
          <w:rFonts w:asciiTheme="minorBidi" w:hAnsiTheme="minorBidi"/>
          <w:b/>
          <w:bCs/>
          <w:sz w:val="24"/>
          <w:szCs w:val="24"/>
        </w:rPr>
        <w:instrText>HYPERLINK  \l "D8"</w:instrText>
      </w:r>
      <w:r w:rsidRPr="00584DBC">
        <w:rPr>
          <w:rFonts w:asciiTheme="minorBidi" w:hAnsiTheme="minorBidi"/>
          <w:b/>
          <w:bCs/>
          <w:sz w:val="24"/>
          <w:szCs w:val="24"/>
        </w:rPr>
      </w:r>
      <w:r w:rsidRPr="00584DBC">
        <w:rPr>
          <w:rFonts w:asciiTheme="minorBidi" w:hAnsiTheme="minorBidi"/>
          <w:b/>
          <w:bCs/>
          <w:sz w:val="24"/>
          <w:szCs w:val="24"/>
        </w:rPr>
        <w:fldChar w:fldCharType="separate"/>
      </w:r>
      <w:r w:rsidR="000B7D0B" w:rsidRPr="00584DBC">
        <w:rPr>
          <w:rStyle w:val="Hyperlink"/>
          <w:rFonts w:asciiTheme="minorBidi" w:hAnsiTheme="minorBidi"/>
          <w:b/>
          <w:bCs/>
          <w:sz w:val="24"/>
          <w:szCs w:val="24"/>
        </w:rPr>
        <w:t>1.4.1 Research Questions</w:t>
      </w:r>
      <w:r w:rsidRPr="00584DBC">
        <w:rPr>
          <w:rFonts w:asciiTheme="minorBidi" w:hAnsiTheme="minorBidi"/>
          <w:b/>
          <w:bCs/>
          <w:sz w:val="24"/>
          <w:szCs w:val="24"/>
        </w:rPr>
        <w:fldChar w:fldCharType="end"/>
      </w:r>
      <w:r w:rsidR="00B46E4F">
        <w:rPr>
          <w:rFonts w:asciiTheme="minorBidi" w:hAnsiTheme="minorBidi"/>
          <w:b/>
          <w:bCs/>
          <w:sz w:val="24"/>
          <w:szCs w:val="24"/>
        </w:rPr>
        <w:t>…………………………………………………………</w:t>
      </w:r>
      <w:r w:rsidR="004E2C7B">
        <w:rPr>
          <w:rFonts w:asciiTheme="minorBidi" w:hAnsiTheme="minorBidi"/>
          <w:b/>
          <w:bCs/>
          <w:sz w:val="24"/>
          <w:szCs w:val="24"/>
        </w:rPr>
        <w:tab/>
      </w:r>
      <w:r w:rsidR="00B46E4F">
        <w:rPr>
          <w:rFonts w:asciiTheme="minorBidi" w:hAnsiTheme="minorBidi"/>
          <w:b/>
          <w:bCs/>
          <w:sz w:val="24"/>
          <w:szCs w:val="24"/>
        </w:rPr>
        <w:t>27</w:t>
      </w:r>
    </w:p>
    <w:bookmarkStart w:id="12" w:name="H1"/>
    <w:bookmarkStart w:id="13" w:name="C9"/>
    <w:bookmarkEnd w:id="10"/>
    <w:bookmarkEnd w:id="11"/>
    <w:p w14:paraId="05DBA615" w14:textId="7223416A" w:rsidR="000B7D0B" w:rsidRPr="00584DBC" w:rsidRDefault="002F726E" w:rsidP="003F2E92">
      <w:pPr>
        <w:pStyle w:val="NoSpacing"/>
        <w:spacing w:line="480" w:lineRule="auto"/>
        <w:rPr>
          <w:rFonts w:asciiTheme="minorBidi" w:hAnsiTheme="minorBidi"/>
          <w:b/>
          <w:bCs/>
          <w:sz w:val="24"/>
          <w:szCs w:val="24"/>
        </w:rPr>
      </w:pPr>
      <w:r w:rsidRPr="00584DBC">
        <w:rPr>
          <w:rFonts w:asciiTheme="minorBidi" w:hAnsiTheme="minorBidi"/>
          <w:b/>
          <w:bCs/>
          <w:sz w:val="24"/>
          <w:szCs w:val="24"/>
        </w:rPr>
        <w:fldChar w:fldCharType="begin"/>
      </w:r>
      <w:r w:rsidRPr="00584DBC">
        <w:rPr>
          <w:rFonts w:asciiTheme="minorBidi" w:hAnsiTheme="minorBidi"/>
          <w:b/>
          <w:bCs/>
          <w:sz w:val="24"/>
          <w:szCs w:val="24"/>
        </w:rPr>
        <w:instrText>HYPERLINK  \l "D9"</w:instrText>
      </w:r>
      <w:r w:rsidRPr="00584DBC">
        <w:rPr>
          <w:rFonts w:asciiTheme="minorBidi" w:hAnsiTheme="minorBidi"/>
          <w:b/>
          <w:bCs/>
          <w:sz w:val="24"/>
          <w:szCs w:val="24"/>
        </w:rPr>
      </w:r>
      <w:r w:rsidRPr="00584DBC">
        <w:rPr>
          <w:rFonts w:asciiTheme="minorBidi" w:hAnsiTheme="minorBidi"/>
          <w:b/>
          <w:bCs/>
          <w:sz w:val="24"/>
          <w:szCs w:val="24"/>
        </w:rPr>
        <w:fldChar w:fldCharType="separate"/>
      </w:r>
      <w:r w:rsidR="000B7D0B" w:rsidRPr="00584DBC">
        <w:rPr>
          <w:rStyle w:val="Hyperlink"/>
          <w:rFonts w:asciiTheme="minorBidi" w:hAnsiTheme="minorBidi"/>
          <w:b/>
          <w:bCs/>
          <w:sz w:val="24"/>
          <w:szCs w:val="24"/>
        </w:rPr>
        <w:t>1.5 Research Objectives</w:t>
      </w:r>
      <w:r w:rsidRPr="00584DBC">
        <w:rPr>
          <w:rFonts w:asciiTheme="minorBidi" w:hAnsiTheme="minorBidi"/>
          <w:b/>
          <w:bCs/>
          <w:sz w:val="24"/>
          <w:szCs w:val="24"/>
        </w:rPr>
        <w:fldChar w:fldCharType="end"/>
      </w:r>
      <w:r w:rsidR="00B46E4F">
        <w:rPr>
          <w:rFonts w:asciiTheme="minorBidi" w:hAnsiTheme="minorBidi"/>
          <w:b/>
          <w:bCs/>
          <w:sz w:val="24"/>
          <w:szCs w:val="24"/>
        </w:rPr>
        <w:t>………………………………………………………</w:t>
      </w:r>
      <w:r w:rsidR="004A22C2">
        <w:rPr>
          <w:rFonts w:asciiTheme="minorBidi" w:hAnsiTheme="minorBidi"/>
          <w:b/>
          <w:bCs/>
          <w:sz w:val="24"/>
          <w:szCs w:val="24"/>
        </w:rPr>
        <w:t>…...</w:t>
      </w:r>
      <w:r w:rsidR="004E2C7B">
        <w:rPr>
          <w:rFonts w:asciiTheme="minorBidi" w:hAnsiTheme="minorBidi"/>
          <w:b/>
          <w:bCs/>
          <w:sz w:val="24"/>
          <w:szCs w:val="24"/>
        </w:rPr>
        <w:tab/>
      </w:r>
      <w:r w:rsidR="00B46E4F">
        <w:rPr>
          <w:rFonts w:asciiTheme="minorBidi" w:hAnsiTheme="minorBidi"/>
          <w:b/>
          <w:bCs/>
          <w:sz w:val="24"/>
          <w:szCs w:val="24"/>
        </w:rPr>
        <w:t>2</w:t>
      </w:r>
      <w:r w:rsidR="00E03D1F">
        <w:rPr>
          <w:rFonts w:asciiTheme="minorBidi" w:hAnsiTheme="minorBidi"/>
          <w:b/>
          <w:bCs/>
          <w:sz w:val="24"/>
          <w:szCs w:val="24"/>
        </w:rPr>
        <w:t>7</w:t>
      </w:r>
    </w:p>
    <w:bookmarkStart w:id="14" w:name="I1"/>
    <w:bookmarkStart w:id="15" w:name="C10"/>
    <w:bookmarkEnd w:id="12"/>
    <w:bookmarkEnd w:id="13"/>
    <w:p w14:paraId="567F1D70" w14:textId="0D1D72B5" w:rsidR="000B7D0B" w:rsidRPr="00584DBC" w:rsidRDefault="002F726E" w:rsidP="003F2E92">
      <w:pPr>
        <w:pStyle w:val="NoSpacing"/>
        <w:spacing w:line="480" w:lineRule="auto"/>
        <w:rPr>
          <w:rFonts w:asciiTheme="minorBidi" w:hAnsiTheme="minorBidi"/>
          <w:b/>
          <w:bCs/>
          <w:sz w:val="24"/>
          <w:szCs w:val="24"/>
        </w:rPr>
      </w:pPr>
      <w:r w:rsidRPr="00584DBC">
        <w:rPr>
          <w:rFonts w:asciiTheme="minorBidi" w:hAnsiTheme="minorBidi"/>
          <w:b/>
          <w:bCs/>
          <w:sz w:val="24"/>
          <w:szCs w:val="24"/>
        </w:rPr>
        <w:fldChar w:fldCharType="begin"/>
      </w:r>
      <w:r w:rsidRPr="00584DBC">
        <w:rPr>
          <w:rFonts w:asciiTheme="minorBidi" w:hAnsiTheme="minorBidi"/>
          <w:b/>
          <w:bCs/>
          <w:sz w:val="24"/>
          <w:szCs w:val="24"/>
        </w:rPr>
        <w:instrText>HYPERLINK  \l "D10"</w:instrText>
      </w:r>
      <w:r w:rsidRPr="00584DBC">
        <w:rPr>
          <w:rFonts w:asciiTheme="minorBidi" w:hAnsiTheme="minorBidi"/>
          <w:b/>
          <w:bCs/>
          <w:sz w:val="24"/>
          <w:szCs w:val="24"/>
        </w:rPr>
      </w:r>
      <w:r w:rsidRPr="00584DBC">
        <w:rPr>
          <w:rFonts w:asciiTheme="minorBidi" w:hAnsiTheme="minorBidi"/>
          <w:b/>
          <w:bCs/>
          <w:sz w:val="24"/>
          <w:szCs w:val="24"/>
        </w:rPr>
        <w:fldChar w:fldCharType="separate"/>
      </w:r>
      <w:r w:rsidR="000B7D0B" w:rsidRPr="00584DBC">
        <w:rPr>
          <w:rStyle w:val="Hyperlink"/>
          <w:rFonts w:asciiTheme="minorBidi" w:hAnsiTheme="minorBidi"/>
          <w:b/>
          <w:bCs/>
          <w:sz w:val="24"/>
          <w:szCs w:val="24"/>
        </w:rPr>
        <w:t>1.6 Overview of Research Aim, Objectives &amp; Questions</w:t>
      </w:r>
      <w:r w:rsidRPr="00584DBC">
        <w:rPr>
          <w:rFonts w:asciiTheme="minorBidi" w:hAnsiTheme="minorBidi"/>
          <w:b/>
          <w:bCs/>
          <w:sz w:val="24"/>
          <w:szCs w:val="24"/>
        </w:rPr>
        <w:fldChar w:fldCharType="end"/>
      </w:r>
      <w:r w:rsidR="00371C6C">
        <w:rPr>
          <w:rFonts w:asciiTheme="minorBidi" w:hAnsiTheme="minorBidi"/>
          <w:b/>
          <w:bCs/>
          <w:sz w:val="24"/>
          <w:szCs w:val="24"/>
        </w:rPr>
        <w:t>…………………….</w:t>
      </w:r>
      <w:r w:rsidR="004E2C7B">
        <w:rPr>
          <w:rFonts w:asciiTheme="minorBidi" w:hAnsiTheme="minorBidi"/>
          <w:b/>
          <w:bCs/>
          <w:sz w:val="24"/>
          <w:szCs w:val="24"/>
        </w:rPr>
        <w:tab/>
      </w:r>
      <w:r w:rsidR="00371C6C">
        <w:rPr>
          <w:rFonts w:asciiTheme="minorBidi" w:hAnsiTheme="minorBidi"/>
          <w:b/>
          <w:bCs/>
          <w:sz w:val="24"/>
          <w:szCs w:val="24"/>
        </w:rPr>
        <w:t>2</w:t>
      </w:r>
      <w:r w:rsidR="00E03D1F">
        <w:rPr>
          <w:rFonts w:asciiTheme="minorBidi" w:hAnsiTheme="minorBidi"/>
          <w:b/>
          <w:bCs/>
          <w:sz w:val="24"/>
          <w:szCs w:val="24"/>
        </w:rPr>
        <w:t>8</w:t>
      </w:r>
    </w:p>
    <w:bookmarkStart w:id="16" w:name="J1"/>
    <w:bookmarkStart w:id="17" w:name="C11"/>
    <w:bookmarkEnd w:id="14"/>
    <w:bookmarkEnd w:id="15"/>
    <w:p w14:paraId="65993929" w14:textId="27DB373D" w:rsidR="000B7D0B" w:rsidRPr="00584DBC" w:rsidRDefault="002F726E" w:rsidP="003F2E92">
      <w:pPr>
        <w:pStyle w:val="NoSpacing"/>
        <w:spacing w:line="480" w:lineRule="auto"/>
        <w:rPr>
          <w:rFonts w:asciiTheme="minorBidi" w:hAnsiTheme="minorBidi"/>
          <w:b/>
          <w:bCs/>
          <w:sz w:val="24"/>
          <w:szCs w:val="24"/>
        </w:rPr>
      </w:pPr>
      <w:r w:rsidRPr="00584DBC">
        <w:rPr>
          <w:rFonts w:asciiTheme="minorBidi" w:hAnsiTheme="minorBidi"/>
          <w:b/>
          <w:bCs/>
          <w:sz w:val="24"/>
          <w:szCs w:val="24"/>
        </w:rPr>
        <w:fldChar w:fldCharType="begin"/>
      </w:r>
      <w:r w:rsidRPr="00584DBC">
        <w:rPr>
          <w:rFonts w:asciiTheme="minorBidi" w:hAnsiTheme="minorBidi"/>
          <w:b/>
          <w:bCs/>
          <w:sz w:val="24"/>
          <w:szCs w:val="24"/>
        </w:rPr>
        <w:instrText>HYPERLINK  \l "D11"</w:instrText>
      </w:r>
      <w:r w:rsidRPr="00584DBC">
        <w:rPr>
          <w:rFonts w:asciiTheme="minorBidi" w:hAnsiTheme="minorBidi"/>
          <w:b/>
          <w:bCs/>
          <w:sz w:val="24"/>
          <w:szCs w:val="24"/>
        </w:rPr>
      </w:r>
      <w:r w:rsidRPr="00584DBC">
        <w:rPr>
          <w:rFonts w:asciiTheme="minorBidi" w:hAnsiTheme="minorBidi"/>
          <w:b/>
          <w:bCs/>
          <w:sz w:val="24"/>
          <w:szCs w:val="24"/>
        </w:rPr>
        <w:fldChar w:fldCharType="separate"/>
      </w:r>
      <w:r w:rsidR="000B7D0B" w:rsidRPr="00584DBC">
        <w:rPr>
          <w:rStyle w:val="Hyperlink"/>
          <w:rFonts w:asciiTheme="minorBidi" w:hAnsiTheme="minorBidi"/>
          <w:b/>
          <w:bCs/>
          <w:sz w:val="24"/>
          <w:szCs w:val="24"/>
        </w:rPr>
        <w:t>1.6.1 Thesis Chapter Organisation</w:t>
      </w:r>
      <w:r w:rsidRPr="00584DBC">
        <w:rPr>
          <w:rFonts w:asciiTheme="minorBidi" w:hAnsiTheme="minorBidi"/>
          <w:b/>
          <w:bCs/>
          <w:sz w:val="24"/>
          <w:szCs w:val="24"/>
        </w:rPr>
        <w:fldChar w:fldCharType="end"/>
      </w:r>
      <w:r w:rsidR="00371C6C">
        <w:rPr>
          <w:rFonts w:asciiTheme="minorBidi" w:hAnsiTheme="minorBidi"/>
          <w:b/>
          <w:bCs/>
          <w:sz w:val="24"/>
          <w:szCs w:val="24"/>
        </w:rPr>
        <w:t>………………………………………………</w:t>
      </w:r>
      <w:r w:rsidR="004E2C7B">
        <w:rPr>
          <w:rFonts w:asciiTheme="minorBidi" w:hAnsiTheme="minorBidi"/>
          <w:b/>
          <w:bCs/>
          <w:sz w:val="24"/>
          <w:szCs w:val="24"/>
        </w:rPr>
        <w:tab/>
      </w:r>
      <w:r w:rsidR="00E03D1F">
        <w:rPr>
          <w:rFonts w:asciiTheme="minorBidi" w:hAnsiTheme="minorBidi"/>
          <w:b/>
          <w:bCs/>
          <w:sz w:val="24"/>
          <w:szCs w:val="24"/>
        </w:rPr>
        <w:t>30</w:t>
      </w:r>
    </w:p>
    <w:bookmarkStart w:id="18" w:name="K1"/>
    <w:bookmarkStart w:id="19" w:name="C12"/>
    <w:bookmarkEnd w:id="16"/>
    <w:bookmarkEnd w:id="17"/>
    <w:p w14:paraId="4232D42D" w14:textId="1CCDE282" w:rsidR="000B7D0B" w:rsidRPr="00584DBC" w:rsidRDefault="002F726E" w:rsidP="003F2E92">
      <w:pPr>
        <w:pStyle w:val="NoSpacing"/>
        <w:spacing w:line="480" w:lineRule="auto"/>
        <w:rPr>
          <w:rFonts w:asciiTheme="minorBidi" w:hAnsiTheme="minorBidi"/>
          <w:b/>
          <w:bCs/>
          <w:sz w:val="24"/>
          <w:szCs w:val="24"/>
        </w:rPr>
      </w:pPr>
      <w:r w:rsidRPr="00584DBC">
        <w:rPr>
          <w:rFonts w:asciiTheme="minorBidi" w:hAnsiTheme="minorBidi"/>
          <w:b/>
          <w:bCs/>
          <w:sz w:val="24"/>
          <w:szCs w:val="24"/>
        </w:rPr>
        <w:fldChar w:fldCharType="begin"/>
      </w:r>
      <w:r w:rsidRPr="00584DBC">
        <w:rPr>
          <w:rFonts w:asciiTheme="minorBidi" w:hAnsiTheme="minorBidi"/>
          <w:b/>
          <w:bCs/>
          <w:sz w:val="24"/>
          <w:szCs w:val="24"/>
        </w:rPr>
        <w:instrText>HYPERLINK  \l "D12"</w:instrText>
      </w:r>
      <w:r w:rsidRPr="00584DBC">
        <w:rPr>
          <w:rFonts w:asciiTheme="minorBidi" w:hAnsiTheme="minorBidi"/>
          <w:b/>
          <w:bCs/>
          <w:sz w:val="24"/>
          <w:szCs w:val="24"/>
        </w:rPr>
      </w:r>
      <w:r w:rsidRPr="00584DBC">
        <w:rPr>
          <w:rFonts w:asciiTheme="minorBidi" w:hAnsiTheme="minorBidi"/>
          <w:b/>
          <w:bCs/>
          <w:sz w:val="24"/>
          <w:szCs w:val="24"/>
        </w:rPr>
        <w:fldChar w:fldCharType="separate"/>
      </w:r>
      <w:r w:rsidR="000B7D0B" w:rsidRPr="00584DBC">
        <w:rPr>
          <w:rStyle w:val="Hyperlink"/>
          <w:rFonts w:asciiTheme="minorBidi" w:hAnsiTheme="minorBidi"/>
          <w:b/>
          <w:bCs/>
          <w:sz w:val="24"/>
          <w:szCs w:val="24"/>
        </w:rPr>
        <w:t>1.6.2 Chapter Summary</w:t>
      </w:r>
      <w:r w:rsidRPr="00584DBC">
        <w:rPr>
          <w:rFonts w:asciiTheme="minorBidi" w:hAnsiTheme="minorBidi"/>
          <w:b/>
          <w:bCs/>
          <w:sz w:val="24"/>
          <w:szCs w:val="24"/>
        </w:rPr>
        <w:fldChar w:fldCharType="end"/>
      </w:r>
      <w:r w:rsidR="00D166B2">
        <w:rPr>
          <w:rFonts w:asciiTheme="minorBidi" w:hAnsiTheme="minorBidi"/>
          <w:b/>
          <w:bCs/>
          <w:sz w:val="24"/>
          <w:szCs w:val="24"/>
        </w:rPr>
        <w:t>……………………………………………………………</w:t>
      </w:r>
      <w:r w:rsidR="004E2C7B">
        <w:rPr>
          <w:rFonts w:asciiTheme="minorBidi" w:hAnsiTheme="minorBidi"/>
          <w:b/>
          <w:bCs/>
          <w:sz w:val="24"/>
          <w:szCs w:val="24"/>
        </w:rPr>
        <w:tab/>
      </w:r>
      <w:r w:rsidR="00D166B2">
        <w:rPr>
          <w:rFonts w:asciiTheme="minorBidi" w:hAnsiTheme="minorBidi"/>
          <w:b/>
          <w:bCs/>
          <w:sz w:val="24"/>
          <w:szCs w:val="24"/>
        </w:rPr>
        <w:t>30</w:t>
      </w:r>
    </w:p>
    <w:bookmarkStart w:id="20" w:name="C13"/>
    <w:bookmarkStart w:id="21" w:name="L1"/>
    <w:bookmarkEnd w:id="18"/>
    <w:bookmarkEnd w:id="19"/>
    <w:p w14:paraId="3302ACF9" w14:textId="21776614" w:rsidR="000B7D0B" w:rsidRPr="00584DBC" w:rsidRDefault="002F726E" w:rsidP="003F2E92">
      <w:pPr>
        <w:pStyle w:val="NoSpacing"/>
        <w:spacing w:line="480" w:lineRule="auto"/>
        <w:rPr>
          <w:rFonts w:asciiTheme="minorBidi" w:eastAsia="Times New Roman" w:hAnsiTheme="minorBidi"/>
          <w:b/>
          <w:bCs/>
          <w:kern w:val="0"/>
          <w:sz w:val="24"/>
          <w:szCs w:val="24"/>
          <w14:ligatures w14:val="none"/>
        </w:rPr>
      </w:pPr>
      <w:r w:rsidRPr="00584DBC">
        <w:rPr>
          <w:rFonts w:asciiTheme="minorBidi" w:eastAsia="Times New Roman" w:hAnsiTheme="minorBidi"/>
          <w:b/>
          <w:bCs/>
          <w:kern w:val="0"/>
          <w:sz w:val="24"/>
          <w:szCs w:val="24"/>
          <w14:ligatures w14:val="none"/>
        </w:rPr>
        <w:fldChar w:fldCharType="begin"/>
      </w:r>
      <w:r w:rsidRPr="00584DBC">
        <w:rPr>
          <w:rFonts w:asciiTheme="minorBidi" w:eastAsia="Times New Roman" w:hAnsiTheme="minorBidi"/>
          <w:b/>
          <w:bCs/>
          <w:kern w:val="0"/>
          <w:sz w:val="24"/>
          <w:szCs w:val="24"/>
          <w14:ligatures w14:val="none"/>
        </w:rPr>
        <w:instrText>HYPERLINK  \l "D13"</w:instrText>
      </w:r>
      <w:r w:rsidRPr="00584DBC">
        <w:rPr>
          <w:rFonts w:asciiTheme="minorBidi" w:eastAsia="Times New Roman" w:hAnsiTheme="minorBidi"/>
          <w:b/>
          <w:bCs/>
          <w:kern w:val="0"/>
          <w:sz w:val="24"/>
          <w:szCs w:val="24"/>
          <w14:ligatures w14:val="none"/>
        </w:rPr>
      </w:r>
      <w:r w:rsidRPr="00584DBC">
        <w:rPr>
          <w:rFonts w:asciiTheme="minorBidi" w:eastAsia="Times New Roman" w:hAnsiTheme="minorBidi"/>
          <w:b/>
          <w:bCs/>
          <w:kern w:val="0"/>
          <w:sz w:val="24"/>
          <w:szCs w:val="24"/>
          <w14:ligatures w14:val="none"/>
        </w:rPr>
        <w:fldChar w:fldCharType="separate"/>
      </w:r>
      <w:r w:rsidR="000B7D0B" w:rsidRPr="00584DBC">
        <w:rPr>
          <w:rStyle w:val="Hyperlink"/>
          <w:rFonts w:asciiTheme="minorBidi" w:eastAsia="Times New Roman" w:hAnsiTheme="minorBidi"/>
          <w:b/>
          <w:bCs/>
          <w:kern w:val="0"/>
          <w:sz w:val="24"/>
          <w:szCs w:val="24"/>
          <w14:ligatures w14:val="none"/>
        </w:rPr>
        <w:t>1.6.3 Thesis Framework</w:t>
      </w:r>
      <w:r w:rsidRPr="00584DBC">
        <w:rPr>
          <w:rFonts w:asciiTheme="minorBidi" w:eastAsia="Times New Roman" w:hAnsiTheme="minorBidi"/>
          <w:b/>
          <w:bCs/>
          <w:kern w:val="0"/>
          <w:sz w:val="24"/>
          <w:szCs w:val="24"/>
          <w14:ligatures w14:val="none"/>
        </w:rPr>
        <w:fldChar w:fldCharType="end"/>
      </w:r>
      <w:r w:rsidR="00D166B2">
        <w:rPr>
          <w:rFonts w:asciiTheme="minorBidi" w:eastAsia="Times New Roman" w:hAnsiTheme="minorBidi"/>
          <w:b/>
          <w:bCs/>
          <w:kern w:val="0"/>
          <w:sz w:val="24"/>
          <w:szCs w:val="24"/>
          <w14:ligatures w14:val="none"/>
        </w:rPr>
        <w:t>……………………………………………………………</w:t>
      </w:r>
      <w:r w:rsidR="004E2C7B">
        <w:rPr>
          <w:rFonts w:asciiTheme="minorBidi" w:eastAsia="Times New Roman" w:hAnsiTheme="minorBidi"/>
          <w:b/>
          <w:bCs/>
          <w:kern w:val="0"/>
          <w:sz w:val="24"/>
          <w:szCs w:val="24"/>
          <w14:ligatures w14:val="none"/>
        </w:rPr>
        <w:tab/>
      </w:r>
      <w:r w:rsidR="00D166B2">
        <w:rPr>
          <w:rFonts w:asciiTheme="minorBidi" w:eastAsia="Times New Roman" w:hAnsiTheme="minorBidi"/>
          <w:b/>
          <w:bCs/>
          <w:kern w:val="0"/>
          <w:sz w:val="24"/>
          <w:szCs w:val="24"/>
          <w14:ligatures w14:val="none"/>
        </w:rPr>
        <w:t>32</w:t>
      </w:r>
    </w:p>
    <w:bookmarkEnd w:id="20"/>
    <w:p w14:paraId="464473AE" w14:textId="77777777" w:rsidR="00FC0107" w:rsidRPr="00584DBC" w:rsidRDefault="00FC0107" w:rsidP="003F2E92">
      <w:pPr>
        <w:pStyle w:val="NoSpacing"/>
        <w:spacing w:line="480" w:lineRule="auto"/>
        <w:rPr>
          <w:rFonts w:asciiTheme="minorBidi" w:eastAsia="Times New Roman" w:hAnsiTheme="minorBidi"/>
          <w:b/>
          <w:bCs/>
          <w:kern w:val="0"/>
          <w:sz w:val="24"/>
          <w:szCs w:val="24"/>
          <w14:ligatures w14:val="none"/>
        </w:rPr>
      </w:pPr>
    </w:p>
    <w:bookmarkStart w:id="22" w:name="CH2"/>
    <w:p w14:paraId="7F52EFD4" w14:textId="5009D62E" w:rsidR="00B86D36" w:rsidRPr="00584DBC" w:rsidRDefault="00897894" w:rsidP="003B1D46">
      <w:pPr>
        <w:pBdr>
          <w:top w:val="single" w:sz="4" w:space="1" w:color="auto"/>
          <w:left w:val="single" w:sz="4" w:space="4" w:color="auto"/>
          <w:bottom w:val="single" w:sz="4" w:space="1" w:color="auto"/>
          <w:right w:val="single" w:sz="4" w:space="4" w:color="auto"/>
        </w:pBdr>
        <w:rPr>
          <w:rFonts w:asciiTheme="minorBidi" w:hAnsiTheme="minorBidi"/>
          <w:b/>
          <w:bCs/>
        </w:rPr>
      </w:pPr>
      <w:r w:rsidRPr="00584DBC">
        <w:rPr>
          <w:rFonts w:asciiTheme="minorBidi" w:hAnsiTheme="minorBidi"/>
          <w:b/>
          <w:bCs/>
        </w:rPr>
        <w:fldChar w:fldCharType="begin"/>
      </w:r>
      <w:r w:rsidRPr="00584DBC">
        <w:rPr>
          <w:rFonts w:asciiTheme="minorBidi" w:hAnsiTheme="minorBidi"/>
          <w:b/>
          <w:bCs/>
        </w:rPr>
        <w:instrText>HYPERLINK  \l "DH2"</w:instrText>
      </w:r>
      <w:r w:rsidRPr="00584DBC">
        <w:rPr>
          <w:rFonts w:asciiTheme="minorBidi" w:hAnsiTheme="minorBidi"/>
          <w:b/>
          <w:bCs/>
        </w:rPr>
      </w:r>
      <w:r w:rsidRPr="00584DBC">
        <w:rPr>
          <w:rFonts w:asciiTheme="minorBidi" w:hAnsiTheme="minorBidi"/>
          <w:b/>
          <w:bCs/>
        </w:rPr>
        <w:fldChar w:fldCharType="separate"/>
      </w:r>
      <w:r w:rsidR="00B86D36" w:rsidRPr="00584DBC">
        <w:rPr>
          <w:rStyle w:val="Hyperlink"/>
          <w:rFonts w:asciiTheme="minorBidi" w:hAnsiTheme="minorBidi"/>
          <w:b/>
          <w:bCs/>
        </w:rPr>
        <w:t>Chapter Two</w:t>
      </w:r>
      <w:r w:rsidR="00F82F8A" w:rsidRPr="00584DBC">
        <w:rPr>
          <w:rStyle w:val="Hyperlink"/>
          <w:rFonts w:asciiTheme="minorBidi" w:hAnsiTheme="minorBidi"/>
          <w:b/>
          <w:bCs/>
        </w:rPr>
        <w:t>: Literature Review</w:t>
      </w:r>
      <w:r w:rsidRPr="00584DBC">
        <w:rPr>
          <w:rFonts w:asciiTheme="minorBidi" w:hAnsiTheme="minorBidi"/>
          <w:b/>
          <w:bCs/>
        </w:rPr>
        <w:fldChar w:fldCharType="end"/>
      </w:r>
    </w:p>
    <w:p w14:paraId="0C7BFC8C" w14:textId="77777777" w:rsidR="00D21E0B" w:rsidRDefault="00D21E0B" w:rsidP="00B86D36">
      <w:pPr>
        <w:pStyle w:val="NoSpacing"/>
        <w:spacing w:line="480" w:lineRule="auto"/>
        <w:rPr>
          <w:rFonts w:asciiTheme="minorBidi" w:hAnsiTheme="minorBidi"/>
          <w:b/>
          <w:bCs/>
          <w:sz w:val="24"/>
          <w:szCs w:val="24"/>
          <w:lang w:val="en-US" w:eastAsia="en-US"/>
        </w:rPr>
      </w:pPr>
      <w:bookmarkStart w:id="23" w:name="C14"/>
      <w:bookmarkEnd w:id="22"/>
    </w:p>
    <w:p w14:paraId="54B40A61" w14:textId="1050F2B6" w:rsidR="00935D12" w:rsidRPr="00584DBC" w:rsidRDefault="00000000" w:rsidP="00B86D36">
      <w:pPr>
        <w:pStyle w:val="NoSpacing"/>
        <w:spacing w:line="480" w:lineRule="auto"/>
        <w:rPr>
          <w:rFonts w:asciiTheme="minorBidi" w:hAnsiTheme="minorBidi"/>
          <w:b/>
          <w:bCs/>
          <w:sz w:val="24"/>
          <w:szCs w:val="24"/>
          <w:lang w:val="en-US" w:eastAsia="en-US"/>
        </w:rPr>
      </w:pPr>
      <w:hyperlink w:anchor="D14" w:history="1">
        <w:r w:rsidR="00935D12" w:rsidRPr="00584DBC">
          <w:rPr>
            <w:rStyle w:val="Hyperlink"/>
            <w:rFonts w:asciiTheme="minorBidi" w:hAnsiTheme="minorBidi"/>
            <w:b/>
            <w:bCs/>
            <w:sz w:val="24"/>
            <w:szCs w:val="24"/>
            <w:lang w:val="en-US" w:eastAsia="en-US"/>
          </w:rPr>
          <w:t>2.0 Introduction</w:t>
        </w:r>
      </w:hyperlink>
      <w:r w:rsidR="00854F5A">
        <w:rPr>
          <w:rFonts w:asciiTheme="minorBidi" w:hAnsiTheme="minorBidi"/>
          <w:b/>
          <w:bCs/>
          <w:sz w:val="24"/>
          <w:szCs w:val="24"/>
          <w:lang w:val="en-US" w:eastAsia="en-US"/>
        </w:rPr>
        <w:t>……………………………………………………………………..</w:t>
      </w:r>
      <w:r w:rsidR="004E2C7B">
        <w:rPr>
          <w:rFonts w:asciiTheme="minorBidi" w:hAnsiTheme="minorBidi"/>
          <w:b/>
          <w:bCs/>
          <w:sz w:val="24"/>
          <w:szCs w:val="24"/>
          <w:lang w:val="en-US" w:eastAsia="en-US"/>
        </w:rPr>
        <w:tab/>
      </w:r>
      <w:r w:rsidR="00854F5A">
        <w:rPr>
          <w:rFonts w:asciiTheme="minorBidi" w:hAnsiTheme="minorBidi"/>
          <w:b/>
          <w:bCs/>
          <w:sz w:val="24"/>
          <w:szCs w:val="24"/>
          <w:lang w:val="en-US" w:eastAsia="en-US"/>
        </w:rPr>
        <w:t>33</w:t>
      </w:r>
      <w:r w:rsidR="00935D12" w:rsidRPr="00584DBC">
        <w:rPr>
          <w:rFonts w:asciiTheme="minorBidi" w:hAnsiTheme="minorBidi"/>
          <w:b/>
          <w:bCs/>
          <w:sz w:val="24"/>
          <w:szCs w:val="24"/>
          <w:lang w:val="en-US" w:eastAsia="en-US"/>
        </w:rPr>
        <w:t xml:space="preserve"> </w:t>
      </w:r>
    </w:p>
    <w:bookmarkStart w:id="24" w:name="B2"/>
    <w:bookmarkStart w:id="25" w:name="C15"/>
    <w:bookmarkEnd w:id="23"/>
    <w:p w14:paraId="19FF1437" w14:textId="67C3BE2A" w:rsidR="00935D12" w:rsidRPr="00584DBC" w:rsidRDefault="00C03DE8" w:rsidP="003F2E92">
      <w:pPr>
        <w:pStyle w:val="NoSpacing"/>
        <w:spacing w:line="480" w:lineRule="auto"/>
        <w:rPr>
          <w:rFonts w:asciiTheme="minorBidi" w:hAnsiTheme="minorBidi"/>
          <w:b/>
          <w:bCs/>
          <w:sz w:val="24"/>
          <w:szCs w:val="24"/>
        </w:rPr>
      </w:pPr>
      <w:r w:rsidRPr="00584DBC">
        <w:rPr>
          <w:rFonts w:asciiTheme="minorBidi" w:hAnsiTheme="minorBidi"/>
          <w:b/>
          <w:bCs/>
          <w:sz w:val="24"/>
          <w:szCs w:val="24"/>
        </w:rPr>
        <w:fldChar w:fldCharType="begin"/>
      </w:r>
      <w:r w:rsidRPr="00584DBC">
        <w:rPr>
          <w:rFonts w:asciiTheme="minorBidi" w:hAnsiTheme="minorBidi"/>
          <w:b/>
          <w:bCs/>
          <w:sz w:val="24"/>
          <w:szCs w:val="24"/>
        </w:rPr>
        <w:instrText>HYPERLINK  \l "D15"</w:instrText>
      </w:r>
      <w:r w:rsidRPr="00584DBC">
        <w:rPr>
          <w:rFonts w:asciiTheme="minorBidi" w:hAnsiTheme="minorBidi"/>
          <w:b/>
          <w:bCs/>
          <w:sz w:val="24"/>
          <w:szCs w:val="24"/>
        </w:rPr>
      </w:r>
      <w:r w:rsidRPr="00584DBC">
        <w:rPr>
          <w:rFonts w:asciiTheme="minorBidi" w:hAnsiTheme="minorBidi"/>
          <w:b/>
          <w:bCs/>
          <w:sz w:val="24"/>
          <w:szCs w:val="24"/>
        </w:rPr>
        <w:fldChar w:fldCharType="separate"/>
      </w:r>
      <w:r w:rsidR="00935D12" w:rsidRPr="00584DBC">
        <w:rPr>
          <w:rStyle w:val="Hyperlink"/>
          <w:rFonts w:asciiTheme="minorBidi" w:hAnsiTheme="minorBidi"/>
          <w:b/>
          <w:bCs/>
          <w:sz w:val="24"/>
          <w:szCs w:val="24"/>
        </w:rPr>
        <w:t>2.1 Chapter Two Overview</w:t>
      </w:r>
      <w:r w:rsidRPr="00584DBC">
        <w:rPr>
          <w:rFonts w:asciiTheme="minorBidi" w:hAnsiTheme="minorBidi"/>
          <w:b/>
          <w:bCs/>
          <w:sz w:val="24"/>
          <w:szCs w:val="24"/>
        </w:rPr>
        <w:fldChar w:fldCharType="end"/>
      </w:r>
      <w:r w:rsidR="00854F5A">
        <w:rPr>
          <w:rFonts w:asciiTheme="minorBidi" w:hAnsiTheme="minorBidi"/>
          <w:b/>
          <w:bCs/>
          <w:sz w:val="24"/>
          <w:szCs w:val="24"/>
        </w:rPr>
        <w:t>………………………………………………………...</w:t>
      </w:r>
      <w:r w:rsidR="004E2C7B">
        <w:rPr>
          <w:rFonts w:asciiTheme="minorBidi" w:hAnsiTheme="minorBidi"/>
          <w:b/>
          <w:bCs/>
          <w:sz w:val="24"/>
          <w:szCs w:val="24"/>
        </w:rPr>
        <w:tab/>
      </w:r>
      <w:r w:rsidR="00854F5A">
        <w:rPr>
          <w:rFonts w:asciiTheme="minorBidi" w:hAnsiTheme="minorBidi"/>
          <w:b/>
          <w:bCs/>
          <w:sz w:val="24"/>
          <w:szCs w:val="24"/>
        </w:rPr>
        <w:t>34</w:t>
      </w:r>
    </w:p>
    <w:bookmarkStart w:id="26" w:name="B3"/>
    <w:bookmarkStart w:id="27" w:name="C16"/>
    <w:bookmarkEnd w:id="24"/>
    <w:bookmarkEnd w:id="25"/>
    <w:p w14:paraId="69B747D0" w14:textId="5B6350DC" w:rsidR="00935D12" w:rsidRPr="00584DBC" w:rsidRDefault="00C03DE8"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"D16"</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2.2 Part One: The Accounting Fraud Literature</w:t>
      </w:r>
      <w:r w:rsidRPr="00584DBC">
        <w:rPr>
          <w:rFonts w:asciiTheme="minorBidi" w:hAnsiTheme="minorBidi"/>
          <w:b/>
          <w:bCs/>
          <w:sz w:val="24"/>
          <w:szCs w:val="24"/>
          <w:lang w:val="en-US" w:eastAsia="en-US"/>
        </w:rPr>
        <w:fldChar w:fldCharType="end"/>
      </w:r>
      <w:r w:rsidR="00854F5A">
        <w:rPr>
          <w:rFonts w:asciiTheme="minorBidi" w:hAnsiTheme="minorBidi"/>
          <w:b/>
          <w:bCs/>
          <w:sz w:val="24"/>
          <w:szCs w:val="24"/>
          <w:lang w:val="en-US" w:eastAsia="en-US"/>
        </w:rPr>
        <w:t>……………………………….</w:t>
      </w:r>
      <w:r w:rsidR="004E2C7B">
        <w:rPr>
          <w:rFonts w:asciiTheme="minorBidi" w:hAnsiTheme="minorBidi"/>
          <w:b/>
          <w:bCs/>
          <w:sz w:val="24"/>
          <w:szCs w:val="24"/>
          <w:lang w:val="en-US" w:eastAsia="en-US"/>
        </w:rPr>
        <w:tab/>
      </w:r>
      <w:r w:rsidR="00854F5A">
        <w:rPr>
          <w:rFonts w:asciiTheme="minorBidi" w:hAnsiTheme="minorBidi"/>
          <w:b/>
          <w:bCs/>
          <w:sz w:val="24"/>
          <w:szCs w:val="24"/>
          <w:lang w:val="en-US" w:eastAsia="en-US"/>
        </w:rPr>
        <w:t>36</w:t>
      </w:r>
    </w:p>
    <w:bookmarkStart w:id="28" w:name="B4"/>
    <w:bookmarkStart w:id="29" w:name="C17"/>
    <w:bookmarkEnd w:id="26"/>
    <w:bookmarkEnd w:id="27"/>
    <w:p w14:paraId="374ADB7E" w14:textId="3F4073B2" w:rsidR="00935D12" w:rsidRPr="00584DBC" w:rsidRDefault="00C03DE8"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"D17"</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 xml:space="preserve">2.2.1 Theme One: The Types of Accounting Fraud, </w:t>
      </w:r>
      <w:r w:rsidR="00B6530F">
        <w:rPr>
          <w:rStyle w:val="Hyperlink"/>
          <w:rFonts w:asciiTheme="minorBidi" w:hAnsiTheme="minorBidi"/>
          <w:b/>
          <w:bCs/>
          <w:sz w:val="24"/>
          <w:szCs w:val="24"/>
          <w:lang w:val="en-US" w:eastAsia="en-US"/>
        </w:rPr>
        <w:t>I</w:t>
      </w:r>
      <w:r w:rsidR="00935D12" w:rsidRPr="00584DBC">
        <w:rPr>
          <w:rStyle w:val="Hyperlink"/>
          <w:rFonts w:asciiTheme="minorBidi" w:hAnsiTheme="minorBidi"/>
          <w:b/>
          <w:bCs/>
          <w:sz w:val="24"/>
          <w:szCs w:val="24"/>
          <w:lang w:val="en-US" w:eastAsia="en-US"/>
        </w:rPr>
        <w:t>ncluding Techniques</w:t>
      </w:r>
      <w:r w:rsidRPr="00584DBC">
        <w:rPr>
          <w:rFonts w:asciiTheme="minorBidi" w:hAnsiTheme="minorBidi"/>
          <w:b/>
          <w:bCs/>
          <w:sz w:val="24"/>
          <w:szCs w:val="24"/>
          <w:lang w:val="en-US" w:eastAsia="en-US"/>
        </w:rPr>
        <w:fldChar w:fldCharType="end"/>
      </w:r>
      <w:r w:rsidR="00B6530F">
        <w:rPr>
          <w:rFonts w:asciiTheme="minorBidi" w:hAnsiTheme="minorBidi"/>
          <w:b/>
          <w:bCs/>
          <w:sz w:val="24"/>
          <w:szCs w:val="24"/>
          <w:lang w:val="en-US" w:eastAsia="en-US"/>
        </w:rPr>
        <w:t xml:space="preserve">       37</w:t>
      </w:r>
    </w:p>
    <w:bookmarkStart w:id="30" w:name="B5"/>
    <w:bookmarkStart w:id="31" w:name="C18"/>
    <w:bookmarkEnd w:id="28"/>
    <w:bookmarkEnd w:id="29"/>
    <w:p w14:paraId="4DD33DF3" w14:textId="3BC1C63D" w:rsidR="00935D12" w:rsidRPr="00584DBC" w:rsidRDefault="00CA4EDB" w:rsidP="003F2E92">
      <w:pPr>
        <w:pStyle w:val="NoSpacing"/>
        <w:spacing w:line="480" w:lineRule="auto"/>
        <w:rPr>
          <w:rFonts w:asciiTheme="minorBidi" w:hAnsiTheme="minorBidi"/>
          <w:b/>
          <w:bCs/>
          <w:iCs/>
          <w:sz w:val="24"/>
          <w:szCs w:val="24"/>
          <w:lang w:val="en-US" w:eastAsia="en-US"/>
        </w:rPr>
      </w:pPr>
      <w:r w:rsidRPr="00584DBC">
        <w:rPr>
          <w:rFonts w:asciiTheme="minorBidi" w:hAnsiTheme="minorBidi"/>
          <w:b/>
          <w:bCs/>
          <w:iCs/>
          <w:sz w:val="24"/>
          <w:szCs w:val="24"/>
          <w:lang w:val="en-US" w:eastAsia="en-US"/>
        </w:rPr>
        <w:fldChar w:fldCharType="begin"/>
      </w:r>
      <w:r w:rsidRPr="00584DBC">
        <w:rPr>
          <w:rFonts w:asciiTheme="minorBidi" w:hAnsiTheme="minorBidi"/>
          <w:b/>
          <w:bCs/>
          <w:iCs/>
          <w:sz w:val="24"/>
          <w:szCs w:val="24"/>
          <w:lang w:val="en-US" w:eastAsia="en-US"/>
        </w:rPr>
        <w:instrText>HYPERLINK  \l "D18"</w:instrText>
      </w:r>
      <w:r w:rsidRPr="00584DBC">
        <w:rPr>
          <w:rFonts w:asciiTheme="minorBidi" w:hAnsiTheme="minorBidi"/>
          <w:b/>
          <w:bCs/>
          <w:iCs/>
          <w:sz w:val="24"/>
          <w:szCs w:val="24"/>
          <w:lang w:val="en-US" w:eastAsia="en-US"/>
        </w:rPr>
      </w:r>
      <w:r w:rsidRPr="00584DBC">
        <w:rPr>
          <w:rFonts w:asciiTheme="minorBidi" w:hAnsiTheme="minorBidi"/>
          <w:b/>
          <w:bCs/>
          <w:iCs/>
          <w:sz w:val="24"/>
          <w:szCs w:val="24"/>
          <w:lang w:val="en-US" w:eastAsia="en-US"/>
        </w:rPr>
        <w:fldChar w:fldCharType="separate"/>
      </w:r>
      <w:r w:rsidR="00935D12" w:rsidRPr="00584DBC">
        <w:rPr>
          <w:rStyle w:val="Hyperlink"/>
          <w:rFonts w:asciiTheme="minorBidi" w:hAnsiTheme="minorBidi"/>
          <w:b/>
          <w:bCs/>
          <w:iCs/>
          <w:sz w:val="24"/>
          <w:szCs w:val="24"/>
          <w:lang w:val="en-US" w:eastAsia="en-US"/>
        </w:rPr>
        <w:t>2.2.1.1 Inappropriate Revenue Recognition</w:t>
      </w:r>
      <w:r w:rsidRPr="00584DBC">
        <w:rPr>
          <w:rFonts w:asciiTheme="minorBidi" w:hAnsiTheme="minorBidi"/>
          <w:b/>
          <w:bCs/>
          <w:iCs/>
          <w:sz w:val="24"/>
          <w:szCs w:val="24"/>
          <w:lang w:val="en-US" w:eastAsia="en-US"/>
        </w:rPr>
        <w:fldChar w:fldCharType="end"/>
      </w:r>
      <w:r w:rsidR="009A3102">
        <w:rPr>
          <w:rFonts w:asciiTheme="minorBidi" w:hAnsiTheme="minorBidi"/>
          <w:b/>
          <w:bCs/>
          <w:iCs/>
          <w:sz w:val="24"/>
          <w:szCs w:val="24"/>
          <w:lang w:val="en-US" w:eastAsia="en-US"/>
        </w:rPr>
        <w:t>……………………………………</w:t>
      </w:r>
      <w:r w:rsidR="004E2C7B">
        <w:rPr>
          <w:rFonts w:asciiTheme="minorBidi" w:hAnsiTheme="minorBidi"/>
          <w:b/>
          <w:bCs/>
          <w:iCs/>
          <w:sz w:val="24"/>
          <w:szCs w:val="24"/>
          <w:lang w:val="en-US" w:eastAsia="en-US"/>
        </w:rPr>
        <w:tab/>
      </w:r>
      <w:r w:rsidR="009A3102">
        <w:rPr>
          <w:rFonts w:asciiTheme="minorBidi" w:hAnsiTheme="minorBidi"/>
          <w:b/>
          <w:bCs/>
          <w:iCs/>
          <w:sz w:val="24"/>
          <w:szCs w:val="24"/>
          <w:lang w:val="en-US" w:eastAsia="en-US"/>
        </w:rPr>
        <w:t>3</w:t>
      </w:r>
      <w:r w:rsidR="00262701">
        <w:rPr>
          <w:rFonts w:asciiTheme="minorBidi" w:hAnsiTheme="minorBidi"/>
          <w:b/>
          <w:bCs/>
          <w:iCs/>
          <w:sz w:val="24"/>
          <w:szCs w:val="24"/>
          <w:lang w:val="en-US" w:eastAsia="en-US"/>
        </w:rPr>
        <w:t>8</w:t>
      </w:r>
    </w:p>
    <w:bookmarkStart w:id="32" w:name="B6"/>
    <w:bookmarkStart w:id="33" w:name="C19"/>
    <w:bookmarkEnd w:id="30"/>
    <w:bookmarkEnd w:id="31"/>
    <w:p w14:paraId="3BFC7090" w14:textId="682AC387" w:rsidR="00935D12" w:rsidRPr="00584DBC" w:rsidRDefault="00CA4EDB" w:rsidP="003F2E92">
      <w:pPr>
        <w:pStyle w:val="NoSpacing"/>
        <w:spacing w:line="480" w:lineRule="auto"/>
        <w:rPr>
          <w:rFonts w:asciiTheme="minorBidi" w:hAnsiTheme="minorBidi"/>
          <w:b/>
          <w:bCs/>
          <w:iCs/>
          <w:sz w:val="24"/>
          <w:szCs w:val="24"/>
          <w:lang w:val="en-US" w:eastAsia="en-US"/>
        </w:rPr>
      </w:pPr>
      <w:r w:rsidRPr="00584DBC">
        <w:rPr>
          <w:rFonts w:asciiTheme="minorBidi" w:hAnsiTheme="minorBidi"/>
          <w:b/>
          <w:bCs/>
          <w:iCs/>
          <w:sz w:val="24"/>
          <w:szCs w:val="24"/>
          <w:lang w:val="en-US" w:eastAsia="en-US"/>
        </w:rPr>
        <w:fldChar w:fldCharType="begin"/>
      </w:r>
      <w:r w:rsidRPr="00584DBC">
        <w:rPr>
          <w:rFonts w:asciiTheme="minorBidi" w:hAnsiTheme="minorBidi"/>
          <w:b/>
          <w:bCs/>
          <w:iCs/>
          <w:sz w:val="24"/>
          <w:szCs w:val="24"/>
          <w:lang w:val="en-US" w:eastAsia="en-US"/>
        </w:rPr>
        <w:instrText>HYPERLINK  \l "D19"</w:instrText>
      </w:r>
      <w:r w:rsidRPr="00584DBC">
        <w:rPr>
          <w:rFonts w:asciiTheme="minorBidi" w:hAnsiTheme="minorBidi"/>
          <w:b/>
          <w:bCs/>
          <w:iCs/>
          <w:sz w:val="24"/>
          <w:szCs w:val="24"/>
          <w:lang w:val="en-US" w:eastAsia="en-US"/>
        </w:rPr>
      </w:r>
      <w:r w:rsidRPr="00584DBC">
        <w:rPr>
          <w:rFonts w:asciiTheme="minorBidi" w:hAnsiTheme="minorBidi"/>
          <w:b/>
          <w:bCs/>
          <w:iCs/>
          <w:sz w:val="24"/>
          <w:szCs w:val="24"/>
          <w:lang w:val="en-US" w:eastAsia="en-US"/>
        </w:rPr>
        <w:fldChar w:fldCharType="separate"/>
      </w:r>
      <w:r w:rsidR="00935D12" w:rsidRPr="00584DBC">
        <w:rPr>
          <w:rStyle w:val="Hyperlink"/>
          <w:rFonts w:asciiTheme="minorBidi" w:hAnsiTheme="minorBidi"/>
          <w:b/>
          <w:bCs/>
          <w:iCs/>
          <w:sz w:val="24"/>
          <w:szCs w:val="24"/>
          <w:lang w:val="en-US" w:eastAsia="en-US"/>
        </w:rPr>
        <w:t>2.2.1.2 Inappropriate Asset Recognition</w:t>
      </w:r>
      <w:r w:rsidRPr="00584DBC">
        <w:rPr>
          <w:rFonts w:asciiTheme="minorBidi" w:hAnsiTheme="minorBidi"/>
          <w:b/>
          <w:bCs/>
          <w:iCs/>
          <w:sz w:val="24"/>
          <w:szCs w:val="24"/>
          <w:lang w:val="en-US" w:eastAsia="en-US"/>
        </w:rPr>
        <w:fldChar w:fldCharType="end"/>
      </w:r>
      <w:r w:rsidR="002174D0">
        <w:rPr>
          <w:rFonts w:asciiTheme="minorBidi" w:hAnsiTheme="minorBidi"/>
          <w:b/>
          <w:bCs/>
          <w:iCs/>
          <w:sz w:val="24"/>
          <w:szCs w:val="24"/>
          <w:lang w:val="en-US" w:eastAsia="en-US"/>
        </w:rPr>
        <w:t>………………………………………..</w:t>
      </w:r>
      <w:r w:rsidR="004E2C7B">
        <w:rPr>
          <w:rFonts w:asciiTheme="minorBidi" w:hAnsiTheme="minorBidi"/>
          <w:b/>
          <w:bCs/>
          <w:iCs/>
          <w:sz w:val="24"/>
          <w:szCs w:val="24"/>
          <w:lang w:val="en-US" w:eastAsia="en-US"/>
        </w:rPr>
        <w:tab/>
      </w:r>
      <w:r w:rsidR="002174D0">
        <w:rPr>
          <w:rFonts w:asciiTheme="minorBidi" w:hAnsiTheme="minorBidi"/>
          <w:b/>
          <w:bCs/>
          <w:iCs/>
          <w:sz w:val="24"/>
          <w:szCs w:val="24"/>
          <w:lang w:val="en-US" w:eastAsia="en-US"/>
        </w:rPr>
        <w:t>4</w:t>
      </w:r>
      <w:r w:rsidR="00262701">
        <w:rPr>
          <w:rFonts w:asciiTheme="minorBidi" w:hAnsiTheme="minorBidi"/>
          <w:b/>
          <w:bCs/>
          <w:iCs/>
          <w:sz w:val="24"/>
          <w:szCs w:val="24"/>
          <w:lang w:val="en-US" w:eastAsia="en-US"/>
        </w:rPr>
        <w:t>1</w:t>
      </w:r>
    </w:p>
    <w:bookmarkStart w:id="34" w:name="B7"/>
    <w:bookmarkStart w:id="35" w:name="C20"/>
    <w:bookmarkEnd w:id="32"/>
    <w:bookmarkEnd w:id="33"/>
    <w:p w14:paraId="5E77239F" w14:textId="48A18148" w:rsidR="00935D12" w:rsidRPr="00584DBC" w:rsidRDefault="00CA4EDB" w:rsidP="003F2E92">
      <w:pPr>
        <w:pStyle w:val="NoSpacing"/>
        <w:spacing w:line="480" w:lineRule="auto"/>
        <w:rPr>
          <w:rFonts w:asciiTheme="minorBidi" w:hAnsiTheme="minorBidi"/>
          <w:b/>
          <w:bCs/>
          <w:iCs/>
          <w:sz w:val="24"/>
          <w:szCs w:val="24"/>
          <w:lang w:val="en-US" w:eastAsia="en-US"/>
        </w:rPr>
      </w:pPr>
      <w:r w:rsidRPr="00584DBC">
        <w:rPr>
          <w:rFonts w:asciiTheme="minorBidi" w:hAnsiTheme="minorBidi"/>
          <w:b/>
          <w:bCs/>
          <w:iCs/>
          <w:sz w:val="24"/>
          <w:szCs w:val="24"/>
          <w:lang w:val="en-US" w:eastAsia="en-US"/>
        </w:rPr>
        <w:lastRenderedPageBreak/>
        <w:fldChar w:fldCharType="begin"/>
      </w:r>
      <w:r w:rsidRPr="00584DBC">
        <w:rPr>
          <w:rFonts w:asciiTheme="minorBidi" w:hAnsiTheme="minorBidi"/>
          <w:b/>
          <w:bCs/>
          <w:iCs/>
          <w:sz w:val="24"/>
          <w:szCs w:val="24"/>
          <w:lang w:val="en-US" w:eastAsia="en-US"/>
        </w:rPr>
        <w:instrText>HYPERLINK  \l "D20"</w:instrText>
      </w:r>
      <w:r w:rsidRPr="00584DBC">
        <w:rPr>
          <w:rFonts w:asciiTheme="minorBidi" w:hAnsiTheme="minorBidi"/>
          <w:b/>
          <w:bCs/>
          <w:iCs/>
          <w:sz w:val="24"/>
          <w:szCs w:val="24"/>
          <w:lang w:val="en-US" w:eastAsia="en-US"/>
        </w:rPr>
      </w:r>
      <w:r w:rsidRPr="00584DBC">
        <w:rPr>
          <w:rFonts w:asciiTheme="minorBidi" w:hAnsiTheme="minorBidi"/>
          <w:b/>
          <w:bCs/>
          <w:iCs/>
          <w:sz w:val="24"/>
          <w:szCs w:val="24"/>
          <w:lang w:val="en-US" w:eastAsia="en-US"/>
        </w:rPr>
        <w:fldChar w:fldCharType="separate"/>
      </w:r>
      <w:r w:rsidR="00935D12" w:rsidRPr="00584DBC">
        <w:rPr>
          <w:rStyle w:val="Hyperlink"/>
          <w:rFonts w:asciiTheme="minorBidi" w:hAnsiTheme="minorBidi"/>
          <w:b/>
          <w:bCs/>
          <w:iCs/>
          <w:sz w:val="24"/>
          <w:szCs w:val="24"/>
          <w:lang w:val="en-US" w:eastAsia="en-US"/>
        </w:rPr>
        <w:t>2.2.1.3 Hidden Liabilities and Expenses</w:t>
      </w:r>
      <w:r w:rsidRPr="00584DBC">
        <w:rPr>
          <w:rFonts w:asciiTheme="minorBidi" w:hAnsiTheme="minorBidi"/>
          <w:b/>
          <w:bCs/>
          <w:iCs/>
          <w:sz w:val="24"/>
          <w:szCs w:val="24"/>
          <w:lang w:val="en-US" w:eastAsia="en-US"/>
        </w:rPr>
        <w:fldChar w:fldCharType="end"/>
      </w:r>
      <w:r w:rsidR="003268C9">
        <w:rPr>
          <w:rFonts w:asciiTheme="minorBidi" w:hAnsiTheme="minorBidi"/>
          <w:b/>
          <w:bCs/>
          <w:iCs/>
          <w:sz w:val="24"/>
          <w:szCs w:val="24"/>
          <w:lang w:val="en-US" w:eastAsia="en-US"/>
        </w:rPr>
        <w:t>………………………………………..</w:t>
      </w:r>
      <w:r w:rsidR="004E2C7B">
        <w:rPr>
          <w:rFonts w:asciiTheme="minorBidi" w:hAnsiTheme="minorBidi"/>
          <w:b/>
          <w:bCs/>
          <w:iCs/>
          <w:sz w:val="24"/>
          <w:szCs w:val="24"/>
          <w:lang w:val="en-US" w:eastAsia="en-US"/>
        </w:rPr>
        <w:tab/>
      </w:r>
      <w:r w:rsidR="003268C9">
        <w:rPr>
          <w:rFonts w:asciiTheme="minorBidi" w:hAnsiTheme="minorBidi"/>
          <w:b/>
          <w:bCs/>
          <w:iCs/>
          <w:sz w:val="24"/>
          <w:szCs w:val="24"/>
          <w:lang w:val="en-US" w:eastAsia="en-US"/>
        </w:rPr>
        <w:t>45</w:t>
      </w:r>
    </w:p>
    <w:bookmarkStart w:id="36" w:name="B8"/>
    <w:bookmarkStart w:id="37" w:name="C21"/>
    <w:bookmarkEnd w:id="34"/>
    <w:bookmarkEnd w:id="35"/>
    <w:p w14:paraId="1B9E6667" w14:textId="3886E555" w:rsidR="00935D12" w:rsidRPr="00584DBC" w:rsidRDefault="00CA4EDB" w:rsidP="003F2E92">
      <w:pPr>
        <w:pStyle w:val="NoSpacing"/>
        <w:spacing w:line="480" w:lineRule="auto"/>
        <w:rPr>
          <w:rFonts w:asciiTheme="minorBidi" w:hAnsiTheme="minorBidi"/>
          <w:b/>
          <w:bCs/>
          <w:iCs/>
          <w:sz w:val="24"/>
          <w:szCs w:val="24"/>
          <w:lang w:val="en-US" w:eastAsia="en-US"/>
        </w:rPr>
      </w:pPr>
      <w:r w:rsidRPr="00584DBC">
        <w:rPr>
          <w:rFonts w:asciiTheme="minorBidi" w:hAnsiTheme="minorBidi"/>
          <w:b/>
          <w:bCs/>
          <w:iCs/>
          <w:sz w:val="24"/>
          <w:szCs w:val="24"/>
          <w:lang w:val="en-US" w:eastAsia="en-US"/>
        </w:rPr>
        <w:fldChar w:fldCharType="begin"/>
      </w:r>
      <w:r w:rsidRPr="00584DBC">
        <w:rPr>
          <w:rFonts w:asciiTheme="minorBidi" w:hAnsiTheme="minorBidi"/>
          <w:b/>
          <w:bCs/>
          <w:iCs/>
          <w:sz w:val="24"/>
          <w:szCs w:val="24"/>
          <w:lang w:val="en-US" w:eastAsia="en-US"/>
        </w:rPr>
        <w:instrText>HYPERLINK  \l "D21"</w:instrText>
      </w:r>
      <w:r w:rsidRPr="00584DBC">
        <w:rPr>
          <w:rFonts w:asciiTheme="minorBidi" w:hAnsiTheme="minorBidi"/>
          <w:b/>
          <w:bCs/>
          <w:iCs/>
          <w:sz w:val="24"/>
          <w:szCs w:val="24"/>
          <w:lang w:val="en-US" w:eastAsia="en-US"/>
        </w:rPr>
      </w:r>
      <w:r w:rsidRPr="00584DBC">
        <w:rPr>
          <w:rFonts w:asciiTheme="minorBidi" w:hAnsiTheme="minorBidi"/>
          <w:b/>
          <w:bCs/>
          <w:iCs/>
          <w:sz w:val="24"/>
          <w:szCs w:val="24"/>
          <w:lang w:val="en-US" w:eastAsia="en-US"/>
        </w:rPr>
        <w:fldChar w:fldCharType="separate"/>
      </w:r>
      <w:r w:rsidR="00935D12" w:rsidRPr="00584DBC">
        <w:rPr>
          <w:rStyle w:val="Hyperlink"/>
          <w:rFonts w:asciiTheme="minorBidi" w:hAnsiTheme="minorBidi"/>
          <w:b/>
          <w:bCs/>
          <w:iCs/>
          <w:sz w:val="24"/>
          <w:szCs w:val="24"/>
          <w:lang w:val="en-US" w:eastAsia="en-US"/>
        </w:rPr>
        <w:t>2.2.1.4 Inappropriate Disclosure</w:t>
      </w:r>
      <w:r w:rsidRPr="00584DBC">
        <w:rPr>
          <w:rFonts w:asciiTheme="minorBidi" w:hAnsiTheme="minorBidi"/>
          <w:b/>
          <w:bCs/>
          <w:iCs/>
          <w:sz w:val="24"/>
          <w:szCs w:val="24"/>
          <w:lang w:val="en-US" w:eastAsia="en-US"/>
        </w:rPr>
        <w:fldChar w:fldCharType="end"/>
      </w:r>
      <w:r w:rsidR="00977939">
        <w:rPr>
          <w:rFonts w:asciiTheme="minorBidi" w:hAnsiTheme="minorBidi"/>
          <w:b/>
          <w:bCs/>
          <w:iCs/>
          <w:sz w:val="24"/>
          <w:szCs w:val="24"/>
          <w:lang w:val="en-US" w:eastAsia="en-US"/>
        </w:rPr>
        <w:t>…………………………………………………</w:t>
      </w:r>
      <w:r w:rsidR="004E2C7B">
        <w:rPr>
          <w:rFonts w:asciiTheme="minorBidi" w:hAnsiTheme="minorBidi"/>
          <w:b/>
          <w:bCs/>
          <w:iCs/>
          <w:sz w:val="24"/>
          <w:szCs w:val="24"/>
          <w:lang w:val="en-US" w:eastAsia="en-US"/>
        </w:rPr>
        <w:tab/>
      </w:r>
      <w:r w:rsidR="00977939">
        <w:rPr>
          <w:rFonts w:asciiTheme="minorBidi" w:hAnsiTheme="minorBidi"/>
          <w:b/>
          <w:bCs/>
          <w:iCs/>
          <w:sz w:val="24"/>
          <w:szCs w:val="24"/>
          <w:lang w:val="en-US" w:eastAsia="en-US"/>
        </w:rPr>
        <w:t>4</w:t>
      </w:r>
      <w:r w:rsidR="00262701">
        <w:rPr>
          <w:rFonts w:asciiTheme="minorBidi" w:hAnsiTheme="minorBidi"/>
          <w:b/>
          <w:bCs/>
          <w:iCs/>
          <w:sz w:val="24"/>
          <w:szCs w:val="24"/>
          <w:lang w:val="en-US" w:eastAsia="en-US"/>
        </w:rPr>
        <w:t>7</w:t>
      </w:r>
    </w:p>
    <w:bookmarkStart w:id="38" w:name="B9"/>
    <w:bookmarkStart w:id="39" w:name="C22"/>
    <w:bookmarkEnd w:id="36"/>
    <w:bookmarkEnd w:id="37"/>
    <w:p w14:paraId="26CB3684" w14:textId="148A45D2" w:rsidR="00935D12" w:rsidRPr="00584DBC" w:rsidRDefault="006E5436"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"D22"</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2.3 Accounting Scandals</w:t>
      </w:r>
      <w:r w:rsidRPr="00584DBC">
        <w:rPr>
          <w:rFonts w:asciiTheme="minorBidi" w:hAnsiTheme="minorBidi"/>
          <w:b/>
          <w:bCs/>
          <w:sz w:val="24"/>
          <w:szCs w:val="24"/>
          <w:lang w:val="en-US" w:eastAsia="en-US"/>
        </w:rPr>
        <w:fldChar w:fldCharType="end"/>
      </w:r>
      <w:r w:rsidR="00977939">
        <w:rPr>
          <w:rFonts w:asciiTheme="minorBidi" w:hAnsiTheme="minorBidi"/>
          <w:b/>
          <w:bCs/>
          <w:sz w:val="24"/>
          <w:szCs w:val="24"/>
          <w:lang w:val="en-US" w:eastAsia="en-US"/>
        </w:rPr>
        <w:t>………………………………………………………….</w:t>
      </w:r>
      <w:r w:rsidR="004E2C7B">
        <w:rPr>
          <w:rFonts w:asciiTheme="minorBidi" w:hAnsiTheme="minorBidi"/>
          <w:b/>
          <w:bCs/>
          <w:sz w:val="24"/>
          <w:szCs w:val="24"/>
          <w:lang w:val="en-US" w:eastAsia="en-US"/>
        </w:rPr>
        <w:tab/>
      </w:r>
      <w:r w:rsidR="00977939">
        <w:rPr>
          <w:rFonts w:asciiTheme="minorBidi" w:hAnsiTheme="minorBidi"/>
          <w:b/>
          <w:bCs/>
          <w:sz w:val="24"/>
          <w:szCs w:val="24"/>
          <w:lang w:val="en-US" w:eastAsia="en-US"/>
        </w:rPr>
        <w:t>4</w:t>
      </w:r>
      <w:r w:rsidR="00262701">
        <w:rPr>
          <w:rFonts w:asciiTheme="minorBidi" w:hAnsiTheme="minorBidi"/>
          <w:b/>
          <w:bCs/>
          <w:sz w:val="24"/>
          <w:szCs w:val="24"/>
          <w:lang w:val="en-US" w:eastAsia="en-US"/>
        </w:rPr>
        <w:t>8</w:t>
      </w:r>
    </w:p>
    <w:bookmarkStart w:id="40" w:name="B10"/>
    <w:bookmarkStart w:id="41" w:name="C23"/>
    <w:bookmarkEnd w:id="38"/>
    <w:bookmarkEnd w:id="39"/>
    <w:p w14:paraId="5CF7292A" w14:textId="35FD9455" w:rsidR="00935D12" w:rsidRPr="00584DBC" w:rsidRDefault="00D96999"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"D23"</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2.3.1 Enron, 2001</w:t>
      </w:r>
      <w:r w:rsidRPr="00584DBC">
        <w:rPr>
          <w:rFonts w:asciiTheme="minorBidi" w:hAnsiTheme="minorBidi"/>
          <w:b/>
          <w:bCs/>
          <w:sz w:val="24"/>
          <w:szCs w:val="24"/>
          <w:lang w:val="en-US" w:eastAsia="en-US"/>
        </w:rPr>
        <w:fldChar w:fldCharType="end"/>
      </w:r>
      <w:r w:rsidR="006E5306">
        <w:rPr>
          <w:rFonts w:asciiTheme="minorBidi" w:hAnsiTheme="minorBidi"/>
          <w:b/>
          <w:bCs/>
          <w:sz w:val="24"/>
          <w:szCs w:val="24"/>
          <w:lang w:val="en-US" w:eastAsia="en-US"/>
        </w:rPr>
        <w:t>…………………………………………………………………....</w:t>
      </w:r>
      <w:r w:rsidR="004E2C7B">
        <w:rPr>
          <w:rFonts w:asciiTheme="minorBidi" w:hAnsiTheme="minorBidi"/>
          <w:b/>
          <w:bCs/>
          <w:sz w:val="24"/>
          <w:szCs w:val="24"/>
          <w:lang w:val="en-US" w:eastAsia="en-US"/>
        </w:rPr>
        <w:tab/>
      </w:r>
      <w:r w:rsidR="00262701">
        <w:rPr>
          <w:rFonts w:asciiTheme="minorBidi" w:hAnsiTheme="minorBidi"/>
          <w:b/>
          <w:bCs/>
          <w:sz w:val="24"/>
          <w:szCs w:val="24"/>
          <w:lang w:val="en-US" w:eastAsia="en-US"/>
        </w:rPr>
        <w:t>48</w:t>
      </w:r>
    </w:p>
    <w:bookmarkStart w:id="42" w:name="B11"/>
    <w:bookmarkStart w:id="43" w:name="C24"/>
    <w:bookmarkEnd w:id="40"/>
    <w:bookmarkEnd w:id="41"/>
    <w:p w14:paraId="10F3077A" w14:textId="4534E09A" w:rsidR="00935D12" w:rsidRPr="00584DBC" w:rsidRDefault="00D96999"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"D24"</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2.3.2 WorldCom, 2002</w:t>
      </w:r>
      <w:r w:rsidRPr="00584DBC">
        <w:rPr>
          <w:rFonts w:asciiTheme="minorBidi" w:hAnsiTheme="minorBidi"/>
          <w:b/>
          <w:bCs/>
          <w:sz w:val="24"/>
          <w:szCs w:val="24"/>
          <w:lang w:val="en-US" w:eastAsia="en-US"/>
        </w:rPr>
        <w:fldChar w:fldCharType="end"/>
      </w:r>
      <w:r w:rsidR="006E5306">
        <w:rPr>
          <w:rFonts w:asciiTheme="minorBidi" w:hAnsiTheme="minorBidi"/>
          <w:b/>
          <w:bCs/>
          <w:sz w:val="24"/>
          <w:szCs w:val="24"/>
          <w:lang w:val="en-US" w:eastAsia="en-US"/>
        </w:rPr>
        <w:t>………………………………………………………………</w:t>
      </w:r>
      <w:r w:rsidR="004E2C7B">
        <w:rPr>
          <w:rFonts w:asciiTheme="minorBidi" w:hAnsiTheme="minorBidi"/>
          <w:b/>
          <w:bCs/>
          <w:sz w:val="24"/>
          <w:szCs w:val="24"/>
          <w:lang w:val="en-US" w:eastAsia="en-US"/>
        </w:rPr>
        <w:tab/>
      </w:r>
      <w:r w:rsidR="006E5306">
        <w:rPr>
          <w:rFonts w:asciiTheme="minorBidi" w:hAnsiTheme="minorBidi"/>
          <w:b/>
          <w:bCs/>
          <w:sz w:val="24"/>
          <w:szCs w:val="24"/>
          <w:lang w:val="en-US" w:eastAsia="en-US"/>
        </w:rPr>
        <w:t>5</w:t>
      </w:r>
      <w:r w:rsidR="00262701">
        <w:rPr>
          <w:rFonts w:asciiTheme="minorBidi" w:hAnsiTheme="minorBidi"/>
          <w:b/>
          <w:bCs/>
          <w:sz w:val="24"/>
          <w:szCs w:val="24"/>
          <w:lang w:val="en-US" w:eastAsia="en-US"/>
        </w:rPr>
        <w:t>0</w:t>
      </w:r>
    </w:p>
    <w:bookmarkStart w:id="44" w:name="B12"/>
    <w:bookmarkStart w:id="45" w:name="C25"/>
    <w:bookmarkEnd w:id="42"/>
    <w:bookmarkEnd w:id="43"/>
    <w:p w14:paraId="56729747" w14:textId="4E665161" w:rsidR="00935D12" w:rsidRPr="00584DBC" w:rsidRDefault="009A0BCC"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"D25"</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2.3.3 Adelphia, 2002</w:t>
      </w:r>
      <w:r w:rsidRPr="00584DBC">
        <w:rPr>
          <w:rFonts w:asciiTheme="minorBidi" w:hAnsiTheme="minorBidi"/>
          <w:b/>
          <w:bCs/>
          <w:sz w:val="24"/>
          <w:szCs w:val="24"/>
          <w:lang w:val="en-US" w:eastAsia="en-US"/>
        </w:rPr>
        <w:fldChar w:fldCharType="end"/>
      </w:r>
      <w:r w:rsidR="00CF4EC7">
        <w:rPr>
          <w:rFonts w:asciiTheme="minorBidi" w:hAnsiTheme="minorBidi"/>
          <w:b/>
          <w:bCs/>
          <w:sz w:val="24"/>
          <w:szCs w:val="24"/>
          <w:lang w:val="en-US" w:eastAsia="en-US"/>
        </w:rPr>
        <w:t>………………………………………………………………...</w:t>
      </w:r>
      <w:r w:rsidR="004E2C7B">
        <w:rPr>
          <w:rFonts w:asciiTheme="minorBidi" w:hAnsiTheme="minorBidi"/>
          <w:b/>
          <w:bCs/>
          <w:sz w:val="24"/>
          <w:szCs w:val="24"/>
          <w:lang w:val="en-US" w:eastAsia="en-US"/>
        </w:rPr>
        <w:tab/>
      </w:r>
      <w:r w:rsidR="00CF4EC7">
        <w:rPr>
          <w:rFonts w:asciiTheme="minorBidi" w:hAnsiTheme="minorBidi"/>
          <w:b/>
          <w:bCs/>
          <w:sz w:val="24"/>
          <w:szCs w:val="24"/>
          <w:lang w:val="en-US" w:eastAsia="en-US"/>
        </w:rPr>
        <w:t>5</w:t>
      </w:r>
      <w:r w:rsidR="00262701">
        <w:rPr>
          <w:rFonts w:asciiTheme="minorBidi" w:hAnsiTheme="minorBidi"/>
          <w:b/>
          <w:bCs/>
          <w:sz w:val="24"/>
          <w:szCs w:val="24"/>
          <w:lang w:val="en-US" w:eastAsia="en-US"/>
        </w:rPr>
        <w:t>0</w:t>
      </w:r>
    </w:p>
    <w:bookmarkStart w:id="46" w:name="B13"/>
    <w:bookmarkStart w:id="47" w:name="C26"/>
    <w:bookmarkEnd w:id="44"/>
    <w:bookmarkEnd w:id="45"/>
    <w:p w14:paraId="05227555" w14:textId="0AA6AEA6" w:rsidR="00935D12" w:rsidRPr="00584DBC" w:rsidRDefault="009A0BCC"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"D26"</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2.3.4 Global Crossing, 2002</w:t>
      </w:r>
      <w:r w:rsidRPr="00584DBC">
        <w:rPr>
          <w:rFonts w:asciiTheme="minorBidi" w:hAnsiTheme="minorBidi"/>
          <w:b/>
          <w:bCs/>
          <w:sz w:val="24"/>
          <w:szCs w:val="24"/>
          <w:lang w:val="en-US" w:eastAsia="en-US"/>
        </w:rPr>
        <w:fldChar w:fldCharType="end"/>
      </w:r>
      <w:r w:rsidR="00CF4EC7">
        <w:rPr>
          <w:rFonts w:asciiTheme="minorBidi" w:hAnsiTheme="minorBidi"/>
          <w:b/>
          <w:bCs/>
          <w:sz w:val="24"/>
          <w:szCs w:val="24"/>
          <w:lang w:val="en-US" w:eastAsia="en-US"/>
        </w:rPr>
        <w:t>……………………………………………………….</w:t>
      </w:r>
      <w:r w:rsidR="004E2C7B">
        <w:rPr>
          <w:rFonts w:asciiTheme="minorBidi" w:hAnsiTheme="minorBidi"/>
          <w:b/>
          <w:bCs/>
          <w:sz w:val="24"/>
          <w:szCs w:val="24"/>
          <w:lang w:val="en-US" w:eastAsia="en-US"/>
        </w:rPr>
        <w:tab/>
      </w:r>
      <w:r w:rsidR="00CF4EC7">
        <w:rPr>
          <w:rFonts w:asciiTheme="minorBidi" w:hAnsiTheme="minorBidi"/>
          <w:b/>
          <w:bCs/>
          <w:sz w:val="24"/>
          <w:szCs w:val="24"/>
          <w:lang w:val="en-US" w:eastAsia="en-US"/>
        </w:rPr>
        <w:t>5</w:t>
      </w:r>
      <w:r w:rsidR="00262701">
        <w:rPr>
          <w:rFonts w:asciiTheme="minorBidi" w:hAnsiTheme="minorBidi"/>
          <w:b/>
          <w:bCs/>
          <w:sz w:val="24"/>
          <w:szCs w:val="24"/>
          <w:lang w:val="en-US" w:eastAsia="en-US"/>
        </w:rPr>
        <w:t>1</w:t>
      </w:r>
    </w:p>
    <w:bookmarkStart w:id="48" w:name="B14"/>
    <w:bookmarkStart w:id="49" w:name="C27"/>
    <w:bookmarkEnd w:id="46"/>
    <w:bookmarkEnd w:id="47"/>
    <w:p w14:paraId="15FBFEFF" w14:textId="4B1FB67F" w:rsidR="00935D12" w:rsidRPr="00584DBC" w:rsidRDefault="009A0BCC"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"D27"</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2.3.5 Parmalat S.p.A, 2004</w:t>
      </w:r>
      <w:r w:rsidRPr="00584DBC">
        <w:rPr>
          <w:rFonts w:asciiTheme="minorBidi" w:hAnsiTheme="minorBidi"/>
          <w:b/>
          <w:bCs/>
          <w:sz w:val="24"/>
          <w:szCs w:val="24"/>
          <w:lang w:val="en-US" w:eastAsia="en-US"/>
        </w:rPr>
        <w:fldChar w:fldCharType="end"/>
      </w:r>
      <w:r w:rsidR="004054A5">
        <w:rPr>
          <w:rFonts w:asciiTheme="minorBidi" w:hAnsiTheme="minorBidi"/>
          <w:b/>
          <w:bCs/>
          <w:sz w:val="24"/>
          <w:szCs w:val="24"/>
          <w:lang w:val="en-US" w:eastAsia="en-US"/>
        </w:rPr>
        <w:t>………………………………………………………...</w:t>
      </w:r>
      <w:r w:rsidR="004E2C7B">
        <w:rPr>
          <w:rFonts w:asciiTheme="minorBidi" w:hAnsiTheme="minorBidi"/>
          <w:b/>
          <w:bCs/>
          <w:sz w:val="24"/>
          <w:szCs w:val="24"/>
          <w:lang w:val="en-US" w:eastAsia="en-US"/>
        </w:rPr>
        <w:tab/>
      </w:r>
      <w:r w:rsidR="004054A5">
        <w:rPr>
          <w:rFonts w:asciiTheme="minorBidi" w:hAnsiTheme="minorBidi"/>
          <w:b/>
          <w:bCs/>
          <w:sz w:val="24"/>
          <w:szCs w:val="24"/>
          <w:lang w:val="en-US" w:eastAsia="en-US"/>
        </w:rPr>
        <w:t>5</w:t>
      </w:r>
      <w:r w:rsidR="00262701">
        <w:rPr>
          <w:rFonts w:asciiTheme="minorBidi" w:hAnsiTheme="minorBidi"/>
          <w:b/>
          <w:bCs/>
          <w:sz w:val="24"/>
          <w:szCs w:val="24"/>
          <w:lang w:val="en-US" w:eastAsia="en-US"/>
        </w:rPr>
        <w:t>3</w:t>
      </w:r>
    </w:p>
    <w:bookmarkStart w:id="50" w:name="B15"/>
    <w:bookmarkStart w:id="51" w:name="C28"/>
    <w:bookmarkEnd w:id="48"/>
    <w:bookmarkEnd w:id="49"/>
    <w:p w14:paraId="7F722A31" w14:textId="62879370" w:rsidR="00935D12" w:rsidRPr="00584DBC" w:rsidRDefault="009A0BCC"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"D28"</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2.3.6 Lehman Brothers, 2008</w:t>
      </w:r>
      <w:r w:rsidRPr="00584DBC">
        <w:rPr>
          <w:rFonts w:asciiTheme="minorBidi" w:hAnsiTheme="minorBidi"/>
          <w:b/>
          <w:bCs/>
          <w:sz w:val="24"/>
          <w:szCs w:val="24"/>
          <w:lang w:val="en-US" w:eastAsia="en-US"/>
        </w:rPr>
        <w:fldChar w:fldCharType="end"/>
      </w:r>
      <w:r w:rsidR="00497E20">
        <w:rPr>
          <w:rFonts w:asciiTheme="minorBidi" w:hAnsiTheme="minorBidi"/>
          <w:b/>
          <w:bCs/>
          <w:sz w:val="24"/>
          <w:szCs w:val="24"/>
          <w:lang w:val="en-US" w:eastAsia="en-US"/>
        </w:rPr>
        <w:t>……………………………………………………..</w:t>
      </w:r>
      <w:r w:rsidR="004E2C7B">
        <w:rPr>
          <w:rFonts w:asciiTheme="minorBidi" w:hAnsiTheme="minorBidi"/>
          <w:b/>
          <w:bCs/>
          <w:sz w:val="24"/>
          <w:szCs w:val="24"/>
          <w:lang w:val="en-US" w:eastAsia="en-US"/>
        </w:rPr>
        <w:tab/>
      </w:r>
      <w:r w:rsidR="00497E20">
        <w:rPr>
          <w:rFonts w:asciiTheme="minorBidi" w:hAnsiTheme="minorBidi"/>
          <w:b/>
          <w:bCs/>
          <w:sz w:val="24"/>
          <w:szCs w:val="24"/>
          <w:lang w:val="en-US" w:eastAsia="en-US"/>
        </w:rPr>
        <w:t>5</w:t>
      </w:r>
      <w:r w:rsidR="00262701">
        <w:rPr>
          <w:rFonts w:asciiTheme="minorBidi" w:hAnsiTheme="minorBidi"/>
          <w:b/>
          <w:bCs/>
          <w:sz w:val="24"/>
          <w:szCs w:val="24"/>
          <w:lang w:val="en-US" w:eastAsia="en-US"/>
        </w:rPr>
        <w:t>4</w:t>
      </w:r>
    </w:p>
    <w:bookmarkStart w:id="52" w:name="B16"/>
    <w:bookmarkStart w:id="53" w:name="C29"/>
    <w:bookmarkEnd w:id="50"/>
    <w:bookmarkEnd w:id="51"/>
    <w:p w14:paraId="59C9846C" w14:textId="7BF5D132" w:rsidR="00935D12" w:rsidRPr="00584DBC" w:rsidRDefault="009A0BCC"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"D29"</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2.3.7 Toshiba, 2015</w:t>
      </w:r>
      <w:r w:rsidRPr="00584DBC">
        <w:rPr>
          <w:rFonts w:asciiTheme="minorBidi" w:hAnsiTheme="minorBidi"/>
          <w:b/>
          <w:bCs/>
          <w:sz w:val="24"/>
          <w:szCs w:val="24"/>
          <w:lang w:val="en-US" w:eastAsia="en-US"/>
        </w:rPr>
        <w:fldChar w:fldCharType="end"/>
      </w:r>
      <w:r w:rsidR="00497E20">
        <w:rPr>
          <w:rFonts w:asciiTheme="minorBidi" w:hAnsiTheme="minorBidi"/>
          <w:b/>
          <w:bCs/>
          <w:sz w:val="24"/>
          <w:szCs w:val="24"/>
          <w:lang w:val="en-US" w:eastAsia="en-US"/>
        </w:rPr>
        <w:t>………………………………………………………………….</w:t>
      </w:r>
      <w:r w:rsidR="004E2C7B">
        <w:rPr>
          <w:rFonts w:asciiTheme="minorBidi" w:hAnsiTheme="minorBidi"/>
          <w:b/>
          <w:bCs/>
          <w:sz w:val="24"/>
          <w:szCs w:val="24"/>
          <w:lang w:val="en-US" w:eastAsia="en-US"/>
        </w:rPr>
        <w:tab/>
      </w:r>
      <w:r w:rsidR="00497E20">
        <w:rPr>
          <w:rFonts w:asciiTheme="minorBidi" w:hAnsiTheme="minorBidi"/>
          <w:b/>
          <w:bCs/>
          <w:sz w:val="24"/>
          <w:szCs w:val="24"/>
          <w:lang w:val="en-US" w:eastAsia="en-US"/>
        </w:rPr>
        <w:t>5</w:t>
      </w:r>
      <w:r w:rsidR="00262701">
        <w:rPr>
          <w:rFonts w:asciiTheme="minorBidi" w:hAnsiTheme="minorBidi"/>
          <w:b/>
          <w:bCs/>
          <w:sz w:val="24"/>
          <w:szCs w:val="24"/>
          <w:lang w:val="en-US" w:eastAsia="en-US"/>
        </w:rPr>
        <w:t>5</w:t>
      </w:r>
    </w:p>
    <w:bookmarkStart w:id="54" w:name="B17"/>
    <w:bookmarkStart w:id="55" w:name="C30"/>
    <w:bookmarkEnd w:id="52"/>
    <w:bookmarkEnd w:id="53"/>
    <w:p w14:paraId="22EA0F5C" w14:textId="38052420" w:rsidR="00935D12" w:rsidRPr="00584DBC" w:rsidRDefault="006E5436" w:rsidP="003F2E92">
      <w:pPr>
        <w:pStyle w:val="NoSpacing"/>
        <w:spacing w:line="480" w:lineRule="auto"/>
        <w:rPr>
          <w:rFonts w:asciiTheme="minorBidi" w:hAnsiTheme="minorBidi"/>
          <w:b/>
          <w:bCs/>
          <w:sz w:val="24"/>
          <w:szCs w:val="24"/>
          <w:lang w:eastAsia="en-US"/>
        </w:rPr>
      </w:pPr>
      <w:r w:rsidRPr="00584DBC">
        <w:rPr>
          <w:rFonts w:asciiTheme="minorBidi" w:hAnsiTheme="minorBidi"/>
          <w:b/>
          <w:bCs/>
          <w:sz w:val="24"/>
          <w:szCs w:val="24"/>
          <w:lang w:eastAsia="en-US"/>
        </w:rPr>
        <w:fldChar w:fldCharType="begin"/>
      </w:r>
      <w:r w:rsidRPr="00584DBC">
        <w:rPr>
          <w:rFonts w:asciiTheme="minorBidi" w:hAnsiTheme="minorBidi"/>
          <w:b/>
          <w:bCs/>
          <w:sz w:val="24"/>
          <w:szCs w:val="24"/>
          <w:lang w:eastAsia="en-US"/>
        </w:rPr>
        <w:instrText>HYPERLINK  \l "D30"</w:instrText>
      </w:r>
      <w:r w:rsidRPr="00584DBC">
        <w:rPr>
          <w:rFonts w:asciiTheme="minorBidi" w:hAnsiTheme="minorBidi"/>
          <w:b/>
          <w:bCs/>
          <w:sz w:val="24"/>
          <w:szCs w:val="24"/>
          <w:lang w:eastAsia="en-US"/>
        </w:rPr>
      </w:r>
      <w:r w:rsidRPr="00584DBC">
        <w:rPr>
          <w:rFonts w:asciiTheme="minorBidi" w:hAnsiTheme="minorBidi"/>
          <w:b/>
          <w:bCs/>
          <w:sz w:val="24"/>
          <w:szCs w:val="24"/>
          <w:lang w:eastAsia="en-US"/>
        </w:rPr>
        <w:fldChar w:fldCharType="separate"/>
      </w:r>
      <w:r w:rsidR="00935D12" w:rsidRPr="00584DBC">
        <w:rPr>
          <w:rStyle w:val="Hyperlink"/>
          <w:rFonts w:asciiTheme="minorBidi" w:hAnsiTheme="minorBidi"/>
          <w:b/>
          <w:bCs/>
          <w:sz w:val="24"/>
          <w:szCs w:val="24"/>
          <w:lang w:eastAsia="en-US"/>
        </w:rPr>
        <w:t>2.3.8 Wirecard AG, 2020</w:t>
      </w:r>
      <w:r w:rsidRPr="00584DBC">
        <w:rPr>
          <w:rFonts w:asciiTheme="minorBidi" w:hAnsiTheme="minorBidi"/>
          <w:b/>
          <w:bCs/>
          <w:sz w:val="24"/>
          <w:szCs w:val="24"/>
          <w:lang w:eastAsia="en-US"/>
        </w:rPr>
        <w:fldChar w:fldCharType="end"/>
      </w:r>
      <w:r w:rsidR="00970E0E">
        <w:rPr>
          <w:rFonts w:asciiTheme="minorBidi" w:hAnsiTheme="minorBidi"/>
          <w:b/>
          <w:bCs/>
          <w:sz w:val="24"/>
          <w:szCs w:val="24"/>
          <w:lang w:eastAsia="en-US"/>
        </w:rPr>
        <w:t>……………………………………………………………</w:t>
      </w:r>
      <w:r w:rsidR="004E2C7B">
        <w:rPr>
          <w:rFonts w:asciiTheme="minorBidi" w:hAnsiTheme="minorBidi"/>
          <w:b/>
          <w:bCs/>
          <w:sz w:val="24"/>
          <w:szCs w:val="24"/>
          <w:lang w:eastAsia="en-US"/>
        </w:rPr>
        <w:tab/>
      </w:r>
      <w:r w:rsidR="00970E0E">
        <w:rPr>
          <w:rFonts w:asciiTheme="minorBidi" w:hAnsiTheme="minorBidi"/>
          <w:b/>
          <w:bCs/>
          <w:sz w:val="24"/>
          <w:szCs w:val="24"/>
          <w:lang w:eastAsia="en-US"/>
        </w:rPr>
        <w:t>5</w:t>
      </w:r>
      <w:r w:rsidR="00262701">
        <w:rPr>
          <w:rFonts w:asciiTheme="minorBidi" w:hAnsiTheme="minorBidi"/>
          <w:b/>
          <w:bCs/>
          <w:sz w:val="24"/>
          <w:szCs w:val="24"/>
          <w:lang w:eastAsia="en-US"/>
        </w:rPr>
        <w:t>6</w:t>
      </w:r>
    </w:p>
    <w:bookmarkStart w:id="56" w:name="B18"/>
    <w:bookmarkStart w:id="57" w:name="C31"/>
    <w:bookmarkEnd w:id="54"/>
    <w:bookmarkEnd w:id="55"/>
    <w:p w14:paraId="085BF406" w14:textId="0F7A16FD" w:rsidR="00935D12" w:rsidRPr="00584DBC" w:rsidRDefault="004F5A30" w:rsidP="003F2E92">
      <w:pPr>
        <w:pStyle w:val="NoSpacing"/>
        <w:spacing w:line="480" w:lineRule="auto"/>
        <w:rPr>
          <w:rFonts w:asciiTheme="minorBidi" w:hAnsiTheme="minorBidi"/>
          <w:b/>
          <w:bCs/>
          <w:sz w:val="24"/>
          <w:szCs w:val="24"/>
          <w:lang w:eastAsia="en-US"/>
        </w:rPr>
      </w:pPr>
      <w:r w:rsidRPr="00584DBC">
        <w:rPr>
          <w:rFonts w:asciiTheme="minorBidi" w:hAnsiTheme="minorBidi"/>
          <w:b/>
          <w:bCs/>
          <w:sz w:val="24"/>
          <w:szCs w:val="24"/>
          <w:lang w:eastAsia="en-US"/>
        </w:rPr>
        <w:fldChar w:fldCharType="begin"/>
      </w:r>
      <w:r w:rsidRPr="00584DBC">
        <w:rPr>
          <w:rFonts w:asciiTheme="minorBidi" w:hAnsiTheme="minorBidi"/>
          <w:b/>
          <w:bCs/>
          <w:sz w:val="24"/>
          <w:szCs w:val="24"/>
          <w:lang w:eastAsia="en-US"/>
        </w:rPr>
        <w:instrText>HYPERLINK  \l "D31"</w:instrText>
      </w:r>
      <w:r w:rsidRPr="00584DBC">
        <w:rPr>
          <w:rFonts w:asciiTheme="minorBidi" w:hAnsiTheme="minorBidi"/>
          <w:b/>
          <w:bCs/>
          <w:sz w:val="24"/>
          <w:szCs w:val="24"/>
          <w:lang w:eastAsia="en-US"/>
        </w:rPr>
      </w:r>
      <w:r w:rsidRPr="00584DBC">
        <w:rPr>
          <w:rFonts w:asciiTheme="minorBidi" w:hAnsiTheme="minorBidi"/>
          <w:b/>
          <w:bCs/>
          <w:sz w:val="24"/>
          <w:szCs w:val="24"/>
          <w:lang w:eastAsia="en-US"/>
        </w:rPr>
        <w:fldChar w:fldCharType="separate"/>
      </w:r>
      <w:r w:rsidR="00935D12" w:rsidRPr="00584DBC">
        <w:rPr>
          <w:rStyle w:val="Hyperlink"/>
          <w:rFonts w:asciiTheme="minorBidi" w:hAnsiTheme="minorBidi"/>
          <w:b/>
          <w:bCs/>
          <w:sz w:val="24"/>
          <w:szCs w:val="24"/>
          <w:lang w:eastAsia="en-US"/>
        </w:rPr>
        <w:t>2.3.9 Summary of Accounting Scandals and Type of Technique</w:t>
      </w:r>
      <w:r w:rsidRPr="00584DBC">
        <w:rPr>
          <w:rFonts w:asciiTheme="minorBidi" w:hAnsiTheme="minorBidi"/>
          <w:b/>
          <w:bCs/>
          <w:sz w:val="24"/>
          <w:szCs w:val="24"/>
          <w:lang w:eastAsia="en-US"/>
        </w:rPr>
        <w:fldChar w:fldCharType="end"/>
      </w:r>
      <w:r w:rsidR="00970E0E">
        <w:rPr>
          <w:rFonts w:asciiTheme="minorBidi" w:hAnsiTheme="minorBidi"/>
          <w:b/>
          <w:bCs/>
          <w:sz w:val="24"/>
          <w:szCs w:val="24"/>
          <w:lang w:eastAsia="en-US"/>
        </w:rPr>
        <w:t>………</w:t>
      </w:r>
      <w:r w:rsidR="004A22C2">
        <w:rPr>
          <w:rFonts w:asciiTheme="minorBidi" w:hAnsiTheme="minorBidi"/>
          <w:b/>
          <w:bCs/>
          <w:sz w:val="24"/>
          <w:szCs w:val="24"/>
          <w:lang w:eastAsia="en-US"/>
        </w:rPr>
        <w:t>…...</w:t>
      </w:r>
      <w:r w:rsidR="00127786">
        <w:rPr>
          <w:rFonts w:asciiTheme="minorBidi" w:hAnsiTheme="minorBidi"/>
          <w:b/>
          <w:bCs/>
          <w:sz w:val="24"/>
          <w:szCs w:val="24"/>
          <w:lang w:eastAsia="en-US"/>
        </w:rPr>
        <w:tab/>
      </w:r>
      <w:r w:rsidR="001D1C8E">
        <w:rPr>
          <w:rFonts w:asciiTheme="minorBidi" w:hAnsiTheme="minorBidi"/>
          <w:b/>
          <w:bCs/>
          <w:sz w:val="24"/>
          <w:szCs w:val="24"/>
          <w:lang w:eastAsia="en-US"/>
        </w:rPr>
        <w:t>59</w:t>
      </w:r>
    </w:p>
    <w:bookmarkStart w:id="58" w:name="B19"/>
    <w:bookmarkStart w:id="59" w:name="C32"/>
    <w:bookmarkEnd w:id="56"/>
    <w:bookmarkEnd w:id="57"/>
    <w:p w14:paraId="4AAD351D" w14:textId="609A1624" w:rsidR="00935D12" w:rsidRPr="00584DBC" w:rsidRDefault="004F5A30" w:rsidP="003F2E92">
      <w:pPr>
        <w:pStyle w:val="NoSpacing"/>
        <w:spacing w:line="480" w:lineRule="auto"/>
        <w:rPr>
          <w:rFonts w:asciiTheme="minorBidi" w:hAnsiTheme="minorBidi"/>
          <w:b/>
          <w:bCs/>
          <w:iCs/>
          <w:sz w:val="24"/>
          <w:szCs w:val="24"/>
          <w:lang w:val="en-US" w:eastAsia="en-US"/>
        </w:rPr>
      </w:pPr>
      <w:r w:rsidRPr="00584DBC">
        <w:rPr>
          <w:rFonts w:asciiTheme="minorBidi" w:hAnsiTheme="minorBidi"/>
          <w:b/>
          <w:bCs/>
          <w:iCs/>
          <w:sz w:val="24"/>
          <w:szCs w:val="24"/>
          <w:lang w:val="en-US" w:eastAsia="en-US"/>
        </w:rPr>
        <w:fldChar w:fldCharType="begin"/>
      </w:r>
      <w:r w:rsidRPr="00584DBC">
        <w:rPr>
          <w:rFonts w:asciiTheme="minorBidi" w:hAnsiTheme="minorBidi"/>
          <w:b/>
          <w:bCs/>
          <w:iCs/>
          <w:sz w:val="24"/>
          <w:szCs w:val="24"/>
          <w:lang w:val="en-US" w:eastAsia="en-US"/>
        </w:rPr>
        <w:instrText>HYPERLINK  \l "D32"</w:instrText>
      </w:r>
      <w:r w:rsidRPr="00584DBC">
        <w:rPr>
          <w:rFonts w:asciiTheme="minorBidi" w:hAnsiTheme="minorBidi"/>
          <w:b/>
          <w:bCs/>
          <w:iCs/>
          <w:sz w:val="24"/>
          <w:szCs w:val="24"/>
          <w:lang w:val="en-US" w:eastAsia="en-US"/>
        </w:rPr>
      </w:r>
      <w:r w:rsidRPr="00584DBC">
        <w:rPr>
          <w:rFonts w:asciiTheme="minorBidi" w:hAnsiTheme="minorBidi"/>
          <w:b/>
          <w:bCs/>
          <w:iCs/>
          <w:sz w:val="24"/>
          <w:szCs w:val="24"/>
          <w:lang w:val="en-US" w:eastAsia="en-US"/>
        </w:rPr>
        <w:fldChar w:fldCharType="separate"/>
      </w:r>
      <w:r w:rsidR="00935D12" w:rsidRPr="00584DBC">
        <w:rPr>
          <w:rStyle w:val="Hyperlink"/>
          <w:rFonts w:asciiTheme="minorBidi" w:hAnsiTheme="minorBidi"/>
          <w:b/>
          <w:bCs/>
          <w:iCs/>
          <w:sz w:val="24"/>
          <w:szCs w:val="24"/>
          <w:lang w:val="en-US" w:eastAsia="en-US"/>
        </w:rPr>
        <w:t>2.4 Theme Two: Motivations for Committing Accounting Fraud</w:t>
      </w:r>
      <w:r w:rsidRPr="00584DBC">
        <w:rPr>
          <w:rFonts w:asciiTheme="minorBidi" w:hAnsiTheme="minorBidi"/>
          <w:b/>
          <w:bCs/>
          <w:iCs/>
          <w:sz w:val="24"/>
          <w:szCs w:val="24"/>
          <w:lang w:val="en-US" w:eastAsia="en-US"/>
        </w:rPr>
        <w:fldChar w:fldCharType="end"/>
      </w:r>
      <w:r w:rsidR="000F6A3C">
        <w:rPr>
          <w:rFonts w:asciiTheme="minorBidi" w:hAnsiTheme="minorBidi"/>
          <w:b/>
          <w:bCs/>
          <w:iCs/>
          <w:sz w:val="24"/>
          <w:szCs w:val="24"/>
          <w:lang w:val="en-US" w:eastAsia="en-US"/>
        </w:rPr>
        <w:t>…………..</w:t>
      </w:r>
      <w:r w:rsidR="00127786">
        <w:rPr>
          <w:rFonts w:asciiTheme="minorBidi" w:hAnsiTheme="minorBidi"/>
          <w:b/>
          <w:bCs/>
          <w:iCs/>
          <w:sz w:val="24"/>
          <w:szCs w:val="24"/>
          <w:lang w:val="en-US" w:eastAsia="en-US"/>
        </w:rPr>
        <w:tab/>
      </w:r>
      <w:r w:rsidR="000F6A3C">
        <w:rPr>
          <w:rFonts w:asciiTheme="minorBidi" w:hAnsiTheme="minorBidi"/>
          <w:b/>
          <w:bCs/>
          <w:iCs/>
          <w:sz w:val="24"/>
          <w:szCs w:val="24"/>
          <w:lang w:val="en-US" w:eastAsia="en-US"/>
        </w:rPr>
        <w:t>6</w:t>
      </w:r>
      <w:r w:rsidR="00F97787">
        <w:rPr>
          <w:rFonts w:asciiTheme="minorBidi" w:hAnsiTheme="minorBidi"/>
          <w:b/>
          <w:bCs/>
          <w:iCs/>
          <w:sz w:val="24"/>
          <w:szCs w:val="24"/>
          <w:lang w:val="en-US" w:eastAsia="en-US"/>
        </w:rPr>
        <w:t>0</w:t>
      </w:r>
    </w:p>
    <w:bookmarkStart w:id="60" w:name="B20"/>
    <w:bookmarkStart w:id="61" w:name="C33"/>
    <w:bookmarkEnd w:id="58"/>
    <w:bookmarkEnd w:id="59"/>
    <w:p w14:paraId="71DB7672" w14:textId="2E76CFEE" w:rsidR="00935D12" w:rsidRPr="00584DBC" w:rsidRDefault="004F5A30"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"D33"</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2.4.1 Pay</w:t>
      </w:r>
      <w:r w:rsidRPr="00584DBC">
        <w:rPr>
          <w:rFonts w:asciiTheme="minorBidi" w:hAnsiTheme="minorBidi"/>
          <w:b/>
          <w:bCs/>
          <w:sz w:val="24"/>
          <w:szCs w:val="24"/>
          <w:lang w:val="en-US" w:eastAsia="en-US"/>
        </w:rPr>
        <w:fldChar w:fldCharType="end"/>
      </w:r>
      <w:r w:rsidR="003A18B2">
        <w:rPr>
          <w:rFonts w:asciiTheme="minorBidi" w:hAnsiTheme="minorBidi"/>
          <w:b/>
          <w:bCs/>
          <w:sz w:val="24"/>
          <w:szCs w:val="24"/>
          <w:lang w:val="en-US" w:eastAsia="en-US"/>
        </w:rPr>
        <w:t>………………………………………………………………………………</w:t>
      </w:r>
      <w:r w:rsidR="00127786">
        <w:rPr>
          <w:rFonts w:asciiTheme="minorBidi" w:hAnsiTheme="minorBidi"/>
          <w:b/>
          <w:bCs/>
          <w:sz w:val="24"/>
          <w:szCs w:val="24"/>
          <w:lang w:val="en-US" w:eastAsia="en-US"/>
        </w:rPr>
        <w:tab/>
      </w:r>
      <w:r w:rsidR="003A18B2">
        <w:rPr>
          <w:rFonts w:asciiTheme="minorBidi" w:hAnsiTheme="minorBidi"/>
          <w:b/>
          <w:bCs/>
          <w:sz w:val="24"/>
          <w:szCs w:val="24"/>
          <w:lang w:val="en-US" w:eastAsia="en-US"/>
        </w:rPr>
        <w:t>6</w:t>
      </w:r>
      <w:r w:rsidR="00F97787">
        <w:rPr>
          <w:rFonts w:asciiTheme="minorBidi" w:hAnsiTheme="minorBidi"/>
          <w:b/>
          <w:bCs/>
          <w:sz w:val="24"/>
          <w:szCs w:val="24"/>
          <w:lang w:val="en-US" w:eastAsia="en-US"/>
        </w:rPr>
        <w:t>0</w:t>
      </w:r>
    </w:p>
    <w:bookmarkStart w:id="62" w:name="B21"/>
    <w:bookmarkStart w:id="63" w:name="C34"/>
    <w:bookmarkEnd w:id="60"/>
    <w:bookmarkEnd w:id="61"/>
    <w:p w14:paraId="0B5BD63F" w14:textId="4D94EE62" w:rsidR="00935D12" w:rsidRPr="00584DBC" w:rsidRDefault="004F5A30"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"D34"</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2.4.2 The Need to Obtain Finance</w:t>
      </w:r>
      <w:r w:rsidRPr="00584DBC">
        <w:rPr>
          <w:rFonts w:asciiTheme="minorBidi" w:hAnsiTheme="minorBidi"/>
          <w:b/>
          <w:bCs/>
          <w:sz w:val="24"/>
          <w:szCs w:val="24"/>
          <w:lang w:val="en-US" w:eastAsia="en-US"/>
        </w:rPr>
        <w:fldChar w:fldCharType="end"/>
      </w:r>
      <w:r w:rsidR="003A18B2">
        <w:rPr>
          <w:rFonts w:asciiTheme="minorBidi" w:hAnsiTheme="minorBidi"/>
          <w:b/>
          <w:bCs/>
          <w:sz w:val="24"/>
          <w:szCs w:val="24"/>
          <w:lang w:val="en-US" w:eastAsia="en-US"/>
        </w:rPr>
        <w:t>………………………………………………..</w:t>
      </w:r>
      <w:r w:rsidR="00127786">
        <w:rPr>
          <w:rFonts w:asciiTheme="minorBidi" w:hAnsiTheme="minorBidi"/>
          <w:b/>
          <w:bCs/>
          <w:sz w:val="24"/>
          <w:szCs w:val="24"/>
          <w:lang w:val="en-US" w:eastAsia="en-US"/>
        </w:rPr>
        <w:tab/>
      </w:r>
      <w:r w:rsidR="003A18B2">
        <w:rPr>
          <w:rFonts w:asciiTheme="minorBidi" w:hAnsiTheme="minorBidi"/>
          <w:b/>
          <w:bCs/>
          <w:sz w:val="24"/>
          <w:szCs w:val="24"/>
          <w:lang w:val="en-US" w:eastAsia="en-US"/>
        </w:rPr>
        <w:t>6</w:t>
      </w:r>
      <w:r w:rsidR="00F97787">
        <w:rPr>
          <w:rFonts w:asciiTheme="minorBidi" w:hAnsiTheme="minorBidi"/>
          <w:b/>
          <w:bCs/>
          <w:sz w:val="24"/>
          <w:szCs w:val="24"/>
          <w:lang w:val="en-US" w:eastAsia="en-US"/>
        </w:rPr>
        <w:t>3</w:t>
      </w:r>
    </w:p>
    <w:bookmarkStart w:id="64" w:name="B22"/>
    <w:bookmarkStart w:id="65" w:name="C35"/>
    <w:bookmarkEnd w:id="62"/>
    <w:bookmarkEnd w:id="63"/>
    <w:p w14:paraId="5D36F8D7" w14:textId="7BBFF0B5" w:rsidR="00935D12" w:rsidRPr="00584DBC" w:rsidRDefault="004F5A30"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"D35"</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2.4.3 Exceeding or Upholding Market Expectations</w:t>
      </w:r>
      <w:r w:rsidRPr="00584DBC">
        <w:rPr>
          <w:rFonts w:asciiTheme="minorBidi" w:hAnsiTheme="minorBidi"/>
          <w:b/>
          <w:bCs/>
          <w:sz w:val="24"/>
          <w:szCs w:val="24"/>
          <w:lang w:val="en-US" w:eastAsia="en-US"/>
        </w:rPr>
        <w:fldChar w:fldCharType="end"/>
      </w:r>
      <w:r w:rsidR="003A18B2">
        <w:rPr>
          <w:rFonts w:asciiTheme="minorBidi" w:hAnsiTheme="minorBidi"/>
          <w:b/>
          <w:bCs/>
          <w:sz w:val="24"/>
          <w:szCs w:val="24"/>
          <w:lang w:val="en-US" w:eastAsia="en-US"/>
        </w:rPr>
        <w:t>………………………….</w:t>
      </w:r>
      <w:r w:rsidR="00127786">
        <w:rPr>
          <w:rFonts w:asciiTheme="minorBidi" w:hAnsiTheme="minorBidi"/>
          <w:b/>
          <w:bCs/>
          <w:sz w:val="24"/>
          <w:szCs w:val="24"/>
          <w:lang w:val="en-US" w:eastAsia="en-US"/>
        </w:rPr>
        <w:tab/>
      </w:r>
      <w:r w:rsidR="003A18B2">
        <w:rPr>
          <w:rFonts w:asciiTheme="minorBidi" w:hAnsiTheme="minorBidi"/>
          <w:b/>
          <w:bCs/>
          <w:sz w:val="24"/>
          <w:szCs w:val="24"/>
          <w:lang w:val="en-US" w:eastAsia="en-US"/>
        </w:rPr>
        <w:t>6</w:t>
      </w:r>
      <w:r w:rsidR="00F97787">
        <w:rPr>
          <w:rFonts w:asciiTheme="minorBidi" w:hAnsiTheme="minorBidi"/>
          <w:b/>
          <w:bCs/>
          <w:sz w:val="24"/>
          <w:szCs w:val="24"/>
          <w:lang w:val="en-US" w:eastAsia="en-US"/>
        </w:rPr>
        <w:t>4</w:t>
      </w:r>
    </w:p>
    <w:bookmarkStart w:id="66" w:name="B23"/>
    <w:bookmarkStart w:id="67" w:name="C36"/>
    <w:bookmarkEnd w:id="64"/>
    <w:bookmarkEnd w:id="65"/>
    <w:p w14:paraId="20F534A9" w14:textId="4A977906" w:rsidR="00935D12" w:rsidRPr="00584DBC" w:rsidRDefault="004F5A30"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"D36"</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2.4.4 Covering Up Company Financial Problems</w:t>
      </w:r>
      <w:r w:rsidRPr="00584DBC">
        <w:rPr>
          <w:rFonts w:asciiTheme="minorBidi" w:hAnsiTheme="minorBidi"/>
          <w:b/>
          <w:bCs/>
          <w:sz w:val="24"/>
          <w:szCs w:val="24"/>
          <w:lang w:val="en-US" w:eastAsia="en-US"/>
        </w:rPr>
        <w:fldChar w:fldCharType="end"/>
      </w:r>
      <w:r w:rsidR="000F588D">
        <w:rPr>
          <w:rFonts w:asciiTheme="minorBidi" w:hAnsiTheme="minorBidi"/>
          <w:b/>
          <w:bCs/>
          <w:sz w:val="24"/>
          <w:szCs w:val="24"/>
          <w:lang w:val="en-US" w:eastAsia="en-US"/>
        </w:rPr>
        <w:t>……………………………..</w:t>
      </w:r>
      <w:r w:rsidR="00127786">
        <w:rPr>
          <w:rFonts w:asciiTheme="minorBidi" w:hAnsiTheme="minorBidi"/>
          <w:b/>
          <w:bCs/>
          <w:sz w:val="24"/>
          <w:szCs w:val="24"/>
          <w:lang w:val="en-US" w:eastAsia="en-US"/>
        </w:rPr>
        <w:tab/>
      </w:r>
      <w:r w:rsidR="000F588D">
        <w:rPr>
          <w:rFonts w:asciiTheme="minorBidi" w:hAnsiTheme="minorBidi"/>
          <w:b/>
          <w:bCs/>
          <w:sz w:val="24"/>
          <w:szCs w:val="24"/>
          <w:lang w:val="en-US" w:eastAsia="en-US"/>
        </w:rPr>
        <w:t>6</w:t>
      </w:r>
      <w:r w:rsidR="00F605F7">
        <w:rPr>
          <w:rFonts w:asciiTheme="minorBidi" w:hAnsiTheme="minorBidi"/>
          <w:b/>
          <w:bCs/>
          <w:sz w:val="24"/>
          <w:szCs w:val="24"/>
          <w:lang w:val="en-US" w:eastAsia="en-US"/>
        </w:rPr>
        <w:t>5</w:t>
      </w:r>
    </w:p>
    <w:bookmarkStart w:id="68" w:name="B24"/>
    <w:bookmarkStart w:id="69" w:name="C37"/>
    <w:bookmarkEnd w:id="66"/>
    <w:bookmarkEnd w:id="67"/>
    <w:p w14:paraId="79F20817" w14:textId="11F217BE" w:rsidR="00935D12" w:rsidRPr="00584DBC" w:rsidRDefault="004F5A30"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"D37"</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2.5 Theme Three: Corporate Governance and Accounting Fraud</w:t>
      </w:r>
      <w:r w:rsidRPr="00584DBC">
        <w:rPr>
          <w:rFonts w:asciiTheme="minorBidi" w:hAnsiTheme="minorBidi"/>
          <w:b/>
          <w:bCs/>
          <w:sz w:val="24"/>
          <w:szCs w:val="24"/>
          <w:lang w:val="en-US" w:eastAsia="en-US"/>
        </w:rPr>
        <w:fldChar w:fldCharType="end"/>
      </w:r>
      <w:r w:rsidR="000F588D">
        <w:rPr>
          <w:rFonts w:asciiTheme="minorBidi" w:hAnsiTheme="minorBidi"/>
          <w:b/>
          <w:bCs/>
          <w:sz w:val="24"/>
          <w:szCs w:val="24"/>
          <w:lang w:val="en-US" w:eastAsia="en-US"/>
        </w:rPr>
        <w:t>…………</w:t>
      </w:r>
      <w:r w:rsidR="00127786">
        <w:rPr>
          <w:rFonts w:asciiTheme="minorBidi" w:hAnsiTheme="minorBidi"/>
          <w:b/>
          <w:bCs/>
          <w:sz w:val="24"/>
          <w:szCs w:val="24"/>
          <w:lang w:val="en-US" w:eastAsia="en-US"/>
        </w:rPr>
        <w:tab/>
      </w:r>
      <w:r w:rsidR="000F588D">
        <w:rPr>
          <w:rFonts w:asciiTheme="minorBidi" w:hAnsiTheme="minorBidi"/>
          <w:b/>
          <w:bCs/>
          <w:sz w:val="24"/>
          <w:szCs w:val="24"/>
          <w:lang w:val="en-US" w:eastAsia="en-US"/>
        </w:rPr>
        <w:t>6</w:t>
      </w:r>
      <w:r w:rsidR="00763041">
        <w:rPr>
          <w:rFonts w:asciiTheme="minorBidi" w:hAnsiTheme="minorBidi"/>
          <w:b/>
          <w:bCs/>
          <w:sz w:val="24"/>
          <w:szCs w:val="24"/>
          <w:lang w:val="en-US" w:eastAsia="en-US"/>
        </w:rPr>
        <w:t>6</w:t>
      </w:r>
    </w:p>
    <w:bookmarkStart w:id="70" w:name="B25"/>
    <w:bookmarkStart w:id="71" w:name="C38"/>
    <w:bookmarkEnd w:id="68"/>
    <w:bookmarkEnd w:id="69"/>
    <w:p w14:paraId="552D4C3F" w14:textId="10E63372" w:rsidR="00935D12" w:rsidRPr="00584DBC" w:rsidRDefault="004F5A30"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"D38"</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2.5.1 Prevention, Deterrence, and Detection</w:t>
      </w:r>
      <w:r w:rsidRPr="00584DBC">
        <w:rPr>
          <w:rFonts w:asciiTheme="minorBidi" w:hAnsiTheme="minorBidi"/>
          <w:b/>
          <w:bCs/>
          <w:sz w:val="24"/>
          <w:szCs w:val="24"/>
          <w:lang w:val="en-US" w:eastAsia="en-US"/>
        </w:rPr>
        <w:fldChar w:fldCharType="end"/>
      </w:r>
      <w:r w:rsidR="00E574C5">
        <w:rPr>
          <w:rFonts w:asciiTheme="minorBidi" w:hAnsiTheme="minorBidi"/>
          <w:b/>
          <w:bCs/>
          <w:sz w:val="24"/>
          <w:szCs w:val="24"/>
          <w:lang w:val="en-US" w:eastAsia="en-US"/>
        </w:rPr>
        <w:t>…………………………………..</w:t>
      </w:r>
      <w:r w:rsidR="00127786">
        <w:rPr>
          <w:rFonts w:asciiTheme="minorBidi" w:hAnsiTheme="minorBidi"/>
          <w:b/>
          <w:bCs/>
          <w:sz w:val="24"/>
          <w:szCs w:val="24"/>
          <w:lang w:val="en-US" w:eastAsia="en-US"/>
        </w:rPr>
        <w:tab/>
      </w:r>
      <w:r w:rsidR="00E574C5">
        <w:rPr>
          <w:rFonts w:asciiTheme="minorBidi" w:hAnsiTheme="minorBidi"/>
          <w:b/>
          <w:bCs/>
          <w:sz w:val="24"/>
          <w:szCs w:val="24"/>
          <w:lang w:val="en-US" w:eastAsia="en-US"/>
        </w:rPr>
        <w:t>7</w:t>
      </w:r>
      <w:r w:rsidR="007F7AC9">
        <w:rPr>
          <w:rFonts w:asciiTheme="minorBidi" w:hAnsiTheme="minorBidi"/>
          <w:b/>
          <w:bCs/>
          <w:sz w:val="24"/>
          <w:szCs w:val="24"/>
          <w:lang w:val="en-US" w:eastAsia="en-US"/>
        </w:rPr>
        <w:t>5</w:t>
      </w:r>
    </w:p>
    <w:bookmarkStart w:id="72" w:name="B26"/>
    <w:bookmarkStart w:id="73" w:name="C39"/>
    <w:bookmarkEnd w:id="70"/>
    <w:bookmarkEnd w:id="71"/>
    <w:p w14:paraId="45D2EA53" w14:textId="75DA472F" w:rsidR="00935D12" w:rsidRPr="00584DBC" w:rsidRDefault="004F5A30"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"D39"</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2.5.2 Internal Controls</w:t>
      </w:r>
      <w:r w:rsidRPr="00584DBC">
        <w:rPr>
          <w:rFonts w:asciiTheme="minorBidi" w:hAnsiTheme="minorBidi"/>
          <w:b/>
          <w:bCs/>
          <w:sz w:val="24"/>
          <w:szCs w:val="24"/>
          <w:lang w:val="en-US" w:eastAsia="en-US"/>
        </w:rPr>
        <w:fldChar w:fldCharType="end"/>
      </w:r>
      <w:r w:rsidR="00E574C5">
        <w:rPr>
          <w:rFonts w:asciiTheme="minorBidi" w:hAnsiTheme="minorBidi"/>
          <w:b/>
          <w:bCs/>
          <w:sz w:val="24"/>
          <w:szCs w:val="24"/>
          <w:lang w:val="en-US" w:eastAsia="en-US"/>
        </w:rPr>
        <w:t>……………………………………………………………..</w:t>
      </w:r>
      <w:r w:rsidR="00127786">
        <w:rPr>
          <w:rFonts w:asciiTheme="minorBidi" w:hAnsiTheme="minorBidi"/>
          <w:b/>
          <w:bCs/>
          <w:sz w:val="24"/>
          <w:szCs w:val="24"/>
          <w:lang w:val="en-US" w:eastAsia="en-US"/>
        </w:rPr>
        <w:tab/>
      </w:r>
      <w:r w:rsidR="00E574C5">
        <w:rPr>
          <w:rFonts w:asciiTheme="minorBidi" w:hAnsiTheme="minorBidi"/>
          <w:b/>
          <w:bCs/>
          <w:sz w:val="24"/>
          <w:szCs w:val="24"/>
          <w:lang w:val="en-US" w:eastAsia="en-US"/>
        </w:rPr>
        <w:t>7</w:t>
      </w:r>
      <w:r w:rsidR="00693688">
        <w:rPr>
          <w:rFonts w:asciiTheme="minorBidi" w:hAnsiTheme="minorBidi"/>
          <w:b/>
          <w:bCs/>
          <w:sz w:val="24"/>
          <w:szCs w:val="24"/>
          <w:lang w:val="en-US" w:eastAsia="en-US"/>
        </w:rPr>
        <w:t>6</w:t>
      </w:r>
    </w:p>
    <w:bookmarkStart w:id="74" w:name="B27"/>
    <w:bookmarkStart w:id="75" w:name="C40"/>
    <w:bookmarkEnd w:id="72"/>
    <w:bookmarkEnd w:id="73"/>
    <w:p w14:paraId="47743909" w14:textId="580E7EAF" w:rsidR="00935D12" w:rsidRPr="00584DBC" w:rsidRDefault="00876DB5"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"D40"</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2.5.3 Ethical Culture</w:t>
      </w:r>
      <w:r w:rsidRPr="00584DBC">
        <w:rPr>
          <w:rFonts w:asciiTheme="minorBidi" w:hAnsiTheme="minorBidi"/>
          <w:b/>
          <w:bCs/>
          <w:sz w:val="24"/>
          <w:szCs w:val="24"/>
          <w:lang w:val="en-US" w:eastAsia="en-US"/>
        </w:rPr>
        <w:fldChar w:fldCharType="end"/>
      </w:r>
      <w:r w:rsidR="00E574C5">
        <w:rPr>
          <w:rFonts w:asciiTheme="minorBidi" w:hAnsiTheme="minorBidi"/>
          <w:b/>
          <w:bCs/>
          <w:sz w:val="24"/>
          <w:szCs w:val="24"/>
          <w:lang w:val="en-US" w:eastAsia="en-US"/>
        </w:rPr>
        <w:t>………………………………………………………………..</w:t>
      </w:r>
      <w:r w:rsidR="00127786">
        <w:rPr>
          <w:rFonts w:asciiTheme="minorBidi" w:hAnsiTheme="minorBidi"/>
          <w:b/>
          <w:bCs/>
          <w:sz w:val="24"/>
          <w:szCs w:val="24"/>
          <w:lang w:val="en-US" w:eastAsia="en-US"/>
        </w:rPr>
        <w:tab/>
      </w:r>
      <w:r w:rsidR="002452E6">
        <w:rPr>
          <w:rFonts w:asciiTheme="minorBidi" w:hAnsiTheme="minorBidi"/>
          <w:b/>
          <w:bCs/>
          <w:sz w:val="24"/>
          <w:szCs w:val="24"/>
          <w:lang w:val="en-US" w:eastAsia="en-US"/>
        </w:rPr>
        <w:t>77</w:t>
      </w:r>
    </w:p>
    <w:bookmarkStart w:id="76" w:name="B28"/>
    <w:bookmarkStart w:id="77" w:name="C41"/>
    <w:bookmarkEnd w:id="74"/>
    <w:bookmarkEnd w:id="75"/>
    <w:p w14:paraId="50BCE1AA" w14:textId="79A28F99" w:rsidR="00935D12" w:rsidRPr="00584DBC" w:rsidRDefault="000F5F61"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"D41"</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2.5.4 Red Flags of Accounting Fraud</w:t>
      </w:r>
      <w:r w:rsidRPr="00584DBC">
        <w:rPr>
          <w:rFonts w:asciiTheme="minorBidi" w:hAnsiTheme="minorBidi"/>
          <w:b/>
          <w:bCs/>
          <w:sz w:val="24"/>
          <w:szCs w:val="24"/>
          <w:lang w:val="en-US" w:eastAsia="en-US"/>
        </w:rPr>
        <w:fldChar w:fldCharType="end"/>
      </w:r>
      <w:r w:rsidR="00F476DB">
        <w:rPr>
          <w:rFonts w:asciiTheme="minorBidi" w:hAnsiTheme="minorBidi"/>
          <w:b/>
          <w:bCs/>
          <w:sz w:val="24"/>
          <w:szCs w:val="24"/>
          <w:lang w:val="en-US" w:eastAsia="en-US"/>
        </w:rPr>
        <w:t>……………………………………………</w:t>
      </w:r>
      <w:r w:rsidR="00127786">
        <w:rPr>
          <w:rFonts w:asciiTheme="minorBidi" w:hAnsiTheme="minorBidi"/>
          <w:b/>
          <w:bCs/>
          <w:sz w:val="24"/>
          <w:szCs w:val="24"/>
          <w:lang w:val="en-US" w:eastAsia="en-US"/>
        </w:rPr>
        <w:tab/>
      </w:r>
      <w:r w:rsidR="00E02308">
        <w:rPr>
          <w:rFonts w:asciiTheme="minorBidi" w:hAnsiTheme="minorBidi"/>
          <w:b/>
          <w:bCs/>
          <w:sz w:val="24"/>
          <w:szCs w:val="24"/>
          <w:lang w:val="en-US" w:eastAsia="en-US"/>
        </w:rPr>
        <w:t>78</w:t>
      </w:r>
    </w:p>
    <w:bookmarkStart w:id="78" w:name="B29"/>
    <w:bookmarkStart w:id="79" w:name="C42"/>
    <w:bookmarkEnd w:id="76"/>
    <w:bookmarkEnd w:id="77"/>
    <w:p w14:paraId="792A16F6" w14:textId="267064D8" w:rsidR="00935D12" w:rsidRPr="00584DBC" w:rsidRDefault="00B52F1A" w:rsidP="003F2E92">
      <w:pPr>
        <w:pStyle w:val="NoSpacing"/>
        <w:spacing w:line="480" w:lineRule="auto"/>
        <w:jc w:val="both"/>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"D42"</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 xml:space="preserve">2.6 Theme Four: Socio-Economic and Psychological </w:t>
      </w:r>
      <w:r w:rsidR="00396E3F">
        <w:rPr>
          <w:rStyle w:val="Hyperlink"/>
          <w:rFonts w:asciiTheme="minorBidi" w:hAnsiTheme="minorBidi"/>
          <w:b/>
          <w:bCs/>
          <w:sz w:val="24"/>
          <w:szCs w:val="24"/>
          <w:lang w:val="en-US" w:eastAsia="en-US"/>
        </w:rPr>
        <w:t>P</w:t>
      </w:r>
      <w:r w:rsidR="00935D12" w:rsidRPr="00584DBC">
        <w:rPr>
          <w:rStyle w:val="Hyperlink"/>
          <w:rFonts w:asciiTheme="minorBidi" w:hAnsiTheme="minorBidi"/>
          <w:b/>
          <w:bCs/>
          <w:sz w:val="24"/>
          <w:szCs w:val="24"/>
          <w:lang w:val="en-US" w:eastAsia="en-US"/>
        </w:rPr>
        <w:t xml:space="preserve">ressures </w:t>
      </w:r>
      <w:r w:rsidR="00396E3F">
        <w:rPr>
          <w:rStyle w:val="Hyperlink"/>
          <w:rFonts w:asciiTheme="minorBidi" w:hAnsiTheme="minorBidi"/>
          <w:b/>
          <w:bCs/>
          <w:sz w:val="24"/>
          <w:szCs w:val="24"/>
          <w:lang w:val="en-US" w:eastAsia="en-US"/>
        </w:rPr>
        <w:t>C</w:t>
      </w:r>
      <w:r w:rsidR="00935D12" w:rsidRPr="00584DBC">
        <w:rPr>
          <w:rStyle w:val="Hyperlink"/>
          <w:rFonts w:asciiTheme="minorBidi" w:hAnsiTheme="minorBidi"/>
          <w:b/>
          <w:bCs/>
          <w:sz w:val="24"/>
          <w:szCs w:val="24"/>
          <w:lang w:val="en-US" w:eastAsia="en-US"/>
        </w:rPr>
        <w:t>ausing Accounting Fraud</w:t>
      </w:r>
      <w:r w:rsidRPr="00584DBC">
        <w:rPr>
          <w:rFonts w:asciiTheme="minorBidi" w:hAnsiTheme="minorBidi"/>
          <w:b/>
          <w:bCs/>
          <w:sz w:val="24"/>
          <w:szCs w:val="24"/>
          <w:lang w:val="en-US" w:eastAsia="en-US"/>
        </w:rPr>
        <w:fldChar w:fldCharType="end"/>
      </w:r>
      <w:r w:rsidR="0019434B">
        <w:rPr>
          <w:rFonts w:asciiTheme="minorBidi" w:hAnsiTheme="minorBidi"/>
          <w:b/>
          <w:bCs/>
          <w:sz w:val="24"/>
          <w:szCs w:val="24"/>
          <w:lang w:val="en-US" w:eastAsia="en-US"/>
        </w:rPr>
        <w:t>…………………………………………………………………...</w:t>
      </w:r>
      <w:r w:rsidR="00127786">
        <w:rPr>
          <w:rFonts w:asciiTheme="minorBidi" w:hAnsiTheme="minorBidi"/>
          <w:b/>
          <w:bCs/>
          <w:sz w:val="24"/>
          <w:szCs w:val="24"/>
          <w:lang w:val="en-US" w:eastAsia="en-US"/>
        </w:rPr>
        <w:tab/>
      </w:r>
      <w:r w:rsidR="0019434B">
        <w:rPr>
          <w:rFonts w:asciiTheme="minorBidi" w:hAnsiTheme="minorBidi"/>
          <w:b/>
          <w:bCs/>
          <w:sz w:val="24"/>
          <w:szCs w:val="24"/>
          <w:lang w:val="en-US" w:eastAsia="en-US"/>
        </w:rPr>
        <w:t>8</w:t>
      </w:r>
      <w:r w:rsidR="006B392A">
        <w:rPr>
          <w:rFonts w:asciiTheme="minorBidi" w:hAnsiTheme="minorBidi"/>
          <w:b/>
          <w:bCs/>
          <w:sz w:val="24"/>
          <w:szCs w:val="24"/>
          <w:lang w:val="en-US" w:eastAsia="en-US"/>
        </w:rPr>
        <w:t>2</w:t>
      </w:r>
    </w:p>
    <w:bookmarkStart w:id="80" w:name="B30"/>
    <w:bookmarkStart w:id="81" w:name="C43"/>
    <w:bookmarkEnd w:id="78"/>
    <w:bookmarkEnd w:id="79"/>
    <w:p w14:paraId="5EBFE442" w14:textId="3D03CA4A" w:rsidR="00935D12" w:rsidRPr="00584DBC" w:rsidRDefault="00B52F1A" w:rsidP="003F2E92">
      <w:pPr>
        <w:pStyle w:val="NoSpacing"/>
        <w:spacing w:line="480" w:lineRule="auto"/>
        <w:jc w:val="both"/>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"D43"</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2.7 Theme Five: Emergence of the Corporate Psychopath Accountant</w:t>
      </w:r>
      <w:r w:rsidRPr="00584DBC">
        <w:rPr>
          <w:rFonts w:asciiTheme="minorBidi" w:hAnsiTheme="minorBidi"/>
          <w:b/>
          <w:bCs/>
          <w:sz w:val="24"/>
          <w:szCs w:val="24"/>
          <w:lang w:val="en-US" w:eastAsia="en-US"/>
        </w:rPr>
        <w:fldChar w:fldCharType="end"/>
      </w:r>
      <w:r w:rsidR="0092250A">
        <w:rPr>
          <w:rFonts w:asciiTheme="minorBidi" w:hAnsiTheme="minorBidi"/>
          <w:b/>
          <w:bCs/>
          <w:sz w:val="24"/>
          <w:szCs w:val="24"/>
          <w:lang w:val="en-US" w:eastAsia="en-US"/>
        </w:rPr>
        <w:t>…..</w:t>
      </w:r>
      <w:r w:rsidR="00127786">
        <w:rPr>
          <w:rFonts w:asciiTheme="minorBidi" w:hAnsiTheme="minorBidi"/>
          <w:b/>
          <w:bCs/>
          <w:sz w:val="24"/>
          <w:szCs w:val="24"/>
          <w:lang w:val="en-US" w:eastAsia="en-US"/>
        </w:rPr>
        <w:tab/>
      </w:r>
      <w:r w:rsidR="00784A75">
        <w:rPr>
          <w:rFonts w:asciiTheme="minorBidi" w:hAnsiTheme="minorBidi"/>
          <w:b/>
          <w:bCs/>
          <w:sz w:val="24"/>
          <w:szCs w:val="24"/>
          <w:lang w:val="en-US" w:eastAsia="en-US"/>
        </w:rPr>
        <w:t>88</w:t>
      </w:r>
    </w:p>
    <w:bookmarkStart w:id="82" w:name="B31"/>
    <w:bookmarkStart w:id="83" w:name="C44"/>
    <w:bookmarkEnd w:id="80"/>
    <w:bookmarkEnd w:id="81"/>
    <w:p w14:paraId="02A4B2CA" w14:textId="17B1BB7A" w:rsidR="00935D12" w:rsidRPr="00584DBC" w:rsidRDefault="00B52F1A"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lastRenderedPageBreak/>
        <w:fldChar w:fldCharType="begin"/>
      </w:r>
      <w:r w:rsidRPr="00584DBC">
        <w:rPr>
          <w:rFonts w:asciiTheme="minorBidi" w:hAnsiTheme="minorBidi"/>
          <w:b/>
          <w:bCs/>
          <w:sz w:val="24"/>
          <w:szCs w:val="24"/>
          <w:lang w:val="en-US" w:eastAsia="en-US"/>
        </w:rPr>
        <w:instrText>HYPERLINK  \l "D44"</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2.7.1 Pressure</w:t>
      </w:r>
      <w:r w:rsidRPr="00584DBC">
        <w:rPr>
          <w:rFonts w:asciiTheme="minorBidi" w:hAnsiTheme="minorBidi"/>
          <w:b/>
          <w:bCs/>
          <w:sz w:val="24"/>
          <w:szCs w:val="24"/>
          <w:lang w:val="en-US" w:eastAsia="en-US"/>
        </w:rPr>
        <w:fldChar w:fldCharType="end"/>
      </w:r>
      <w:r w:rsidR="00DB3E74">
        <w:rPr>
          <w:rFonts w:asciiTheme="minorBidi" w:hAnsiTheme="minorBidi"/>
          <w:b/>
          <w:bCs/>
          <w:sz w:val="24"/>
          <w:szCs w:val="24"/>
          <w:lang w:val="en-US" w:eastAsia="en-US"/>
        </w:rPr>
        <w:t>……………………………………………………………………….</w:t>
      </w:r>
      <w:r w:rsidR="00127786">
        <w:rPr>
          <w:rFonts w:asciiTheme="minorBidi" w:hAnsiTheme="minorBidi"/>
          <w:b/>
          <w:bCs/>
          <w:sz w:val="24"/>
          <w:szCs w:val="24"/>
          <w:lang w:val="en-US" w:eastAsia="en-US"/>
        </w:rPr>
        <w:tab/>
      </w:r>
      <w:r w:rsidR="00DB3E74">
        <w:rPr>
          <w:rFonts w:asciiTheme="minorBidi" w:hAnsiTheme="minorBidi"/>
          <w:b/>
          <w:bCs/>
          <w:sz w:val="24"/>
          <w:szCs w:val="24"/>
          <w:lang w:val="en-US" w:eastAsia="en-US"/>
        </w:rPr>
        <w:t>9</w:t>
      </w:r>
      <w:r w:rsidR="006D7109">
        <w:rPr>
          <w:rFonts w:asciiTheme="minorBidi" w:hAnsiTheme="minorBidi"/>
          <w:b/>
          <w:bCs/>
          <w:sz w:val="24"/>
          <w:szCs w:val="24"/>
          <w:lang w:val="en-US" w:eastAsia="en-US"/>
        </w:rPr>
        <w:t>2</w:t>
      </w:r>
    </w:p>
    <w:bookmarkStart w:id="84" w:name="B32"/>
    <w:bookmarkStart w:id="85" w:name="C45"/>
    <w:bookmarkEnd w:id="82"/>
    <w:bookmarkEnd w:id="83"/>
    <w:p w14:paraId="036B97B3" w14:textId="777F4216" w:rsidR="00935D12" w:rsidRPr="00584DBC" w:rsidRDefault="00B52F1A" w:rsidP="003F2E92">
      <w:pPr>
        <w:pStyle w:val="NoSpacing"/>
        <w:spacing w:line="480" w:lineRule="auto"/>
        <w:rPr>
          <w:rFonts w:asciiTheme="minorBidi" w:hAnsiTheme="minorBidi"/>
          <w:b/>
          <w:bCs/>
          <w:iCs/>
          <w:sz w:val="24"/>
          <w:szCs w:val="24"/>
          <w:lang w:val="en-US" w:eastAsia="en-US"/>
        </w:rPr>
      </w:pPr>
      <w:r w:rsidRPr="00584DBC">
        <w:rPr>
          <w:rFonts w:asciiTheme="minorBidi" w:hAnsiTheme="minorBidi"/>
          <w:b/>
          <w:bCs/>
          <w:iCs/>
          <w:sz w:val="24"/>
          <w:szCs w:val="24"/>
          <w:lang w:val="en-US" w:eastAsia="en-US"/>
        </w:rPr>
        <w:fldChar w:fldCharType="begin"/>
      </w:r>
      <w:r w:rsidRPr="00584DBC">
        <w:rPr>
          <w:rFonts w:asciiTheme="minorBidi" w:hAnsiTheme="minorBidi"/>
          <w:b/>
          <w:bCs/>
          <w:iCs/>
          <w:sz w:val="24"/>
          <w:szCs w:val="24"/>
          <w:lang w:val="en-US" w:eastAsia="en-US"/>
        </w:rPr>
        <w:instrText>HYPERLINK  \l "D45"</w:instrText>
      </w:r>
      <w:r w:rsidRPr="00584DBC">
        <w:rPr>
          <w:rFonts w:asciiTheme="minorBidi" w:hAnsiTheme="minorBidi"/>
          <w:b/>
          <w:bCs/>
          <w:iCs/>
          <w:sz w:val="24"/>
          <w:szCs w:val="24"/>
          <w:lang w:val="en-US" w:eastAsia="en-US"/>
        </w:rPr>
      </w:r>
      <w:r w:rsidRPr="00584DBC">
        <w:rPr>
          <w:rFonts w:asciiTheme="minorBidi" w:hAnsiTheme="minorBidi"/>
          <w:b/>
          <w:bCs/>
          <w:iCs/>
          <w:sz w:val="24"/>
          <w:szCs w:val="24"/>
          <w:lang w:val="en-US" w:eastAsia="en-US"/>
        </w:rPr>
        <w:fldChar w:fldCharType="separate"/>
      </w:r>
      <w:r w:rsidR="00935D12" w:rsidRPr="00584DBC">
        <w:rPr>
          <w:rStyle w:val="Hyperlink"/>
          <w:rFonts w:asciiTheme="minorBidi" w:hAnsiTheme="minorBidi"/>
          <w:b/>
          <w:bCs/>
          <w:iCs/>
          <w:sz w:val="24"/>
          <w:szCs w:val="24"/>
          <w:lang w:val="en-US" w:eastAsia="en-US"/>
        </w:rPr>
        <w:t>2.7.2 Opportunity</w:t>
      </w:r>
      <w:r w:rsidRPr="00584DBC">
        <w:rPr>
          <w:rFonts w:asciiTheme="minorBidi" w:hAnsiTheme="minorBidi"/>
          <w:b/>
          <w:bCs/>
          <w:iCs/>
          <w:sz w:val="24"/>
          <w:szCs w:val="24"/>
          <w:lang w:val="en-US" w:eastAsia="en-US"/>
        </w:rPr>
        <w:fldChar w:fldCharType="end"/>
      </w:r>
      <w:r w:rsidR="00484ED9">
        <w:rPr>
          <w:rFonts w:asciiTheme="minorBidi" w:hAnsiTheme="minorBidi"/>
          <w:b/>
          <w:bCs/>
          <w:iCs/>
          <w:sz w:val="24"/>
          <w:szCs w:val="24"/>
          <w:lang w:val="en-US" w:eastAsia="en-US"/>
        </w:rPr>
        <w:t>……………………………………………………………………</w:t>
      </w:r>
      <w:r w:rsidR="00127786">
        <w:rPr>
          <w:rFonts w:asciiTheme="minorBidi" w:hAnsiTheme="minorBidi"/>
          <w:b/>
          <w:bCs/>
          <w:iCs/>
          <w:sz w:val="24"/>
          <w:szCs w:val="24"/>
          <w:lang w:val="en-US" w:eastAsia="en-US"/>
        </w:rPr>
        <w:tab/>
      </w:r>
      <w:r w:rsidR="00484ED9">
        <w:rPr>
          <w:rFonts w:asciiTheme="minorBidi" w:hAnsiTheme="minorBidi"/>
          <w:b/>
          <w:bCs/>
          <w:iCs/>
          <w:sz w:val="24"/>
          <w:szCs w:val="24"/>
          <w:lang w:val="en-US" w:eastAsia="en-US"/>
        </w:rPr>
        <w:t>9</w:t>
      </w:r>
      <w:r w:rsidR="00AF2345">
        <w:rPr>
          <w:rFonts w:asciiTheme="minorBidi" w:hAnsiTheme="minorBidi"/>
          <w:b/>
          <w:bCs/>
          <w:iCs/>
          <w:sz w:val="24"/>
          <w:szCs w:val="24"/>
          <w:lang w:val="en-US" w:eastAsia="en-US"/>
        </w:rPr>
        <w:t>4</w:t>
      </w:r>
    </w:p>
    <w:bookmarkStart w:id="86" w:name="B33"/>
    <w:bookmarkStart w:id="87" w:name="C46"/>
    <w:bookmarkEnd w:id="84"/>
    <w:bookmarkEnd w:id="85"/>
    <w:p w14:paraId="51A756DD" w14:textId="5FDB7EAF" w:rsidR="00935D12" w:rsidRPr="00584DBC" w:rsidRDefault="00B52F1A" w:rsidP="003F2E92">
      <w:pPr>
        <w:pStyle w:val="NoSpacing"/>
        <w:spacing w:line="480" w:lineRule="auto"/>
        <w:rPr>
          <w:rFonts w:asciiTheme="minorBidi" w:hAnsiTheme="minorBidi"/>
          <w:b/>
          <w:bCs/>
          <w:iCs/>
          <w:sz w:val="24"/>
          <w:szCs w:val="24"/>
          <w:lang w:val="en-US" w:eastAsia="en-US"/>
        </w:rPr>
      </w:pPr>
      <w:r w:rsidRPr="00584DBC">
        <w:rPr>
          <w:rFonts w:asciiTheme="minorBidi" w:hAnsiTheme="minorBidi"/>
          <w:b/>
          <w:bCs/>
          <w:iCs/>
          <w:sz w:val="24"/>
          <w:szCs w:val="24"/>
          <w:lang w:val="en-US" w:eastAsia="en-US"/>
        </w:rPr>
        <w:fldChar w:fldCharType="begin"/>
      </w:r>
      <w:r w:rsidRPr="00584DBC">
        <w:rPr>
          <w:rFonts w:asciiTheme="minorBidi" w:hAnsiTheme="minorBidi"/>
          <w:b/>
          <w:bCs/>
          <w:iCs/>
          <w:sz w:val="24"/>
          <w:szCs w:val="24"/>
          <w:lang w:val="en-US" w:eastAsia="en-US"/>
        </w:rPr>
        <w:instrText>HYPERLINK  \l "D46"</w:instrText>
      </w:r>
      <w:r w:rsidRPr="00584DBC">
        <w:rPr>
          <w:rFonts w:asciiTheme="minorBidi" w:hAnsiTheme="minorBidi"/>
          <w:b/>
          <w:bCs/>
          <w:iCs/>
          <w:sz w:val="24"/>
          <w:szCs w:val="24"/>
          <w:lang w:val="en-US" w:eastAsia="en-US"/>
        </w:rPr>
      </w:r>
      <w:r w:rsidRPr="00584DBC">
        <w:rPr>
          <w:rFonts w:asciiTheme="minorBidi" w:hAnsiTheme="minorBidi"/>
          <w:b/>
          <w:bCs/>
          <w:iCs/>
          <w:sz w:val="24"/>
          <w:szCs w:val="24"/>
          <w:lang w:val="en-US" w:eastAsia="en-US"/>
        </w:rPr>
        <w:fldChar w:fldCharType="separate"/>
      </w:r>
      <w:r w:rsidR="00935D12" w:rsidRPr="00584DBC">
        <w:rPr>
          <w:rStyle w:val="Hyperlink"/>
          <w:rFonts w:asciiTheme="minorBidi" w:hAnsiTheme="minorBidi"/>
          <w:b/>
          <w:bCs/>
          <w:iCs/>
          <w:sz w:val="24"/>
          <w:szCs w:val="24"/>
          <w:lang w:val="en-US" w:eastAsia="en-US"/>
        </w:rPr>
        <w:t>2.7.3 Rationalisation</w:t>
      </w:r>
      <w:r w:rsidRPr="00584DBC">
        <w:rPr>
          <w:rFonts w:asciiTheme="minorBidi" w:hAnsiTheme="minorBidi"/>
          <w:b/>
          <w:bCs/>
          <w:iCs/>
          <w:sz w:val="24"/>
          <w:szCs w:val="24"/>
          <w:lang w:val="en-US" w:eastAsia="en-US"/>
        </w:rPr>
        <w:fldChar w:fldCharType="end"/>
      </w:r>
      <w:r w:rsidR="00484ED9">
        <w:rPr>
          <w:rFonts w:asciiTheme="minorBidi" w:hAnsiTheme="minorBidi"/>
          <w:b/>
          <w:bCs/>
          <w:iCs/>
          <w:sz w:val="24"/>
          <w:szCs w:val="24"/>
          <w:lang w:val="en-US" w:eastAsia="en-US"/>
        </w:rPr>
        <w:t>……………………………………………………………..…</w:t>
      </w:r>
      <w:r w:rsidR="00127786">
        <w:rPr>
          <w:rFonts w:asciiTheme="minorBidi" w:hAnsiTheme="minorBidi"/>
          <w:b/>
          <w:bCs/>
          <w:iCs/>
          <w:sz w:val="24"/>
          <w:szCs w:val="24"/>
          <w:lang w:val="en-US" w:eastAsia="en-US"/>
        </w:rPr>
        <w:tab/>
      </w:r>
      <w:r w:rsidR="00484ED9">
        <w:rPr>
          <w:rFonts w:asciiTheme="minorBidi" w:hAnsiTheme="minorBidi"/>
          <w:b/>
          <w:bCs/>
          <w:iCs/>
          <w:sz w:val="24"/>
          <w:szCs w:val="24"/>
          <w:lang w:val="en-US" w:eastAsia="en-US"/>
        </w:rPr>
        <w:t>9</w:t>
      </w:r>
      <w:r w:rsidR="00AF2345">
        <w:rPr>
          <w:rFonts w:asciiTheme="minorBidi" w:hAnsiTheme="minorBidi"/>
          <w:b/>
          <w:bCs/>
          <w:iCs/>
          <w:sz w:val="24"/>
          <w:szCs w:val="24"/>
          <w:lang w:val="en-US" w:eastAsia="en-US"/>
        </w:rPr>
        <w:t>4</w:t>
      </w:r>
    </w:p>
    <w:bookmarkStart w:id="88" w:name="B34"/>
    <w:bookmarkStart w:id="89" w:name="C47"/>
    <w:bookmarkEnd w:id="86"/>
    <w:bookmarkEnd w:id="87"/>
    <w:p w14:paraId="1BBC4CE5" w14:textId="6D27C70B" w:rsidR="00935D12" w:rsidRPr="00584DBC" w:rsidRDefault="00B52F1A"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"D47"</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 xml:space="preserve">2.7.4 Evaluation of </w:t>
      </w:r>
      <w:r w:rsidR="0050780F">
        <w:rPr>
          <w:rStyle w:val="Hyperlink"/>
          <w:rFonts w:asciiTheme="minorBidi" w:hAnsiTheme="minorBidi"/>
          <w:b/>
          <w:bCs/>
          <w:sz w:val="24"/>
          <w:szCs w:val="24"/>
          <w:lang w:val="en-US" w:eastAsia="en-US"/>
        </w:rPr>
        <w:t>T</w:t>
      </w:r>
      <w:r w:rsidR="00935D12" w:rsidRPr="00584DBC">
        <w:rPr>
          <w:rStyle w:val="Hyperlink"/>
          <w:rFonts w:asciiTheme="minorBidi" w:hAnsiTheme="minorBidi"/>
          <w:b/>
          <w:bCs/>
          <w:sz w:val="24"/>
          <w:szCs w:val="24"/>
          <w:lang w:val="en-US" w:eastAsia="en-US"/>
        </w:rPr>
        <w:t>he Fraud Triangle</w:t>
      </w:r>
      <w:r w:rsidRPr="00584DBC">
        <w:rPr>
          <w:rFonts w:asciiTheme="minorBidi" w:hAnsiTheme="minorBidi"/>
          <w:b/>
          <w:bCs/>
          <w:sz w:val="24"/>
          <w:szCs w:val="24"/>
          <w:lang w:val="en-US" w:eastAsia="en-US"/>
        </w:rPr>
        <w:fldChar w:fldCharType="end"/>
      </w:r>
      <w:r w:rsidR="00B96354">
        <w:rPr>
          <w:rFonts w:asciiTheme="minorBidi" w:hAnsiTheme="minorBidi"/>
          <w:b/>
          <w:bCs/>
          <w:sz w:val="24"/>
          <w:szCs w:val="24"/>
          <w:lang w:val="en-US" w:eastAsia="en-US"/>
        </w:rPr>
        <w:t>………………………………………</w:t>
      </w:r>
      <w:r w:rsidR="00127786">
        <w:rPr>
          <w:rFonts w:asciiTheme="minorBidi" w:hAnsiTheme="minorBidi"/>
          <w:b/>
          <w:bCs/>
          <w:sz w:val="24"/>
          <w:szCs w:val="24"/>
          <w:lang w:val="en-US" w:eastAsia="en-US"/>
        </w:rPr>
        <w:t xml:space="preserve">….     </w:t>
      </w:r>
      <w:r w:rsidR="00967FAB">
        <w:rPr>
          <w:rFonts w:asciiTheme="minorBidi" w:hAnsiTheme="minorBidi"/>
          <w:b/>
          <w:bCs/>
          <w:sz w:val="24"/>
          <w:szCs w:val="24"/>
          <w:lang w:val="en-US" w:eastAsia="en-US"/>
        </w:rPr>
        <w:t xml:space="preserve"> 97</w:t>
      </w:r>
    </w:p>
    <w:bookmarkStart w:id="90" w:name="B35"/>
    <w:bookmarkStart w:id="91" w:name="C48"/>
    <w:bookmarkEnd w:id="88"/>
    <w:bookmarkEnd w:id="89"/>
    <w:p w14:paraId="21DEB7F9" w14:textId="4FC0B49C" w:rsidR="00935D12" w:rsidRPr="00584DBC" w:rsidRDefault="00B52F1A"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"D48"</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2.7.4.1 The Triangle of Fraud Action</w:t>
      </w:r>
      <w:r w:rsidRPr="00584DBC">
        <w:rPr>
          <w:rFonts w:asciiTheme="minorBidi" w:hAnsiTheme="minorBidi"/>
          <w:b/>
          <w:bCs/>
          <w:sz w:val="24"/>
          <w:szCs w:val="24"/>
          <w:lang w:val="en-US" w:eastAsia="en-US"/>
        </w:rPr>
        <w:fldChar w:fldCharType="end"/>
      </w:r>
      <w:r w:rsidR="00B96354">
        <w:rPr>
          <w:rFonts w:asciiTheme="minorBidi" w:hAnsiTheme="minorBidi"/>
          <w:b/>
          <w:bCs/>
          <w:sz w:val="24"/>
          <w:szCs w:val="24"/>
          <w:lang w:val="en-US" w:eastAsia="en-US"/>
        </w:rPr>
        <w:t>…………………………………………...</w:t>
      </w:r>
      <w:r w:rsidR="00127786">
        <w:rPr>
          <w:rFonts w:asciiTheme="minorBidi" w:hAnsiTheme="minorBidi"/>
          <w:b/>
          <w:bCs/>
          <w:sz w:val="24"/>
          <w:szCs w:val="24"/>
          <w:lang w:val="en-US" w:eastAsia="en-US"/>
        </w:rPr>
        <w:t xml:space="preserve">..     </w:t>
      </w:r>
      <w:r w:rsidR="00B96354">
        <w:rPr>
          <w:rFonts w:asciiTheme="minorBidi" w:hAnsiTheme="minorBidi"/>
          <w:b/>
          <w:bCs/>
          <w:sz w:val="24"/>
          <w:szCs w:val="24"/>
          <w:lang w:val="en-US" w:eastAsia="en-US"/>
        </w:rPr>
        <w:t>10</w:t>
      </w:r>
      <w:r w:rsidR="005C08BB">
        <w:rPr>
          <w:rFonts w:asciiTheme="minorBidi" w:hAnsiTheme="minorBidi"/>
          <w:b/>
          <w:bCs/>
          <w:sz w:val="24"/>
          <w:szCs w:val="24"/>
          <w:lang w:val="en-US" w:eastAsia="en-US"/>
        </w:rPr>
        <w:t>1</w:t>
      </w:r>
    </w:p>
    <w:bookmarkStart w:id="92" w:name="B36"/>
    <w:bookmarkStart w:id="93" w:name="C49"/>
    <w:bookmarkEnd w:id="90"/>
    <w:bookmarkEnd w:id="91"/>
    <w:p w14:paraId="78448992" w14:textId="0AB948E3" w:rsidR="00935D12" w:rsidRPr="00127786" w:rsidRDefault="00B52F1A" w:rsidP="003F2E92">
      <w:pPr>
        <w:pStyle w:val="NoSpacing"/>
        <w:spacing w:line="480" w:lineRule="auto"/>
        <w:rPr>
          <w:rFonts w:asciiTheme="minorBidi" w:hAnsiTheme="minorBidi"/>
          <w:b/>
          <w:bCs/>
          <w:sz w:val="24"/>
          <w:szCs w:val="24"/>
          <w:lang w:eastAsia="en-US"/>
        </w:rPr>
      </w:pPr>
      <w:r w:rsidRPr="00584DBC">
        <w:rPr>
          <w:rFonts w:asciiTheme="minorBidi" w:hAnsiTheme="minorBidi"/>
          <w:b/>
          <w:bCs/>
          <w:sz w:val="24"/>
          <w:szCs w:val="24"/>
          <w:lang w:eastAsia="en-US"/>
        </w:rPr>
        <w:fldChar w:fldCharType="begin"/>
      </w:r>
      <w:r w:rsidRPr="00127786">
        <w:rPr>
          <w:rFonts w:asciiTheme="minorBidi" w:hAnsiTheme="minorBidi"/>
          <w:b/>
          <w:bCs/>
          <w:sz w:val="24"/>
          <w:szCs w:val="24"/>
          <w:lang w:eastAsia="en-US"/>
        </w:rPr>
        <w:instrText>HYPERLINK  \l "D49"</w:instrText>
      </w:r>
      <w:r w:rsidRPr="00584DBC">
        <w:rPr>
          <w:rFonts w:asciiTheme="minorBidi" w:hAnsiTheme="minorBidi"/>
          <w:b/>
          <w:bCs/>
          <w:sz w:val="24"/>
          <w:szCs w:val="24"/>
          <w:lang w:eastAsia="en-US"/>
        </w:rPr>
      </w:r>
      <w:r w:rsidRPr="00584DBC">
        <w:rPr>
          <w:rFonts w:asciiTheme="minorBidi" w:hAnsiTheme="minorBidi"/>
          <w:b/>
          <w:bCs/>
          <w:sz w:val="24"/>
          <w:szCs w:val="24"/>
          <w:lang w:eastAsia="en-US"/>
        </w:rPr>
        <w:fldChar w:fldCharType="separate"/>
      </w:r>
      <w:r w:rsidR="00935D12" w:rsidRPr="00127786">
        <w:rPr>
          <w:rStyle w:val="Hyperlink"/>
          <w:rFonts w:asciiTheme="minorBidi" w:hAnsiTheme="minorBidi"/>
          <w:b/>
          <w:bCs/>
          <w:sz w:val="24"/>
          <w:szCs w:val="24"/>
          <w:lang w:eastAsia="en-US"/>
        </w:rPr>
        <w:t>2.7.4.2 The Fraud Scale</w:t>
      </w:r>
      <w:r w:rsidRPr="00584DBC">
        <w:rPr>
          <w:rFonts w:asciiTheme="minorBidi" w:hAnsiTheme="minorBidi"/>
          <w:b/>
          <w:bCs/>
          <w:sz w:val="24"/>
          <w:szCs w:val="24"/>
          <w:lang w:eastAsia="en-US"/>
        </w:rPr>
        <w:fldChar w:fldCharType="end"/>
      </w:r>
      <w:r w:rsidR="00FD7324" w:rsidRPr="00127786">
        <w:rPr>
          <w:rFonts w:asciiTheme="minorBidi" w:hAnsiTheme="minorBidi"/>
          <w:b/>
          <w:bCs/>
          <w:sz w:val="24"/>
          <w:szCs w:val="24"/>
          <w:lang w:eastAsia="en-US"/>
        </w:rPr>
        <w:t>…………………………………………………………</w:t>
      </w:r>
      <w:r w:rsidR="00127786" w:rsidRPr="00127786">
        <w:rPr>
          <w:rFonts w:asciiTheme="minorBidi" w:hAnsiTheme="minorBidi"/>
          <w:b/>
          <w:bCs/>
          <w:sz w:val="24"/>
          <w:szCs w:val="24"/>
          <w:lang w:eastAsia="en-US"/>
        </w:rPr>
        <w:t xml:space="preserve">….     </w:t>
      </w:r>
      <w:r w:rsidR="00FD7324" w:rsidRPr="00127786">
        <w:rPr>
          <w:rFonts w:asciiTheme="minorBidi" w:hAnsiTheme="minorBidi"/>
          <w:b/>
          <w:bCs/>
          <w:sz w:val="24"/>
          <w:szCs w:val="24"/>
          <w:lang w:eastAsia="en-US"/>
        </w:rPr>
        <w:t>10</w:t>
      </w:r>
      <w:r w:rsidR="00EC0F69">
        <w:rPr>
          <w:rFonts w:asciiTheme="minorBidi" w:hAnsiTheme="minorBidi"/>
          <w:b/>
          <w:bCs/>
          <w:sz w:val="24"/>
          <w:szCs w:val="24"/>
          <w:lang w:eastAsia="en-US"/>
        </w:rPr>
        <w:t>2</w:t>
      </w:r>
    </w:p>
    <w:bookmarkStart w:id="94" w:name="B37"/>
    <w:bookmarkStart w:id="95" w:name="C50"/>
    <w:bookmarkEnd w:id="92"/>
    <w:bookmarkEnd w:id="93"/>
    <w:p w14:paraId="785E9621" w14:textId="66F45C8B" w:rsidR="00935D12" w:rsidRPr="00127786" w:rsidRDefault="00876DB5" w:rsidP="003F2E92">
      <w:pPr>
        <w:pStyle w:val="NoSpacing"/>
        <w:spacing w:line="480" w:lineRule="auto"/>
        <w:rPr>
          <w:rFonts w:asciiTheme="minorBidi" w:hAnsiTheme="minorBidi"/>
          <w:b/>
          <w:bCs/>
          <w:sz w:val="24"/>
          <w:szCs w:val="24"/>
          <w:lang w:eastAsia="en-US"/>
        </w:rPr>
      </w:pPr>
      <w:r w:rsidRPr="00584DBC">
        <w:rPr>
          <w:rFonts w:asciiTheme="minorBidi" w:hAnsiTheme="minorBidi"/>
          <w:b/>
          <w:bCs/>
          <w:sz w:val="24"/>
          <w:szCs w:val="24"/>
          <w:lang w:eastAsia="en-US"/>
        </w:rPr>
        <w:fldChar w:fldCharType="begin"/>
      </w:r>
      <w:r w:rsidRPr="00127786">
        <w:rPr>
          <w:rFonts w:asciiTheme="minorBidi" w:hAnsiTheme="minorBidi"/>
          <w:b/>
          <w:bCs/>
          <w:sz w:val="24"/>
          <w:szCs w:val="24"/>
          <w:lang w:eastAsia="en-US"/>
        </w:rPr>
        <w:instrText>HYPERLINK  \l "D50"</w:instrText>
      </w:r>
      <w:r w:rsidRPr="00584DBC">
        <w:rPr>
          <w:rFonts w:asciiTheme="minorBidi" w:hAnsiTheme="minorBidi"/>
          <w:b/>
          <w:bCs/>
          <w:sz w:val="24"/>
          <w:szCs w:val="24"/>
          <w:lang w:eastAsia="en-US"/>
        </w:rPr>
      </w:r>
      <w:r w:rsidRPr="00584DBC">
        <w:rPr>
          <w:rFonts w:asciiTheme="minorBidi" w:hAnsiTheme="minorBidi"/>
          <w:b/>
          <w:bCs/>
          <w:sz w:val="24"/>
          <w:szCs w:val="24"/>
          <w:lang w:eastAsia="en-US"/>
        </w:rPr>
        <w:fldChar w:fldCharType="separate"/>
      </w:r>
      <w:r w:rsidR="00935D12" w:rsidRPr="00127786">
        <w:rPr>
          <w:rStyle w:val="Hyperlink"/>
          <w:rFonts w:asciiTheme="minorBidi" w:hAnsiTheme="minorBidi"/>
          <w:b/>
          <w:bCs/>
          <w:sz w:val="24"/>
          <w:szCs w:val="24"/>
          <w:lang w:eastAsia="en-US"/>
        </w:rPr>
        <w:t>2.7.4.3 M I C E</w:t>
      </w:r>
      <w:r w:rsidRPr="00584DBC">
        <w:rPr>
          <w:rFonts w:asciiTheme="minorBidi" w:hAnsiTheme="minorBidi"/>
          <w:b/>
          <w:bCs/>
          <w:sz w:val="24"/>
          <w:szCs w:val="24"/>
          <w:lang w:eastAsia="en-US"/>
        </w:rPr>
        <w:fldChar w:fldCharType="end"/>
      </w:r>
      <w:r w:rsidR="00FD7324" w:rsidRPr="00127786">
        <w:rPr>
          <w:rFonts w:asciiTheme="minorBidi" w:hAnsiTheme="minorBidi"/>
          <w:b/>
          <w:bCs/>
          <w:sz w:val="24"/>
          <w:szCs w:val="24"/>
          <w:lang w:eastAsia="en-US"/>
        </w:rPr>
        <w:t>………………………………………………………………………</w:t>
      </w:r>
      <w:r w:rsidR="00127786" w:rsidRPr="00127786">
        <w:rPr>
          <w:rFonts w:asciiTheme="minorBidi" w:hAnsiTheme="minorBidi"/>
          <w:b/>
          <w:bCs/>
          <w:sz w:val="24"/>
          <w:szCs w:val="24"/>
          <w:lang w:eastAsia="en-US"/>
        </w:rPr>
        <w:t>.</w:t>
      </w:r>
      <w:r w:rsidR="00127786">
        <w:rPr>
          <w:rFonts w:asciiTheme="minorBidi" w:hAnsiTheme="minorBidi"/>
          <w:b/>
          <w:bCs/>
          <w:sz w:val="24"/>
          <w:szCs w:val="24"/>
          <w:lang w:eastAsia="en-US"/>
        </w:rPr>
        <w:t xml:space="preserve">.     </w:t>
      </w:r>
      <w:r w:rsidR="00FD7324" w:rsidRPr="00127786">
        <w:rPr>
          <w:rFonts w:asciiTheme="minorBidi" w:hAnsiTheme="minorBidi"/>
          <w:b/>
          <w:bCs/>
          <w:sz w:val="24"/>
          <w:szCs w:val="24"/>
          <w:lang w:eastAsia="en-US"/>
        </w:rPr>
        <w:t>10</w:t>
      </w:r>
      <w:r w:rsidR="00E858C9">
        <w:rPr>
          <w:rFonts w:asciiTheme="minorBidi" w:hAnsiTheme="minorBidi"/>
          <w:b/>
          <w:bCs/>
          <w:sz w:val="24"/>
          <w:szCs w:val="24"/>
          <w:lang w:eastAsia="en-US"/>
        </w:rPr>
        <w:t>3</w:t>
      </w:r>
    </w:p>
    <w:bookmarkStart w:id="96" w:name="B38"/>
    <w:bookmarkStart w:id="97" w:name="C51"/>
    <w:bookmarkEnd w:id="94"/>
    <w:bookmarkEnd w:id="95"/>
    <w:p w14:paraId="5FB26600" w14:textId="68853B8D" w:rsidR="00935D12" w:rsidRPr="00584DBC" w:rsidRDefault="00CE511E"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"D51"</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2.7.4.4 The Fraud Diamond</w:t>
      </w:r>
      <w:r w:rsidRPr="00584DBC">
        <w:rPr>
          <w:rFonts w:asciiTheme="minorBidi" w:hAnsiTheme="minorBidi"/>
          <w:b/>
          <w:bCs/>
          <w:sz w:val="24"/>
          <w:szCs w:val="24"/>
          <w:lang w:val="en-US" w:eastAsia="en-US"/>
        </w:rPr>
        <w:fldChar w:fldCharType="end"/>
      </w:r>
      <w:r w:rsidR="00FD7324">
        <w:rPr>
          <w:rFonts w:asciiTheme="minorBidi" w:hAnsiTheme="minorBidi"/>
          <w:b/>
          <w:bCs/>
          <w:sz w:val="24"/>
          <w:szCs w:val="24"/>
          <w:lang w:val="en-US" w:eastAsia="en-US"/>
        </w:rPr>
        <w:t>………………………………………………………</w:t>
      </w:r>
      <w:r w:rsidR="00127786">
        <w:rPr>
          <w:rFonts w:asciiTheme="minorBidi" w:hAnsiTheme="minorBidi"/>
          <w:b/>
          <w:bCs/>
          <w:sz w:val="24"/>
          <w:szCs w:val="24"/>
          <w:lang w:val="en-US" w:eastAsia="en-US"/>
        </w:rPr>
        <w:t xml:space="preserve">..     </w:t>
      </w:r>
      <w:r w:rsidR="00FD7324">
        <w:rPr>
          <w:rFonts w:asciiTheme="minorBidi" w:hAnsiTheme="minorBidi"/>
          <w:b/>
          <w:bCs/>
          <w:sz w:val="24"/>
          <w:szCs w:val="24"/>
          <w:lang w:val="en-US" w:eastAsia="en-US"/>
        </w:rPr>
        <w:t>10</w:t>
      </w:r>
      <w:r w:rsidR="007E5552">
        <w:rPr>
          <w:rFonts w:asciiTheme="minorBidi" w:hAnsiTheme="minorBidi"/>
          <w:b/>
          <w:bCs/>
          <w:sz w:val="24"/>
          <w:szCs w:val="24"/>
          <w:lang w:val="en-US" w:eastAsia="en-US"/>
        </w:rPr>
        <w:t>3</w:t>
      </w:r>
    </w:p>
    <w:bookmarkStart w:id="98" w:name="C52"/>
    <w:bookmarkStart w:id="99" w:name="B39"/>
    <w:bookmarkEnd w:id="96"/>
    <w:bookmarkEnd w:id="97"/>
    <w:p w14:paraId="59FFEB22" w14:textId="1BDC9F57" w:rsidR="00935D12" w:rsidRPr="00584DBC" w:rsidRDefault="00CE511E"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"D52"</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2.7.4.5 The Fraud Pentagon</w:t>
      </w:r>
      <w:r w:rsidRPr="00584DBC">
        <w:rPr>
          <w:rFonts w:asciiTheme="minorBidi" w:hAnsiTheme="minorBidi"/>
          <w:b/>
          <w:bCs/>
          <w:sz w:val="24"/>
          <w:szCs w:val="24"/>
          <w:lang w:val="en-US" w:eastAsia="en-US"/>
        </w:rPr>
        <w:fldChar w:fldCharType="end"/>
      </w:r>
      <w:r w:rsidR="00AE1E02">
        <w:rPr>
          <w:rFonts w:asciiTheme="minorBidi" w:hAnsiTheme="minorBidi"/>
          <w:b/>
          <w:bCs/>
          <w:sz w:val="24"/>
          <w:szCs w:val="24"/>
          <w:lang w:val="en-US" w:eastAsia="en-US"/>
        </w:rPr>
        <w:t>……………………………………………………</w:t>
      </w:r>
      <w:r w:rsidR="00127786">
        <w:rPr>
          <w:rFonts w:asciiTheme="minorBidi" w:hAnsiTheme="minorBidi"/>
          <w:b/>
          <w:bCs/>
          <w:sz w:val="24"/>
          <w:szCs w:val="24"/>
          <w:lang w:val="en-US" w:eastAsia="en-US"/>
        </w:rPr>
        <w:t xml:space="preserve">….     </w:t>
      </w:r>
      <w:r w:rsidR="00AE1E02">
        <w:rPr>
          <w:rFonts w:asciiTheme="minorBidi" w:hAnsiTheme="minorBidi"/>
          <w:b/>
          <w:bCs/>
          <w:sz w:val="24"/>
          <w:szCs w:val="24"/>
          <w:lang w:val="en-US" w:eastAsia="en-US"/>
        </w:rPr>
        <w:t>10</w:t>
      </w:r>
      <w:r w:rsidR="00655388">
        <w:rPr>
          <w:rFonts w:asciiTheme="minorBidi" w:hAnsiTheme="minorBidi"/>
          <w:b/>
          <w:bCs/>
          <w:sz w:val="24"/>
          <w:szCs w:val="24"/>
          <w:lang w:val="en-US" w:eastAsia="en-US"/>
        </w:rPr>
        <w:t>4</w:t>
      </w:r>
    </w:p>
    <w:bookmarkStart w:id="100" w:name="ZZZ"/>
    <w:bookmarkStart w:id="101" w:name="C53"/>
    <w:bookmarkEnd w:id="98"/>
    <w:p w14:paraId="49EC6F16" w14:textId="2750F5FA" w:rsidR="00935D12" w:rsidRPr="00584DBC" w:rsidRDefault="00CE511E"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"D53"</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 xml:space="preserve">2.7.4.6 </w:t>
      </w:r>
      <w:r w:rsidR="00935D12" w:rsidRPr="00584DBC">
        <w:rPr>
          <w:rStyle w:val="Hyperlink"/>
          <w:rFonts w:ascii="Arial" w:eastAsiaTheme="minorHAnsi" w:hAnsi="Arial" w:cs="Arial"/>
          <w:b/>
          <w:bCs/>
          <w:kern w:val="0"/>
          <w:sz w:val="24"/>
          <w:szCs w:val="24"/>
          <w:lang w:val="en-US" w:eastAsia="en-US"/>
          <w14:ligatures w14:val="none"/>
        </w:rPr>
        <w:t>New Fraud Triangle Model</w:t>
      </w:r>
      <w:r w:rsidRPr="00584DBC">
        <w:rPr>
          <w:rFonts w:asciiTheme="minorBidi" w:hAnsiTheme="minorBidi"/>
          <w:b/>
          <w:bCs/>
          <w:sz w:val="24"/>
          <w:szCs w:val="24"/>
          <w:lang w:val="en-US" w:eastAsia="en-US"/>
        </w:rPr>
        <w:fldChar w:fldCharType="end"/>
      </w:r>
      <w:r w:rsidR="00054501">
        <w:rPr>
          <w:rFonts w:asciiTheme="minorBidi" w:hAnsiTheme="minorBidi"/>
          <w:b/>
          <w:bCs/>
          <w:sz w:val="24"/>
          <w:szCs w:val="24"/>
          <w:lang w:val="en-US" w:eastAsia="en-US"/>
        </w:rPr>
        <w:t>………………………………………………</w:t>
      </w:r>
      <w:r w:rsidR="00127786">
        <w:rPr>
          <w:rFonts w:asciiTheme="minorBidi" w:hAnsiTheme="minorBidi"/>
          <w:b/>
          <w:bCs/>
          <w:sz w:val="24"/>
          <w:szCs w:val="24"/>
          <w:lang w:val="en-US" w:eastAsia="en-US"/>
        </w:rPr>
        <w:t xml:space="preserve">..     </w:t>
      </w:r>
      <w:r w:rsidR="00054501">
        <w:rPr>
          <w:rFonts w:asciiTheme="minorBidi" w:hAnsiTheme="minorBidi"/>
          <w:b/>
          <w:bCs/>
          <w:sz w:val="24"/>
          <w:szCs w:val="24"/>
          <w:lang w:val="en-US" w:eastAsia="en-US"/>
        </w:rPr>
        <w:t>1</w:t>
      </w:r>
      <w:r w:rsidR="00F509E0">
        <w:rPr>
          <w:rFonts w:asciiTheme="minorBidi" w:hAnsiTheme="minorBidi"/>
          <w:b/>
          <w:bCs/>
          <w:sz w:val="24"/>
          <w:szCs w:val="24"/>
          <w:lang w:val="en-US" w:eastAsia="en-US"/>
        </w:rPr>
        <w:t>05</w:t>
      </w:r>
    </w:p>
    <w:bookmarkStart w:id="102" w:name="B40"/>
    <w:bookmarkStart w:id="103" w:name="C54"/>
    <w:bookmarkEnd w:id="99"/>
    <w:bookmarkEnd w:id="100"/>
    <w:bookmarkEnd w:id="101"/>
    <w:p w14:paraId="0E6E82E0" w14:textId="4479B302" w:rsidR="00935D12" w:rsidRPr="00584DBC" w:rsidRDefault="00CE511E"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"D54"</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2.7.4.7 The A-B-C Model</w:t>
      </w:r>
      <w:r w:rsidRPr="00584DBC">
        <w:rPr>
          <w:rFonts w:asciiTheme="minorBidi" w:hAnsiTheme="minorBidi"/>
          <w:b/>
          <w:bCs/>
          <w:sz w:val="24"/>
          <w:szCs w:val="24"/>
          <w:lang w:val="en-US" w:eastAsia="en-US"/>
        </w:rPr>
        <w:fldChar w:fldCharType="end"/>
      </w:r>
      <w:r w:rsidR="00054501">
        <w:rPr>
          <w:rFonts w:asciiTheme="minorBidi" w:hAnsiTheme="minorBidi"/>
          <w:b/>
          <w:bCs/>
          <w:sz w:val="24"/>
          <w:szCs w:val="24"/>
          <w:lang w:val="en-US" w:eastAsia="en-US"/>
        </w:rPr>
        <w:t>…………………………………………………………</w:t>
      </w:r>
      <w:r w:rsidR="00127786">
        <w:rPr>
          <w:rFonts w:asciiTheme="minorBidi" w:hAnsiTheme="minorBidi"/>
          <w:b/>
          <w:bCs/>
          <w:sz w:val="24"/>
          <w:szCs w:val="24"/>
          <w:lang w:val="en-US" w:eastAsia="en-US"/>
        </w:rPr>
        <w:t xml:space="preserve">…     </w:t>
      </w:r>
      <w:r w:rsidR="00054501">
        <w:rPr>
          <w:rFonts w:asciiTheme="minorBidi" w:hAnsiTheme="minorBidi"/>
          <w:b/>
          <w:bCs/>
          <w:sz w:val="24"/>
          <w:szCs w:val="24"/>
          <w:lang w:val="en-US" w:eastAsia="en-US"/>
        </w:rPr>
        <w:t>1</w:t>
      </w:r>
      <w:r w:rsidR="00426049">
        <w:rPr>
          <w:rFonts w:asciiTheme="minorBidi" w:hAnsiTheme="minorBidi"/>
          <w:b/>
          <w:bCs/>
          <w:sz w:val="24"/>
          <w:szCs w:val="24"/>
          <w:lang w:val="en-US" w:eastAsia="en-US"/>
        </w:rPr>
        <w:t>06</w:t>
      </w:r>
    </w:p>
    <w:bookmarkStart w:id="104" w:name="B41"/>
    <w:bookmarkStart w:id="105" w:name="C55"/>
    <w:bookmarkEnd w:id="102"/>
    <w:bookmarkEnd w:id="103"/>
    <w:p w14:paraId="409F83B9" w14:textId="15A9FB65" w:rsidR="00935D12" w:rsidRPr="004A22C2" w:rsidRDefault="00CE511E" w:rsidP="003F2E92">
      <w:pPr>
        <w:pStyle w:val="NoSpacing"/>
        <w:spacing w:line="480" w:lineRule="auto"/>
        <w:rPr>
          <w:rFonts w:asciiTheme="minorBidi" w:hAnsiTheme="minorBidi"/>
          <w:b/>
          <w:bCs/>
          <w:sz w:val="24"/>
          <w:szCs w:val="24"/>
          <w:lang w:val="it-IT" w:eastAsia="en-US"/>
        </w:rPr>
      </w:pPr>
      <w:r w:rsidRPr="00584DBC">
        <w:rPr>
          <w:rFonts w:asciiTheme="minorBidi" w:hAnsiTheme="minorBidi"/>
          <w:b/>
          <w:bCs/>
          <w:sz w:val="24"/>
          <w:szCs w:val="24"/>
          <w:lang w:val="it-IT" w:eastAsia="en-US"/>
        </w:rPr>
        <w:fldChar w:fldCharType="begin"/>
      </w:r>
      <w:r w:rsidRPr="004A22C2">
        <w:rPr>
          <w:rFonts w:asciiTheme="minorBidi" w:hAnsiTheme="minorBidi"/>
          <w:b/>
          <w:bCs/>
          <w:sz w:val="24"/>
          <w:szCs w:val="24"/>
          <w:lang w:val="it-IT" w:eastAsia="en-US"/>
        </w:rPr>
        <w:instrText>HYPERLINK  \l "D55"</w:instrText>
      </w:r>
      <w:r w:rsidRPr="00584DBC">
        <w:rPr>
          <w:rFonts w:asciiTheme="minorBidi" w:hAnsiTheme="minorBidi"/>
          <w:b/>
          <w:bCs/>
          <w:sz w:val="24"/>
          <w:szCs w:val="24"/>
          <w:lang w:val="it-IT" w:eastAsia="en-US"/>
        </w:rPr>
      </w:r>
      <w:r w:rsidRPr="00584DBC">
        <w:rPr>
          <w:rFonts w:asciiTheme="minorBidi" w:hAnsiTheme="minorBidi"/>
          <w:b/>
          <w:bCs/>
          <w:sz w:val="24"/>
          <w:szCs w:val="24"/>
          <w:lang w:val="it-IT" w:eastAsia="en-US"/>
        </w:rPr>
        <w:fldChar w:fldCharType="separate"/>
      </w:r>
      <w:r w:rsidR="00935D12" w:rsidRPr="004A22C2">
        <w:rPr>
          <w:rStyle w:val="Hyperlink"/>
          <w:rFonts w:asciiTheme="minorBidi" w:hAnsiTheme="minorBidi"/>
          <w:b/>
          <w:bCs/>
          <w:sz w:val="24"/>
          <w:szCs w:val="24"/>
          <w:lang w:val="it-IT" w:eastAsia="en-US"/>
        </w:rPr>
        <w:t>2.7.4.8 The C R I M E Model</w:t>
      </w:r>
      <w:r w:rsidRPr="00584DBC">
        <w:rPr>
          <w:rFonts w:asciiTheme="minorBidi" w:hAnsiTheme="minorBidi"/>
          <w:b/>
          <w:bCs/>
          <w:sz w:val="24"/>
          <w:szCs w:val="24"/>
          <w:lang w:val="it-IT" w:eastAsia="en-US"/>
        </w:rPr>
        <w:fldChar w:fldCharType="end"/>
      </w:r>
      <w:r w:rsidR="00641428" w:rsidRPr="004A22C2">
        <w:rPr>
          <w:rFonts w:asciiTheme="minorBidi" w:hAnsiTheme="minorBidi"/>
          <w:b/>
          <w:bCs/>
          <w:sz w:val="24"/>
          <w:szCs w:val="24"/>
          <w:lang w:val="it-IT" w:eastAsia="en-US"/>
        </w:rPr>
        <w:t>…………………………………………………</w:t>
      </w:r>
      <w:r w:rsidR="004A22C2" w:rsidRPr="004A22C2">
        <w:rPr>
          <w:rFonts w:asciiTheme="minorBidi" w:hAnsiTheme="minorBidi"/>
          <w:b/>
          <w:bCs/>
          <w:sz w:val="24"/>
          <w:szCs w:val="24"/>
          <w:lang w:val="it-IT" w:eastAsia="en-US"/>
        </w:rPr>
        <w:t>…</w:t>
      </w:r>
      <w:r w:rsidR="004A22C2">
        <w:rPr>
          <w:rFonts w:asciiTheme="minorBidi" w:hAnsiTheme="minorBidi"/>
          <w:b/>
          <w:bCs/>
          <w:sz w:val="24"/>
          <w:szCs w:val="24"/>
          <w:lang w:val="it-IT" w:eastAsia="en-US"/>
        </w:rPr>
        <w:t xml:space="preserve">…..     </w:t>
      </w:r>
      <w:r w:rsidR="00641428" w:rsidRPr="004A22C2">
        <w:rPr>
          <w:rFonts w:asciiTheme="minorBidi" w:hAnsiTheme="minorBidi"/>
          <w:b/>
          <w:bCs/>
          <w:sz w:val="24"/>
          <w:szCs w:val="24"/>
          <w:lang w:val="it-IT" w:eastAsia="en-US"/>
        </w:rPr>
        <w:t>1</w:t>
      </w:r>
      <w:r w:rsidR="00426049" w:rsidRPr="004A22C2">
        <w:rPr>
          <w:rFonts w:asciiTheme="minorBidi" w:hAnsiTheme="minorBidi"/>
          <w:b/>
          <w:bCs/>
          <w:sz w:val="24"/>
          <w:szCs w:val="24"/>
          <w:lang w:val="it-IT" w:eastAsia="en-US"/>
        </w:rPr>
        <w:t>06</w:t>
      </w:r>
    </w:p>
    <w:bookmarkStart w:id="106" w:name="C56"/>
    <w:bookmarkStart w:id="107" w:name="B42"/>
    <w:bookmarkEnd w:id="104"/>
    <w:bookmarkEnd w:id="105"/>
    <w:p w14:paraId="428D1A76" w14:textId="2F7D7B68" w:rsidR="00935D12" w:rsidRPr="00584DBC" w:rsidRDefault="009168B9"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"D56"</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2.8 C R I M E L—33 International Stories of Accounting Fraud</w:t>
      </w:r>
      <w:bookmarkEnd w:id="106"/>
      <w:r w:rsidRPr="00584DBC">
        <w:rPr>
          <w:rFonts w:asciiTheme="minorBidi" w:hAnsiTheme="minorBidi"/>
          <w:b/>
          <w:bCs/>
          <w:sz w:val="24"/>
          <w:szCs w:val="24"/>
          <w:lang w:val="en-US" w:eastAsia="en-US"/>
        </w:rPr>
        <w:fldChar w:fldCharType="end"/>
      </w:r>
      <w:r w:rsidR="000B2476">
        <w:rPr>
          <w:rFonts w:asciiTheme="minorBidi" w:hAnsiTheme="minorBidi"/>
          <w:b/>
          <w:bCs/>
          <w:sz w:val="24"/>
          <w:szCs w:val="24"/>
          <w:lang w:val="en-US" w:eastAsia="en-US"/>
        </w:rPr>
        <w:t>…………...</w:t>
      </w:r>
      <w:r w:rsidR="00127786">
        <w:rPr>
          <w:rFonts w:asciiTheme="minorBidi" w:hAnsiTheme="minorBidi"/>
          <w:b/>
          <w:bCs/>
          <w:sz w:val="24"/>
          <w:szCs w:val="24"/>
          <w:lang w:val="en-US" w:eastAsia="en-US"/>
        </w:rPr>
        <w:t xml:space="preserve">..     </w:t>
      </w:r>
      <w:r w:rsidR="000B2476">
        <w:rPr>
          <w:rFonts w:asciiTheme="minorBidi" w:hAnsiTheme="minorBidi"/>
          <w:b/>
          <w:bCs/>
          <w:sz w:val="24"/>
          <w:szCs w:val="24"/>
          <w:lang w:val="en-US" w:eastAsia="en-US"/>
        </w:rPr>
        <w:t>1</w:t>
      </w:r>
      <w:r w:rsidR="006B25B6">
        <w:rPr>
          <w:rFonts w:asciiTheme="minorBidi" w:hAnsiTheme="minorBidi"/>
          <w:b/>
          <w:bCs/>
          <w:sz w:val="24"/>
          <w:szCs w:val="24"/>
          <w:lang w:val="en-US" w:eastAsia="en-US"/>
        </w:rPr>
        <w:t>07</w:t>
      </w:r>
    </w:p>
    <w:bookmarkStart w:id="108" w:name="B43"/>
    <w:bookmarkStart w:id="109" w:name="C57"/>
    <w:bookmarkEnd w:id="107"/>
    <w:p w14:paraId="3A3CFAEF" w14:textId="4A6F658F" w:rsidR="00935D12" w:rsidRPr="00584DBC" w:rsidRDefault="00CE511E"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"D57"</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2.9 Theoretical Framework: Synthesis of The Fraud Triangle and The Dark Triad</w:t>
      </w:r>
      <w:r w:rsidRPr="00584DBC">
        <w:rPr>
          <w:rFonts w:asciiTheme="minorBidi" w:hAnsiTheme="minorBidi"/>
          <w:b/>
          <w:bCs/>
          <w:sz w:val="24"/>
          <w:szCs w:val="24"/>
          <w:lang w:val="en-US" w:eastAsia="en-US"/>
        </w:rPr>
        <w:fldChar w:fldCharType="end"/>
      </w:r>
      <w:r w:rsidR="000B2476">
        <w:rPr>
          <w:rFonts w:asciiTheme="minorBidi" w:hAnsiTheme="minorBidi"/>
          <w:b/>
          <w:bCs/>
          <w:sz w:val="24"/>
          <w:szCs w:val="24"/>
          <w:lang w:val="en-US" w:eastAsia="en-US"/>
        </w:rPr>
        <w:t>…………………………………………………………………………………</w:t>
      </w:r>
      <w:r w:rsidR="00127786">
        <w:rPr>
          <w:rFonts w:asciiTheme="minorBidi" w:hAnsiTheme="minorBidi"/>
          <w:b/>
          <w:bCs/>
          <w:sz w:val="24"/>
          <w:szCs w:val="24"/>
          <w:lang w:val="en-US" w:eastAsia="en-US"/>
        </w:rPr>
        <w:t xml:space="preserve">…     </w:t>
      </w:r>
      <w:r w:rsidR="000B2476">
        <w:rPr>
          <w:rFonts w:asciiTheme="minorBidi" w:hAnsiTheme="minorBidi"/>
          <w:b/>
          <w:bCs/>
          <w:sz w:val="24"/>
          <w:szCs w:val="24"/>
          <w:lang w:val="en-US" w:eastAsia="en-US"/>
        </w:rPr>
        <w:t>1</w:t>
      </w:r>
      <w:r w:rsidR="00E43D9D">
        <w:rPr>
          <w:rFonts w:asciiTheme="minorBidi" w:hAnsiTheme="minorBidi"/>
          <w:b/>
          <w:bCs/>
          <w:sz w:val="24"/>
          <w:szCs w:val="24"/>
          <w:lang w:val="en-US" w:eastAsia="en-US"/>
        </w:rPr>
        <w:t>29</w:t>
      </w:r>
    </w:p>
    <w:bookmarkStart w:id="110" w:name="B44"/>
    <w:bookmarkStart w:id="111" w:name="C58"/>
    <w:bookmarkEnd w:id="108"/>
    <w:bookmarkEnd w:id="109"/>
    <w:p w14:paraId="50736309" w14:textId="7CA0EA11" w:rsidR="00935D12" w:rsidRPr="00584DBC" w:rsidRDefault="00CE511E" w:rsidP="003F2E92">
      <w:pPr>
        <w:pStyle w:val="NoSpacing"/>
        <w:spacing w:line="480" w:lineRule="auto"/>
        <w:rPr>
          <w:rFonts w:asciiTheme="minorBidi" w:hAnsiTheme="minorBidi"/>
          <w:b/>
          <w:bCs/>
          <w:sz w:val="24"/>
          <w:szCs w:val="24"/>
          <w:lang w:eastAsia="en-US"/>
        </w:rPr>
      </w:pPr>
      <w:r w:rsidRPr="00584DBC">
        <w:rPr>
          <w:rFonts w:asciiTheme="minorBidi" w:hAnsiTheme="minorBidi"/>
          <w:b/>
          <w:bCs/>
          <w:sz w:val="24"/>
          <w:szCs w:val="24"/>
          <w:lang w:eastAsia="en-US"/>
        </w:rPr>
        <w:fldChar w:fldCharType="begin"/>
      </w:r>
      <w:r w:rsidRPr="00584DBC">
        <w:rPr>
          <w:rFonts w:asciiTheme="minorBidi" w:hAnsiTheme="minorBidi"/>
          <w:b/>
          <w:bCs/>
          <w:sz w:val="24"/>
          <w:szCs w:val="24"/>
          <w:lang w:eastAsia="en-US"/>
        </w:rPr>
        <w:instrText>HYPERLINK  \l "D58"</w:instrText>
      </w:r>
      <w:r w:rsidRPr="00584DBC">
        <w:rPr>
          <w:rFonts w:asciiTheme="minorBidi" w:hAnsiTheme="minorBidi"/>
          <w:b/>
          <w:bCs/>
          <w:sz w:val="24"/>
          <w:szCs w:val="24"/>
          <w:lang w:eastAsia="en-US"/>
        </w:rPr>
      </w:r>
      <w:r w:rsidRPr="00584DBC">
        <w:rPr>
          <w:rFonts w:asciiTheme="minorBidi" w:hAnsiTheme="minorBidi"/>
          <w:b/>
          <w:bCs/>
          <w:sz w:val="24"/>
          <w:szCs w:val="24"/>
          <w:lang w:eastAsia="en-US"/>
        </w:rPr>
        <w:fldChar w:fldCharType="separate"/>
      </w:r>
      <w:r w:rsidR="00935D12" w:rsidRPr="00584DBC">
        <w:rPr>
          <w:rStyle w:val="Hyperlink"/>
          <w:rFonts w:asciiTheme="minorBidi" w:hAnsiTheme="minorBidi"/>
          <w:b/>
          <w:bCs/>
          <w:sz w:val="24"/>
          <w:szCs w:val="24"/>
          <w:lang w:eastAsia="en-US"/>
        </w:rPr>
        <w:t>2.9.1 Dark Triad Theory</w:t>
      </w:r>
      <w:r w:rsidRPr="00584DBC">
        <w:rPr>
          <w:rFonts w:asciiTheme="minorBidi" w:hAnsiTheme="minorBidi"/>
          <w:b/>
          <w:bCs/>
          <w:sz w:val="24"/>
          <w:szCs w:val="24"/>
          <w:lang w:eastAsia="en-US"/>
        </w:rPr>
        <w:fldChar w:fldCharType="end"/>
      </w:r>
      <w:r w:rsidR="00C81E3F">
        <w:rPr>
          <w:rFonts w:asciiTheme="minorBidi" w:hAnsiTheme="minorBidi"/>
          <w:b/>
          <w:bCs/>
          <w:sz w:val="24"/>
          <w:szCs w:val="24"/>
          <w:lang w:eastAsia="en-US"/>
        </w:rPr>
        <w:t>…………………………………………………………</w:t>
      </w:r>
      <w:r w:rsidR="00127786">
        <w:rPr>
          <w:rFonts w:asciiTheme="minorBidi" w:hAnsiTheme="minorBidi"/>
          <w:b/>
          <w:bCs/>
          <w:sz w:val="24"/>
          <w:szCs w:val="24"/>
          <w:lang w:eastAsia="en-US"/>
        </w:rPr>
        <w:t xml:space="preserve">….     </w:t>
      </w:r>
      <w:r w:rsidR="00C81E3F">
        <w:rPr>
          <w:rFonts w:asciiTheme="minorBidi" w:hAnsiTheme="minorBidi"/>
          <w:b/>
          <w:bCs/>
          <w:sz w:val="24"/>
          <w:szCs w:val="24"/>
          <w:lang w:eastAsia="en-US"/>
        </w:rPr>
        <w:t>13</w:t>
      </w:r>
      <w:r w:rsidR="00F7266A">
        <w:rPr>
          <w:rFonts w:asciiTheme="minorBidi" w:hAnsiTheme="minorBidi"/>
          <w:b/>
          <w:bCs/>
          <w:sz w:val="24"/>
          <w:szCs w:val="24"/>
          <w:lang w:eastAsia="en-US"/>
        </w:rPr>
        <w:t>1</w:t>
      </w:r>
    </w:p>
    <w:bookmarkStart w:id="112" w:name="B45"/>
    <w:bookmarkStart w:id="113" w:name="C59"/>
    <w:bookmarkEnd w:id="110"/>
    <w:bookmarkEnd w:id="111"/>
    <w:p w14:paraId="75AB43A8" w14:textId="1261370C" w:rsidR="00935D12" w:rsidRPr="00584DBC" w:rsidRDefault="00CE511E" w:rsidP="003F2E92">
      <w:pPr>
        <w:pStyle w:val="NoSpacing"/>
        <w:spacing w:line="480" w:lineRule="auto"/>
        <w:rPr>
          <w:rFonts w:asciiTheme="minorBidi" w:hAnsiTheme="minorBidi"/>
          <w:b/>
          <w:bCs/>
          <w:sz w:val="24"/>
          <w:szCs w:val="24"/>
          <w:lang w:eastAsia="en-US"/>
        </w:rPr>
      </w:pPr>
      <w:r w:rsidRPr="00584DBC">
        <w:rPr>
          <w:rFonts w:asciiTheme="minorBidi" w:hAnsiTheme="minorBidi"/>
          <w:b/>
          <w:bCs/>
          <w:sz w:val="24"/>
          <w:szCs w:val="24"/>
          <w:lang w:eastAsia="en-US"/>
        </w:rPr>
        <w:fldChar w:fldCharType="begin"/>
      </w:r>
      <w:r w:rsidRPr="00584DBC">
        <w:rPr>
          <w:rFonts w:asciiTheme="minorBidi" w:hAnsiTheme="minorBidi"/>
          <w:b/>
          <w:bCs/>
          <w:sz w:val="24"/>
          <w:szCs w:val="24"/>
          <w:lang w:eastAsia="en-US"/>
        </w:rPr>
        <w:instrText>HYPERLINK  \l "D59"</w:instrText>
      </w:r>
      <w:r w:rsidRPr="00584DBC">
        <w:rPr>
          <w:rFonts w:asciiTheme="minorBidi" w:hAnsiTheme="minorBidi"/>
          <w:b/>
          <w:bCs/>
          <w:sz w:val="24"/>
          <w:szCs w:val="24"/>
          <w:lang w:eastAsia="en-US"/>
        </w:rPr>
      </w:r>
      <w:r w:rsidRPr="00584DBC">
        <w:rPr>
          <w:rFonts w:asciiTheme="minorBidi" w:hAnsiTheme="minorBidi"/>
          <w:b/>
          <w:bCs/>
          <w:sz w:val="24"/>
          <w:szCs w:val="24"/>
          <w:lang w:eastAsia="en-US"/>
        </w:rPr>
        <w:fldChar w:fldCharType="separate"/>
      </w:r>
      <w:r w:rsidR="00935D12" w:rsidRPr="00584DBC">
        <w:rPr>
          <w:rStyle w:val="Hyperlink"/>
          <w:rFonts w:asciiTheme="minorBidi" w:hAnsiTheme="minorBidi"/>
          <w:b/>
          <w:bCs/>
          <w:sz w:val="24"/>
          <w:szCs w:val="24"/>
          <w:lang w:eastAsia="en-US"/>
        </w:rPr>
        <w:t>2.9.2 The Corporate Psychopath</w:t>
      </w:r>
      <w:r w:rsidRPr="00584DBC">
        <w:rPr>
          <w:rFonts w:asciiTheme="minorBidi" w:hAnsiTheme="minorBidi"/>
          <w:b/>
          <w:bCs/>
          <w:sz w:val="24"/>
          <w:szCs w:val="24"/>
          <w:lang w:eastAsia="en-US"/>
        </w:rPr>
        <w:fldChar w:fldCharType="end"/>
      </w:r>
      <w:r w:rsidR="00E5245D">
        <w:rPr>
          <w:rFonts w:asciiTheme="minorBidi" w:hAnsiTheme="minorBidi"/>
          <w:b/>
          <w:bCs/>
          <w:sz w:val="24"/>
          <w:szCs w:val="24"/>
          <w:lang w:eastAsia="en-US"/>
        </w:rPr>
        <w:t>………………………………………………</w:t>
      </w:r>
      <w:r w:rsidR="001C21FC">
        <w:rPr>
          <w:rFonts w:asciiTheme="minorBidi" w:hAnsiTheme="minorBidi"/>
          <w:b/>
          <w:bCs/>
          <w:sz w:val="24"/>
          <w:szCs w:val="24"/>
          <w:lang w:eastAsia="en-US"/>
        </w:rPr>
        <w:t xml:space="preserve">…     </w:t>
      </w:r>
      <w:r w:rsidR="00E5245D">
        <w:rPr>
          <w:rFonts w:asciiTheme="minorBidi" w:hAnsiTheme="minorBidi"/>
          <w:b/>
          <w:bCs/>
          <w:sz w:val="24"/>
          <w:szCs w:val="24"/>
          <w:lang w:eastAsia="en-US"/>
        </w:rPr>
        <w:t>1</w:t>
      </w:r>
      <w:r w:rsidR="00F7266A">
        <w:rPr>
          <w:rFonts w:asciiTheme="minorBidi" w:hAnsiTheme="minorBidi"/>
          <w:b/>
          <w:bCs/>
          <w:sz w:val="24"/>
          <w:szCs w:val="24"/>
          <w:lang w:eastAsia="en-US"/>
        </w:rPr>
        <w:t>34</w:t>
      </w:r>
    </w:p>
    <w:bookmarkStart w:id="114" w:name="B46"/>
    <w:bookmarkStart w:id="115" w:name="C60"/>
    <w:bookmarkEnd w:id="112"/>
    <w:bookmarkEnd w:id="113"/>
    <w:p w14:paraId="464F79BE" w14:textId="2DCA3AC4" w:rsidR="00935D12" w:rsidRPr="00584DBC" w:rsidRDefault="00CE511E" w:rsidP="003F2E92">
      <w:pPr>
        <w:pStyle w:val="NoSpacing"/>
        <w:spacing w:line="480" w:lineRule="auto"/>
        <w:rPr>
          <w:rFonts w:asciiTheme="minorBidi" w:hAnsiTheme="minorBidi"/>
          <w:b/>
          <w:bCs/>
          <w:sz w:val="24"/>
          <w:szCs w:val="24"/>
          <w:lang w:eastAsia="en-US"/>
        </w:rPr>
      </w:pPr>
      <w:r w:rsidRPr="00584DBC">
        <w:rPr>
          <w:rFonts w:asciiTheme="minorBidi" w:hAnsiTheme="minorBidi"/>
          <w:b/>
          <w:bCs/>
          <w:sz w:val="24"/>
          <w:szCs w:val="24"/>
          <w:lang w:eastAsia="en-US"/>
        </w:rPr>
        <w:fldChar w:fldCharType="begin"/>
      </w:r>
      <w:r w:rsidRPr="00584DBC">
        <w:rPr>
          <w:rFonts w:asciiTheme="minorBidi" w:hAnsiTheme="minorBidi"/>
          <w:b/>
          <w:bCs/>
          <w:sz w:val="24"/>
          <w:szCs w:val="24"/>
          <w:lang w:eastAsia="en-US"/>
        </w:rPr>
        <w:instrText>HYPERLINK  \l "D60"</w:instrText>
      </w:r>
      <w:r w:rsidRPr="00584DBC">
        <w:rPr>
          <w:rFonts w:asciiTheme="minorBidi" w:hAnsiTheme="minorBidi"/>
          <w:b/>
          <w:bCs/>
          <w:sz w:val="24"/>
          <w:szCs w:val="24"/>
          <w:lang w:eastAsia="en-US"/>
        </w:rPr>
      </w:r>
      <w:r w:rsidRPr="00584DBC">
        <w:rPr>
          <w:rFonts w:asciiTheme="minorBidi" w:hAnsiTheme="minorBidi"/>
          <w:b/>
          <w:bCs/>
          <w:sz w:val="24"/>
          <w:szCs w:val="24"/>
          <w:lang w:eastAsia="en-US"/>
        </w:rPr>
        <w:fldChar w:fldCharType="separate"/>
      </w:r>
      <w:r w:rsidR="00935D12" w:rsidRPr="00584DBC">
        <w:rPr>
          <w:rStyle w:val="Hyperlink"/>
          <w:rFonts w:asciiTheme="minorBidi" w:hAnsiTheme="minorBidi"/>
          <w:b/>
          <w:bCs/>
          <w:sz w:val="24"/>
          <w:szCs w:val="24"/>
          <w:lang w:eastAsia="en-US"/>
        </w:rPr>
        <w:t>2.9.3 The Successful Corporate Psychopath</w:t>
      </w:r>
      <w:r w:rsidRPr="00584DBC">
        <w:rPr>
          <w:rFonts w:asciiTheme="minorBidi" w:hAnsiTheme="minorBidi"/>
          <w:b/>
          <w:bCs/>
          <w:sz w:val="24"/>
          <w:szCs w:val="24"/>
          <w:lang w:eastAsia="en-US"/>
        </w:rPr>
        <w:fldChar w:fldCharType="end"/>
      </w:r>
      <w:r w:rsidR="00D105BF">
        <w:rPr>
          <w:rFonts w:asciiTheme="minorBidi" w:hAnsiTheme="minorBidi"/>
          <w:b/>
          <w:bCs/>
          <w:sz w:val="24"/>
          <w:szCs w:val="24"/>
          <w:lang w:eastAsia="en-US"/>
        </w:rPr>
        <w:t>………………………………...</w:t>
      </w:r>
      <w:r w:rsidR="001C21FC">
        <w:rPr>
          <w:rFonts w:asciiTheme="minorBidi" w:hAnsiTheme="minorBidi"/>
          <w:b/>
          <w:bCs/>
          <w:sz w:val="24"/>
          <w:szCs w:val="24"/>
          <w:lang w:eastAsia="en-US"/>
        </w:rPr>
        <w:t xml:space="preserve">..     </w:t>
      </w:r>
      <w:r w:rsidR="00D105BF">
        <w:rPr>
          <w:rFonts w:asciiTheme="minorBidi" w:hAnsiTheme="minorBidi"/>
          <w:b/>
          <w:bCs/>
          <w:sz w:val="24"/>
          <w:szCs w:val="24"/>
          <w:lang w:eastAsia="en-US"/>
        </w:rPr>
        <w:t>1</w:t>
      </w:r>
      <w:r w:rsidR="00BA1315">
        <w:rPr>
          <w:rFonts w:asciiTheme="minorBidi" w:hAnsiTheme="minorBidi"/>
          <w:b/>
          <w:bCs/>
          <w:sz w:val="24"/>
          <w:szCs w:val="24"/>
          <w:lang w:eastAsia="en-US"/>
        </w:rPr>
        <w:t>35</w:t>
      </w:r>
    </w:p>
    <w:bookmarkStart w:id="116" w:name="B47"/>
    <w:bookmarkStart w:id="117" w:name="C61"/>
    <w:bookmarkEnd w:id="114"/>
    <w:bookmarkEnd w:id="115"/>
    <w:p w14:paraId="71FE55A6" w14:textId="5A8E2576" w:rsidR="00935D12" w:rsidRPr="00584DBC" w:rsidRDefault="00CE511E" w:rsidP="003F2E92">
      <w:pPr>
        <w:pStyle w:val="NoSpacing"/>
        <w:spacing w:line="480" w:lineRule="auto"/>
        <w:rPr>
          <w:rFonts w:asciiTheme="minorBidi" w:hAnsiTheme="minorBidi"/>
          <w:b/>
          <w:bCs/>
          <w:sz w:val="24"/>
          <w:szCs w:val="24"/>
          <w:lang w:eastAsia="en-US"/>
        </w:rPr>
      </w:pPr>
      <w:r w:rsidRPr="00584DBC">
        <w:rPr>
          <w:rFonts w:asciiTheme="minorBidi" w:hAnsiTheme="minorBidi"/>
          <w:b/>
          <w:bCs/>
          <w:sz w:val="24"/>
          <w:szCs w:val="24"/>
          <w:lang w:eastAsia="en-US"/>
        </w:rPr>
        <w:fldChar w:fldCharType="begin"/>
      </w:r>
      <w:r w:rsidRPr="00584DBC">
        <w:rPr>
          <w:rFonts w:asciiTheme="minorBidi" w:hAnsiTheme="minorBidi"/>
          <w:b/>
          <w:bCs/>
          <w:sz w:val="24"/>
          <w:szCs w:val="24"/>
          <w:lang w:eastAsia="en-US"/>
        </w:rPr>
        <w:instrText>HYPERLINK  \l "D61"</w:instrText>
      </w:r>
      <w:r w:rsidRPr="00584DBC">
        <w:rPr>
          <w:rFonts w:asciiTheme="minorBidi" w:hAnsiTheme="minorBidi"/>
          <w:b/>
          <w:bCs/>
          <w:sz w:val="24"/>
          <w:szCs w:val="24"/>
          <w:lang w:eastAsia="en-US"/>
        </w:rPr>
      </w:r>
      <w:r w:rsidRPr="00584DBC">
        <w:rPr>
          <w:rFonts w:asciiTheme="minorBidi" w:hAnsiTheme="minorBidi"/>
          <w:b/>
          <w:bCs/>
          <w:sz w:val="24"/>
          <w:szCs w:val="24"/>
          <w:lang w:eastAsia="en-US"/>
        </w:rPr>
        <w:fldChar w:fldCharType="separate"/>
      </w:r>
      <w:r w:rsidR="00935D12" w:rsidRPr="00584DBC">
        <w:rPr>
          <w:rStyle w:val="Hyperlink"/>
          <w:rFonts w:asciiTheme="minorBidi" w:hAnsiTheme="minorBidi"/>
          <w:b/>
          <w:bCs/>
          <w:sz w:val="24"/>
          <w:szCs w:val="24"/>
          <w:lang w:eastAsia="en-US"/>
        </w:rPr>
        <w:t>2.9.4 The Psychopathic Process</w:t>
      </w:r>
      <w:r w:rsidRPr="00584DBC">
        <w:rPr>
          <w:rFonts w:asciiTheme="minorBidi" w:hAnsiTheme="minorBidi"/>
          <w:b/>
          <w:bCs/>
          <w:sz w:val="24"/>
          <w:szCs w:val="24"/>
          <w:lang w:eastAsia="en-US"/>
        </w:rPr>
        <w:fldChar w:fldCharType="end"/>
      </w:r>
      <w:r w:rsidR="00C4667D">
        <w:rPr>
          <w:rFonts w:asciiTheme="minorBidi" w:hAnsiTheme="minorBidi"/>
          <w:b/>
          <w:bCs/>
          <w:sz w:val="24"/>
          <w:szCs w:val="24"/>
          <w:lang w:eastAsia="en-US"/>
        </w:rPr>
        <w:t>………………………………………………</w:t>
      </w:r>
      <w:r w:rsidR="001C21FC">
        <w:rPr>
          <w:rFonts w:asciiTheme="minorBidi" w:hAnsiTheme="minorBidi"/>
          <w:b/>
          <w:bCs/>
          <w:sz w:val="24"/>
          <w:szCs w:val="24"/>
          <w:lang w:eastAsia="en-US"/>
        </w:rPr>
        <w:t xml:space="preserve">…     </w:t>
      </w:r>
      <w:r w:rsidR="00C4667D">
        <w:rPr>
          <w:rFonts w:asciiTheme="minorBidi" w:hAnsiTheme="minorBidi"/>
          <w:b/>
          <w:bCs/>
          <w:sz w:val="24"/>
          <w:szCs w:val="24"/>
          <w:lang w:eastAsia="en-US"/>
        </w:rPr>
        <w:t>1</w:t>
      </w:r>
      <w:r w:rsidR="00EC3F36">
        <w:rPr>
          <w:rFonts w:asciiTheme="minorBidi" w:hAnsiTheme="minorBidi"/>
          <w:b/>
          <w:bCs/>
          <w:sz w:val="24"/>
          <w:szCs w:val="24"/>
          <w:lang w:eastAsia="en-US"/>
        </w:rPr>
        <w:t>36</w:t>
      </w:r>
    </w:p>
    <w:bookmarkStart w:id="118" w:name="B48"/>
    <w:bookmarkStart w:id="119" w:name="C62"/>
    <w:bookmarkEnd w:id="116"/>
    <w:bookmarkEnd w:id="117"/>
    <w:p w14:paraId="4528A329" w14:textId="76CAEA01" w:rsidR="00935D12" w:rsidRPr="00584DBC" w:rsidRDefault="00CE511E" w:rsidP="003F2E92">
      <w:pPr>
        <w:pStyle w:val="NoSpacing"/>
        <w:spacing w:line="480" w:lineRule="auto"/>
        <w:rPr>
          <w:rFonts w:asciiTheme="minorBidi" w:hAnsiTheme="minorBidi"/>
          <w:b/>
          <w:bCs/>
          <w:sz w:val="24"/>
          <w:szCs w:val="24"/>
          <w:lang w:eastAsia="en-US"/>
        </w:rPr>
      </w:pPr>
      <w:r w:rsidRPr="00584DBC">
        <w:rPr>
          <w:rFonts w:asciiTheme="minorBidi" w:hAnsiTheme="minorBidi"/>
          <w:b/>
          <w:bCs/>
          <w:sz w:val="24"/>
          <w:szCs w:val="24"/>
          <w:lang w:eastAsia="en-US"/>
        </w:rPr>
        <w:fldChar w:fldCharType="begin"/>
      </w:r>
      <w:r w:rsidRPr="00584DBC">
        <w:rPr>
          <w:rFonts w:asciiTheme="minorBidi" w:hAnsiTheme="minorBidi"/>
          <w:b/>
          <w:bCs/>
          <w:sz w:val="24"/>
          <w:szCs w:val="24"/>
          <w:lang w:eastAsia="en-US"/>
        </w:rPr>
        <w:instrText>HYPERLINK  \l "D62"</w:instrText>
      </w:r>
      <w:r w:rsidRPr="00584DBC">
        <w:rPr>
          <w:rFonts w:asciiTheme="minorBidi" w:hAnsiTheme="minorBidi"/>
          <w:b/>
          <w:bCs/>
          <w:sz w:val="24"/>
          <w:szCs w:val="24"/>
          <w:lang w:eastAsia="en-US"/>
        </w:rPr>
      </w:r>
      <w:r w:rsidRPr="00584DBC">
        <w:rPr>
          <w:rFonts w:asciiTheme="minorBidi" w:hAnsiTheme="minorBidi"/>
          <w:b/>
          <w:bCs/>
          <w:sz w:val="24"/>
          <w:szCs w:val="24"/>
          <w:lang w:eastAsia="en-US"/>
        </w:rPr>
        <w:fldChar w:fldCharType="separate"/>
      </w:r>
      <w:r w:rsidR="00935D12" w:rsidRPr="00584DBC">
        <w:rPr>
          <w:rStyle w:val="Hyperlink"/>
          <w:rFonts w:asciiTheme="minorBidi" w:hAnsiTheme="minorBidi"/>
          <w:b/>
          <w:bCs/>
          <w:sz w:val="24"/>
          <w:szCs w:val="24"/>
          <w:lang w:eastAsia="en-US"/>
        </w:rPr>
        <w:t>2.9.5 Corporate Psychopath Accountants (CPA)</w:t>
      </w:r>
      <w:bookmarkEnd w:id="118"/>
      <w:r w:rsidRPr="00584DBC">
        <w:rPr>
          <w:rFonts w:asciiTheme="minorBidi" w:hAnsiTheme="minorBidi"/>
          <w:b/>
          <w:bCs/>
          <w:sz w:val="24"/>
          <w:szCs w:val="24"/>
          <w:lang w:eastAsia="en-US"/>
        </w:rPr>
        <w:fldChar w:fldCharType="end"/>
      </w:r>
      <w:r w:rsidR="0005018E">
        <w:rPr>
          <w:rFonts w:asciiTheme="minorBidi" w:hAnsiTheme="minorBidi"/>
          <w:b/>
          <w:bCs/>
          <w:sz w:val="24"/>
          <w:szCs w:val="24"/>
          <w:lang w:eastAsia="en-US"/>
        </w:rPr>
        <w:t>……………………………</w:t>
      </w:r>
      <w:r w:rsidR="001C21FC">
        <w:rPr>
          <w:rFonts w:asciiTheme="minorBidi" w:hAnsiTheme="minorBidi"/>
          <w:b/>
          <w:bCs/>
          <w:sz w:val="24"/>
          <w:szCs w:val="24"/>
          <w:lang w:eastAsia="en-US"/>
        </w:rPr>
        <w:t xml:space="preserve">..      </w:t>
      </w:r>
      <w:r w:rsidR="0005018E">
        <w:rPr>
          <w:rFonts w:asciiTheme="minorBidi" w:hAnsiTheme="minorBidi"/>
          <w:b/>
          <w:bCs/>
          <w:sz w:val="24"/>
          <w:szCs w:val="24"/>
          <w:lang w:eastAsia="en-US"/>
        </w:rPr>
        <w:t>1</w:t>
      </w:r>
      <w:r w:rsidR="0095273A">
        <w:rPr>
          <w:rFonts w:asciiTheme="minorBidi" w:hAnsiTheme="minorBidi"/>
          <w:b/>
          <w:bCs/>
          <w:sz w:val="24"/>
          <w:szCs w:val="24"/>
          <w:lang w:eastAsia="en-US"/>
        </w:rPr>
        <w:t>37</w:t>
      </w:r>
      <w:r w:rsidR="00935D12" w:rsidRPr="00584DBC">
        <w:rPr>
          <w:rFonts w:asciiTheme="minorBidi" w:hAnsiTheme="minorBidi"/>
          <w:b/>
          <w:bCs/>
          <w:sz w:val="24"/>
          <w:szCs w:val="24"/>
          <w:lang w:eastAsia="en-US"/>
        </w:rPr>
        <w:t xml:space="preserve"> </w:t>
      </w:r>
    </w:p>
    <w:bookmarkStart w:id="120" w:name="B49"/>
    <w:bookmarkStart w:id="121" w:name="C63"/>
    <w:bookmarkEnd w:id="119"/>
    <w:p w14:paraId="43083E6D" w14:textId="7D068AFD" w:rsidR="00935D12" w:rsidRPr="00584DBC" w:rsidRDefault="00CE511E"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"D63"</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2.9.6 Psychopathic CEOs and CFOs</w:t>
      </w:r>
      <w:r w:rsidRPr="00584DBC">
        <w:rPr>
          <w:rFonts w:asciiTheme="minorBidi" w:hAnsiTheme="minorBidi"/>
          <w:b/>
          <w:bCs/>
          <w:sz w:val="24"/>
          <w:szCs w:val="24"/>
          <w:lang w:val="en-US" w:eastAsia="en-US"/>
        </w:rPr>
        <w:fldChar w:fldCharType="end"/>
      </w:r>
      <w:r w:rsidR="00F600D4">
        <w:rPr>
          <w:rFonts w:asciiTheme="minorBidi" w:hAnsiTheme="minorBidi"/>
          <w:b/>
          <w:bCs/>
          <w:sz w:val="24"/>
          <w:szCs w:val="24"/>
          <w:lang w:val="en-US" w:eastAsia="en-US"/>
        </w:rPr>
        <w:t>…………………………………………</w:t>
      </w:r>
      <w:r w:rsidR="001C21FC">
        <w:rPr>
          <w:rFonts w:asciiTheme="minorBidi" w:hAnsiTheme="minorBidi"/>
          <w:b/>
          <w:bCs/>
          <w:sz w:val="24"/>
          <w:szCs w:val="24"/>
          <w:lang w:val="en-US" w:eastAsia="en-US"/>
        </w:rPr>
        <w:t xml:space="preserve">…      </w:t>
      </w:r>
      <w:r w:rsidR="00F600D4">
        <w:rPr>
          <w:rFonts w:asciiTheme="minorBidi" w:hAnsiTheme="minorBidi"/>
          <w:b/>
          <w:bCs/>
          <w:sz w:val="24"/>
          <w:szCs w:val="24"/>
          <w:lang w:val="en-US" w:eastAsia="en-US"/>
        </w:rPr>
        <w:t>1</w:t>
      </w:r>
      <w:r w:rsidR="0052382F">
        <w:rPr>
          <w:rFonts w:asciiTheme="minorBidi" w:hAnsiTheme="minorBidi"/>
          <w:b/>
          <w:bCs/>
          <w:sz w:val="24"/>
          <w:szCs w:val="24"/>
          <w:lang w:val="en-US" w:eastAsia="en-US"/>
        </w:rPr>
        <w:t>38</w:t>
      </w:r>
    </w:p>
    <w:bookmarkStart w:id="122" w:name="B50"/>
    <w:bookmarkStart w:id="123" w:name="C64"/>
    <w:bookmarkEnd w:id="120"/>
    <w:bookmarkEnd w:id="121"/>
    <w:p w14:paraId="2E4FAFF8" w14:textId="0F84C3D5" w:rsidR="00935D12" w:rsidRPr="00584DBC" w:rsidRDefault="00CE511E" w:rsidP="003F2E92">
      <w:pPr>
        <w:pStyle w:val="NoSpacing"/>
        <w:spacing w:line="480" w:lineRule="auto"/>
        <w:jc w:val="both"/>
        <w:rPr>
          <w:rFonts w:asciiTheme="minorBidi" w:eastAsia="Times New Roman" w:hAnsiTheme="minorBidi"/>
          <w:b/>
          <w:bCs/>
          <w:sz w:val="24"/>
          <w:szCs w:val="24"/>
          <w:lang w:eastAsia="en-GB"/>
        </w:rPr>
      </w:pPr>
      <w:r w:rsidRPr="00584DBC">
        <w:rPr>
          <w:rFonts w:asciiTheme="minorBidi" w:eastAsia="Times New Roman" w:hAnsiTheme="minorBidi"/>
          <w:b/>
          <w:bCs/>
          <w:sz w:val="24"/>
          <w:szCs w:val="24"/>
          <w:lang w:eastAsia="en-GB"/>
        </w:rPr>
        <w:fldChar w:fldCharType="begin"/>
      </w:r>
      <w:r w:rsidRPr="00584DBC">
        <w:rPr>
          <w:rFonts w:asciiTheme="minorBidi" w:eastAsia="Times New Roman" w:hAnsiTheme="minorBidi"/>
          <w:b/>
          <w:bCs/>
          <w:sz w:val="24"/>
          <w:szCs w:val="24"/>
          <w:lang w:eastAsia="en-GB"/>
        </w:rPr>
        <w:instrText>HYPERLINK  \l "D64"</w:instrText>
      </w:r>
      <w:r w:rsidRPr="00584DBC">
        <w:rPr>
          <w:rFonts w:asciiTheme="minorBidi" w:eastAsia="Times New Roman" w:hAnsiTheme="minorBidi"/>
          <w:b/>
          <w:bCs/>
          <w:sz w:val="24"/>
          <w:szCs w:val="24"/>
          <w:lang w:eastAsia="en-GB"/>
        </w:rPr>
      </w:r>
      <w:r w:rsidRPr="00584DBC">
        <w:rPr>
          <w:rFonts w:asciiTheme="minorBidi" w:eastAsia="Times New Roman" w:hAnsiTheme="minorBidi"/>
          <w:b/>
          <w:bCs/>
          <w:sz w:val="24"/>
          <w:szCs w:val="24"/>
          <w:lang w:eastAsia="en-GB"/>
        </w:rPr>
        <w:fldChar w:fldCharType="separate"/>
      </w:r>
      <w:r w:rsidR="00935D12" w:rsidRPr="00584DBC">
        <w:rPr>
          <w:rStyle w:val="Hyperlink"/>
          <w:rFonts w:asciiTheme="minorBidi" w:eastAsia="Times New Roman" w:hAnsiTheme="minorBidi"/>
          <w:b/>
          <w:bCs/>
          <w:sz w:val="24"/>
          <w:szCs w:val="24"/>
          <w:lang w:eastAsia="en-GB"/>
        </w:rPr>
        <w:t>2.10 The Literature Gap and Sub Research Questions</w:t>
      </w:r>
      <w:r w:rsidRPr="00584DBC">
        <w:rPr>
          <w:rFonts w:asciiTheme="minorBidi" w:eastAsia="Times New Roman" w:hAnsiTheme="minorBidi"/>
          <w:b/>
          <w:bCs/>
          <w:sz w:val="24"/>
          <w:szCs w:val="24"/>
          <w:lang w:eastAsia="en-GB"/>
        </w:rPr>
        <w:fldChar w:fldCharType="end"/>
      </w:r>
      <w:r w:rsidR="00B22C6E">
        <w:rPr>
          <w:rFonts w:asciiTheme="minorBidi" w:eastAsia="Times New Roman" w:hAnsiTheme="minorBidi"/>
          <w:b/>
          <w:bCs/>
          <w:sz w:val="24"/>
          <w:szCs w:val="24"/>
          <w:lang w:eastAsia="en-GB"/>
        </w:rPr>
        <w:t>…………………….</w:t>
      </w:r>
      <w:r w:rsidR="001C21FC">
        <w:rPr>
          <w:rFonts w:asciiTheme="minorBidi" w:eastAsia="Times New Roman" w:hAnsiTheme="minorBidi"/>
          <w:b/>
          <w:bCs/>
          <w:sz w:val="24"/>
          <w:szCs w:val="24"/>
          <w:lang w:eastAsia="en-GB"/>
        </w:rPr>
        <w:t xml:space="preserve">..      </w:t>
      </w:r>
      <w:r w:rsidR="00B22C6E">
        <w:rPr>
          <w:rFonts w:asciiTheme="minorBidi" w:eastAsia="Times New Roman" w:hAnsiTheme="minorBidi"/>
          <w:b/>
          <w:bCs/>
          <w:sz w:val="24"/>
          <w:szCs w:val="24"/>
          <w:lang w:eastAsia="en-GB"/>
        </w:rPr>
        <w:t>1</w:t>
      </w:r>
      <w:r w:rsidR="00AB0834">
        <w:rPr>
          <w:rFonts w:asciiTheme="minorBidi" w:eastAsia="Times New Roman" w:hAnsiTheme="minorBidi"/>
          <w:b/>
          <w:bCs/>
          <w:sz w:val="24"/>
          <w:szCs w:val="24"/>
          <w:lang w:eastAsia="en-GB"/>
        </w:rPr>
        <w:t>39</w:t>
      </w:r>
    </w:p>
    <w:bookmarkStart w:id="124" w:name="B51"/>
    <w:bookmarkStart w:id="125" w:name="C65"/>
    <w:bookmarkEnd w:id="122"/>
    <w:bookmarkEnd w:id="123"/>
    <w:p w14:paraId="421E84CD" w14:textId="18DBD8D0" w:rsidR="00935D12" w:rsidRPr="00584DBC" w:rsidRDefault="009168B9" w:rsidP="003F2E92">
      <w:pPr>
        <w:pStyle w:val="NoSpacing"/>
        <w:spacing w:line="480" w:lineRule="auto"/>
        <w:jc w:val="both"/>
        <w:rPr>
          <w:rFonts w:asciiTheme="minorBidi" w:hAnsiTheme="minorBidi"/>
          <w:b/>
          <w:bCs/>
          <w:sz w:val="24"/>
          <w:szCs w:val="24"/>
          <w:lang w:eastAsia="en-US"/>
        </w:rPr>
      </w:pPr>
      <w:r w:rsidRPr="00584DBC">
        <w:rPr>
          <w:rFonts w:asciiTheme="minorBidi" w:eastAsia="Times New Roman" w:hAnsiTheme="minorBidi"/>
          <w:b/>
          <w:bCs/>
          <w:sz w:val="24"/>
          <w:szCs w:val="24"/>
          <w:lang w:eastAsia="en-GB"/>
        </w:rPr>
        <w:fldChar w:fldCharType="begin"/>
      </w:r>
      <w:r w:rsidRPr="00584DBC">
        <w:rPr>
          <w:rFonts w:asciiTheme="minorBidi" w:eastAsia="Times New Roman" w:hAnsiTheme="minorBidi"/>
          <w:b/>
          <w:bCs/>
          <w:sz w:val="24"/>
          <w:szCs w:val="24"/>
          <w:lang w:eastAsia="en-GB"/>
        </w:rPr>
        <w:instrText>HYPERLINK  \l "D65"</w:instrText>
      </w:r>
      <w:r w:rsidRPr="00584DBC">
        <w:rPr>
          <w:rFonts w:asciiTheme="minorBidi" w:eastAsia="Times New Roman" w:hAnsiTheme="minorBidi"/>
          <w:b/>
          <w:bCs/>
          <w:sz w:val="24"/>
          <w:szCs w:val="24"/>
          <w:lang w:eastAsia="en-GB"/>
        </w:rPr>
      </w:r>
      <w:r w:rsidRPr="00584DBC">
        <w:rPr>
          <w:rFonts w:asciiTheme="minorBidi" w:eastAsia="Times New Roman" w:hAnsiTheme="minorBidi"/>
          <w:b/>
          <w:bCs/>
          <w:sz w:val="24"/>
          <w:szCs w:val="24"/>
          <w:lang w:eastAsia="en-GB"/>
        </w:rPr>
        <w:fldChar w:fldCharType="separate"/>
      </w:r>
      <w:r w:rsidR="00935D12" w:rsidRPr="00584DBC">
        <w:rPr>
          <w:rStyle w:val="Hyperlink"/>
          <w:rFonts w:asciiTheme="minorBidi" w:eastAsia="Times New Roman" w:hAnsiTheme="minorBidi"/>
          <w:b/>
          <w:bCs/>
          <w:sz w:val="24"/>
          <w:szCs w:val="24"/>
          <w:lang w:eastAsia="en-GB"/>
        </w:rPr>
        <w:t>2.11 Theoretical Background: Part Two Blockchain (BC) Technology (BCT)</w:t>
      </w:r>
      <w:r w:rsidRPr="00584DBC">
        <w:rPr>
          <w:rFonts w:asciiTheme="minorBidi" w:eastAsia="Times New Roman" w:hAnsiTheme="minorBidi"/>
          <w:b/>
          <w:bCs/>
          <w:sz w:val="24"/>
          <w:szCs w:val="24"/>
          <w:lang w:eastAsia="en-GB"/>
        </w:rPr>
        <w:fldChar w:fldCharType="end"/>
      </w:r>
    </w:p>
    <w:bookmarkStart w:id="126" w:name="B52"/>
    <w:bookmarkStart w:id="127" w:name="C66"/>
    <w:bookmarkEnd w:id="124"/>
    <w:bookmarkEnd w:id="125"/>
    <w:p w14:paraId="27D97FCB" w14:textId="5641AADD" w:rsidR="00935D12" w:rsidRPr="00584DBC" w:rsidRDefault="007A31BB" w:rsidP="003F2E92">
      <w:pPr>
        <w:pStyle w:val="NoSpacing"/>
        <w:spacing w:line="480" w:lineRule="auto"/>
        <w:rPr>
          <w:rFonts w:asciiTheme="minorBidi" w:hAnsiTheme="minorBidi"/>
          <w:b/>
          <w:bCs/>
          <w:sz w:val="24"/>
          <w:szCs w:val="24"/>
          <w:lang w:eastAsia="en-US"/>
        </w:rPr>
      </w:pPr>
      <w:r w:rsidRPr="00584DBC">
        <w:rPr>
          <w:rFonts w:asciiTheme="minorBidi" w:hAnsiTheme="minorBidi"/>
          <w:b/>
          <w:bCs/>
          <w:sz w:val="24"/>
          <w:szCs w:val="24"/>
          <w:lang w:eastAsia="en-US"/>
        </w:rPr>
        <w:fldChar w:fldCharType="begin"/>
      </w:r>
      <w:r w:rsidRPr="00584DBC">
        <w:rPr>
          <w:rFonts w:asciiTheme="minorBidi" w:hAnsiTheme="minorBidi"/>
          <w:b/>
          <w:bCs/>
          <w:sz w:val="24"/>
          <w:szCs w:val="24"/>
          <w:lang w:eastAsia="en-US"/>
        </w:rPr>
        <w:instrText>HYPERLINK  \l "D66"</w:instrText>
      </w:r>
      <w:r w:rsidRPr="00584DBC">
        <w:rPr>
          <w:rFonts w:asciiTheme="minorBidi" w:hAnsiTheme="minorBidi"/>
          <w:b/>
          <w:bCs/>
          <w:sz w:val="24"/>
          <w:szCs w:val="24"/>
          <w:lang w:eastAsia="en-US"/>
        </w:rPr>
      </w:r>
      <w:r w:rsidRPr="00584DBC">
        <w:rPr>
          <w:rFonts w:asciiTheme="minorBidi" w:hAnsiTheme="minorBidi"/>
          <w:b/>
          <w:bCs/>
          <w:sz w:val="24"/>
          <w:szCs w:val="24"/>
          <w:lang w:eastAsia="en-US"/>
        </w:rPr>
        <w:fldChar w:fldCharType="separate"/>
      </w:r>
      <w:r w:rsidR="00935D12" w:rsidRPr="00584DBC">
        <w:rPr>
          <w:rStyle w:val="Hyperlink"/>
          <w:rFonts w:asciiTheme="minorBidi" w:hAnsiTheme="minorBidi"/>
          <w:b/>
          <w:bCs/>
          <w:sz w:val="24"/>
          <w:szCs w:val="24"/>
          <w:lang w:eastAsia="en-US"/>
        </w:rPr>
        <w:t>2.11.1 Accounting History</w:t>
      </w:r>
      <w:r w:rsidRPr="00584DBC">
        <w:rPr>
          <w:rFonts w:asciiTheme="minorBidi" w:hAnsiTheme="minorBidi"/>
          <w:b/>
          <w:bCs/>
          <w:sz w:val="24"/>
          <w:szCs w:val="24"/>
          <w:lang w:eastAsia="en-US"/>
        </w:rPr>
        <w:fldChar w:fldCharType="end"/>
      </w:r>
      <w:r w:rsidR="001821B1">
        <w:rPr>
          <w:rFonts w:asciiTheme="minorBidi" w:hAnsiTheme="minorBidi"/>
          <w:b/>
          <w:bCs/>
          <w:sz w:val="24"/>
          <w:szCs w:val="24"/>
          <w:lang w:eastAsia="en-US"/>
        </w:rPr>
        <w:t>………………………………………………………</w:t>
      </w:r>
      <w:r w:rsidR="001C21FC">
        <w:rPr>
          <w:rFonts w:asciiTheme="minorBidi" w:hAnsiTheme="minorBidi"/>
          <w:b/>
          <w:bCs/>
          <w:sz w:val="24"/>
          <w:szCs w:val="24"/>
          <w:lang w:eastAsia="en-US"/>
        </w:rPr>
        <w:t xml:space="preserve">….     </w:t>
      </w:r>
      <w:r w:rsidR="001821B1">
        <w:rPr>
          <w:rFonts w:asciiTheme="minorBidi" w:hAnsiTheme="minorBidi"/>
          <w:b/>
          <w:bCs/>
          <w:sz w:val="24"/>
          <w:szCs w:val="24"/>
          <w:lang w:eastAsia="en-US"/>
        </w:rPr>
        <w:t>1</w:t>
      </w:r>
      <w:r w:rsidR="00195CB0">
        <w:rPr>
          <w:rFonts w:asciiTheme="minorBidi" w:hAnsiTheme="minorBidi"/>
          <w:b/>
          <w:bCs/>
          <w:sz w:val="24"/>
          <w:szCs w:val="24"/>
          <w:lang w:eastAsia="en-US"/>
        </w:rPr>
        <w:t>44</w:t>
      </w:r>
    </w:p>
    <w:bookmarkStart w:id="128" w:name="B53"/>
    <w:bookmarkStart w:id="129" w:name="C67"/>
    <w:bookmarkEnd w:id="126"/>
    <w:bookmarkEnd w:id="127"/>
    <w:p w14:paraId="5E0867FC" w14:textId="528B9764" w:rsidR="00935D12" w:rsidRPr="00584DBC" w:rsidRDefault="007A31BB" w:rsidP="003F2E92">
      <w:pPr>
        <w:pStyle w:val="NoSpacing"/>
        <w:spacing w:line="480" w:lineRule="auto"/>
        <w:rPr>
          <w:rFonts w:asciiTheme="minorBidi" w:hAnsiTheme="minorBidi"/>
          <w:b/>
          <w:bCs/>
          <w:sz w:val="24"/>
          <w:szCs w:val="24"/>
          <w:lang w:eastAsia="en-US"/>
        </w:rPr>
      </w:pPr>
      <w:r w:rsidRPr="00584DBC">
        <w:rPr>
          <w:rFonts w:asciiTheme="minorBidi" w:hAnsiTheme="minorBidi"/>
          <w:b/>
          <w:bCs/>
          <w:sz w:val="24"/>
          <w:szCs w:val="24"/>
          <w:lang w:eastAsia="en-US"/>
        </w:rPr>
        <w:fldChar w:fldCharType="begin"/>
      </w:r>
      <w:r w:rsidRPr="00584DBC">
        <w:rPr>
          <w:rFonts w:asciiTheme="minorBidi" w:hAnsiTheme="minorBidi"/>
          <w:b/>
          <w:bCs/>
          <w:sz w:val="24"/>
          <w:szCs w:val="24"/>
          <w:lang w:eastAsia="en-US"/>
        </w:rPr>
        <w:instrText>HYPERLINK  \l "D67"</w:instrText>
      </w:r>
      <w:r w:rsidRPr="00584DBC">
        <w:rPr>
          <w:rFonts w:asciiTheme="minorBidi" w:hAnsiTheme="minorBidi"/>
          <w:b/>
          <w:bCs/>
          <w:sz w:val="24"/>
          <w:szCs w:val="24"/>
          <w:lang w:eastAsia="en-US"/>
        </w:rPr>
      </w:r>
      <w:r w:rsidRPr="00584DBC">
        <w:rPr>
          <w:rFonts w:asciiTheme="minorBidi" w:hAnsiTheme="minorBidi"/>
          <w:b/>
          <w:bCs/>
          <w:sz w:val="24"/>
          <w:szCs w:val="24"/>
          <w:lang w:eastAsia="en-US"/>
        </w:rPr>
        <w:fldChar w:fldCharType="separate"/>
      </w:r>
      <w:r w:rsidR="00935D12" w:rsidRPr="00584DBC">
        <w:rPr>
          <w:rStyle w:val="Hyperlink"/>
          <w:rFonts w:asciiTheme="minorBidi" w:hAnsiTheme="minorBidi"/>
          <w:b/>
          <w:bCs/>
          <w:sz w:val="24"/>
          <w:szCs w:val="24"/>
          <w:lang w:eastAsia="en-US"/>
        </w:rPr>
        <w:t xml:space="preserve">2.11.2 Triple-entry </w:t>
      </w:r>
      <w:r w:rsidR="0050780F">
        <w:rPr>
          <w:rStyle w:val="Hyperlink"/>
          <w:rFonts w:asciiTheme="minorBidi" w:hAnsiTheme="minorBidi"/>
          <w:b/>
          <w:bCs/>
          <w:sz w:val="24"/>
          <w:szCs w:val="24"/>
          <w:lang w:eastAsia="en-US"/>
        </w:rPr>
        <w:t>B</w:t>
      </w:r>
      <w:r w:rsidR="00935D12" w:rsidRPr="00584DBC">
        <w:rPr>
          <w:rStyle w:val="Hyperlink"/>
          <w:rFonts w:asciiTheme="minorBidi" w:hAnsiTheme="minorBidi"/>
          <w:b/>
          <w:bCs/>
          <w:sz w:val="24"/>
          <w:szCs w:val="24"/>
          <w:lang w:eastAsia="en-US"/>
        </w:rPr>
        <w:t xml:space="preserve">ookkeeping (TEB) by Yuji </w:t>
      </w:r>
      <w:proofErr w:type="spellStart"/>
      <w:r w:rsidR="00935D12" w:rsidRPr="00584DBC">
        <w:rPr>
          <w:rStyle w:val="Hyperlink"/>
          <w:rFonts w:asciiTheme="minorBidi" w:hAnsiTheme="minorBidi"/>
          <w:b/>
          <w:bCs/>
          <w:sz w:val="24"/>
          <w:szCs w:val="24"/>
          <w:lang w:eastAsia="en-US"/>
        </w:rPr>
        <w:t>Ijir</w:t>
      </w:r>
      <w:proofErr w:type="spellEnd"/>
      <w:r w:rsidRPr="00584DBC">
        <w:rPr>
          <w:rFonts w:asciiTheme="minorBidi" w:hAnsiTheme="minorBidi"/>
          <w:b/>
          <w:bCs/>
          <w:sz w:val="24"/>
          <w:szCs w:val="24"/>
          <w:lang w:eastAsia="en-US"/>
        </w:rPr>
        <w:fldChar w:fldCharType="end"/>
      </w:r>
      <w:r w:rsidR="001821B1">
        <w:rPr>
          <w:rFonts w:asciiTheme="minorBidi" w:hAnsiTheme="minorBidi"/>
          <w:b/>
          <w:bCs/>
          <w:sz w:val="24"/>
          <w:szCs w:val="24"/>
          <w:lang w:eastAsia="en-US"/>
        </w:rPr>
        <w:t>…………………………...</w:t>
      </w:r>
      <w:r w:rsidR="001C21FC">
        <w:rPr>
          <w:rFonts w:asciiTheme="minorBidi" w:hAnsiTheme="minorBidi"/>
          <w:b/>
          <w:bCs/>
          <w:sz w:val="24"/>
          <w:szCs w:val="24"/>
          <w:lang w:eastAsia="en-US"/>
        </w:rPr>
        <w:t xml:space="preserve">..     </w:t>
      </w:r>
      <w:r w:rsidR="001821B1">
        <w:rPr>
          <w:rFonts w:asciiTheme="minorBidi" w:hAnsiTheme="minorBidi"/>
          <w:b/>
          <w:bCs/>
          <w:sz w:val="24"/>
          <w:szCs w:val="24"/>
          <w:lang w:eastAsia="en-US"/>
        </w:rPr>
        <w:t>1</w:t>
      </w:r>
      <w:r w:rsidR="00FE2960">
        <w:rPr>
          <w:rFonts w:asciiTheme="minorBidi" w:hAnsiTheme="minorBidi"/>
          <w:b/>
          <w:bCs/>
          <w:sz w:val="24"/>
          <w:szCs w:val="24"/>
          <w:lang w:eastAsia="en-US"/>
        </w:rPr>
        <w:t>45</w:t>
      </w:r>
    </w:p>
    <w:bookmarkStart w:id="130" w:name="B54"/>
    <w:bookmarkStart w:id="131" w:name="C68"/>
    <w:bookmarkEnd w:id="128"/>
    <w:bookmarkEnd w:id="129"/>
    <w:p w14:paraId="038A1534" w14:textId="0272E4A3" w:rsidR="00935D12" w:rsidRPr="00584DBC" w:rsidRDefault="007A31BB" w:rsidP="003F2E92">
      <w:pPr>
        <w:pStyle w:val="NoSpacing"/>
        <w:spacing w:line="480" w:lineRule="auto"/>
        <w:rPr>
          <w:rFonts w:asciiTheme="minorBidi" w:hAnsiTheme="minorBidi"/>
          <w:b/>
          <w:bCs/>
          <w:sz w:val="24"/>
          <w:szCs w:val="24"/>
          <w:lang w:eastAsia="en-US"/>
        </w:rPr>
      </w:pPr>
      <w:r w:rsidRPr="00584DBC">
        <w:rPr>
          <w:rFonts w:asciiTheme="minorBidi" w:hAnsiTheme="minorBidi"/>
          <w:b/>
          <w:bCs/>
          <w:sz w:val="24"/>
          <w:szCs w:val="24"/>
          <w:lang w:eastAsia="en-US"/>
        </w:rPr>
        <w:lastRenderedPageBreak/>
        <w:fldChar w:fldCharType="begin"/>
      </w:r>
      <w:r w:rsidRPr="00584DBC">
        <w:rPr>
          <w:rFonts w:asciiTheme="minorBidi" w:hAnsiTheme="minorBidi"/>
          <w:b/>
          <w:bCs/>
          <w:sz w:val="24"/>
          <w:szCs w:val="24"/>
          <w:lang w:eastAsia="en-US"/>
        </w:rPr>
        <w:instrText>HYPERLINK  \l "D68"</w:instrText>
      </w:r>
      <w:r w:rsidRPr="00584DBC">
        <w:rPr>
          <w:rFonts w:asciiTheme="minorBidi" w:hAnsiTheme="minorBidi"/>
          <w:b/>
          <w:bCs/>
          <w:sz w:val="24"/>
          <w:szCs w:val="24"/>
          <w:lang w:eastAsia="en-US"/>
        </w:rPr>
      </w:r>
      <w:r w:rsidRPr="00584DBC">
        <w:rPr>
          <w:rFonts w:asciiTheme="minorBidi" w:hAnsiTheme="minorBidi"/>
          <w:b/>
          <w:bCs/>
          <w:sz w:val="24"/>
          <w:szCs w:val="24"/>
          <w:lang w:eastAsia="en-US"/>
        </w:rPr>
        <w:fldChar w:fldCharType="separate"/>
      </w:r>
      <w:r w:rsidR="00935D12" w:rsidRPr="00584DBC">
        <w:rPr>
          <w:rStyle w:val="Hyperlink"/>
          <w:rFonts w:asciiTheme="minorBidi" w:hAnsiTheme="minorBidi"/>
          <w:b/>
          <w:bCs/>
          <w:sz w:val="24"/>
          <w:szCs w:val="24"/>
          <w:lang w:eastAsia="en-US"/>
        </w:rPr>
        <w:t xml:space="preserve">2.11.3 Triple-entry </w:t>
      </w:r>
      <w:r w:rsidR="0050780F">
        <w:rPr>
          <w:rStyle w:val="Hyperlink"/>
          <w:rFonts w:asciiTheme="minorBidi" w:hAnsiTheme="minorBidi"/>
          <w:b/>
          <w:bCs/>
          <w:sz w:val="24"/>
          <w:szCs w:val="24"/>
          <w:lang w:eastAsia="en-US"/>
        </w:rPr>
        <w:t>A</w:t>
      </w:r>
      <w:r w:rsidR="00935D12" w:rsidRPr="00584DBC">
        <w:rPr>
          <w:rStyle w:val="Hyperlink"/>
          <w:rFonts w:asciiTheme="minorBidi" w:hAnsiTheme="minorBidi"/>
          <w:b/>
          <w:bCs/>
          <w:sz w:val="24"/>
          <w:szCs w:val="24"/>
          <w:lang w:eastAsia="en-US"/>
        </w:rPr>
        <w:t>ccounting (TEA) by Ian Grigg</w:t>
      </w:r>
      <w:r w:rsidRPr="00584DBC">
        <w:rPr>
          <w:rFonts w:asciiTheme="minorBidi" w:hAnsiTheme="minorBidi"/>
          <w:b/>
          <w:bCs/>
          <w:sz w:val="24"/>
          <w:szCs w:val="24"/>
          <w:lang w:eastAsia="en-US"/>
        </w:rPr>
        <w:fldChar w:fldCharType="end"/>
      </w:r>
      <w:r w:rsidR="001821B1">
        <w:rPr>
          <w:rFonts w:asciiTheme="minorBidi" w:hAnsiTheme="minorBidi"/>
          <w:b/>
          <w:bCs/>
          <w:sz w:val="24"/>
          <w:szCs w:val="24"/>
          <w:lang w:eastAsia="en-US"/>
        </w:rPr>
        <w:t>…………………………</w:t>
      </w:r>
      <w:r w:rsidR="001C21FC">
        <w:rPr>
          <w:rFonts w:asciiTheme="minorBidi" w:hAnsiTheme="minorBidi"/>
          <w:b/>
          <w:bCs/>
          <w:sz w:val="24"/>
          <w:szCs w:val="24"/>
          <w:lang w:eastAsia="en-US"/>
        </w:rPr>
        <w:t xml:space="preserve">…..    </w:t>
      </w:r>
      <w:r w:rsidR="001821B1">
        <w:rPr>
          <w:rFonts w:asciiTheme="minorBidi" w:hAnsiTheme="minorBidi"/>
          <w:b/>
          <w:bCs/>
          <w:sz w:val="24"/>
          <w:szCs w:val="24"/>
          <w:lang w:eastAsia="en-US"/>
        </w:rPr>
        <w:t>1</w:t>
      </w:r>
      <w:r w:rsidR="00FE2960">
        <w:rPr>
          <w:rFonts w:asciiTheme="minorBidi" w:hAnsiTheme="minorBidi"/>
          <w:b/>
          <w:bCs/>
          <w:sz w:val="24"/>
          <w:szCs w:val="24"/>
          <w:lang w:eastAsia="en-US"/>
        </w:rPr>
        <w:t>46</w:t>
      </w:r>
    </w:p>
    <w:bookmarkStart w:id="132" w:name="B55"/>
    <w:bookmarkStart w:id="133" w:name="C69"/>
    <w:bookmarkEnd w:id="130"/>
    <w:bookmarkEnd w:id="131"/>
    <w:p w14:paraId="635C1985" w14:textId="60BE2829" w:rsidR="00935D12" w:rsidRPr="00584DBC" w:rsidRDefault="007A31BB" w:rsidP="003F2E92">
      <w:pPr>
        <w:pStyle w:val="NoSpacing"/>
        <w:spacing w:line="480" w:lineRule="auto"/>
        <w:rPr>
          <w:rFonts w:asciiTheme="minorBidi" w:hAnsiTheme="minorBidi"/>
          <w:b/>
          <w:bCs/>
          <w:sz w:val="24"/>
          <w:szCs w:val="24"/>
          <w:lang w:eastAsia="en-US"/>
        </w:rPr>
      </w:pPr>
      <w:r w:rsidRPr="00584DBC">
        <w:rPr>
          <w:rFonts w:asciiTheme="minorBidi" w:hAnsiTheme="minorBidi"/>
          <w:b/>
          <w:bCs/>
          <w:sz w:val="24"/>
          <w:szCs w:val="24"/>
          <w:lang w:eastAsia="en-US"/>
        </w:rPr>
        <w:fldChar w:fldCharType="begin"/>
      </w:r>
      <w:r w:rsidRPr="00584DBC">
        <w:rPr>
          <w:rFonts w:asciiTheme="minorBidi" w:hAnsiTheme="minorBidi"/>
          <w:b/>
          <w:bCs/>
          <w:sz w:val="24"/>
          <w:szCs w:val="24"/>
          <w:lang w:eastAsia="en-US"/>
        </w:rPr>
        <w:instrText>HYPERLINK  \l "D69"</w:instrText>
      </w:r>
      <w:r w:rsidRPr="00584DBC">
        <w:rPr>
          <w:rFonts w:asciiTheme="minorBidi" w:hAnsiTheme="minorBidi"/>
          <w:b/>
          <w:bCs/>
          <w:sz w:val="24"/>
          <w:szCs w:val="24"/>
          <w:lang w:eastAsia="en-US"/>
        </w:rPr>
      </w:r>
      <w:r w:rsidRPr="00584DBC">
        <w:rPr>
          <w:rFonts w:asciiTheme="minorBidi" w:hAnsiTheme="minorBidi"/>
          <w:b/>
          <w:bCs/>
          <w:sz w:val="24"/>
          <w:szCs w:val="24"/>
          <w:lang w:eastAsia="en-US"/>
        </w:rPr>
        <w:fldChar w:fldCharType="separate"/>
      </w:r>
      <w:r w:rsidR="00935D12" w:rsidRPr="00584DBC">
        <w:rPr>
          <w:rStyle w:val="Hyperlink"/>
          <w:rFonts w:asciiTheme="minorBidi" w:hAnsiTheme="minorBidi"/>
          <w:b/>
          <w:bCs/>
          <w:sz w:val="24"/>
          <w:szCs w:val="24"/>
          <w:lang w:eastAsia="en-US"/>
        </w:rPr>
        <w:t>2.11.4 FinTech</w:t>
      </w:r>
      <w:r w:rsidRPr="00584DBC">
        <w:rPr>
          <w:rFonts w:asciiTheme="minorBidi" w:hAnsiTheme="minorBidi"/>
          <w:b/>
          <w:bCs/>
          <w:sz w:val="24"/>
          <w:szCs w:val="24"/>
          <w:lang w:eastAsia="en-US"/>
        </w:rPr>
        <w:fldChar w:fldCharType="end"/>
      </w:r>
      <w:r w:rsidR="00174BC9">
        <w:rPr>
          <w:rFonts w:asciiTheme="minorBidi" w:hAnsiTheme="minorBidi"/>
          <w:b/>
          <w:bCs/>
          <w:sz w:val="24"/>
          <w:szCs w:val="24"/>
          <w:lang w:eastAsia="en-US"/>
        </w:rPr>
        <w:t>………………………………………………………………………</w:t>
      </w:r>
      <w:r w:rsidR="001C21FC">
        <w:rPr>
          <w:rFonts w:asciiTheme="minorBidi" w:hAnsiTheme="minorBidi"/>
          <w:b/>
          <w:bCs/>
          <w:sz w:val="24"/>
          <w:szCs w:val="24"/>
          <w:lang w:eastAsia="en-US"/>
        </w:rPr>
        <w:t xml:space="preserve">…    </w:t>
      </w:r>
      <w:r w:rsidR="00174BC9">
        <w:rPr>
          <w:rFonts w:asciiTheme="minorBidi" w:hAnsiTheme="minorBidi"/>
          <w:b/>
          <w:bCs/>
          <w:sz w:val="24"/>
          <w:szCs w:val="24"/>
          <w:lang w:eastAsia="en-US"/>
        </w:rPr>
        <w:t>1</w:t>
      </w:r>
      <w:r w:rsidR="00B3082D">
        <w:rPr>
          <w:rFonts w:asciiTheme="minorBidi" w:hAnsiTheme="minorBidi"/>
          <w:b/>
          <w:bCs/>
          <w:sz w:val="24"/>
          <w:szCs w:val="24"/>
          <w:lang w:eastAsia="en-US"/>
        </w:rPr>
        <w:t>48</w:t>
      </w:r>
    </w:p>
    <w:bookmarkStart w:id="134" w:name="B56"/>
    <w:bookmarkStart w:id="135" w:name="C70"/>
    <w:bookmarkEnd w:id="132"/>
    <w:bookmarkEnd w:id="133"/>
    <w:p w14:paraId="5F4BF4E8" w14:textId="10DF73F0" w:rsidR="00935D12" w:rsidRPr="00584DBC" w:rsidRDefault="007A31BB" w:rsidP="003F2E92">
      <w:pPr>
        <w:pStyle w:val="NoSpacing"/>
        <w:spacing w:line="480" w:lineRule="auto"/>
        <w:rPr>
          <w:rFonts w:asciiTheme="minorBidi" w:hAnsiTheme="minorBidi"/>
          <w:b/>
          <w:bCs/>
          <w:sz w:val="24"/>
          <w:szCs w:val="24"/>
          <w:lang w:eastAsia="en-US"/>
        </w:rPr>
      </w:pPr>
      <w:r w:rsidRPr="00584DBC">
        <w:rPr>
          <w:rFonts w:asciiTheme="minorBidi" w:hAnsiTheme="minorBidi"/>
          <w:b/>
          <w:bCs/>
          <w:sz w:val="24"/>
          <w:szCs w:val="24"/>
          <w:lang w:eastAsia="en-US"/>
        </w:rPr>
        <w:fldChar w:fldCharType="begin"/>
      </w:r>
      <w:r w:rsidRPr="00584DBC">
        <w:rPr>
          <w:rFonts w:asciiTheme="minorBidi" w:hAnsiTheme="minorBidi"/>
          <w:b/>
          <w:bCs/>
          <w:sz w:val="24"/>
          <w:szCs w:val="24"/>
          <w:lang w:eastAsia="en-US"/>
        </w:rPr>
        <w:instrText>HYPERLINK  \l "D70"</w:instrText>
      </w:r>
      <w:r w:rsidRPr="00584DBC">
        <w:rPr>
          <w:rFonts w:asciiTheme="minorBidi" w:hAnsiTheme="minorBidi"/>
          <w:b/>
          <w:bCs/>
          <w:sz w:val="24"/>
          <w:szCs w:val="24"/>
          <w:lang w:eastAsia="en-US"/>
        </w:rPr>
      </w:r>
      <w:r w:rsidRPr="00584DBC">
        <w:rPr>
          <w:rFonts w:asciiTheme="minorBidi" w:hAnsiTheme="minorBidi"/>
          <w:b/>
          <w:bCs/>
          <w:sz w:val="24"/>
          <w:szCs w:val="24"/>
          <w:lang w:eastAsia="en-US"/>
        </w:rPr>
        <w:fldChar w:fldCharType="separate"/>
      </w:r>
      <w:r w:rsidR="00935D12" w:rsidRPr="00584DBC">
        <w:rPr>
          <w:rStyle w:val="Hyperlink"/>
          <w:rFonts w:asciiTheme="minorBidi" w:hAnsiTheme="minorBidi"/>
          <w:b/>
          <w:bCs/>
          <w:sz w:val="24"/>
          <w:szCs w:val="24"/>
          <w:lang w:eastAsia="en-US"/>
        </w:rPr>
        <w:t>2.11.5 Blockchain (BC) Structure</w:t>
      </w:r>
      <w:r w:rsidRPr="00584DBC">
        <w:rPr>
          <w:rFonts w:asciiTheme="minorBidi" w:hAnsiTheme="minorBidi"/>
          <w:b/>
          <w:bCs/>
          <w:sz w:val="24"/>
          <w:szCs w:val="24"/>
          <w:lang w:eastAsia="en-US"/>
        </w:rPr>
        <w:fldChar w:fldCharType="end"/>
      </w:r>
      <w:r w:rsidR="00DF2323">
        <w:rPr>
          <w:rFonts w:asciiTheme="minorBidi" w:hAnsiTheme="minorBidi"/>
          <w:b/>
          <w:bCs/>
          <w:sz w:val="24"/>
          <w:szCs w:val="24"/>
          <w:lang w:eastAsia="en-US"/>
        </w:rPr>
        <w:t>………………………………………………</w:t>
      </w:r>
      <w:r w:rsidR="001C21FC">
        <w:rPr>
          <w:rFonts w:asciiTheme="minorBidi" w:hAnsiTheme="minorBidi"/>
          <w:b/>
          <w:bCs/>
          <w:sz w:val="24"/>
          <w:szCs w:val="24"/>
          <w:lang w:eastAsia="en-US"/>
        </w:rPr>
        <w:t xml:space="preserve">…     </w:t>
      </w:r>
      <w:r w:rsidR="00DF2323">
        <w:rPr>
          <w:rFonts w:asciiTheme="minorBidi" w:hAnsiTheme="minorBidi"/>
          <w:b/>
          <w:bCs/>
          <w:sz w:val="24"/>
          <w:szCs w:val="24"/>
          <w:lang w:eastAsia="en-US"/>
        </w:rPr>
        <w:t>15</w:t>
      </w:r>
      <w:r w:rsidR="00455A9F">
        <w:rPr>
          <w:rFonts w:asciiTheme="minorBidi" w:hAnsiTheme="minorBidi"/>
          <w:b/>
          <w:bCs/>
          <w:sz w:val="24"/>
          <w:szCs w:val="24"/>
          <w:lang w:eastAsia="en-US"/>
        </w:rPr>
        <w:t>0</w:t>
      </w:r>
    </w:p>
    <w:bookmarkStart w:id="136" w:name="B57"/>
    <w:bookmarkStart w:id="137" w:name="C71"/>
    <w:bookmarkEnd w:id="134"/>
    <w:bookmarkEnd w:id="135"/>
    <w:p w14:paraId="7FFF5034" w14:textId="1D35C7B5" w:rsidR="00935D12" w:rsidRPr="00584DBC" w:rsidRDefault="007A31BB" w:rsidP="003F2E92">
      <w:pPr>
        <w:pStyle w:val="NoSpacing"/>
        <w:spacing w:line="480" w:lineRule="auto"/>
        <w:rPr>
          <w:rFonts w:asciiTheme="minorBidi" w:hAnsiTheme="minorBidi"/>
          <w:b/>
          <w:bCs/>
          <w:sz w:val="24"/>
          <w:szCs w:val="24"/>
          <w:lang w:eastAsia="en-US"/>
        </w:rPr>
      </w:pPr>
      <w:r w:rsidRPr="00584DBC">
        <w:rPr>
          <w:rFonts w:asciiTheme="minorBidi" w:hAnsiTheme="minorBidi"/>
          <w:b/>
          <w:bCs/>
          <w:sz w:val="24"/>
          <w:szCs w:val="24"/>
          <w:lang w:eastAsia="en-US"/>
        </w:rPr>
        <w:fldChar w:fldCharType="begin"/>
      </w:r>
      <w:r w:rsidRPr="00584DBC">
        <w:rPr>
          <w:rFonts w:asciiTheme="minorBidi" w:hAnsiTheme="minorBidi"/>
          <w:b/>
          <w:bCs/>
          <w:sz w:val="24"/>
          <w:szCs w:val="24"/>
          <w:lang w:eastAsia="en-US"/>
        </w:rPr>
        <w:instrText>HYPERLINK  \l "D71"</w:instrText>
      </w:r>
      <w:r w:rsidRPr="00584DBC">
        <w:rPr>
          <w:rFonts w:asciiTheme="minorBidi" w:hAnsiTheme="minorBidi"/>
          <w:b/>
          <w:bCs/>
          <w:sz w:val="24"/>
          <w:szCs w:val="24"/>
          <w:lang w:eastAsia="en-US"/>
        </w:rPr>
      </w:r>
      <w:r w:rsidRPr="00584DBC">
        <w:rPr>
          <w:rFonts w:asciiTheme="minorBidi" w:hAnsiTheme="minorBidi"/>
          <w:b/>
          <w:bCs/>
          <w:sz w:val="24"/>
          <w:szCs w:val="24"/>
          <w:lang w:eastAsia="en-US"/>
        </w:rPr>
        <w:fldChar w:fldCharType="separate"/>
      </w:r>
      <w:r w:rsidR="00935D12" w:rsidRPr="00584DBC">
        <w:rPr>
          <w:rStyle w:val="Hyperlink"/>
          <w:rFonts w:asciiTheme="minorBidi" w:hAnsiTheme="minorBidi"/>
          <w:b/>
          <w:bCs/>
          <w:sz w:val="24"/>
          <w:szCs w:val="24"/>
          <w:lang w:eastAsia="en-US"/>
        </w:rPr>
        <w:t>2.11.6 Smart Contracts (SC)</w:t>
      </w:r>
      <w:r w:rsidRPr="00584DBC">
        <w:rPr>
          <w:rFonts w:asciiTheme="minorBidi" w:hAnsiTheme="minorBidi"/>
          <w:b/>
          <w:bCs/>
          <w:sz w:val="24"/>
          <w:szCs w:val="24"/>
          <w:lang w:eastAsia="en-US"/>
        </w:rPr>
        <w:fldChar w:fldCharType="end"/>
      </w:r>
      <w:r w:rsidR="008B1FD2">
        <w:rPr>
          <w:rFonts w:asciiTheme="minorBidi" w:hAnsiTheme="minorBidi"/>
          <w:b/>
          <w:bCs/>
          <w:sz w:val="24"/>
          <w:szCs w:val="24"/>
          <w:lang w:eastAsia="en-US"/>
        </w:rPr>
        <w:t>……………………………………………………</w:t>
      </w:r>
      <w:r w:rsidR="00D25192">
        <w:rPr>
          <w:rFonts w:asciiTheme="minorBidi" w:hAnsiTheme="minorBidi"/>
          <w:b/>
          <w:bCs/>
          <w:sz w:val="24"/>
          <w:szCs w:val="24"/>
          <w:lang w:eastAsia="en-US"/>
        </w:rPr>
        <w:t xml:space="preserve">….     </w:t>
      </w:r>
      <w:r w:rsidR="008B1FD2">
        <w:rPr>
          <w:rFonts w:asciiTheme="minorBidi" w:hAnsiTheme="minorBidi"/>
          <w:b/>
          <w:bCs/>
          <w:sz w:val="24"/>
          <w:szCs w:val="24"/>
          <w:lang w:eastAsia="en-US"/>
        </w:rPr>
        <w:t>15</w:t>
      </w:r>
      <w:r w:rsidR="00844E0B">
        <w:rPr>
          <w:rFonts w:asciiTheme="minorBidi" w:hAnsiTheme="minorBidi"/>
          <w:b/>
          <w:bCs/>
          <w:sz w:val="24"/>
          <w:szCs w:val="24"/>
          <w:lang w:eastAsia="en-US"/>
        </w:rPr>
        <w:t>1</w:t>
      </w:r>
    </w:p>
    <w:bookmarkStart w:id="138" w:name="B58"/>
    <w:bookmarkStart w:id="139" w:name="C72"/>
    <w:bookmarkEnd w:id="136"/>
    <w:bookmarkEnd w:id="137"/>
    <w:p w14:paraId="00B4D8A0" w14:textId="2477A048" w:rsidR="00935D12" w:rsidRPr="00584DBC" w:rsidRDefault="007A31BB" w:rsidP="003F2E92">
      <w:pPr>
        <w:pStyle w:val="NoSpacing"/>
        <w:spacing w:line="480" w:lineRule="auto"/>
        <w:rPr>
          <w:rFonts w:asciiTheme="minorBidi" w:hAnsiTheme="minorBidi"/>
          <w:b/>
          <w:bCs/>
          <w:sz w:val="24"/>
          <w:szCs w:val="24"/>
          <w:lang w:eastAsia="en-US"/>
        </w:rPr>
      </w:pPr>
      <w:r w:rsidRPr="00584DBC">
        <w:rPr>
          <w:rFonts w:asciiTheme="minorBidi" w:hAnsiTheme="minorBidi"/>
          <w:b/>
          <w:bCs/>
          <w:sz w:val="24"/>
          <w:szCs w:val="24"/>
          <w:lang w:eastAsia="en-US"/>
        </w:rPr>
        <w:fldChar w:fldCharType="begin"/>
      </w:r>
      <w:r w:rsidRPr="00584DBC">
        <w:rPr>
          <w:rFonts w:asciiTheme="minorBidi" w:hAnsiTheme="minorBidi"/>
          <w:b/>
          <w:bCs/>
          <w:sz w:val="24"/>
          <w:szCs w:val="24"/>
          <w:lang w:eastAsia="en-US"/>
        </w:rPr>
        <w:instrText>HYPERLINK  \l "D72"</w:instrText>
      </w:r>
      <w:r w:rsidRPr="00584DBC">
        <w:rPr>
          <w:rFonts w:asciiTheme="minorBidi" w:hAnsiTheme="minorBidi"/>
          <w:b/>
          <w:bCs/>
          <w:sz w:val="24"/>
          <w:szCs w:val="24"/>
          <w:lang w:eastAsia="en-US"/>
        </w:rPr>
      </w:r>
      <w:r w:rsidRPr="00584DBC">
        <w:rPr>
          <w:rFonts w:asciiTheme="minorBidi" w:hAnsiTheme="minorBidi"/>
          <w:b/>
          <w:bCs/>
          <w:sz w:val="24"/>
          <w:szCs w:val="24"/>
          <w:lang w:eastAsia="en-US"/>
        </w:rPr>
        <w:fldChar w:fldCharType="separate"/>
      </w:r>
      <w:r w:rsidR="00935D12" w:rsidRPr="00584DBC">
        <w:rPr>
          <w:rStyle w:val="Hyperlink"/>
          <w:rFonts w:asciiTheme="minorBidi" w:hAnsiTheme="minorBidi"/>
          <w:b/>
          <w:bCs/>
          <w:sz w:val="24"/>
          <w:szCs w:val="24"/>
          <w:lang w:eastAsia="en-US"/>
        </w:rPr>
        <w:t xml:space="preserve">2.11.7 Accounting on the BC and the </w:t>
      </w:r>
      <w:r w:rsidR="0050780F">
        <w:rPr>
          <w:rStyle w:val="Hyperlink"/>
          <w:rFonts w:asciiTheme="minorBidi" w:hAnsiTheme="minorBidi"/>
          <w:b/>
          <w:bCs/>
          <w:sz w:val="24"/>
          <w:szCs w:val="24"/>
          <w:lang w:eastAsia="en-US"/>
        </w:rPr>
        <w:t>I</w:t>
      </w:r>
      <w:r w:rsidR="00935D12" w:rsidRPr="00584DBC">
        <w:rPr>
          <w:rStyle w:val="Hyperlink"/>
          <w:rFonts w:asciiTheme="minorBidi" w:hAnsiTheme="minorBidi"/>
          <w:b/>
          <w:bCs/>
          <w:sz w:val="24"/>
          <w:szCs w:val="24"/>
          <w:lang w:eastAsia="en-US"/>
        </w:rPr>
        <w:t>mpact on Audit</w:t>
      </w:r>
      <w:r w:rsidRPr="00584DBC">
        <w:rPr>
          <w:rFonts w:asciiTheme="minorBidi" w:hAnsiTheme="minorBidi"/>
          <w:b/>
          <w:bCs/>
          <w:sz w:val="24"/>
          <w:szCs w:val="24"/>
          <w:lang w:eastAsia="en-US"/>
        </w:rPr>
        <w:fldChar w:fldCharType="end"/>
      </w:r>
      <w:r w:rsidR="001B49CA">
        <w:rPr>
          <w:rFonts w:asciiTheme="minorBidi" w:hAnsiTheme="minorBidi"/>
          <w:b/>
          <w:bCs/>
          <w:sz w:val="24"/>
          <w:szCs w:val="24"/>
          <w:lang w:eastAsia="en-US"/>
        </w:rPr>
        <w:t>……………………</w:t>
      </w:r>
      <w:r w:rsidR="00D25192">
        <w:rPr>
          <w:rFonts w:asciiTheme="minorBidi" w:hAnsiTheme="minorBidi"/>
          <w:b/>
          <w:bCs/>
          <w:sz w:val="24"/>
          <w:szCs w:val="24"/>
          <w:lang w:eastAsia="en-US"/>
        </w:rPr>
        <w:t xml:space="preserve">….     </w:t>
      </w:r>
      <w:r w:rsidR="001B49CA">
        <w:rPr>
          <w:rFonts w:asciiTheme="minorBidi" w:hAnsiTheme="minorBidi"/>
          <w:b/>
          <w:bCs/>
          <w:sz w:val="24"/>
          <w:szCs w:val="24"/>
          <w:lang w:eastAsia="en-US"/>
        </w:rPr>
        <w:t>1</w:t>
      </w:r>
      <w:r w:rsidR="00D67494">
        <w:rPr>
          <w:rFonts w:asciiTheme="minorBidi" w:hAnsiTheme="minorBidi"/>
          <w:b/>
          <w:bCs/>
          <w:sz w:val="24"/>
          <w:szCs w:val="24"/>
          <w:lang w:eastAsia="en-US"/>
        </w:rPr>
        <w:t>51</w:t>
      </w:r>
    </w:p>
    <w:bookmarkStart w:id="140" w:name="B59"/>
    <w:bookmarkStart w:id="141" w:name="C73"/>
    <w:bookmarkEnd w:id="138"/>
    <w:bookmarkEnd w:id="139"/>
    <w:p w14:paraId="34E71DCF" w14:textId="41D4A5A3" w:rsidR="00935D12" w:rsidRPr="00584DBC" w:rsidRDefault="007A31BB"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"D73"</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2.11.8 The Risks of BCT</w:t>
      </w:r>
      <w:r w:rsidRPr="00584DBC">
        <w:rPr>
          <w:rFonts w:asciiTheme="minorBidi" w:hAnsiTheme="minorBidi"/>
          <w:b/>
          <w:bCs/>
          <w:sz w:val="24"/>
          <w:szCs w:val="24"/>
          <w:lang w:val="en-US" w:eastAsia="en-US"/>
        </w:rPr>
        <w:fldChar w:fldCharType="end"/>
      </w:r>
      <w:r w:rsidR="00790810">
        <w:rPr>
          <w:rFonts w:asciiTheme="minorBidi" w:hAnsiTheme="minorBidi"/>
          <w:b/>
          <w:bCs/>
          <w:sz w:val="24"/>
          <w:szCs w:val="24"/>
          <w:lang w:val="en-US" w:eastAsia="en-US"/>
        </w:rPr>
        <w:t>…………………………………………………………</w:t>
      </w:r>
      <w:r w:rsidR="00D25192">
        <w:rPr>
          <w:rFonts w:asciiTheme="minorBidi" w:hAnsiTheme="minorBidi"/>
          <w:b/>
          <w:bCs/>
          <w:sz w:val="24"/>
          <w:szCs w:val="24"/>
          <w:lang w:val="en-US" w:eastAsia="en-US"/>
        </w:rPr>
        <w:t xml:space="preserve">….    </w:t>
      </w:r>
      <w:r w:rsidR="00790810">
        <w:rPr>
          <w:rFonts w:asciiTheme="minorBidi" w:hAnsiTheme="minorBidi"/>
          <w:b/>
          <w:bCs/>
          <w:sz w:val="24"/>
          <w:szCs w:val="24"/>
          <w:lang w:val="en-US" w:eastAsia="en-US"/>
        </w:rPr>
        <w:t>1</w:t>
      </w:r>
      <w:r w:rsidR="007E2C65">
        <w:rPr>
          <w:rFonts w:asciiTheme="minorBidi" w:hAnsiTheme="minorBidi"/>
          <w:b/>
          <w:bCs/>
          <w:sz w:val="24"/>
          <w:szCs w:val="24"/>
          <w:lang w:val="en-US" w:eastAsia="en-US"/>
        </w:rPr>
        <w:t>58</w:t>
      </w:r>
    </w:p>
    <w:bookmarkStart w:id="142" w:name="B60"/>
    <w:bookmarkStart w:id="143" w:name="C74"/>
    <w:bookmarkEnd w:id="140"/>
    <w:bookmarkEnd w:id="141"/>
    <w:p w14:paraId="216F6412" w14:textId="56605ECA" w:rsidR="00935D12" w:rsidRPr="00584DBC" w:rsidRDefault="007A31BB" w:rsidP="003F2E92">
      <w:pPr>
        <w:pStyle w:val="NoSpacing"/>
        <w:spacing w:line="480" w:lineRule="auto"/>
        <w:rPr>
          <w:rFonts w:asciiTheme="minorBidi" w:hAnsiTheme="minorBidi"/>
          <w:b/>
          <w:bCs/>
          <w:sz w:val="24"/>
          <w:szCs w:val="24"/>
          <w:lang w:val="en-US" w:eastAsia="en-US"/>
        </w:rPr>
      </w:pPr>
      <w:r w:rsidRPr="00584DBC">
        <w:rPr>
          <w:rFonts w:asciiTheme="minorBidi" w:hAnsiTheme="minorBidi"/>
          <w:b/>
          <w:bCs/>
          <w:sz w:val="24"/>
          <w:szCs w:val="24"/>
          <w:lang w:val="en-US" w:eastAsia="en-US"/>
        </w:rPr>
        <w:fldChar w:fldCharType="begin"/>
      </w:r>
      <w:r w:rsidRPr="00584DBC">
        <w:rPr>
          <w:rFonts w:asciiTheme="minorBidi" w:hAnsiTheme="minorBidi"/>
          <w:b/>
          <w:bCs/>
          <w:sz w:val="24"/>
          <w:szCs w:val="24"/>
          <w:lang w:val="en-US" w:eastAsia="en-US"/>
        </w:rPr>
        <w:instrText>HYPERLINK  \l "D74"</w:instrText>
      </w:r>
      <w:r w:rsidRPr="00584DBC">
        <w:rPr>
          <w:rFonts w:asciiTheme="minorBidi" w:hAnsiTheme="minorBidi"/>
          <w:b/>
          <w:bCs/>
          <w:sz w:val="24"/>
          <w:szCs w:val="24"/>
          <w:lang w:val="en-US" w:eastAsia="en-US"/>
        </w:rPr>
      </w:r>
      <w:r w:rsidRPr="00584DBC">
        <w:rPr>
          <w:rFonts w:asciiTheme="minorBidi" w:hAnsiTheme="minorBidi"/>
          <w:b/>
          <w:bCs/>
          <w:sz w:val="24"/>
          <w:szCs w:val="24"/>
          <w:lang w:val="en-US" w:eastAsia="en-US"/>
        </w:rPr>
        <w:fldChar w:fldCharType="separate"/>
      </w:r>
      <w:r w:rsidR="00935D12" w:rsidRPr="00584DBC">
        <w:rPr>
          <w:rStyle w:val="Hyperlink"/>
          <w:rFonts w:asciiTheme="minorBidi" w:hAnsiTheme="minorBidi"/>
          <w:b/>
          <w:bCs/>
          <w:sz w:val="24"/>
          <w:szCs w:val="24"/>
          <w:lang w:val="en-US" w:eastAsia="en-US"/>
        </w:rPr>
        <w:t>2.11.9 Responding to the Challenges of BC</w:t>
      </w:r>
      <w:r w:rsidRPr="00584DBC">
        <w:rPr>
          <w:rFonts w:asciiTheme="minorBidi" w:hAnsiTheme="minorBidi"/>
          <w:b/>
          <w:bCs/>
          <w:sz w:val="24"/>
          <w:szCs w:val="24"/>
          <w:lang w:val="en-US" w:eastAsia="en-US"/>
        </w:rPr>
        <w:fldChar w:fldCharType="end"/>
      </w:r>
      <w:r w:rsidR="00453137">
        <w:rPr>
          <w:rFonts w:asciiTheme="minorBidi" w:hAnsiTheme="minorBidi"/>
          <w:b/>
          <w:bCs/>
          <w:sz w:val="24"/>
          <w:szCs w:val="24"/>
          <w:lang w:val="en-US" w:eastAsia="en-US"/>
        </w:rPr>
        <w:t>…………………………………</w:t>
      </w:r>
      <w:r w:rsidR="00D25192">
        <w:rPr>
          <w:rFonts w:asciiTheme="minorBidi" w:hAnsiTheme="minorBidi"/>
          <w:b/>
          <w:bCs/>
          <w:sz w:val="24"/>
          <w:szCs w:val="24"/>
          <w:lang w:val="en-US" w:eastAsia="en-US"/>
        </w:rPr>
        <w:t xml:space="preserve">….    </w:t>
      </w:r>
      <w:r w:rsidR="00453137">
        <w:rPr>
          <w:rFonts w:asciiTheme="minorBidi" w:hAnsiTheme="minorBidi"/>
          <w:b/>
          <w:bCs/>
          <w:sz w:val="24"/>
          <w:szCs w:val="24"/>
          <w:lang w:val="en-US" w:eastAsia="en-US"/>
        </w:rPr>
        <w:t>1</w:t>
      </w:r>
      <w:r w:rsidR="00A87925">
        <w:rPr>
          <w:rFonts w:asciiTheme="minorBidi" w:hAnsiTheme="minorBidi"/>
          <w:b/>
          <w:bCs/>
          <w:sz w:val="24"/>
          <w:szCs w:val="24"/>
          <w:lang w:val="en-US" w:eastAsia="en-US"/>
        </w:rPr>
        <w:t>63</w:t>
      </w:r>
    </w:p>
    <w:bookmarkStart w:id="144" w:name="B61"/>
    <w:bookmarkStart w:id="145" w:name="C75"/>
    <w:bookmarkEnd w:id="142"/>
    <w:bookmarkEnd w:id="143"/>
    <w:p w14:paraId="495ECBA9" w14:textId="60EFA297" w:rsidR="00935D12" w:rsidRPr="00584DBC" w:rsidRDefault="007A31BB" w:rsidP="003F2E92">
      <w:pPr>
        <w:pStyle w:val="NoSpacing"/>
        <w:spacing w:line="480" w:lineRule="auto"/>
        <w:rPr>
          <w:rFonts w:asciiTheme="minorBidi" w:hAnsiTheme="minorBidi"/>
          <w:b/>
          <w:bCs/>
          <w:sz w:val="24"/>
          <w:szCs w:val="24"/>
          <w:lang w:eastAsia="en-US"/>
        </w:rPr>
      </w:pPr>
      <w:r w:rsidRPr="00584DBC">
        <w:rPr>
          <w:rFonts w:asciiTheme="minorBidi" w:hAnsiTheme="minorBidi"/>
          <w:b/>
          <w:bCs/>
          <w:sz w:val="24"/>
          <w:szCs w:val="24"/>
          <w:shd w:val="clear" w:color="auto" w:fill="FFFFFF"/>
        </w:rPr>
        <w:fldChar w:fldCharType="begin"/>
      </w:r>
      <w:r w:rsidRPr="00584DBC">
        <w:rPr>
          <w:rFonts w:asciiTheme="minorBidi" w:hAnsiTheme="minorBidi"/>
          <w:b/>
          <w:bCs/>
          <w:sz w:val="24"/>
          <w:szCs w:val="24"/>
          <w:shd w:val="clear" w:color="auto" w:fill="FFFFFF"/>
        </w:rPr>
        <w:instrText>HYPERLINK  \l "D75"</w:instrText>
      </w:r>
      <w:r w:rsidRPr="00584DBC">
        <w:rPr>
          <w:rFonts w:asciiTheme="minorBidi" w:hAnsiTheme="minorBidi"/>
          <w:b/>
          <w:bCs/>
          <w:sz w:val="24"/>
          <w:szCs w:val="24"/>
          <w:shd w:val="clear" w:color="auto" w:fill="FFFFFF"/>
        </w:rPr>
      </w:r>
      <w:r w:rsidRPr="00584DBC">
        <w:rPr>
          <w:rFonts w:asciiTheme="minorBidi" w:hAnsiTheme="minorBidi"/>
          <w:b/>
          <w:bCs/>
          <w:sz w:val="24"/>
          <w:szCs w:val="24"/>
          <w:shd w:val="clear" w:color="auto" w:fill="FFFFFF"/>
        </w:rPr>
        <w:fldChar w:fldCharType="separate"/>
      </w:r>
      <w:r w:rsidR="00935D12" w:rsidRPr="00584DBC">
        <w:rPr>
          <w:rStyle w:val="Hyperlink"/>
          <w:rFonts w:asciiTheme="minorBidi" w:hAnsiTheme="minorBidi"/>
          <w:b/>
          <w:bCs/>
          <w:sz w:val="24"/>
          <w:szCs w:val="24"/>
          <w:shd w:val="clear" w:color="auto" w:fill="FFFFFF"/>
        </w:rPr>
        <w:t xml:space="preserve">2.11.10 Additional Reflections </w:t>
      </w:r>
      <w:r w:rsidR="009111B3">
        <w:rPr>
          <w:rStyle w:val="Hyperlink"/>
          <w:rFonts w:asciiTheme="minorBidi" w:hAnsiTheme="minorBidi"/>
          <w:b/>
          <w:bCs/>
          <w:sz w:val="24"/>
          <w:szCs w:val="24"/>
          <w:shd w:val="clear" w:color="auto" w:fill="FFFFFF"/>
        </w:rPr>
        <w:t>U</w:t>
      </w:r>
      <w:r w:rsidR="00935D12" w:rsidRPr="00584DBC">
        <w:rPr>
          <w:rStyle w:val="Hyperlink"/>
          <w:rFonts w:asciiTheme="minorBidi" w:hAnsiTheme="minorBidi"/>
          <w:b/>
          <w:bCs/>
          <w:sz w:val="24"/>
          <w:szCs w:val="24"/>
          <w:shd w:val="clear" w:color="auto" w:fill="FFFFFF"/>
        </w:rPr>
        <w:t>pon BCT</w:t>
      </w:r>
      <w:r w:rsidRPr="00584DBC">
        <w:rPr>
          <w:rFonts w:asciiTheme="minorBidi" w:hAnsiTheme="minorBidi"/>
          <w:b/>
          <w:bCs/>
          <w:sz w:val="24"/>
          <w:szCs w:val="24"/>
          <w:shd w:val="clear" w:color="auto" w:fill="FFFFFF"/>
        </w:rPr>
        <w:fldChar w:fldCharType="end"/>
      </w:r>
      <w:r w:rsidR="00027EF5">
        <w:rPr>
          <w:rFonts w:asciiTheme="minorBidi" w:hAnsiTheme="minorBidi"/>
          <w:b/>
          <w:bCs/>
          <w:sz w:val="24"/>
          <w:szCs w:val="24"/>
          <w:shd w:val="clear" w:color="auto" w:fill="FFFFFF"/>
        </w:rPr>
        <w:t>……………………………………</w:t>
      </w:r>
      <w:r w:rsidR="00D25192">
        <w:rPr>
          <w:rFonts w:asciiTheme="minorBidi" w:hAnsiTheme="minorBidi"/>
          <w:b/>
          <w:bCs/>
          <w:sz w:val="24"/>
          <w:szCs w:val="24"/>
          <w:shd w:val="clear" w:color="auto" w:fill="FFFFFF"/>
        </w:rPr>
        <w:t xml:space="preserve">…..    </w:t>
      </w:r>
      <w:r w:rsidR="00027EF5">
        <w:rPr>
          <w:rFonts w:asciiTheme="minorBidi" w:hAnsiTheme="minorBidi"/>
          <w:b/>
          <w:bCs/>
          <w:sz w:val="24"/>
          <w:szCs w:val="24"/>
          <w:shd w:val="clear" w:color="auto" w:fill="FFFFFF"/>
        </w:rPr>
        <w:t>1</w:t>
      </w:r>
      <w:r w:rsidR="009111B3">
        <w:rPr>
          <w:rFonts w:asciiTheme="minorBidi" w:hAnsiTheme="minorBidi"/>
          <w:b/>
          <w:bCs/>
          <w:sz w:val="24"/>
          <w:szCs w:val="24"/>
          <w:shd w:val="clear" w:color="auto" w:fill="FFFFFF"/>
        </w:rPr>
        <w:t>66</w:t>
      </w:r>
    </w:p>
    <w:bookmarkStart w:id="146" w:name="B62"/>
    <w:bookmarkStart w:id="147" w:name="C76"/>
    <w:bookmarkEnd w:id="144"/>
    <w:bookmarkEnd w:id="145"/>
    <w:p w14:paraId="54B7EEAB" w14:textId="74431897" w:rsidR="00935D12" w:rsidRPr="00584DBC" w:rsidRDefault="007A31BB" w:rsidP="003F2E92">
      <w:pPr>
        <w:pStyle w:val="NoSpacing"/>
        <w:spacing w:line="480" w:lineRule="auto"/>
        <w:rPr>
          <w:rFonts w:asciiTheme="minorBidi" w:hAnsiTheme="minorBidi"/>
          <w:b/>
          <w:bCs/>
          <w:sz w:val="24"/>
          <w:szCs w:val="24"/>
          <w:lang w:eastAsia="en-US"/>
        </w:rPr>
      </w:pPr>
      <w:r w:rsidRPr="00584DBC">
        <w:rPr>
          <w:rFonts w:asciiTheme="minorBidi" w:hAnsiTheme="minorBidi"/>
          <w:b/>
          <w:bCs/>
          <w:sz w:val="24"/>
          <w:szCs w:val="24"/>
          <w:lang w:eastAsia="en-US"/>
        </w:rPr>
        <w:fldChar w:fldCharType="begin"/>
      </w:r>
      <w:r w:rsidRPr="00584DBC">
        <w:rPr>
          <w:rFonts w:asciiTheme="minorBidi" w:hAnsiTheme="minorBidi"/>
          <w:b/>
          <w:bCs/>
          <w:sz w:val="24"/>
          <w:szCs w:val="24"/>
          <w:lang w:eastAsia="en-US"/>
        </w:rPr>
        <w:instrText>HYPERLINK  \l "D76"</w:instrText>
      </w:r>
      <w:r w:rsidRPr="00584DBC">
        <w:rPr>
          <w:rFonts w:asciiTheme="minorBidi" w:hAnsiTheme="minorBidi"/>
          <w:b/>
          <w:bCs/>
          <w:sz w:val="24"/>
          <w:szCs w:val="24"/>
          <w:lang w:eastAsia="en-US"/>
        </w:rPr>
      </w:r>
      <w:r w:rsidRPr="00584DBC">
        <w:rPr>
          <w:rFonts w:asciiTheme="minorBidi" w:hAnsiTheme="minorBidi"/>
          <w:b/>
          <w:bCs/>
          <w:sz w:val="24"/>
          <w:szCs w:val="24"/>
          <w:lang w:eastAsia="en-US"/>
        </w:rPr>
        <w:fldChar w:fldCharType="separate"/>
      </w:r>
      <w:r w:rsidR="00935D12" w:rsidRPr="00584DBC">
        <w:rPr>
          <w:rStyle w:val="Hyperlink"/>
          <w:rFonts w:asciiTheme="minorBidi" w:hAnsiTheme="minorBidi"/>
          <w:b/>
          <w:bCs/>
          <w:sz w:val="24"/>
          <w:szCs w:val="24"/>
          <w:lang w:eastAsia="en-US"/>
        </w:rPr>
        <w:t>2.11.11 Further Research Questions</w:t>
      </w:r>
      <w:r w:rsidRPr="00584DBC">
        <w:rPr>
          <w:rFonts w:asciiTheme="minorBidi" w:hAnsiTheme="minorBidi"/>
          <w:b/>
          <w:bCs/>
          <w:sz w:val="24"/>
          <w:szCs w:val="24"/>
          <w:lang w:eastAsia="en-US"/>
        </w:rPr>
        <w:fldChar w:fldCharType="end"/>
      </w:r>
      <w:r w:rsidR="00191991">
        <w:rPr>
          <w:rFonts w:asciiTheme="minorBidi" w:hAnsiTheme="minorBidi"/>
          <w:b/>
          <w:bCs/>
          <w:sz w:val="24"/>
          <w:szCs w:val="24"/>
          <w:lang w:eastAsia="en-US"/>
        </w:rPr>
        <w:t>…………………………………………</w:t>
      </w:r>
      <w:r w:rsidR="00D25192">
        <w:rPr>
          <w:rFonts w:asciiTheme="minorBidi" w:hAnsiTheme="minorBidi"/>
          <w:b/>
          <w:bCs/>
          <w:sz w:val="24"/>
          <w:szCs w:val="24"/>
          <w:lang w:eastAsia="en-US"/>
        </w:rPr>
        <w:t xml:space="preserve">…...    </w:t>
      </w:r>
      <w:r w:rsidR="00191991">
        <w:rPr>
          <w:rFonts w:asciiTheme="minorBidi" w:hAnsiTheme="minorBidi"/>
          <w:b/>
          <w:bCs/>
          <w:sz w:val="24"/>
          <w:szCs w:val="24"/>
          <w:lang w:eastAsia="en-US"/>
        </w:rPr>
        <w:t>1</w:t>
      </w:r>
      <w:r w:rsidR="006A240C">
        <w:rPr>
          <w:rFonts w:asciiTheme="minorBidi" w:hAnsiTheme="minorBidi"/>
          <w:b/>
          <w:bCs/>
          <w:sz w:val="24"/>
          <w:szCs w:val="24"/>
          <w:lang w:eastAsia="en-US"/>
        </w:rPr>
        <w:t>75</w:t>
      </w:r>
    </w:p>
    <w:bookmarkStart w:id="148" w:name="B63"/>
    <w:bookmarkStart w:id="149" w:name="C77"/>
    <w:bookmarkEnd w:id="146"/>
    <w:bookmarkEnd w:id="147"/>
    <w:p w14:paraId="2F4BF73B" w14:textId="5F1964AB" w:rsidR="00935D12" w:rsidRPr="00584DBC" w:rsidRDefault="007A31BB" w:rsidP="003F2E92">
      <w:pPr>
        <w:pStyle w:val="NoSpacing"/>
        <w:spacing w:line="480" w:lineRule="auto"/>
        <w:rPr>
          <w:rFonts w:asciiTheme="minorBidi" w:hAnsiTheme="minorBidi"/>
          <w:b/>
          <w:bCs/>
          <w:sz w:val="24"/>
          <w:szCs w:val="24"/>
          <w:lang w:eastAsia="en-US"/>
        </w:rPr>
      </w:pPr>
      <w:r w:rsidRPr="00584DBC">
        <w:rPr>
          <w:rFonts w:asciiTheme="minorBidi" w:hAnsiTheme="minorBidi"/>
          <w:b/>
          <w:bCs/>
          <w:sz w:val="24"/>
          <w:szCs w:val="24"/>
          <w:lang w:eastAsia="en-US"/>
        </w:rPr>
        <w:fldChar w:fldCharType="begin"/>
      </w:r>
      <w:r w:rsidRPr="00584DBC">
        <w:rPr>
          <w:rFonts w:asciiTheme="minorBidi" w:hAnsiTheme="minorBidi"/>
          <w:b/>
          <w:bCs/>
          <w:sz w:val="24"/>
          <w:szCs w:val="24"/>
          <w:lang w:eastAsia="en-US"/>
        </w:rPr>
        <w:instrText>HYPERLINK  \l "D77"</w:instrText>
      </w:r>
      <w:r w:rsidRPr="00584DBC">
        <w:rPr>
          <w:rFonts w:asciiTheme="minorBidi" w:hAnsiTheme="minorBidi"/>
          <w:b/>
          <w:bCs/>
          <w:sz w:val="24"/>
          <w:szCs w:val="24"/>
          <w:lang w:eastAsia="en-US"/>
        </w:rPr>
      </w:r>
      <w:r w:rsidRPr="00584DBC">
        <w:rPr>
          <w:rFonts w:asciiTheme="minorBidi" w:hAnsiTheme="minorBidi"/>
          <w:b/>
          <w:bCs/>
          <w:sz w:val="24"/>
          <w:szCs w:val="24"/>
          <w:lang w:eastAsia="en-US"/>
        </w:rPr>
        <w:fldChar w:fldCharType="separate"/>
      </w:r>
      <w:r w:rsidR="00935D12" w:rsidRPr="00584DBC">
        <w:rPr>
          <w:rStyle w:val="Hyperlink"/>
          <w:rFonts w:asciiTheme="minorBidi" w:hAnsiTheme="minorBidi"/>
          <w:b/>
          <w:bCs/>
          <w:sz w:val="24"/>
          <w:szCs w:val="24"/>
          <w:lang w:eastAsia="en-US"/>
        </w:rPr>
        <w:t>2.11.11.1 Co</w:t>
      </w:r>
      <w:r w:rsidR="00935D12" w:rsidRPr="00584DBC">
        <w:rPr>
          <w:rStyle w:val="Hyperlink"/>
          <w:rFonts w:asciiTheme="minorBidi" w:hAnsiTheme="minorBidi"/>
          <w:b/>
          <w:bCs/>
          <w:sz w:val="24"/>
          <w:szCs w:val="24"/>
          <w:lang w:eastAsia="en-US"/>
        </w:rPr>
        <w:t>mplete List of Sub Research Questions (SRQs)</w:t>
      </w:r>
      <w:r w:rsidRPr="00584DBC">
        <w:rPr>
          <w:rFonts w:asciiTheme="minorBidi" w:hAnsiTheme="minorBidi"/>
          <w:b/>
          <w:bCs/>
          <w:sz w:val="24"/>
          <w:szCs w:val="24"/>
          <w:lang w:eastAsia="en-US"/>
        </w:rPr>
        <w:fldChar w:fldCharType="end"/>
      </w:r>
      <w:r w:rsidR="00A80DE0">
        <w:rPr>
          <w:rFonts w:asciiTheme="minorBidi" w:hAnsiTheme="minorBidi"/>
          <w:b/>
          <w:bCs/>
          <w:sz w:val="24"/>
          <w:szCs w:val="24"/>
          <w:lang w:eastAsia="en-US"/>
        </w:rPr>
        <w:t>……………</w:t>
      </w:r>
      <w:r w:rsidR="00D25192">
        <w:rPr>
          <w:rFonts w:asciiTheme="minorBidi" w:hAnsiTheme="minorBidi"/>
          <w:b/>
          <w:bCs/>
          <w:sz w:val="24"/>
          <w:szCs w:val="24"/>
          <w:lang w:eastAsia="en-US"/>
        </w:rPr>
        <w:t xml:space="preserve">……   </w:t>
      </w:r>
      <w:r w:rsidR="00A80DE0">
        <w:rPr>
          <w:rFonts w:asciiTheme="minorBidi" w:hAnsiTheme="minorBidi"/>
          <w:b/>
          <w:bCs/>
          <w:sz w:val="24"/>
          <w:szCs w:val="24"/>
          <w:lang w:eastAsia="en-US"/>
        </w:rPr>
        <w:t>1</w:t>
      </w:r>
      <w:r w:rsidR="009E642F">
        <w:rPr>
          <w:rFonts w:asciiTheme="minorBidi" w:hAnsiTheme="minorBidi"/>
          <w:b/>
          <w:bCs/>
          <w:sz w:val="24"/>
          <w:szCs w:val="24"/>
          <w:lang w:eastAsia="en-US"/>
        </w:rPr>
        <w:t>76</w:t>
      </w:r>
    </w:p>
    <w:bookmarkStart w:id="150" w:name="B64"/>
    <w:bookmarkStart w:id="151" w:name="C78"/>
    <w:bookmarkEnd w:id="148"/>
    <w:bookmarkEnd w:id="149"/>
    <w:p w14:paraId="1058557F" w14:textId="36412E49" w:rsidR="00935D12" w:rsidRPr="00584DBC" w:rsidRDefault="005F34EE" w:rsidP="003F2E92">
      <w:pPr>
        <w:pStyle w:val="NoSpacing"/>
        <w:spacing w:line="480" w:lineRule="auto"/>
        <w:rPr>
          <w:rFonts w:asciiTheme="minorBidi" w:eastAsia="Times New Roman" w:hAnsiTheme="minorBidi"/>
          <w:b/>
          <w:bCs/>
          <w:sz w:val="24"/>
          <w:szCs w:val="24"/>
          <w:lang w:eastAsia="en-GB"/>
        </w:rPr>
      </w:pPr>
      <w:r w:rsidRPr="00584DBC">
        <w:rPr>
          <w:rFonts w:asciiTheme="minorBidi" w:eastAsia="Times New Roman" w:hAnsiTheme="minorBidi"/>
          <w:b/>
          <w:bCs/>
          <w:sz w:val="24"/>
          <w:szCs w:val="24"/>
          <w:lang w:eastAsia="en-GB"/>
        </w:rPr>
        <w:fldChar w:fldCharType="begin"/>
      </w:r>
      <w:r w:rsidRPr="00584DBC">
        <w:rPr>
          <w:rFonts w:asciiTheme="minorBidi" w:eastAsia="Times New Roman" w:hAnsiTheme="minorBidi"/>
          <w:b/>
          <w:bCs/>
          <w:sz w:val="24"/>
          <w:szCs w:val="24"/>
          <w:lang w:eastAsia="en-GB"/>
        </w:rPr>
        <w:instrText>HYPERLINK  \l "D78"</w:instrText>
      </w:r>
      <w:r w:rsidRPr="00584DBC">
        <w:rPr>
          <w:rFonts w:asciiTheme="minorBidi" w:eastAsia="Times New Roman" w:hAnsiTheme="minorBidi"/>
          <w:b/>
          <w:bCs/>
          <w:sz w:val="24"/>
          <w:szCs w:val="24"/>
          <w:lang w:eastAsia="en-GB"/>
        </w:rPr>
      </w:r>
      <w:r w:rsidRPr="00584DBC">
        <w:rPr>
          <w:rFonts w:asciiTheme="minorBidi" w:eastAsia="Times New Roman" w:hAnsiTheme="minorBidi"/>
          <w:b/>
          <w:bCs/>
          <w:sz w:val="24"/>
          <w:szCs w:val="24"/>
          <w:lang w:eastAsia="en-GB"/>
        </w:rPr>
        <w:fldChar w:fldCharType="separate"/>
      </w:r>
      <w:r w:rsidR="00935D12" w:rsidRPr="00584DBC">
        <w:rPr>
          <w:rStyle w:val="Hyperlink"/>
          <w:rFonts w:asciiTheme="minorBidi" w:eastAsia="Times New Roman" w:hAnsiTheme="minorBidi"/>
          <w:b/>
          <w:bCs/>
          <w:sz w:val="24"/>
          <w:szCs w:val="24"/>
          <w:lang w:eastAsia="en-GB"/>
        </w:rPr>
        <w:t>2.12 Hypotheses</w:t>
      </w:r>
      <w:r w:rsidRPr="00584DBC">
        <w:rPr>
          <w:rFonts w:asciiTheme="minorBidi" w:eastAsia="Times New Roman" w:hAnsiTheme="minorBidi"/>
          <w:b/>
          <w:bCs/>
          <w:sz w:val="24"/>
          <w:szCs w:val="24"/>
          <w:lang w:eastAsia="en-GB"/>
        </w:rPr>
        <w:fldChar w:fldCharType="end"/>
      </w:r>
      <w:r w:rsidR="00BB261C">
        <w:rPr>
          <w:rFonts w:asciiTheme="minorBidi" w:eastAsia="Times New Roman" w:hAnsiTheme="minorBidi"/>
          <w:b/>
          <w:bCs/>
          <w:sz w:val="24"/>
          <w:szCs w:val="24"/>
          <w:lang w:eastAsia="en-GB"/>
        </w:rPr>
        <w:t>…………………………………………………………………...</w:t>
      </w:r>
      <w:r w:rsidR="00D25192">
        <w:rPr>
          <w:rFonts w:asciiTheme="minorBidi" w:eastAsia="Times New Roman" w:hAnsiTheme="minorBidi"/>
          <w:b/>
          <w:bCs/>
          <w:sz w:val="24"/>
          <w:szCs w:val="24"/>
          <w:lang w:eastAsia="en-GB"/>
        </w:rPr>
        <w:t xml:space="preserve">....   </w:t>
      </w:r>
      <w:r w:rsidR="00BB261C">
        <w:rPr>
          <w:rFonts w:asciiTheme="minorBidi" w:eastAsia="Times New Roman" w:hAnsiTheme="minorBidi"/>
          <w:b/>
          <w:bCs/>
          <w:sz w:val="24"/>
          <w:szCs w:val="24"/>
          <w:lang w:eastAsia="en-GB"/>
        </w:rPr>
        <w:t>1</w:t>
      </w:r>
      <w:r w:rsidR="00CA294E">
        <w:rPr>
          <w:rFonts w:asciiTheme="minorBidi" w:eastAsia="Times New Roman" w:hAnsiTheme="minorBidi"/>
          <w:b/>
          <w:bCs/>
          <w:sz w:val="24"/>
          <w:szCs w:val="24"/>
          <w:lang w:eastAsia="en-GB"/>
        </w:rPr>
        <w:t>7</w:t>
      </w:r>
      <w:r w:rsidR="00BB261C">
        <w:rPr>
          <w:rFonts w:asciiTheme="minorBidi" w:eastAsia="Times New Roman" w:hAnsiTheme="minorBidi"/>
          <w:b/>
          <w:bCs/>
          <w:sz w:val="24"/>
          <w:szCs w:val="24"/>
          <w:lang w:eastAsia="en-GB"/>
        </w:rPr>
        <w:t>7</w:t>
      </w:r>
    </w:p>
    <w:bookmarkStart w:id="152" w:name="B65"/>
    <w:bookmarkStart w:id="153" w:name="C79"/>
    <w:bookmarkEnd w:id="150"/>
    <w:bookmarkEnd w:id="151"/>
    <w:p w14:paraId="27D4B26B" w14:textId="15C4E9E1" w:rsidR="00935D12" w:rsidRPr="00584DBC" w:rsidRDefault="005F34EE" w:rsidP="003F2E92">
      <w:pPr>
        <w:pStyle w:val="NoSpacing"/>
        <w:spacing w:line="480" w:lineRule="auto"/>
        <w:rPr>
          <w:rFonts w:asciiTheme="minorBidi" w:eastAsia="Times New Roman" w:hAnsiTheme="minorBidi"/>
          <w:b/>
          <w:bCs/>
          <w:sz w:val="24"/>
          <w:szCs w:val="24"/>
        </w:rPr>
      </w:pPr>
      <w:r w:rsidRPr="00584DBC">
        <w:rPr>
          <w:rFonts w:asciiTheme="minorBidi" w:eastAsia="Times New Roman" w:hAnsiTheme="minorBidi"/>
          <w:b/>
          <w:bCs/>
          <w:sz w:val="24"/>
          <w:szCs w:val="24"/>
        </w:rPr>
        <w:fldChar w:fldCharType="begin"/>
      </w:r>
      <w:r w:rsidRPr="00584DBC">
        <w:rPr>
          <w:rFonts w:asciiTheme="minorBidi" w:eastAsia="Times New Roman" w:hAnsiTheme="minorBidi"/>
          <w:b/>
          <w:bCs/>
          <w:sz w:val="24"/>
          <w:szCs w:val="24"/>
        </w:rPr>
        <w:instrText>HYPERLINK  \l "D79"</w:instrText>
      </w:r>
      <w:r w:rsidRPr="00584DBC">
        <w:rPr>
          <w:rFonts w:asciiTheme="minorBidi" w:eastAsia="Times New Roman" w:hAnsiTheme="minorBidi"/>
          <w:b/>
          <w:bCs/>
          <w:sz w:val="24"/>
          <w:szCs w:val="24"/>
        </w:rPr>
      </w:r>
      <w:r w:rsidRPr="00584DBC">
        <w:rPr>
          <w:rFonts w:asciiTheme="minorBidi" w:eastAsia="Times New Roman" w:hAnsiTheme="minorBidi"/>
          <w:b/>
          <w:bCs/>
          <w:sz w:val="24"/>
          <w:szCs w:val="24"/>
        </w:rPr>
        <w:fldChar w:fldCharType="separate"/>
      </w:r>
      <w:r w:rsidR="00935D12" w:rsidRPr="00584DBC">
        <w:rPr>
          <w:rStyle w:val="Hyperlink"/>
          <w:rFonts w:asciiTheme="minorBidi" w:eastAsia="Times New Roman" w:hAnsiTheme="minorBidi"/>
          <w:b/>
          <w:bCs/>
          <w:sz w:val="24"/>
          <w:szCs w:val="24"/>
        </w:rPr>
        <w:t>2.12.1 Testing Hypotheses</w:t>
      </w:r>
      <w:r w:rsidRPr="00584DBC">
        <w:rPr>
          <w:rFonts w:asciiTheme="minorBidi" w:eastAsia="Times New Roman" w:hAnsiTheme="minorBidi"/>
          <w:b/>
          <w:bCs/>
          <w:sz w:val="24"/>
          <w:szCs w:val="24"/>
        </w:rPr>
        <w:fldChar w:fldCharType="end"/>
      </w:r>
      <w:r w:rsidR="00BB261C">
        <w:rPr>
          <w:rFonts w:asciiTheme="minorBidi" w:eastAsia="Times New Roman" w:hAnsiTheme="minorBidi"/>
          <w:b/>
          <w:bCs/>
          <w:sz w:val="24"/>
          <w:szCs w:val="24"/>
        </w:rPr>
        <w:t>………………………………………………………</w:t>
      </w:r>
      <w:r w:rsidR="00D25192">
        <w:rPr>
          <w:rFonts w:asciiTheme="minorBidi" w:eastAsia="Times New Roman" w:hAnsiTheme="minorBidi"/>
          <w:b/>
          <w:bCs/>
          <w:sz w:val="24"/>
          <w:szCs w:val="24"/>
        </w:rPr>
        <w:t xml:space="preserve">….   </w:t>
      </w:r>
      <w:r w:rsidR="00BB261C">
        <w:rPr>
          <w:rFonts w:asciiTheme="minorBidi" w:eastAsia="Times New Roman" w:hAnsiTheme="minorBidi"/>
          <w:b/>
          <w:bCs/>
          <w:sz w:val="24"/>
          <w:szCs w:val="24"/>
        </w:rPr>
        <w:t>1</w:t>
      </w:r>
      <w:r w:rsidR="00AE6B02">
        <w:rPr>
          <w:rFonts w:asciiTheme="minorBidi" w:eastAsia="Times New Roman" w:hAnsiTheme="minorBidi"/>
          <w:b/>
          <w:bCs/>
          <w:sz w:val="24"/>
          <w:szCs w:val="24"/>
        </w:rPr>
        <w:t>8</w:t>
      </w:r>
      <w:r w:rsidR="00BB261C">
        <w:rPr>
          <w:rFonts w:asciiTheme="minorBidi" w:eastAsia="Times New Roman" w:hAnsiTheme="minorBidi"/>
          <w:b/>
          <w:bCs/>
          <w:sz w:val="24"/>
          <w:szCs w:val="24"/>
        </w:rPr>
        <w:t>0</w:t>
      </w:r>
    </w:p>
    <w:bookmarkStart w:id="154" w:name="C80"/>
    <w:bookmarkEnd w:id="152"/>
    <w:bookmarkEnd w:id="153"/>
    <w:p w14:paraId="1C64CBE7" w14:textId="305C5E28" w:rsidR="00935D12" w:rsidRPr="00584DBC" w:rsidRDefault="00CA4EDB" w:rsidP="003F2E92">
      <w:pPr>
        <w:pStyle w:val="NoSpacing"/>
        <w:spacing w:line="480" w:lineRule="auto"/>
        <w:rPr>
          <w:rFonts w:asciiTheme="minorBidi" w:eastAsia="Times New Roman" w:hAnsiTheme="minorBidi"/>
          <w:b/>
          <w:bCs/>
          <w:sz w:val="24"/>
          <w:szCs w:val="24"/>
        </w:rPr>
      </w:pPr>
      <w:r w:rsidRPr="00584DBC">
        <w:rPr>
          <w:rFonts w:asciiTheme="minorBidi" w:eastAsia="Times New Roman" w:hAnsiTheme="minorBidi"/>
          <w:b/>
          <w:bCs/>
          <w:sz w:val="24"/>
          <w:szCs w:val="24"/>
        </w:rPr>
        <w:fldChar w:fldCharType="begin"/>
      </w:r>
      <w:r w:rsidRPr="00584DBC">
        <w:rPr>
          <w:rFonts w:asciiTheme="minorBidi" w:eastAsia="Times New Roman" w:hAnsiTheme="minorBidi"/>
          <w:b/>
          <w:bCs/>
          <w:sz w:val="24"/>
          <w:szCs w:val="24"/>
        </w:rPr>
        <w:instrText>HYPERLINK  \l "D80"</w:instrText>
      </w:r>
      <w:r w:rsidRPr="00584DBC">
        <w:rPr>
          <w:rFonts w:asciiTheme="minorBidi" w:eastAsia="Times New Roman" w:hAnsiTheme="minorBidi"/>
          <w:b/>
          <w:bCs/>
          <w:sz w:val="24"/>
          <w:szCs w:val="24"/>
        </w:rPr>
      </w:r>
      <w:r w:rsidRPr="00584DBC">
        <w:rPr>
          <w:rFonts w:asciiTheme="minorBidi" w:eastAsia="Times New Roman" w:hAnsiTheme="minorBidi"/>
          <w:b/>
          <w:bCs/>
          <w:sz w:val="24"/>
          <w:szCs w:val="24"/>
        </w:rPr>
        <w:fldChar w:fldCharType="separate"/>
      </w:r>
      <w:r w:rsidR="00935D12" w:rsidRPr="00584DBC">
        <w:rPr>
          <w:rStyle w:val="Hyperlink"/>
          <w:rFonts w:asciiTheme="minorBidi" w:eastAsia="Times New Roman" w:hAnsiTheme="minorBidi"/>
          <w:b/>
          <w:bCs/>
          <w:sz w:val="24"/>
          <w:szCs w:val="24"/>
        </w:rPr>
        <w:t>2.13 Chapter Summary</w:t>
      </w:r>
      <w:r w:rsidRPr="00584DBC">
        <w:rPr>
          <w:rFonts w:asciiTheme="minorBidi" w:eastAsia="Times New Roman" w:hAnsiTheme="minorBidi"/>
          <w:b/>
          <w:bCs/>
          <w:sz w:val="24"/>
          <w:szCs w:val="24"/>
        </w:rPr>
        <w:fldChar w:fldCharType="end"/>
      </w:r>
      <w:r w:rsidR="00BB261C">
        <w:rPr>
          <w:rFonts w:asciiTheme="minorBidi" w:eastAsia="Times New Roman" w:hAnsiTheme="minorBidi"/>
          <w:b/>
          <w:bCs/>
          <w:sz w:val="24"/>
          <w:szCs w:val="24"/>
        </w:rPr>
        <w:t>…………………………………………………………...</w:t>
      </w:r>
      <w:r w:rsidR="00D25192">
        <w:rPr>
          <w:rFonts w:asciiTheme="minorBidi" w:eastAsia="Times New Roman" w:hAnsiTheme="minorBidi"/>
          <w:b/>
          <w:bCs/>
          <w:sz w:val="24"/>
          <w:szCs w:val="24"/>
        </w:rPr>
        <w:t xml:space="preserve">....   </w:t>
      </w:r>
      <w:r w:rsidR="00BB261C">
        <w:rPr>
          <w:rFonts w:asciiTheme="minorBidi" w:eastAsia="Times New Roman" w:hAnsiTheme="minorBidi"/>
          <w:b/>
          <w:bCs/>
          <w:sz w:val="24"/>
          <w:szCs w:val="24"/>
        </w:rPr>
        <w:t>1</w:t>
      </w:r>
      <w:r w:rsidR="00AE6B02">
        <w:rPr>
          <w:rFonts w:asciiTheme="minorBidi" w:eastAsia="Times New Roman" w:hAnsiTheme="minorBidi"/>
          <w:b/>
          <w:bCs/>
          <w:sz w:val="24"/>
          <w:szCs w:val="24"/>
        </w:rPr>
        <w:t>8</w:t>
      </w:r>
      <w:r w:rsidR="00BB261C">
        <w:rPr>
          <w:rFonts w:asciiTheme="minorBidi" w:eastAsia="Times New Roman" w:hAnsiTheme="minorBidi"/>
          <w:b/>
          <w:bCs/>
          <w:sz w:val="24"/>
          <w:szCs w:val="24"/>
        </w:rPr>
        <w:t>1</w:t>
      </w:r>
    </w:p>
    <w:bookmarkEnd w:id="154"/>
    <w:p w14:paraId="0AEBB460" w14:textId="77777777" w:rsidR="00FC0107" w:rsidRPr="00584DBC" w:rsidRDefault="00FC0107" w:rsidP="003F2E92">
      <w:pPr>
        <w:pStyle w:val="NoSpacing"/>
        <w:spacing w:line="480" w:lineRule="auto"/>
        <w:rPr>
          <w:rFonts w:asciiTheme="minorBidi" w:eastAsia="Times New Roman" w:hAnsiTheme="minorBidi"/>
          <w:b/>
          <w:bCs/>
          <w:sz w:val="24"/>
          <w:szCs w:val="24"/>
        </w:rPr>
      </w:pPr>
    </w:p>
    <w:bookmarkStart w:id="155" w:name="CH3"/>
    <w:p w14:paraId="1BE7A45B" w14:textId="172BD824" w:rsidR="003B1D46" w:rsidRPr="00584DBC" w:rsidRDefault="007F778E" w:rsidP="003B1D46">
      <w:pPr>
        <w:pBdr>
          <w:top w:val="single" w:sz="4" w:space="1" w:color="auto"/>
          <w:left w:val="single" w:sz="4" w:space="4" w:color="auto"/>
          <w:bottom w:val="single" w:sz="4" w:space="1" w:color="auto"/>
          <w:right w:val="single" w:sz="4" w:space="4" w:color="auto"/>
        </w:pBdr>
        <w:rPr>
          <w:rFonts w:ascii="Arial" w:hAnsi="Arial" w:cs="Arial"/>
          <w:b/>
          <w:bCs/>
        </w:rPr>
      </w:pPr>
      <w:r w:rsidRPr="00584DBC">
        <w:rPr>
          <w:rFonts w:ascii="Arial" w:hAnsi="Arial" w:cs="Arial"/>
          <w:b/>
          <w:bCs/>
        </w:rPr>
        <w:fldChar w:fldCharType="begin"/>
      </w:r>
      <w:r w:rsidRPr="00584DBC">
        <w:rPr>
          <w:rFonts w:ascii="Arial" w:hAnsi="Arial" w:cs="Arial"/>
          <w:b/>
          <w:bCs/>
        </w:rPr>
        <w:instrText>HYPERLINK  \l "DH3"</w:instrText>
      </w:r>
      <w:r w:rsidRPr="00584DBC">
        <w:rPr>
          <w:rFonts w:ascii="Arial" w:hAnsi="Arial" w:cs="Arial"/>
          <w:b/>
          <w:bCs/>
        </w:rPr>
      </w:r>
      <w:r w:rsidRPr="00584DBC">
        <w:rPr>
          <w:rFonts w:ascii="Arial" w:hAnsi="Arial" w:cs="Arial"/>
          <w:b/>
          <w:bCs/>
        </w:rPr>
        <w:fldChar w:fldCharType="separate"/>
      </w:r>
      <w:r w:rsidR="003B1D46" w:rsidRPr="00584DBC">
        <w:rPr>
          <w:rStyle w:val="Hyperlink"/>
          <w:rFonts w:ascii="Arial" w:hAnsi="Arial" w:cs="Arial"/>
          <w:b/>
          <w:bCs/>
        </w:rPr>
        <w:t>Chapter Three</w:t>
      </w:r>
      <w:r w:rsidR="00F82F8A" w:rsidRPr="00584DBC">
        <w:rPr>
          <w:rStyle w:val="Hyperlink"/>
          <w:rFonts w:ascii="Arial" w:hAnsi="Arial" w:cs="Arial"/>
          <w:b/>
          <w:bCs/>
        </w:rPr>
        <w:t>:</w:t>
      </w:r>
      <w:r w:rsidR="002C37F5" w:rsidRPr="00584DBC">
        <w:rPr>
          <w:rStyle w:val="Hyperlink"/>
          <w:rFonts w:ascii="Arial" w:hAnsi="Arial" w:cs="Arial"/>
          <w:b/>
          <w:bCs/>
        </w:rPr>
        <w:t xml:space="preserve"> Methodology</w:t>
      </w:r>
      <w:r w:rsidRPr="00584DBC">
        <w:rPr>
          <w:rFonts w:ascii="Arial" w:hAnsi="Arial" w:cs="Arial"/>
          <w:b/>
          <w:bCs/>
        </w:rPr>
        <w:fldChar w:fldCharType="end"/>
      </w:r>
    </w:p>
    <w:p w14:paraId="522134CF" w14:textId="77777777" w:rsidR="00D21E0B" w:rsidRDefault="00D21E0B" w:rsidP="003F2E92">
      <w:pPr>
        <w:pStyle w:val="NoSpacing"/>
        <w:spacing w:line="480" w:lineRule="auto"/>
        <w:rPr>
          <w:rFonts w:asciiTheme="minorBidi" w:hAnsiTheme="minorBidi"/>
          <w:b/>
          <w:bCs/>
          <w:sz w:val="24"/>
          <w:szCs w:val="24"/>
        </w:rPr>
      </w:pPr>
      <w:bookmarkStart w:id="156" w:name="A1"/>
      <w:bookmarkStart w:id="157" w:name="C82"/>
      <w:bookmarkEnd w:id="155"/>
    </w:p>
    <w:p w14:paraId="7F33476C" w14:textId="0B9444D4" w:rsidR="00FC0107" w:rsidRPr="00584DBC" w:rsidRDefault="00000000" w:rsidP="003F2E92">
      <w:pPr>
        <w:pStyle w:val="NoSpacing"/>
        <w:spacing w:line="480" w:lineRule="auto"/>
        <w:rPr>
          <w:b/>
          <w:bCs/>
          <w:sz w:val="24"/>
          <w:szCs w:val="24"/>
        </w:rPr>
      </w:pPr>
      <w:hyperlink w:anchor="D82" w:history="1">
        <w:r w:rsidR="00FC0107" w:rsidRPr="00584DBC">
          <w:rPr>
            <w:rStyle w:val="Hyperlink"/>
            <w:rFonts w:asciiTheme="minorBidi" w:hAnsiTheme="minorBidi"/>
            <w:b/>
            <w:bCs/>
            <w:sz w:val="24"/>
            <w:szCs w:val="24"/>
          </w:rPr>
          <w:t>3.1 Chapter Overview</w:t>
        </w:r>
      </w:hyperlink>
      <w:r w:rsidR="00BC4F34">
        <w:rPr>
          <w:rFonts w:asciiTheme="minorBidi" w:hAnsiTheme="minorBidi"/>
          <w:b/>
          <w:bCs/>
          <w:sz w:val="24"/>
          <w:szCs w:val="24"/>
        </w:rPr>
        <w:t>……………………………………………………………</w:t>
      </w:r>
      <w:r w:rsidR="00801B78">
        <w:rPr>
          <w:rFonts w:asciiTheme="minorBidi" w:hAnsiTheme="minorBidi"/>
          <w:b/>
          <w:bCs/>
          <w:sz w:val="24"/>
          <w:szCs w:val="24"/>
        </w:rPr>
        <w:t xml:space="preserve">…..    </w:t>
      </w:r>
      <w:r w:rsidR="00BC4F34">
        <w:rPr>
          <w:rFonts w:asciiTheme="minorBidi" w:hAnsiTheme="minorBidi"/>
          <w:b/>
          <w:bCs/>
          <w:sz w:val="24"/>
          <w:szCs w:val="24"/>
        </w:rPr>
        <w:t>1</w:t>
      </w:r>
      <w:r w:rsidR="00AD1FE2">
        <w:rPr>
          <w:rFonts w:asciiTheme="minorBidi" w:hAnsiTheme="minorBidi"/>
          <w:b/>
          <w:bCs/>
          <w:sz w:val="24"/>
          <w:szCs w:val="24"/>
        </w:rPr>
        <w:t>8</w:t>
      </w:r>
      <w:r w:rsidR="00BC4F34">
        <w:rPr>
          <w:rFonts w:asciiTheme="minorBidi" w:hAnsiTheme="minorBidi"/>
          <w:b/>
          <w:bCs/>
          <w:sz w:val="24"/>
          <w:szCs w:val="24"/>
        </w:rPr>
        <w:t>5</w:t>
      </w:r>
    </w:p>
    <w:bookmarkStart w:id="158" w:name="A2"/>
    <w:bookmarkStart w:id="159" w:name="C83"/>
    <w:bookmarkEnd w:id="156"/>
    <w:bookmarkEnd w:id="157"/>
    <w:p w14:paraId="6D4804B3" w14:textId="3A637A82" w:rsidR="00FC0107" w:rsidRPr="00584DBC" w:rsidRDefault="00F122DC" w:rsidP="003F2E92">
      <w:pPr>
        <w:pStyle w:val="NoSpacing"/>
        <w:spacing w:line="480" w:lineRule="auto"/>
        <w:rPr>
          <w:b/>
          <w:bCs/>
          <w:sz w:val="24"/>
          <w:szCs w:val="24"/>
        </w:rPr>
      </w:pPr>
      <w:r w:rsidRPr="00584DBC">
        <w:rPr>
          <w:rFonts w:asciiTheme="minorBidi" w:hAnsiTheme="minorBidi"/>
          <w:b/>
          <w:bCs/>
          <w:sz w:val="24"/>
          <w:szCs w:val="24"/>
        </w:rPr>
        <w:fldChar w:fldCharType="begin"/>
      </w:r>
      <w:r w:rsidRPr="00584DBC">
        <w:rPr>
          <w:rFonts w:asciiTheme="minorBidi" w:hAnsiTheme="minorBidi"/>
          <w:b/>
          <w:bCs/>
          <w:sz w:val="24"/>
          <w:szCs w:val="24"/>
        </w:rPr>
        <w:instrText>HYPERLINK  \l "D83"</w:instrText>
      </w:r>
      <w:r w:rsidRPr="00584DBC">
        <w:rPr>
          <w:rFonts w:asciiTheme="minorBidi" w:hAnsiTheme="minorBidi"/>
          <w:b/>
          <w:bCs/>
          <w:sz w:val="24"/>
          <w:szCs w:val="24"/>
        </w:rPr>
      </w:r>
      <w:r w:rsidRPr="00584DBC">
        <w:rPr>
          <w:rFonts w:asciiTheme="minorBidi" w:hAnsiTheme="minorBidi"/>
          <w:b/>
          <w:bCs/>
          <w:sz w:val="24"/>
          <w:szCs w:val="24"/>
        </w:rPr>
        <w:fldChar w:fldCharType="separate"/>
      </w:r>
      <w:r w:rsidR="00FC0107" w:rsidRPr="00584DBC">
        <w:rPr>
          <w:rStyle w:val="Hyperlink"/>
          <w:rFonts w:asciiTheme="minorBidi" w:hAnsiTheme="minorBidi"/>
          <w:b/>
          <w:bCs/>
          <w:sz w:val="24"/>
          <w:szCs w:val="24"/>
        </w:rPr>
        <w:t>3.2 Research Design</w:t>
      </w:r>
      <w:r w:rsidRPr="00584DBC">
        <w:rPr>
          <w:rFonts w:asciiTheme="minorBidi" w:hAnsiTheme="minorBidi"/>
          <w:b/>
          <w:bCs/>
          <w:sz w:val="24"/>
          <w:szCs w:val="24"/>
        </w:rPr>
        <w:fldChar w:fldCharType="end"/>
      </w:r>
      <w:r w:rsidR="00EE227A">
        <w:rPr>
          <w:rFonts w:asciiTheme="minorBidi" w:hAnsiTheme="minorBidi"/>
          <w:b/>
          <w:bCs/>
          <w:sz w:val="24"/>
          <w:szCs w:val="24"/>
        </w:rPr>
        <w:t>……………………………………………………………...</w:t>
      </w:r>
      <w:r w:rsidR="00801B78">
        <w:rPr>
          <w:rFonts w:asciiTheme="minorBidi" w:hAnsiTheme="minorBidi"/>
          <w:b/>
          <w:bCs/>
          <w:sz w:val="24"/>
          <w:szCs w:val="24"/>
        </w:rPr>
        <w:t xml:space="preserve">...     </w:t>
      </w:r>
      <w:r w:rsidR="00EE227A">
        <w:rPr>
          <w:rFonts w:asciiTheme="minorBidi" w:hAnsiTheme="minorBidi"/>
          <w:b/>
          <w:bCs/>
          <w:sz w:val="24"/>
          <w:szCs w:val="24"/>
        </w:rPr>
        <w:t>1</w:t>
      </w:r>
      <w:r w:rsidR="00AD1FE2">
        <w:rPr>
          <w:rFonts w:asciiTheme="minorBidi" w:hAnsiTheme="minorBidi"/>
          <w:b/>
          <w:bCs/>
          <w:sz w:val="24"/>
          <w:szCs w:val="24"/>
        </w:rPr>
        <w:t>8</w:t>
      </w:r>
      <w:r w:rsidR="00EE227A">
        <w:rPr>
          <w:rFonts w:asciiTheme="minorBidi" w:hAnsiTheme="minorBidi"/>
          <w:b/>
          <w:bCs/>
          <w:sz w:val="24"/>
          <w:szCs w:val="24"/>
        </w:rPr>
        <w:t>9</w:t>
      </w:r>
    </w:p>
    <w:bookmarkStart w:id="160" w:name="A3"/>
    <w:bookmarkStart w:id="161" w:name="C84"/>
    <w:bookmarkEnd w:id="158"/>
    <w:bookmarkEnd w:id="159"/>
    <w:p w14:paraId="7EE93AA3" w14:textId="124E20B4" w:rsidR="00FC0107" w:rsidRPr="00584DBC" w:rsidRDefault="00F122DC" w:rsidP="003F2E92">
      <w:pPr>
        <w:pStyle w:val="NoSpacing"/>
        <w:spacing w:line="480" w:lineRule="auto"/>
        <w:rPr>
          <w:rFonts w:eastAsia="Times New Roman"/>
          <w:b/>
          <w:bCs/>
          <w:kern w:val="0"/>
          <w:sz w:val="24"/>
          <w:szCs w:val="24"/>
          <w14:ligatures w14:val="none"/>
        </w:rPr>
      </w:pPr>
      <w:r w:rsidRPr="00584DBC">
        <w:rPr>
          <w:rFonts w:asciiTheme="minorBidi" w:eastAsia="Times New Roman" w:hAnsiTheme="minorBidi"/>
          <w:b/>
          <w:bCs/>
          <w:kern w:val="0"/>
          <w:sz w:val="24"/>
          <w:szCs w:val="24"/>
          <w14:ligatures w14:val="none"/>
        </w:rPr>
        <w:fldChar w:fldCharType="begin"/>
      </w:r>
      <w:r w:rsidRPr="00584DBC">
        <w:rPr>
          <w:rFonts w:asciiTheme="minorBidi" w:eastAsia="Times New Roman" w:hAnsiTheme="minorBidi"/>
          <w:b/>
          <w:bCs/>
          <w:kern w:val="0"/>
          <w:sz w:val="24"/>
          <w:szCs w:val="24"/>
          <w14:ligatures w14:val="none"/>
        </w:rPr>
        <w:instrText>HYPERLINK  \l "D84"</w:instrText>
      </w:r>
      <w:r w:rsidRPr="00584DBC">
        <w:rPr>
          <w:rFonts w:asciiTheme="minorBidi" w:eastAsia="Times New Roman" w:hAnsiTheme="minorBidi"/>
          <w:b/>
          <w:bCs/>
          <w:kern w:val="0"/>
          <w:sz w:val="24"/>
          <w:szCs w:val="24"/>
          <w14:ligatures w14:val="none"/>
        </w:rPr>
      </w:r>
      <w:r w:rsidRPr="00584DBC">
        <w:rPr>
          <w:rFonts w:asciiTheme="minorBidi" w:eastAsia="Times New Roman" w:hAnsiTheme="minorBidi"/>
          <w:b/>
          <w:bCs/>
          <w:kern w:val="0"/>
          <w:sz w:val="24"/>
          <w:szCs w:val="24"/>
          <w14:ligatures w14:val="none"/>
        </w:rPr>
        <w:fldChar w:fldCharType="separate"/>
      </w:r>
      <w:r w:rsidR="00FC0107" w:rsidRPr="00584DBC">
        <w:rPr>
          <w:rStyle w:val="Hyperlink"/>
          <w:rFonts w:asciiTheme="minorBidi" w:eastAsia="Times New Roman" w:hAnsiTheme="minorBidi"/>
          <w:b/>
          <w:bCs/>
          <w:kern w:val="0"/>
          <w:sz w:val="24"/>
          <w:szCs w:val="24"/>
          <w14:ligatures w14:val="none"/>
        </w:rPr>
        <w:t>3.2.1 Philosophical Position</w:t>
      </w:r>
      <w:r w:rsidRPr="00584DBC">
        <w:rPr>
          <w:rFonts w:asciiTheme="minorBidi" w:eastAsia="Times New Roman" w:hAnsiTheme="minorBidi"/>
          <w:b/>
          <w:bCs/>
          <w:kern w:val="0"/>
          <w:sz w:val="24"/>
          <w:szCs w:val="24"/>
          <w14:ligatures w14:val="none"/>
        </w:rPr>
        <w:fldChar w:fldCharType="end"/>
      </w:r>
      <w:r w:rsidR="00143958">
        <w:rPr>
          <w:rFonts w:asciiTheme="minorBidi" w:eastAsia="Times New Roman" w:hAnsiTheme="minorBidi"/>
          <w:b/>
          <w:bCs/>
          <w:kern w:val="0"/>
          <w:sz w:val="24"/>
          <w:szCs w:val="24"/>
          <w14:ligatures w14:val="none"/>
        </w:rPr>
        <w:t>……………………………………………………</w:t>
      </w:r>
      <w:r w:rsidR="00801B78">
        <w:rPr>
          <w:rFonts w:asciiTheme="minorBidi" w:eastAsia="Times New Roman" w:hAnsiTheme="minorBidi"/>
          <w:b/>
          <w:bCs/>
          <w:kern w:val="0"/>
          <w:sz w:val="24"/>
          <w:szCs w:val="24"/>
          <w14:ligatures w14:val="none"/>
        </w:rPr>
        <w:t xml:space="preserve">….     </w:t>
      </w:r>
      <w:r w:rsidR="00143958">
        <w:rPr>
          <w:rFonts w:asciiTheme="minorBidi" w:eastAsia="Times New Roman" w:hAnsiTheme="minorBidi"/>
          <w:b/>
          <w:bCs/>
          <w:kern w:val="0"/>
          <w:sz w:val="24"/>
          <w:szCs w:val="24"/>
          <w14:ligatures w14:val="none"/>
        </w:rPr>
        <w:t>1</w:t>
      </w:r>
      <w:r w:rsidR="00AD1FE2">
        <w:rPr>
          <w:rFonts w:asciiTheme="minorBidi" w:eastAsia="Times New Roman" w:hAnsiTheme="minorBidi"/>
          <w:b/>
          <w:bCs/>
          <w:kern w:val="0"/>
          <w:sz w:val="24"/>
          <w:szCs w:val="24"/>
          <w14:ligatures w14:val="none"/>
        </w:rPr>
        <w:t>8</w:t>
      </w:r>
      <w:r w:rsidR="00143958">
        <w:rPr>
          <w:rFonts w:asciiTheme="minorBidi" w:eastAsia="Times New Roman" w:hAnsiTheme="minorBidi"/>
          <w:b/>
          <w:bCs/>
          <w:kern w:val="0"/>
          <w:sz w:val="24"/>
          <w:szCs w:val="24"/>
          <w14:ligatures w14:val="none"/>
        </w:rPr>
        <w:t>9</w:t>
      </w:r>
    </w:p>
    <w:bookmarkStart w:id="162" w:name="A4"/>
    <w:bookmarkStart w:id="163" w:name="C85"/>
    <w:bookmarkEnd w:id="160"/>
    <w:bookmarkEnd w:id="161"/>
    <w:p w14:paraId="547B89E8" w14:textId="3186BB63" w:rsidR="00FC0107" w:rsidRPr="00584DBC" w:rsidRDefault="00F122DC" w:rsidP="003F2E92">
      <w:pPr>
        <w:pStyle w:val="NoSpacing"/>
        <w:spacing w:line="480" w:lineRule="auto"/>
        <w:rPr>
          <w:rFonts w:eastAsia="Times New Roman"/>
          <w:b/>
          <w:bCs/>
          <w:kern w:val="0"/>
          <w:sz w:val="24"/>
          <w:szCs w:val="24"/>
          <w14:ligatures w14:val="none"/>
        </w:rPr>
      </w:pPr>
      <w:r w:rsidRPr="00584DBC">
        <w:rPr>
          <w:rFonts w:asciiTheme="minorBidi" w:eastAsia="Times New Roman" w:hAnsiTheme="minorBidi"/>
          <w:b/>
          <w:bCs/>
          <w:kern w:val="0"/>
          <w:sz w:val="24"/>
          <w:szCs w:val="24"/>
          <w14:ligatures w14:val="none"/>
        </w:rPr>
        <w:fldChar w:fldCharType="begin"/>
      </w:r>
      <w:r w:rsidRPr="00584DBC">
        <w:rPr>
          <w:rFonts w:asciiTheme="minorBidi" w:eastAsia="Times New Roman" w:hAnsiTheme="minorBidi"/>
          <w:b/>
          <w:bCs/>
          <w:kern w:val="0"/>
          <w:sz w:val="24"/>
          <w:szCs w:val="24"/>
          <w14:ligatures w14:val="none"/>
        </w:rPr>
        <w:instrText>HYPERLINK  \l "D85"</w:instrText>
      </w:r>
      <w:r w:rsidRPr="00584DBC">
        <w:rPr>
          <w:rFonts w:asciiTheme="minorBidi" w:eastAsia="Times New Roman" w:hAnsiTheme="minorBidi"/>
          <w:b/>
          <w:bCs/>
          <w:kern w:val="0"/>
          <w:sz w:val="24"/>
          <w:szCs w:val="24"/>
          <w14:ligatures w14:val="none"/>
        </w:rPr>
      </w:r>
      <w:r w:rsidRPr="00584DBC">
        <w:rPr>
          <w:rFonts w:asciiTheme="minorBidi" w:eastAsia="Times New Roman" w:hAnsiTheme="minorBidi"/>
          <w:b/>
          <w:bCs/>
          <w:kern w:val="0"/>
          <w:sz w:val="24"/>
          <w:szCs w:val="24"/>
          <w14:ligatures w14:val="none"/>
        </w:rPr>
        <w:fldChar w:fldCharType="separate"/>
      </w:r>
      <w:r w:rsidR="00FC0107" w:rsidRPr="00584DBC">
        <w:rPr>
          <w:rStyle w:val="Hyperlink"/>
          <w:rFonts w:asciiTheme="minorBidi" w:eastAsia="Times New Roman" w:hAnsiTheme="minorBidi"/>
          <w:b/>
          <w:bCs/>
          <w:kern w:val="0"/>
          <w:sz w:val="24"/>
          <w:szCs w:val="24"/>
          <w14:ligatures w14:val="none"/>
        </w:rPr>
        <w:t>3.2.2 Deductive v Inductive Approach</w:t>
      </w:r>
      <w:r w:rsidRPr="00584DBC">
        <w:rPr>
          <w:rFonts w:asciiTheme="minorBidi" w:eastAsia="Times New Roman" w:hAnsiTheme="minorBidi"/>
          <w:b/>
          <w:bCs/>
          <w:kern w:val="0"/>
          <w:sz w:val="24"/>
          <w:szCs w:val="24"/>
          <w14:ligatures w14:val="none"/>
        </w:rPr>
        <w:fldChar w:fldCharType="end"/>
      </w:r>
      <w:r w:rsidR="00EE227A">
        <w:rPr>
          <w:rFonts w:asciiTheme="minorBidi" w:eastAsia="Times New Roman" w:hAnsiTheme="minorBidi"/>
          <w:b/>
          <w:bCs/>
          <w:kern w:val="0"/>
          <w:sz w:val="24"/>
          <w:szCs w:val="24"/>
          <w14:ligatures w14:val="none"/>
        </w:rPr>
        <w:t>…………………………………………</w:t>
      </w:r>
      <w:r w:rsidR="00801B78">
        <w:rPr>
          <w:rFonts w:asciiTheme="minorBidi" w:eastAsia="Times New Roman" w:hAnsiTheme="minorBidi"/>
          <w:b/>
          <w:bCs/>
          <w:kern w:val="0"/>
          <w:sz w:val="24"/>
          <w:szCs w:val="24"/>
          <w14:ligatures w14:val="none"/>
        </w:rPr>
        <w:t xml:space="preserve">…    </w:t>
      </w:r>
      <w:r w:rsidR="00EE227A">
        <w:rPr>
          <w:rFonts w:asciiTheme="minorBidi" w:eastAsia="Times New Roman" w:hAnsiTheme="minorBidi"/>
          <w:b/>
          <w:bCs/>
          <w:kern w:val="0"/>
          <w:sz w:val="24"/>
          <w:szCs w:val="24"/>
          <w14:ligatures w14:val="none"/>
        </w:rPr>
        <w:t>204</w:t>
      </w:r>
    </w:p>
    <w:bookmarkStart w:id="164" w:name="A5"/>
    <w:bookmarkStart w:id="165" w:name="C86"/>
    <w:bookmarkEnd w:id="162"/>
    <w:bookmarkEnd w:id="163"/>
    <w:p w14:paraId="22666B84" w14:textId="7F9751ED" w:rsidR="00FC0107" w:rsidRPr="00584DBC" w:rsidRDefault="00F122DC" w:rsidP="003F2E92">
      <w:pPr>
        <w:pStyle w:val="NoSpacing"/>
        <w:spacing w:line="480" w:lineRule="auto"/>
        <w:rPr>
          <w:rFonts w:ascii="Arial" w:hAnsi="Arial" w:cs="Arial"/>
          <w:b/>
          <w:bCs/>
          <w:sz w:val="24"/>
          <w:szCs w:val="24"/>
        </w:rPr>
      </w:pPr>
      <w:r w:rsidRPr="00584DBC">
        <w:rPr>
          <w:rFonts w:ascii="Arial" w:hAnsi="Arial" w:cs="Arial"/>
          <w:b/>
          <w:bCs/>
          <w:sz w:val="24"/>
          <w:szCs w:val="24"/>
        </w:rPr>
        <w:fldChar w:fldCharType="begin"/>
      </w:r>
      <w:r w:rsidRPr="00584DBC">
        <w:rPr>
          <w:rFonts w:ascii="Arial" w:hAnsi="Arial" w:cs="Arial"/>
          <w:b/>
          <w:bCs/>
          <w:sz w:val="24"/>
          <w:szCs w:val="24"/>
        </w:rPr>
        <w:instrText>HYPERLINK  \l "D86"</w:instrText>
      </w:r>
      <w:r w:rsidRPr="00584DBC">
        <w:rPr>
          <w:rFonts w:ascii="Arial" w:hAnsi="Arial" w:cs="Arial"/>
          <w:b/>
          <w:bCs/>
          <w:sz w:val="24"/>
          <w:szCs w:val="24"/>
        </w:rPr>
      </w:r>
      <w:r w:rsidRPr="00584DBC">
        <w:rPr>
          <w:rFonts w:ascii="Arial" w:hAnsi="Arial" w:cs="Arial"/>
          <w:b/>
          <w:bCs/>
          <w:sz w:val="24"/>
          <w:szCs w:val="24"/>
        </w:rPr>
        <w:fldChar w:fldCharType="separate"/>
      </w:r>
      <w:r w:rsidR="00FC0107" w:rsidRPr="00584DBC">
        <w:rPr>
          <w:rStyle w:val="Hyperlink"/>
          <w:rFonts w:ascii="Arial" w:hAnsi="Arial" w:cs="Arial"/>
          <w:b/>
          <w:bCs/>
          <w:sz w:val="24"/>
          <w:szCs w:val="24"/>
        </w:rPr>
        <w:t>3.2.3 Research Strategy</w:t>
      </w:r>
      <w:r w:rsidRPr="00584DBC">
        <w:rPr>
          <w:rFonts w:ascii="Arial" w:hAnsi="Arial" w:cs="Arial"/>
          <w:b/>
          <w:bCs/>
          <w:sz w:val="24"/>
          <w:szCs w:val="24"/>
        </w:rPr>
        <w:fldChar w:fldCharType="end"/>
      </w:r>
      <w:r w:rsidR="00EE227A">
        <w:rPr>
          <w:rFonts w:ascii="Arial" w:hAnsi="Arial" w:cs="Arial"/>
          <w:b/>
          <w:bCs/>
          <w:sz w:val="24"/>
          <w:szCs w:val="24"/>
        </w:rPr>
        <w:t>…………………………………………………………</w:t>
      </w:r>
      <w:r w:rsidR="00801B78">
        <w:rPr>
          <w:rFonts w:ascii="Arial" w:hAnsi="Arial" w:cs="Arial"/>
          <w:b/>
          <w:bCs/>
          <w:sz w:val="24"/>
          <w:szCs w:val="24"/>
        </w:rPr>
        <w:t xml:space="preserve">….   </w:t>
      </w:r>
      <w:r w:rsidR="00AD1FE2">
        <w:rPr>
          <w:rFonts w:ascii="Arial" w:hAnsi="Arial" w:cs="Arial"/>
          <w:b/>
          <w:bCs/>
          <w:sz w:val="24"/>
          <w:szCs w:val="24"/>
        </w:rPr>
        <w:t xml:space="preserve"> 195</w:t>
      </w:r>
    </w:p>
    <w:bookmarkStart w:id="166" w:name="A6"/>
    <w:bookmarkStart w:id="167" w:name="C87"/>
    <w:bookmarkEnd w:id="164"/>
    <w:bookmarkEnd w:id="165"/>
    <w:p w14:paraId="4E375F73" w14:textId="0D636CE9" w:rsidR="00FC0107" w:rsidRPr="00584DBC" w:rsidRDefault="00F122DC" w:rsidP="003F2E92">
      <w:pPr>
        <w:pStyle w:val="NoSpacing"/>
        <w:spacing w:line="480" w:lineRule="auto"/>
        <w:rPr>
          <w:rFonts w:ascii="Arial" w:hAnsi="Arial" w:cs="Arial"/>
          <w:b/>
          <w:bCs/>
          <w:sz w:val="24"/>
          <w:szCs w:val="24"/>
        </w:rPr>
      </w:pPr>
      <w:r w:rsidRPr="00584DBC">
        <w:rPr>
          <w:rFonts w:ascii="Arial" w:hAnsi="Arial" w:cs="Arial"/>
          <w:b/>
          <w:bCs/>
          <w:sz w:val="24"/>
          <w:szCs w:val="24"/>
        </w:rPr>
        <w:fldChar w:fldCharType="begin"/>
      </w:r>
      <w:r w:rsidRPr="00584DBC">
        <w:rPr>
          <w:rFonts w:ascii="Arial" w:hAnsi="Arial" w:cs="Arial"/>
          <w:b/>
          <w:bCs/>
          <w:sz w:val="24"/>
          <w:szCs w:val="24"/>
        </w:rPr>
        <w:instrText>HYPERLINK  \l "D87"</w:instrText>
      </w:r>
      <w:r w:rsidRPr="00584DBC">
        <w:rPr>
          <w:rFonts w:ascii="Arial" w:hAnsi="Arial" w:cs="Arial"/>
          <w:b/>
          <w:bCs/>
          <w:sz w:val="24"/>
          <w:szCs w:val="24"/>
        </w:rPr>
      </w:r>
      <w:r w:rsidRPr="00584DBC">
        <w:rPr>
          <w:rFonts w:ascii="Arial" w:hAnsi="Arial" w:cs="Arial"/>
          <w:b/>
          <w:bCs/>
          <w:sz w:val="24"/>
          <w:szCs w:val="24"/>
        </w:rPr>
        <w:fldChar w:fldCharType="separate"/>
      </w:r>
      <w:r w:rsidR="00FC0107" w:rsidRPr="00584DBC">
        <w:rPr>
          <w:rStyle w:val="Hyperlink"/>
          <w:rFonts w:ascii="Arial" w:hAnsi="Arial" w:cs="Arial"/>
          <w:b/>
          <w:bCs/>
          <w:sz w:val="24"/>
          <w:szCs w:val="24"/>
        </w:rPr>
        <w:t>3.2.4 Quantitative, Qualitative, &amp; Mixed Method Research Design</w:t>
      </w:r>
      <w:r w:rsidRPr="00584DBC">
        <w:rPr>
          <w:rFonts w:ascii="Arial" w:hAnsi="Arial" w:cs="Arial"/>
          <w:b/>
          <w:bCs/>
          <w:sz w:val="24"/>
          <w:szCs w:val="24"/>
        </w:rPr>
        <w:fldChar w:fldCharType="end"/>
      </w:r>
      <w:r w:rsidR="00EE227A">
        <w:rPr>
          <w:rFonts w:ascii="Arial" w:hAnsi="Arial" w:cs="Arial"/>
          <w:b/>
          <w:bCs/>
          <w:sz w:val="24"/>
          <w:szCs w:val="24"/>
        </w:rPr>
        <w:t>………</w:t>
      </w:r>
      <w:r w:rsidR="00801B78">
        <w:rPr>
          <w:rFonts w:ascii="Arial" w:hAnsi="Arial" w:cs="Arial"/>
          <w:b/>
          <w:bCs/>
          <w:sz w:val="24"/>
          <w:szCs w:val="24"/>
        </w:rPr>
        <w:t xml:space="preserve">….   </w:t>
      </w:r>
      <w:r w:rsidR="00EE227A">
        <w:rPr>
          <w:rFonts w:ascii="Arial" w:hAnsi="Arial" w:cs="Arial"/>
          <w:b/>
          <w:bCs/>
          <w:sz w:val="24"/>
          <w:szCs w:val="24"/>
        </w:rPr>
        <w:t>2</w:t>
      </w:r>
      <w:r w:rsidR="00137B70">
        <w:rPr>
          <w:rFonts w:ascii="Arial" w:hAnsi="Arial" w:cs="Arial"/>
          <w:b/>
          <w:bCs/>
          <w:sz w:val="24"/>
          <w:szCs w:val="24"/>
        </w:rPr>
        <w:t>01</w:t>
      </w:r>
    </w:p>
    <w:bookmarkStart w:id="168" w:name="A7"/>
    <w:bookmarkStart w:id="169" w:name="C88"/>
    <w:bookmarkEnd w:id="166"/>
    <w:bookmarkEnd w:id="167"/>
    <w:p w14:paraId="3D5596F8" w14:textId="1697F5DA" w:rsidR="00FC0107" w:rsidRPr="00584DBC" w:rsidRDefault="00F122DC" w:rsidP="003F2E92">
      <w:pPr>
        <w:pStyle w:val="NoSpacing"/>
        <w:spacing w:line="480" w:lineRule="auto"/>
        <w:rPr>
          <w:rFonts w:ascii="Arial" w:hAnsi="Arial" w:cs="Arial"/>
          <w:b/>
          <w:bCs/>
          <w:sz w:val="24"/>
          <w:szCs w:val="24"/>
        </w:rPr>
      </w:pPr>
      <w:r w:rsidRPr="00584DBC">
        <w:rPr>
          <w:rFonts w:ascii="Arial" w:hAnsi="Arial" w:cs="Arial"/>
          <w:b/>
          <w:bCs/>
          <w:sz w:val="24"/>
          <w:szCs w:val="24"/>
        </w:rPr>
        <w:fldChar w:fldCharType="begin"/>
      </w:r>
      <w:r w:rsidRPr="00584DBC">
        <w:rPr>
          <w:rFonts w:ascii="Arial" w:hAnsi="Arial" w:cs="Arial"/>
          <w:b/>
          <w:bCs/>
          <w:sz w:val="24"/>
          <w:szCs w:val="24"/>
        </w:rPr>
        <w:instrText>HYPERLINK  \l "D88"</w:instrText>
      </w:r>
      <w:r w:rsidRPr="00584DBC">
        <w:rPr>
          <w:rFonts w:ascii="Arial" w:hAnsi="Arial" w:cs="Arial"/>
          <w:b/>
          <w:bCs/>
          <w:sz w:val="24"/>
          <w:szCs w:val="24"/>
        </w:rPr>
      </w:r>
      <w:r w:rsidRPr="00584DBC">
        <w:rPr>
          <w:rFonts w:ascii="Arial" w:hAnsi="Arial" w:cs="Arial"/>
          <w:b/>
          <w:bCs/>
          <w:sz w:val="24"/>
          <w:szCs w:val="24"/>
        </w:rPr>
        <w:fldChar w:fldCharType="separate"/>
      </w:r>
      <w:r w:rsidR="00FC0107" w:rsidRPr="00584DBC">
        <w:rPr>
          <w:rStyle w:val="Hyperlink"/>
          <w:rFonts w:ascii="Arial" w:hAnsi="Arial" w:cs="Arial"/>
          <w:b/>
          <w:bCs/>
          <w:sz w:val="24"/>
          <w:szCs w:val="24"/>
        </w:rPr>
        <w:t>3.2.5 Data Collection and Sampling</w:t>
      </w:r>
      <w:r w:rsidRPr="00584DBC">
        <w:rPr>
          <w:rFonts w:ascii="Arial" w:hAnsi="Arial" w:cs="Arial"/>
          <w:b/>
          <w:bCs/>
          <w:sz w:val="24"/>
          <w:szCs w:val="24"/>
        </w:rPr>
        <w:fldChar w:fldCharType="end"/>
      </w:r>
      <w:r w:rsidR="00EE227A">
        <w:rPr>
          <w:rFonts w:ascii="Arial" w:hAnsi="Arial" w:cs="Arial"/>
          <w:b/>
          <w:bCs/>
          <w:sz w:val="24"/>
          <w:szCs w:val="24"/>
        </w:rPr>
        <w:t>……………………………………………</w:t>
      </w:r>
      <w:r w:rsidR="00801B78">
        <w:rPr>
          <w:rFonts w:ascii="Arial" w:hAnsi="Arial" w:cs="Arial"/>
          <w:b/>
          <w:bCs/>
          <w:sz w:val="24"/>
          <w:szCs w:val="24"/>
        </w:rPr>
        <w:t xml:space="preserve">….   </w:t>
      </w:r>
      <w:r w:rsidR="00EE227A">
        <w:rPr>
          <w:rFonts w:ascii="Arial" w:hAnsi="Arial" w:cs="Arial"/>
          <w:b/>
          <w:bCs/>
          <w:sz w:val="24"/>
          <w:szCs w:val="24"/>
        </w:rPr>
        <w:t>2</w:t>
      </w:r>
      <w:r w:rsidR="00B95103">
        <w:rPr>
          <w:rFonts w:ascii="Arial" w:hAnsi="Arial" w:cs="Arial"/>
          <w:b/>
          <w:bCs/>
          <w:sz w:val="24"/>
          <w:szCs w:val="24"/>
        </w:rPr>
        <w:t>04</w:t>
      </w:r>
    </w:p>
    <w:bookmarkStart w:id="170" w:name="A8"/>
    <w:bookmarkStart w:id="171" w:name="C89"/>
    <w:bookmarkEnd w:id="168"/>
    <w:bookmarkEnd w:id="169"/>
    <w:p w14:paraId="178D79EB" w14:textId="18B48148" w:rsidR="00FC0107" w:rsidRPr="00584DBC" w:rsidRDefault="00F122DC" w:rsidP="003F2E92">
      <w:pPr>
        <w:pStyle w:val="NoSpacing"/>
        <w:spacing w:line="480" w:lineRule="auto"/>
        <w:rPr>
          <w:rFonts w:ascii="Arial" w:hAnsi="Arial" w:cs="Arial"/>
          <w:b/>
          <w:bCs/>
          <w:sz w:val="24"/>
          <w:szCs w:val="24"/>
        </w:rPr>
      </w:pPr>
      <w:r w:rsidRPr="00584DBC">
        <w:rPr>
          <w:rFonts w:ascii="Arial" w:hAnsi="Arial" w:cs="Arial"/>
          <w:b/>
          <w:bCs/>
          <w:sz w:val="24"/>
          <w:szCs w:val="24"/>
        </w:rPr>
        <w:fldChar w:fldCharType="begin"/>
      </w:r>
      <w:r w:rsidRPr="00584DBC">
        <w:rPr>
          <w:rFonts w:ascii="Arial" w:hAnsi="Arial" w:cs="Arial"/>
          <w:b/>
          <w:bCs/>
          <w:sz w:val="24"/>
          <w:szCs w:val="24"/>
        </w:rPr>
        <w:instrText>HYPERLINK  \l "D89"</w:instrText>
      </w:r>
      <w:r w:rsidRPr="00584DBC">
        <w:rPr>
          <w:rFonts w:ascii="Arial" w:hAnsi="Arial" w:cs="Arial"/>
          <w:b/>
          <w:bCs/>
          <w:sz w:val="24"/>
          <w:szCs w:val="24"/>
        </w:rPr>
      </w:r>
      <w:r w:rsidRPr="00584DBC">
        <w:rPr>
          <w:rFonts w:ascii="Arial" w:hAnsi="Arial" w:cs="Arial"/>
          <w:b/>
          <w:bCs/>
          <w:sz w:val="24"/>
          <w:szCs w:val="24"/>
        </w:rPr>
        <w:fldChar w:fldCharType="separate"/>
      </w:r>
      <w:r w:rsidR="00FC0107" w:rsidRPr="00584DBC">
        <w:rPr>
          <w:rStyle w:val="Hyperlink"/>
          <w:rFonts w:ascii="Arial" w:hAnsi="Arial" w:cs="Arial"/>
          <w:b/>
          <w:bCs/>
          <w:sz w:val="24"/>
          <w:szCs w:val="24"/>
        </w:rPr>
        <w:t>3.2.5.1 Sampling and Validity</w:t>
      </w:r>
      <w:r w:rsidRPr="00584DBC">
        <w:rPr>
          <w:rFonts w:ascii="Arial" w:hAnsi="Arial" w:cs="Arial"/>
          <w:b/>
          <w:bCs/>
          <w:sz w:val="24"/>
          <w:szCs w:val="24"/>
        </w:rPr>
        <w:fldChar w:fldCharType="end"/>
      </w:r>
      <w:r w:rsidR="00EE227A">
        <w:rPr>
          <w:rFonts w:ascii="Arial" w:hAnsi="Arial" w:cs="Arial"/>
          <w:b/>
          <w:bCs/>
          <w:sz w:val="24"/>
          <w:szCs w:val="24"/>
        </w:rPr>
        <w:t>……………………………………………………</w:t>
      </w:r>
      <w:r w:rsidR="00801B78">
        <w:rPr>
          <w:rFonts w:ascii="Arial" w:hAnsi="Arial" w:cs="Arial"/>
          <w:b/>
          <w:bCs/>
          <w:sz w:val="24"/>
          <w:szCs w:val="24"/>
        </w:rPr>
        <w:t xml:space="preserve">…    </w:t>
      </w:r>
      <w:r w:rsidR="00EE227A">
        <w:rPr>
          <w:rFonts w:ascii="Arial" w:hAnsi="Arial" w:cs="Arial"/>
          <w:b/>
          <w:bCs/>
          <w:sz w:val="24"/>
          <w:szCs w:val="24"/>
        </w:rPr>
        <w:t>2</w:t>
      </w:r>
      <w:r w:rsidR="00B95103">
        <w:rPr>
          <w:rFonts w:ascii="Arial" w:hAnsi="Arial" w:cs="Arial"/>
          <w:b/>
          <w:bCs/>
          <w:sz w:val="24"/>
          <w:szCs w:val="24"/>
        </w:rPr>
        <w:t>08</w:t>
      </w:r>
    </w:p>
    <w:bookmarkStart w:id="172" w:name="A9"/>
    <w:bookmarkStart w:id="173" w:name="C90"/>
    <w:bookmarkEnd w:id="170"/>
    <w:bookmarkEnd w:id="171"/>
    <w:p w14:paraId="298AED56" w14:textId="4833C8AC" w:rsidR="00FC0107" w:rsidRPr="00584DBC" w:rsidRDefault="00F122DC" w:rsidP="003F2E92">
      <w:pPr>
        <w:pStyle w:val="NoSpacing"/>
        <w:spacing w:line="480" w:lineRule="auto"/>
        <w:rPr>
          <w:b/>
          <w:bCs/>
          <w:sz w:val="24"/>
          <w:szCs w:val="24"/>
        </w:rPr>
      </w:pPr>
      <w:r w:rsidRPr="00584DBC">
        <w:rPr>
          <w:rFonts w:asciiTheme="minorBidi" w:hAnsiTheme="minorBidi"/>
          <w:b/>
          <w:bCs/>
          <w:sz w:val="24"/>
          <w:szCs w:val="24"/>
        </w:rPr>
        <w:fldChar w:fldCharType="begin"/>
      </w:r>
      <w:r w:rsidRPr="00584DBC">
        <w:rPr>
          <w:rFonts w:asciiTheme="minorBidi" w:hAnsiTheme="minorBidi"/>
          <w:b/>
          <w:bCs/>
          <w:sz w:val="24"/>
          <w:szCs w:val="24"/>
        </w:rPr>
        <w:instrText>HYPERLINK  \l "D90"</w:instrText>
      </w:r>
      <w:r w:rsidRPr="00584DBC">
        <w:rPr>
          <w:rFonts w:asciiTheme="minorBidi" w:hAnsiTheme="minorBidi"/>
          <w:b/>
          <w:bCs/>
          <w:sz w:val="24"/>
          <w:szCs w:val="24"/>
        </w:rPr>
      </w:r>
      <w:r w:rsidRPr="00584DBC">
        <w:rPr>
          <w:rFonts w:asciiTheme="minorBidi" w:hAnsiTheme="minorBidi"/>
          <w:b/>
          <w:bCs/>
          <w:sz w:val="24"/>
          <w:szCs w:val="24"/>
        </w:rPr>
        <w:fldChar w:fldCharType="separate"/>
      </w:r>
      <w:r w:rsidR="00FC0107" w:rsidRPr="00584DBC">
        <w:rPr>
          <w:rStyle w:val="Hyperlink"/>
          <w:rFonts w:asciiTheme="minorBidi" w:hAnsiTheme="minorBidi"/>
          <w:b/>
          <w:bCs/>
          <w:sz w:val="24"/>
          <w:szCs w:val="24"/>
        </w:rPr>
        <w:t>3.2.6 Time Horizons and Ethical Considerations</w:t>
      </w:r>
      <w:r w:rsidRPr="00584DBC">
        <w:rPr>
          <w:rFonts w:asciiTheme="minorBidi" w:hAnsiTheme="minorBidi"/>
          <w:b/>
          <w:bCs/>
          <w:sz w:val="24"/>
          <w:szCs w:val="24"/>
        </w:rPr>
        <w:fldChar w:fldCharType="end"/>
      </w:r>
      <w:r w:rsidR="00EE227A">
        <w:rPr>
          <w:rFonts w:asciiTheme="minorBidi" w:hAnsiTheme="minorBidi"/>
          <w:b/>
          <w:bCs/>
          <w:sz w:val="24"/>
          <w:szCs w:val="24"/>
        </w:rPr>
        <w:t>……………………………</w:t>
      </w:r>
      <w:r w:rsidR="00801B78">
        <w:rPr>
          <w:rFonts w:asciiTheme="minorBidi" w:hAnsiTheme="minorBidi"/>
          <w:b/>
          <w:bCs/>
          <w:sz w:val="24"/>
          <w:szCs w:val="24"/>
        </w:rPr>
        <w:t xml:space="preserve">….    </w:t>
      </w:r>
      <w:r w:rsidR="00EE227A">
        <w:rPr>
          <w:rFonts w:asciiTheme="minorBidi" w:hAnsiTheme="minorBidi"/>
          <w:b/>
          <w:bCs/>
          <w:sz w:val="24"/>
          <w:szCs w:val="24"/>
        </w:rPr>
        <w:t>2</w:t>
      </w:r>
      <w:r w:rsidR="00B95103">
        <w:rPr>
          <w:rFonts w:asciiTheme="minorBidi" w:hAnsiTheme="minorBidi"/>
          <w:b/>
          <w:bCs/>
          <w:sz w:val="24"/>
          <w:szCs w:val="24"/>
        </w:rPr>
        <w:t>10</w:t>
      </w:r>
      <w:r w:rsidR="00FC0107" w:rsidRPr="00584DBC">
        <w:rPr>
          <w:b/>
          <w:bCs/>
          <w:sz w:val="24"/>
          <w:szCs w:val="24"/>
        </w:rPr>
        <w:t xml:space="preserve"> </w:t>
      </w:r>
    </w:p>
    <w:bookmarkStart w:id="174" w:name="A10"/>
    <w:bookmarkStart w:id="175" w:name="C91"/>
    <w:bookmarkEnd w:id="172"/>
    <w:bookmarkEnd w:id="173"/>
    <w:p w14:paraId="51BFC239" w14:textId="5C032F39" w:rsidR="00FC0107" w:rsidRPr="00584DBC" w:rsidRDefault="00F122DC" w:rsidP="003F2E92">
      <w:pPr>
        <w:pStyle w:val="NoSpacing"/>
        <w:spacing w:line="480" w:lineRule="auto"/>
        <w:rPr>
          <w:rFonts w:ascii="Segoe UI" w:eastAsia="Times New Roman" w:hAnsi="Segoe UI" w:cs="Segoe UI"/>
          <w:b/>
          <w:bCs/>
          <w:kern w:val="0"/>
          <w:sz w:val="24"/>
          <w:szCs w:val="24"/>
          <w14:ligatures w14:val="none"/>
        </w:rPr>
      </w:pPr>
      <w:r w:rsidRPr="00584DBC">
        <w:rPr>
          <w:rFonts w:ascii="Arial" w:eastAsia="Times New Roman" w:hAnsi="Arial" w:cs="Arial"/>
          <w:b/>
          <w:bCs/>
          <w:kern w:val="0"/>
          <w:sz w:val="24"/>
          <w:szCs w:val="24"/>
          <w14:ligatures w14:val="none"/>
        </w:rPr>
        <w:lastRenderedPageBreak/>
        <w:fldChar w:fldCharType="begin"/>
      </w:r>
      <w:r w:rsidRPr="00584DBC">
        <w:rPr>
          <w:rFonts w:ascii="Arial" w:eastAsia="Times New Roman" w:hAnsi="Arial" w:cs="Arial"/>
          <w:b/>
          <w:bCs/>
          <w:kern w:val="0"/>
          <w:sz w:val="24"/>
          <w:szCs w:val="24"/>
          <w14:ligatures w14:val="none"/>
        </w:rPr>
        <w:instrText>HYPERLINK  \l "D91"</w:instrText>
      </w:r>
      <w:r w:rsidRPr="00584DBC">
        <w:rPr>
          <w:rFonts w:ascii="Arial" w:eastAsia="Times New Roman" w:hAnsi="Arial" w:cs="Arial"/>
          <w:b/>
          <w:bCs/>
          <w:kern w:val="0"/>
          <w:sz w:val="24"/>
          <w:szCs w:val="24"/>
          <w14:ligatures w14:val="none"/>
        </w:rPr>
      </w:r>
      <w:r w:rsidRPr="00584DBC">
        <w:rPr>
          <w:rFonts w:ascii="Arial" w:eastAsia="Times New Roman" w:hAnsi="Arial" w:cs="Arial"/>
          <w:b/>
          <w:bCs/>
          <w:kern w:val="0"/>
          <w:sz w:val="24"/>
          <w:szCs w:val="24"/>
          <w14:ligatures w14:val="none"/>
        </w:rPr>
        <w:fldChar w:fldCharType="separate"/>
      </w:r>
      <w:r w:rsidR="00FC0107" w:rsidRPr="00584DBC">
        <w:rPr>
          <w:rStyle w:val="Hyperlink"/>
          <w:rFonts w:ascii="Arial" w:eastAsia="Times New Roman" w:hAnsi="Arial" w:cs="Arial"/>
          <w:b/>
          <w:bCs/>
          <w:kern w:val="0"/>
          <w:sz w:val="24"/>
          <w:szCs w:val="24"/>
          <w14:ligatures w14:val="none"/>
        </w:rPr>
        <w:t>3.3 Chapter Summary</w:t>
      </w:r>
      <w:r w:rsidRPr="00584DBC">
        <w:rPr>
          <w:rFonts w:ascii="Arial" w:eastAsia="Times New Roman" w:hAnsi="Arial" w:cs="Arial"/>
          <w:b/>
          <w:bCs/>
          <w:kern w:val="0"/>
          <w:sz w:val="24"/>
          <w:szCs w:val="24"/>
          <w14:ligatures w14:val="none"/>
        </w:rPr>
        <w:fldChar w:fldCharType="end"/>
      </w:r>
      <w:r w:rsidR="00EE227A">
        <w:rPr>
          <w:rFonts w:ascii="Arial" w:eastAsia="Times New Roman" w:hAnsi="Arial" w:cs="Arial"/>
          <w:b/>
          <w:bCs/>
          <w:kern w:val="0"/>
          <w:sz w:val="24"/>
          <w:szCs w:val="24"/>
          <w14:ligatures w14:val="none"/>
        </w:rPr>
        <w:t>……………………………………………………………</w:t>
      </w:r>
      <w:r w:rsidR="00801B78">
        <w:rPr>
          <w:rFonts w:ascii="Arial" w:eastAsia="Times New Roman" w:hAnsi="Arial" w:cs="Arial"/>
          <w:b/>
          <w:bCs/>
          <w:kern w:val="0"/>
          <w:sz w:val="24"/>
          <w:szCs w:val="24"/>
          <w14:ligatures w14:val="none"/>
        </w:rPr>
        <w:t xml:space="preserve">…..   </w:t>
      </w:r>
      <w:r w:rsidR="00EE227A">
        <w:rPr>
          <w:rFonts w:ascii="Arial" w:eastAsia="Times New Roman" w:hAnsi="Arial" w:cs="Arial"/>
          <w:b/>
          <w:bCs/>
          <w:kern w:val="0"/>
          <w:sz w:val="24"/>
          <w:szCs w:val="24"/>
          <w14:ligatures w14:val="none"/>
        </w:rPr>
        <w:t>2</w:t>
      </w:r>
      <w:r w:rsidR="00B95103">
        <w:rPr>
          <w:rFonts w:ascii="Arial" w:eastAsia="Times New Roman" w:hAnsi="Arial" w:cs="Arial"/>
          <w:b/>
          <w:bCs/>
          <w:kern w:val="0"/>
          <w:sz w:val="24"/>
          <w:szCs w:val="24"/>
          <w14:ligatures w14:val="none"/>
        </w:rPr>
        <w:t>14</w:t>
      </w:r>
    </w:p>
    <w:bookmarkEnd w:id="174"/>
    <w:bookmarkEnd w:id="175"/>
    <w:p w14:paraId="286BAB7D" w14:textId="77777777" w:rsidR="00D21B79" w:rsidRPr="00584DBC" w:rsidRDefault="00D21B79" w:rsidP="003F2E92">
      <w:pPr>
        <w:pStyle w:val="NoSpacing"/>
        <w:spacing w:line="480" w:lineRule="auto"/>
        <w:rPr>
          <w:rFonts w:asciiTheme="minorBidi" w:eastAsia="Times New Roman" w:hAnsiTheme="minorBidi"/>
          <w:b/>
          <w:bCs/>
          <w:kern w:val="0"/>
          <w:sz w:val="24"/>
          <w:szCs w:val="24"/>
          <w14:ligatures w14:val="none"/>
        </w:rPr>
      </w:pPr>
    </w:p>
    <w:bookmarkStart w:id="176" w:name="CH4"/>
    <w:p w14:paraId="563B5A4C" w14:textId="1B3E74D6" w:rsidR="00F82F8A" w:rsidRPr="00584DBC" w:rsidRDefault="00D255E3" w:rsidP="00F82F8A">
      <w:pPr>
        <w:pBdr>
          <w:top w:val="single" w:sz="4" w:space="1" w:color="auto"/>
          <w:left w:val="single" w:sz="4" w:space="4" w:color="auto"/>
          <w:bottom w:val="single" w:sz="4" w:space="1" w:color="auto"/>
          <w:right w:val="single" w:sz="4" w:space="4" w:color="auto"/>
        </w:pBdr>
        <w:rPr>
          <w:rFonts w:asciiTheme="minorBidi" w:hAnsiTheme="minorBidi"/>
          <w:b/>
          <w:bCs/>
        </w:rPr>
      </w:pPr>
      <w:r w:rsidRPr="00584DBC">
        <w:rPr>
          <w:rFonts w:asciiTheme="minorBidi" w:hAnsiTheme="minorBidi"/>
          <w:b/>
          <w:bCs/>
        </w:rPr>
        <w:fldChar w:fldCharType="begin"/>
      </w:r>
      <w:r w:rsidRPr="00584DBC">
        <w:rPr>
          <w:rFonts w:asciiTheme="minorBidi" w:hAnsiTheme="minorBidi"/>
          <w:b/>
          <w:bCs/>
        </w:rPr>
        <w:instrText>HYPERLINK  \l "DH4"</w:instrText>
      </w:r>
      <w:r w:rsidRPr="00584DBC">
        <w:rPr>
          <w:rFonts w:asciiTheme="minorBidi" w:hAnsiTheme="minorBidi"/>
          <w:b/>
          <w:bCs/>
        </w:rPr>
      </w:r>
      <w:r w:rsidRPr="00584DBC">
        <w:rPr>
          <w:rFonts w:asciiTheme="minorBidi" w:hAnsiTheme="minorBidi"/>
          <w:b/>
          <w:bCs/>
        </w:rPr>
        <w:fldChar w:fldCharType="separate"/>
      </w:r>
      <w:r w:rsidR="00F82F8A" w:rsidRPr="00584DBC">
        <w:rPr>
          <w:rStyle w:val="Hyperlink"/>
          <w:rFonts w:asciiTheme="minorBidi" w:hAnsiTheme="minorBidi"/>
          <w:b/>
          <w:bCs/>
        </w:rPr>
        <w:t>Chapter Four</w:t>
      </w:r>
      <w:r w:rsidR="00F70EB0" w:rsidRPr="00584DBC">
        <w:rPr>
          <w:rStyle w:val="Hyperlink"/>
          <w:rFonts w:asciiTheme="minorBidi" w:hAnsiTheme="minorBidi"/>
          <w:b/>
          <w:bCs/>
        </w:rPr>
        <w:t>: Results, Analysis &amp; Discussions</w:t>
      </w:r>
      <w:r w:rsidRPr="00584DBC">
        <w:rPr>
          <w:rFonts w:asciiTheme="minorBidi" w:hAnsiTheme="minorBidi"/>
          <w:b/>
          <w:bCs/>
        </w:rPr>
        <w:fldChar w:fldCharType="end"/>
      </w:r>
    </w:p>
    <w:p w14:paraId="48436BAB" w14:textId="77777777" w:rsidR="00D21E0B" w:rsidRDefault="00D21E0B" w:rsidP="00F82F8A">
      <w:pPr>
        <w:pStyle w:val="NoSpacing"/>
        <w:spacing w:line="480" w:lineRule="auto"/>
        <w:rPr>
          <w:rFonts w:asciiTheme="minorBidi" w:hAnsiTheme="minorBidi"/>
          <w:b/>
          <w:bCs/>
          <w:sz w:val="24"/>
          <w:szCs w:val="24"/>
        </w:rPr>
      </w:pPr>
      <w:bookmarkStart w:id="177" w:name="C92"/>
      <w:bookmarkEnd w:id="176"/>
    </w:p>
    <w:p w14:paraId="0E840332" w14:textId="5EF3C117" w:rsidR="00FC0107" w:rsidRPr="00584DBC" w:rsidRDefault="00000000" w:rsidP="00F82F8A">
      <w:pPr>
        <w:pStyle w:val="NoSpacing"/>
        <w:spacing w:line="480" w:lineRule="auto"/>
        <w:rPr>
          <w:rFonts w:asciiTheme="minorBidi" w:hAnsiTheme="minorBidi"/>
          <w:b/>
          <w:bCs/>
          <w:sz w:val="24"/>
          <w:szCs w:val="24"/>
        </w:rPr>
      </w:pPr>
      <w:hyperlink w:anchor="D92" w:history="1">
        <w:r w:rsidR="00FC0107" w:rsidRPr="00584DBC">
          <w:rPr>
            <w:rStyle w:val="Hyperlink"/>
            <w:rFonts w:asciiTheme="minorBidi" w:hAnsiTheme="minorBidi"/>
            <w:b/>
            <w:bCs/>
            <w:sz w:val="24"/>
            <w:szCs w:val="24"/>
          </w:rPr>
          <w:t>4.0 Introduction</w:t>
        </w:r>
        <w:bookmarkEnd w:id="177"/>
      </w:hyperlink>
      <w:r w:rsidR="00BE0512">
        <w:rPr>
          <w:rFonts w:asciiTheme="minorBidi" w:hAnsiTheme="minorBidi"/>
          <w:b/>
          <w:bCs/>
          <w:sz w:val="24"/>
          <w:szCs w:val="24"/>
        </w:rPr>
        <w:t>………………………………………………………………</w:t>
      </w:r>
      <w:r w:rsidR="00C96732">
        <w:rPr>
          <w:rFonts w:asciiTheme="minorBidi" w:hAnsiTheme="minorBidi"/>
          <w:b/>
          <w:bCs/>
          <w:sz w:val="24"/>
          <w:szCs w:val="24"/>
        </w:rPr>
        <w:t>……</w:t>
      </w:r>
      <w:r w:rsidR="00801B78">
        <w:rPr>
          <w:rFonts w:asciiTheme="minorBidi" w:hAnsiTheme="minorBidi"/>
          <w:b/>
          <w:bCs/>
          <w:sz w:val="24"/>
          <w:szCs w:val="24"/>
        </w:rPr>
        <w:t xml:space="preserve">….    </w:t>
      </w:r>
      <w:r w:rsidR="00BE0512">
        <w:rPr>
          <w:rFonts w:asciiTheme="minorBidi" w:hAnsiTheme="minorBidi"/>
          <w:b/>
          <w:bCs/>
          <w:sz w:val="24"/>
          <w:szCs w:val="24"/>
        </w:rPr>
        <w:t>2</w:t>
      </w:r>
      <w:r w:rsidR="009D401B">
        <w:rPr>
          <w:rFonts w:asciiTheme="minorBidi" w:hAnsiTheme="minorBidi"/>
          <w:b/>
          <w:bCs/>
          <w:sz w:val="24"/>
          <w:szCs w:val="24"/>
        </w:rPr>
        <w:t>16</w:t>
      </w:r>
    </w:p>
    <w:bookmarkStart w:id="178" w:name="C93"/>
    <w:p w14:paraId="797B3E72" w14:textId="2B72F413" w:rsidR="00FC0107" w:rsidRPr="00584DBC" w:rsidRDefault="00BE596A" w:rsidP="003F2E92">
      <w:pPr>
        <w:pStyle w:val="NoSpacing"/>
        <w:spacing w:line="480" w:lineRule="auto"/>
        <w:rPr>
          <w:rFonts w:asciiTheme="minorBidi" w:hAnsiTheme="minorBidi"/>
          <w:b/>
          <w:bCs/>
          <w:sz w:val="24"/>
          <w:szCs w:val="24"/>
        </w:rPr>
      </w:pPr>
      <w:r w:rsidRPr="00584DBC">
        <w:rPr>
          <w:rFonts w:asciiTheme="minorBidi" w:hAnsiTheme="minorBidi"/>
          <w:b/>
          <w:bCs/>
          <w:sz w:val="24"/>
          <w:szCs w:val="24"/>
        </w:rPr>
        <w:fldChar w:fldCharType="begin"/>
      </w:r>
      <w:r w:rsidRPr="00584DBC">
        <w:rPr>
          <w:rFonts w:asciiTheme="minorBidi" w:hAnsiTheme="minorBidi"/>
          <w:b/>
          <w:bCs/>
          <w:sz w:val="24"/>
          <w:szCs w:val="24"/>
        </w:rPr>
        <w:instrText>HYPERLINK  \l "D93"</w:instrText>
      </w:r>
      <w:r w:rsidRPr="00584DBC">
        <w:rPr>
          <w:rFonts w:asciiTheme="minorBidi" w:hAnsiTheme="minorBidi"/>
          <w:b/>
          <w:bCs/>
          <w:sz w:val="24"/>
          <w:szCs w:val="24"/>
        </w:rPr>
      </w:r>
      <w:r w:rsidRPr="00584DBC">
        <w:rPr>
          <w:rFonts w:asciiTheme="minorBidi" w:hAnsiTheme="minorBidi"/>
          <w:b/>
          <w:bCs/>
          <w:sz w:val="24"/>
          <w:szCs w:val="24"/>
        </w:rPr>
        <w:fldChar w:fldCharType="separate"/>
      </w:r>
      <w:r w:rsidR="00FC0107" w:rsidRPr="00584DBC">
        <w:rPr>
          <w:rStyle w:val="Hyperlink"/>
          <w:rFonts w:asciiTheme="minorBidi" w:hAnsiTheme="minorBidi"/>
          <w:b/>
          <w:bCs/>
          <w:sz w:val="24"/>
          <w:szCs w:val="24"/>
        </w:rPr>
        <w:t>4.1 Part One: Results from Quantitative Studies (Pilot / Professional / Student)</w:t>
      </w:r>
      <w:r w:rsidRPr="00584DBC">
        <w:rPr>
          <w:rFonts w:asciiTheme="minorBidi" w:hAnsiTheme="minorBidi"/>
          <w:b/>
          <w:bCs/>
          <w:sz w:val="24"/>
          <w:szCs w:val="24"/>
        </w:rPr>
        <w:fldChar w:fldCharType="end"/>
      </w:r>
      <w:r w:rsidR="00A0029F">
        <w:rPr>
          <w:rFonts w:asciiTheme="minorBidi" w:hAnsiTheme="minorBidi"/>
          <w:b/>
          <w:bCs/>
          <w:sz w:val="24"/>
          <w:szCs w:val="24"/>
        </w:rPr>
        <w:t>……………………………………………………………………………</w:t>
      </w:r>
      <w:r w:rsidR="00801B78">
        <w:rPr>
          <w:rFonts w:asciiTheme="minorBidi" w:hAnsiTheme="minorBidi"/>
          <w:b/>
          <w:bCs/>
          <w:sz w:val="24"/>
          <w:szCs w:val="24"/>
        </w:rPr>
        <w:t xml:space="preserve">……   </w:t>
      </w:r>
      <w:r w:rsidR="00A0029F">
        <w:rPr>
          <w:rFonts w:asciiTheme="minorBidi" w:hAnsiTheme="minorBidi"/>
          <w:b/>
          <w:bCs/>
          <w:sz w:val="24"/>
          <w:szCs w:val="24"/>
        </w:rPr>
        <w:t>2</w:t>
      </w:r>
      <w:r w:rsidR="009D401B">
        <w:rPr>
          <w:rFonts w:asciiTheme="minorBidi" w:hAnsiTheme="minorBidi"/>
          <w:b/>
          <w:bCs/>
          <w:sz w:val="24"/>
          <w:szCs w:val="24"/>
        </w:rPr>
        <w:t>19</w:t>
      </w:r>
    </w:p>
    <w:bookmarkStart w:id="179" w:name="C94"/>
    <w:bookmarkEnd w:id="178"/>
    <w:p w14:paraId="08179ED8" w14:textId="09CFA399" w:rsidR="00FC0107" w:rsidRPr="00584DBC" w:rsidRDefault="00BE596A" w:rsidP="003F2E92">
      <w:pPr>
        <w:pStyle w:val="NoSpacing"/>
        <w:spacing w:line="480" w:lineRule="auto"/>
        <w:rPr>
          <w:rFonts w:asciiTheme="minorBidi" w:hAnsiTheme="minorBidi"/>
          <w:b/>
          <w:bCs/>
          <w:sz w:val="24"/>
          <w:szCs w:val="24"/>
          <w:lang w:eastAsia="en-GB"/>
        </w:rPr>
      </w:pPr>
      <w:r w:rsidRPr="00584DBC">
        <w:rPr>
          <w:rFonts w:asciiTheme="minorBidi" w:hAnsiTheme="minorBidi"/>
          <w:b/>
          <w:bCs/>
          <w:sz w:val="24"/>
          <w:szCs w:val="24"/>
          <w:lang w:eastAsia="en-GB"/>
        </w:rPr>
        <w:fldChar w:fldCharType="begin"/>
      </w:r>
      <w:r w:rsidRPr="00584DBC">
        <w:rPr>
          <w:rFonts w:asciiTheme="minorBidi" w:hAnsiTheme="minorBidi"/>
          <w:b/>
          <w:bCs/>
          <w:sz w:val="24"/>
          <w:szCs w:val="24"/>
          <w:lang w:eastAsia="en-GB"/>
        </w:rPr>
        <w:instrText>HYPERLINK  \l "D94"</w:instrText>
      </w:r>
      <w:r w:rsidRPr="00584DBC">
        <w:rPr>
          <w:rFonts w:asciiTheme="minorBidi" w:hAnsiTheme="minorBidi"/>
          <w:b/>
          <w:bCs/>
          <w:sz w:val="24"/>
          <w:szCs w:val="24"/>
          <w:lang w:eastAsia="en-GB"/>
        </w:rPr>
      </w:r>
      <w:r w:rsidRPr="00584DBC">
        <w:rPr>
          <w:rFonts w:asciiTheme="minorBidi" w:hAnsiTheme="minorBidi"/>
          <w:b/>
          <w:bCs/>
          <w:sz w:val="24"/>
          <w:szCs w:val="24"/>
          <w:lang w:eastAsia="en-GB"/>
        </w:rPr>
        <w:fldChar w:fldCharType="separate"/>
      </w:r>
      <w:r w:rsidR="00FC0107" w:rsidRPr="00584DBC">
        <w:rPr>
          <w:rStyle w:val="Hyperlink"/>
          <w:rFonts w:asciiTheme="minorBidi" w:hAnsiTheme="minorBidi"/>
          <w:b/>
          <w:bCs/>
          <w:sz w:val="24"/>
          <w:szCs w:val="24"/>
          <w:lang w:eastAsia="en-GB"/>
        </w:rPr>
        <w:t>4.2 Modelling Psychopathy: Professionals &amp; Students</w:t>
      </w:r>
      <w:r w:rsidRPr="00584DBC">
        <w:rPr>
          <w:rFonts w:asciiTheme="minorBidi" w:hAnsiTheme="minorBidi"/>
          <w:b/>
          <w:bCs/>
          <w:sz w:val="24"/>
          <w:szCs w:val="24"/>
          <w:lang w:eastAsia="en-GB"/>
        </w:rPr>
        <w:fldChar w:fldCharType="end"/>
      </w:r>
      <w:r w:rsidR="00DB53B7">
        <w:rPr>
          <w:rFonts w:asciiTheme="minorBidi" w:hAnsiTheme="minorBidi"/>
          <w:b/>
          <w:bCs/>
          <w:sz w:val="24"/>
          <w:szCs w:val="24"/>
          <w:lang w:eastAsia="en-GB"/>
        </w:rPr>
        <w:t>……………………</w:t>
      </w:r>
      <w:r w:rsidR="00801B78">
        <w:rPr>
          <w:rFonts w:asciiTheme="minorBidi" w:hAnsiTheme="minorBidi"/>
          <w:b/>
          <w:bCs/>
          <w:sz w:val="24"/>
          <w:szCs w:val="24"/>
          <w:lang w:eastAsia="en-GB"/>
        </w:rPr>
        <w:t xml:space="preserve">…..  </w:t>
      </w:r>
      <w:r w:rsidR="00DB53B7">
        <w:rPr>
          <w:rFonts w:asciiTheme="minorBidi" w:hAnsiTheme="minorBidi"/>
          <w:b/>
          <w:bCs/>
          <w:sz w:val="24"/>
          <w:szCs w:val="24"/>
          <w:lang w:eastAsia="en-GB"/>
        </w:rPr>
        <w:t>2</w:t>
      </w:r>
      <w:r w:rsidR="007759C3">
        <w:rPr>
          <w:rFonts w:asciiTheme="minorBidi" w:hAnsiTheme="minorBidi"/>
          <w:b/>
          <w:bCs/>
          <w:sz w:val="24"/>
          <w:szCs w:val="24"/>
          <w:lang w:eastAsia="en-GB"/>
        </w:rPr>
        <w:t>23</w:t>
      </w:r>
      <w:r w:rsidR="00FC0107" w:rsidRPr="00584DBC">
        <w:rPr>
          <w:rFonts w:asciiTheme="minorBidi" w:hAnsiTheme="minorBidi"/>
          <w:b/>
          <w:bCs/>
          <w:sz w:val="24"/>
          <w:szCs w:val="24"/>
          <w:lang w:eastAsia="en-GB"/>
        </w:rPr>
        <w:t xml:space="preserve"> </w:t>
      </w:r>
    </w:p>
    <w:bookmarkStart w:id="180" w:name="C95"/>
    <w:bookmarkEnd w:id="179"/>
    <w:p w14:paraId="0D3568AA" w14:textId="16C3B082" w:rsidR="00FC0107" w:rsidRPr="00584DBC" w:rsidRDefault="00BE596A" w:rsidP="003F2E92">
      <w:pPr>
        <w:pStyle w:val="NoSpacing"/>
        <w:spacing w:line="480" w:lineRule="auto"/>
        <w:rPr>
          <w:rFonts w:asciiTheme="minorBidi" w:hAnsiTheme="minorBidi"/>
          <w:b/>
          <w:bCs/>
          <w:sz w:val="24"/>
          <w:szCs w:val="24"/>
        </w:rPr>
      </w:pPr>
      <w:r w:rsidRPr="00584DBC">
        <w:rPr>
          <w:rFonts w:asciiTheme="minorBidi" w:hAnsiTheme="minorBidi"/>
          <w:b/>
          <w:bCs/>
          <w:sz w:val="24"/>
          <w:szCs w:val="24"/>
        </w:rPr>
        <w:fldChar w:fldCharType="begin"/>
      </w:r>
      <w:r w:rsidRPr="00584DBC">
        <w:rPr>
          <w:rFonts w:asciiTheme="minorBidi" w:hAnsiTheme="minorBidi"/>
          <w:b/>
          <w:bCs/>
          <w:sz w:val="24"/>
          <w:szCs w:val="24"/>
        </w:rPr>
        <w:instrText>HYPERLINK  \l "D95"</w:instrText>
      </w:r>
      <w:r w:rsidRPr="00584DBC">
        <w:rPr>
          <w:rFonts w:asciiTheme="minorBidi" w:hAnsiTheme="minorBidi"/>
          <w:b/>
          <w:bCs/>
          <w:sz w:val="24"/>
          <w:szCs w:val="24"/>
        </w:rPr>
      </w:r>
      <w:r w:rsidRPr="00584DBC">
        <w:rPr>
          <w:rFonts w:asciiTheme="minorBidi" w:hAnsiTheme="minorBidi"/>
          <w:b/>
          <w:bCs/>
          <w:sz w:val="24"/>
          <w:szCs w:val="24"/>
        </w:rPr>
        <w:fldChar w:fldCharType="separate"/>
      </w:r>
      <w:r w:rsidR="00FC0107" w:rsidRPr="00584DBC">
        <w:rPr>
          <w:rStyle w:val="Hyperlink"/>
          <w:rFonts w:asciiTheme="minorBidi" w:hAnsiTheme="minorBidi"/>
          <w:b/>
          <w:bCs/>
          <w:sz w:val="24"/>
          <w:szCs w:val="24"/>
        </w:rPr>
        <w:t>4.2.1 The Sample of Qualified and Working Accountants</w:t>
      </w:r>
      <w:r w:rsidRPr="00584DBC">
        <w:rPr>
          <w:rFonts w:asciiTheme="minorBidi" w:hAnsiTheme="minorBidi"/>
          <w:b/>
          <w:bCs/>
          <w:sz w:val="24"/>
          <w:szCs w:val="24"/>
        </w:rPr>
        <w:fldChar w:fldCharType="end"/>
      </w:r>
      <w:r w:rsidR="007E1028">
        <w:rPr>
          <w:rFonts w:asciiTheme="minorBidi" w:hAnsiTheme="minorBidi"/>
          <w:b/>
          <w:bCs/>
          <w:sz w:val="24"/>
          <w:szCs w:val="24"/>
        </w:rPr>
        <w:t>…………………</w:t>
      </w:r>
      <w:r w:rsidR="00801B78">
        <w:rPr>
          <w:rFonts w:asciiTheme="minorBidi" w:hAnsiTheme="minorBidi"/>
          <w:b/>
          <w:bCs/>
          <w:sz w:val="24"/>
          <w:szCs w:val="24"/>
        </w:rPr>
        <w:t xml:space="preserve">…..   </w:t>
      </w:r>
      <w:r w:rsidR="007E1028">
        <w:rPr>
          <w:rFonts w:asciiTheme="minorBidi" w:hAnsiTheme="minorBidi"/>
          <w:b/>
          <w:bCs/>
          <w:sz w:val="24"/>
          <w:szCs w:val="24"/>
        </w:rPr>
        <w:t>2</w:t>
      </w:r>
      <w:r w:rsidR="007759C3">
        <w:rPr>
          <w:rFonts w:asciiTheme="minorBidi" w:hAnsiTheme="minorBidi"/>
          <w:b/>
          <w:bCs/>
          <w:sz w:val="24"/>
          <w:szCs w:val="24"/>
        </w:rPr>
        <w:t>23</w:t>
      </w:r>
    </w:p>
    <w:bookmarkStart w:id="181" w:name="C96"/>
    <w:bookmarkEnd w:id="180"/>
    <w:p w14:paraId="54FCEAF8" w14:textId="42DC8CE5" w:rsidR="00FC0107" w:rsidRPr="00584DBC" w:rsidRDefault="00D255E3" w:rsidP="003F2E92">
      <w:pPr>
        <w:pStyle w:val="NoSpacing"/>
        <w:spacing w:line="480" w:lineRule="auto"/>
        <w:rPr>
          <w:rFonts w:asciiTheme="minorBidi" w:hAnsiTheme="minorBidi"/>
          <w:b/>
          <w:bCs/>
          <w:sz w:val="24"/>
          <w:szCs w:val="24"/>
        </w:rPr>
      </w:pPr>
      <w:r w:rsidRPr="00584DBC">
        <w:rPr>
          <w:rFonts w:asciiTheme="minorBidi" w:hAnsiTheme="minorBidi"/>
          <w:b/>
          <w:bCs/>
          <w:sz w:val="24"/>
          <w:szCs w:val="24"/>
        </w:rPr>
        <w:fldChar w:fldCharType="begin"/>
      </w:r>
      <w:r w:rsidRPr="00584DBC">
        <w:rPr>
          <w:rFonts w:asciiTheme="minorBidi" w:hAnsiTheme="minorBidi"/>
          <w:b/>
          <w:bCs/>
          <w:sz w:val="24"/>
          <w:szCs w:val="24"/>
        </w:rPr>
        <w:instrText>HYPERLINK  \l "D96"</w:instrText>
      </w:r>
      <w:r w:rsidRPr="00584DBC">
        <w:rPr>
          <w:rFonts w:asciiTheme="minorBidi" w:hAnsiTheme="minorBidi"/>
          <w:b/>
          <w:bCs/>
          <w:sz w:val="24"/>
          <w:szCs w:val="24"/>
        </w:rPr>
      </w:r>
      <w:r w:rsidRPr="00584DBC">
        <w:rPr>
          <w:rFonts w:asciiTheme="minorBidi" w:hAnsiTheme="minorBidi"/>
          <w:b/>
          <w:bCs/>
          <w:sz w:val="24"/>
          <w:szCs w:val="24"/>
        </w:rPr>
        <w:fldChar w:fldCharType="separate"/>
      </w:r>
      <w:r w:rsidR="00FC0107" w:rsidRPr="00584DBC">
        <w:rPr>
          <w:rStyle w:val="Hyperlink"/>
          <w:rFonts w:asciiTheme="minorBidi" w:hAnsiTheme="minorBidi"/>
          <w:b/>
          <w:bCs/>
          <w:sz w:val="24"/>
          <w:szCs w:val="24"/>
        </w:rPr>
        <w:t>4.2.2 The Sample of Final Year Accounting &amp; Finance Students</w:t>
      </w:r>
      <w:r w:rsidRPr="00584DBC">
        <w:rPr>
          <w:rFonts w:asciiTheme="minorBidi" w:hAnsiTheme="minorBidi"/>
          <w:b/>
          <w:bCs/>
          <w:sz w:val="24"/>
          <w:szCs w:val="24"/>
        </w:rPr>
        <w:fldChar w:fldCharType="end"/>
      </w:r>
      <w:r w:rsidR="007E1028">
        <w:rPr>
          <w:rFonts w:asciiTheme="minorBidi" w:hAnsiTheme="minorBidi"/>
          <w:b/>
          <w:bCs/>
          <w:sz w:val="24"/>
          <w:szCs w:val="24"/>
        </w:rPr>
        <w:t>…………</w:t>
      </w:r>
      <w:r w:rsidR="00801B78">
        <w:rPr>
          <w:rFonts w:asciiTheme="minorBidi" w:hAnsiTheme="minorBidi"/>
          <w:b/>
          <w:bCs/>
          <w:sz w:val="24"/>
          <w:szCs w:val="24"/>
        </w:rPr>
        <w:t xml:space="preserve">…..  </w:t>
      </w:r>
      <w:r w:rsidR="007E1028">
        <w:rPr>
          <w:rFonts w:asciiTheme="minorBidi" w:hAnsiTheme="minorBidi"/>
          <w:b/>
          <w:bCs/>
          <w:sz w:val="24"/>
          <w:szCs w:val="24"/>
        </w:rPr>
        <w:t>2</w:t>
      </w:r>
      <w:r w:rsidR="007759C3">
        <w:rPr>
          <w:rFonts w:asciiTheme="minorBidi" w:hAnsiTheme="minorBidi"/>
          <w:b/>
          <w:bCs/>
          <w:sz w:val="24"/>
          <w:szCs w:val="24"/>
        </w:rPr>
        <w:t>35</w:t>
      </w:r>
    </w:p>
    <w:bookmarkStart w:id="182" w:name="C97"/>
    <w:bookmarkEnd w:id="181"/>
    <w:p w14:paraId="05CF0231" w14:textId="303E4DB9" w:rsidR="00FC0107" w:rsidRPr="00584DBC" w:rsidRDefault="00BE596A" w:rsidP="003F2E92">
      <w:pPr>
        <w:pStyle w:val="NoSpacing"/>
        <w:spacing w:line="480" w:lineRule="auto"/>
        <w:rPr>
          <w:rFonts w:asciiTheme="minorBidi" w:hAnsiTheme="minorBidi"/>
          <w:b/>
          <w:bCs/>
          <w:sz w:val="24"/>
          <w:szCs w:val="24"/>
        </w:rPr>
      </w:pPr>
      <w:r w:rsidRPr="00584DBC">
        <w:rPr>
          <w:rFonts w:asciiTheme="minorBidi" w:hAnsiTheme="minorBidi"/>
          <w:b/>
          <w:bCs/>
          <w:sz w:val="24"/>
          <w:szCs w:val="24"/>
        </w:rPr>
        <w:fldChar w:fldCharType="begin"/>
      </w:r>
      <w:r w:rsidRPr="00584DBC">
        <w:rPr>
          <w:rFonts w:asciiTheme="minorBidi" w:hAnsiTheme="minorBidi"/>
          <w:b/>
          <w:bCs/>
          <w:sz w:val="24"/>
          <w:szCs w:val="24"/>
        </w:rPr>
        <w:instrText>HYPERLINK  \l "D97"</w:instrText>
      </w:r>
      <w:r w:rsidRPr="00584DBC">
        <w:rPr>
          <w:rFonts w:asciiTheme="minorBidi" w:hAnsiTheme="minorBidi"/>
          <w:b/>
          <w:bCs/>
          <w:sz w:val="24"/>
          <w:szCs w:val="24"/>
        </w:rPr>
      </w:r>
      <w:r w:rsidRPr="00584DBC">
        <w:rPr>
          <w:rFonts w:asciiTheme="minorBidi" w:hAnsiTheme="minorBidi"/>
          <w:b/>
          <w:bCs/>
          <w:sz w:val="24"/>
          <w:szCs w:val="24"/>
        </w:rPr>
        <w:fldChar w:fldCharType="separate"/>
      </w:r>
      <w:r w:rsidR="00FC0107" w:rsidRPr="00584DBC">
        <w:rPr>
          <w:rStyle w:val="Hyperlink"/>
          <w:rFonts w:asciiTheme="minorBidi" w:hAnsiTheme="minorBidi"/>
          <w:b/>
          <w:bCs/>
          <w:sz w:val="24"/>
          <w:szCs w:val="24"/>
        </w:rPr>
        <w:t>4.3 Part Two: Results from Qualitative Study: Semi-Structured Interviews</w:t>
      </w:r>
      <w:r w:rsidRPr="00584DBC">
        <w:rPr>
          <w:rFonts w:asciiTheme="minorBidi" w:hAnsiTheme="minorBidi"/>
          <w:b/>
          <w:bCs/>
          <w:sz w:val="24"/>
          <w:szCs w:val="24"/>
        </w:rPr>
        <w:fldChar w:fldCharType="end"/>
      </w:r>
    </w:p>
    <w:bookmarkStart w:id="183" w:name="C98"/>
    <w:bookmarkEnd w:id="182"/>
    <w:p w14:paraId="7193B9F6" w14:textId="0558D915" w:rsidR="00FC0107" w:rsidRPr="00584DBC" w:rsidRDefault="00BE596A" w:rsidP="003F2E92">
      <w:pPr>
        <w:pStyle w:val="NoSpacing"/>
        <w:spacing w:line="480" w:lineRule="auto"/>
        <w:rPr>
          <w:rFonts w:asciiTheme="minorBidi" w:eastAsia="Times New Roman" w:hAnsiTheme="minorBidi"/>
          <w:b/>
          <w:bCs/>
          <w:sz w:val="24"/>
          <w:szCs w:val="24"/>
          <w:lang w:eastAsia="en-GB"/>
        </w:rPr>
      </w:pPr>
      <w:r w:rsidRPr="00584DBC">
        <w:rPr>
          <w:rFonts w:asciiTheme="minorBidi" w:eastAsia="Times New Roman" w:hAnsiTheme="minorBidi"/>
          <w:b/>
          <w:bCs/>
          <w:sz w:val="24"/>
          <w:szCs w:val="24"/>
          <w:lang w:eastAsia="en-GB"/>
        </w:rPr>
        <w:fldChar w:fldCharType="begin"/>
      </w:r>
      <w:r w:rsidRPr="00584DBC">
        <w:rPr>
          <w:rFonts w:asciiTheme="minorBidi" w:eastAsia="Times New Roman" w:hAnsiTheme="minorBidi"/>
          <w:b/>
          <w:bCs/>
          <w:sz w:val="24"/>
          <w:szCs w:val="24"/>
          <w:lang w:eastAsia="en-GB"/>
        </w:rPr>
        <w:instrText>HYPERLINK  \l "D98"</w:instrText>
      </w:r>
      <w:r w:rsidRPr="00584DBC">
        <w:rPr>
          <w:rFonts w:asciiTheme="minorBidi" w:eastAsia="Times New Roman" w:hAnsiTheme="minorBidi"/>
          <w:b/>
          <w:bCs/>
          <w:sz w:val="24"/>
          <w:szCs w:val="24"/>
          <w:lang w:eastAsia="en-GB"/>
        </w:rPr>
      </w:r>
      <w:r w:rsidRPr="00584DBC">
        <w:rPr>
          <w:rFonts w:asciiTheme="minorBidi" w:eastAsia="Times New Roman" w:hAnsiTheme="minorBidi"/>
          <w:b/>
          <w:bCs/>
          <w:sz w:val="24"/>
          <w:szCs w:val="24"/>
          <w:lang w:eastAsia="en-GB"/>
        </w:rPr>
        <w:fldChar w:fldCharType="separate"/>
      </w:r>
      <w:r w:rsidR="00FC0107" w:rsidRPr="00584DBC">
        <w:rPr>
          <w:rStyle w:val="Hyperlink"/>
          <w:rFonts w:asciiTheme="minorBidi" w:eastAsia="Times New Roman" w:hAnsiTheme="minorBidi"/>
          <w:b/>
          <w:bCs/>
          <w:sz w:val="24"/>
          <w:szCs w:val="24"/>
          <w:lang w:eastAsia="en-GB"/>
        </w:rPr>
        <w:t>4.3.1 Baseline Questions</w:t>
      </w:r>
      <w:r w:rsidRPr="00584DBC">
        <w:rPr>
          <w:rFonts w:asciiTheme="minorBidi" w:eastAsia="Times New Roman" w:hAnsiTheme="minorBidi"/>
          <w:b/>
          <w:bCs/>
          <w:sz w:val="24"/>
          <w:szCs w:val="24"/>
          <w:lang w:eastAsia="en-GB"/>
        </w:rPr>
        <w:fldChar w:fldCharType="end"/>
      </w:r>
      <w:r w:rsidR="00400A0C">
        <w:rPr>
          <w:rFonts w:asciiTheme="minorBidi" w:eastAsia="Times New Roman" w:hAnsiTheme="minorBidi"/>
          <w:b/>
          <w:bCs/>
          <w:sz w:val="24"/>
          <w:szCs w:val="24"/>
          <w:lang w:eastAsia="en-GB"/>
        </w:rPr>
        <w:t>………………………………………………………...</w:t>
      </w:r>
      <w:r w:rsidR="00801B78">
        <w:rPr>
          <w:rFonts w:asciiTheme="minorBidi" w:eastAsia="Times New Roman" w:hAnsiTheme="minorBidi"/>
          <w:b/>
          <w:bCs/>
          <w:sz w:val="24"/>
          <w:szCs w:val="24"/>
          <w:lang w:eastAsia="en-GB"/>
        </w:rPr>
        <w:t xml:space="preserve">......  </w:t>
      </w:r>
      <w:r w:rsidR="00400A0C">
        <w:rPr>
          <w:rFonts w:asciiTheme="minorBidi" w:eastAsia="Times New Roman" w:hAnsiTheme="minorBidi"/>
          <w:b/>
          <w:bCs/>
          <w:sz w:val="24"/>
          <w:szCs w:val="24"/>
          <w:lang w:eastAsia="en-GB"/>
        </w:rPr>
        <w:t>2</w:t>
      </w:r>
      <w:r w:rsidR="007759C3">
        <w:rPr>
          <w:rFonts w:asciiTheme="minorBidi" w:eastAsia="Times New Roman" w:hAnsiTheme="minorBidi"/>
          <w:b/>
          <w:bCs/>
          <w:sz w:val="24"/>
          <w:szCs w:val="24"/>
          <w:lang w:eastAsia="en-GB"/>
        </w:rPr>
        <w:t>45</w:t>
      </w:r>
    </w:p>
    <w:bookmarkStart w:id="184" w:name="C99"/>
    <w:bookmarkEnd w:id="183"/>
    <w:p w14:paraId="4B51F9FE" w14:textId="36A68AC9" w:rsidR="00FC0107" w:rsidRPr="00584DBC" w:rsidRDefault="00BE596A" w:rsidP="003F2E92">
      <w:pPr>
        <w:pStyle w:val="NoSpacing"/>
        <w:spacing w:line="480" w:lineRule="auto"/>
        <w:rPr>
          <w:rFonts w:asciiTheme="minorBidi" w:eastAsia="Times New Roman" w:hAnsiTheme="minorBidi"/>
          <w:b/>
          <w:bCs/>
          <w:sz w:val="24"/>
          <w:szCs w:val="24"/>
          <w:lang w:eastAsia="en-GB"/>
        </w:rPr>
      </w:pPr>
      <w:r w:rsidRPr="00584DBC">
        <w:rPr>
          <w:rFonts w:asciiTheme="minorBidi" w:eastAsia="Times New Roman" w:hAnsiTheme="minorBidi"/>
          <w:b/>
          <w:bCs/>
          <w:sz w:val="24"/>
          <w:szCs w:val="24"/>
          <w:lang w:eastAsia="en-GB"/>
        </w:rPr>
        <w:fldChar w:fldCharType="begin"/>
      </w:r>
      <w:r w:rsidRPr="00584DBC">
        <w:rPr>
          <w:rFonts w:asciiTheme="minorBidi" w:eastAsia="Times New Roman" w:hAnsiTheme="minorBidi"/>
          <w:b/>
          <w:bCs/>
          <w:sz w:val="24"/>
          <w:szCs w:val="24"/>
          <w:lang w:eastAsia="en-GB"/>
        </w:rPr>
        <w:instrText>HYPERLINK  \l "D99"</w:instrText>
      </w:r>
      <w:r w:rsidRPr="00584DBC">
        <w:rPr>
          <w:rFonts w:asciiTheme="minorBidi" w:eastAsia="Times New Roman" w:hAnsiTheme="minorBidi"/>
          <w:b/>
          <w:bCs/>
          <w:sz w:val="24"/>
          <w:szCs w:val="24"/>
          <w:lang w:eastAsia="en-GB"/>
        </w:rPr>
      </w:r>
      <w:r w:rsidRPr="00584DBC">
        <w:rPr>
          <w:rFonts w:asciiTheme="minorBidi" w:eastAsia="Times New Roman" w:hAnsiTheme="minorBidi"/>
          <w:b/>
          <w:bCs/>
          <w:sz w:val="24"/>
          <w:szCs w:val="24"/>
          <w:lang w:eastAsia="en-GB"/>
        </w:rPr>
        <w:fldChar w:fldCharType="separate"/>
      </w:r>
      <w:r w:rsidR="00FC0107" w:rsidRPr="00584DBC">
        <w:rPr>
          <w:rStyle w:val="Hyperlink"/>
          <w:rFonts w:asciiTheme="minorBidi" w:eastAsia="Times New Roman" w:hAnsiTheme="minorBidi"/>
          <w:b/>
          <w:bCs/>
          <w:sz w:val="24"/>
          <w:szCs w:val="24"/>
          <w:lang w:eastAsia="en-GB"/>
        </w:rPr>
        <w:t>4.3.2 Corporate Psychopath Accountant</w:t>
      </w:r>
      <w:r w:rsidRPr="00584DBC">
        <w:rPr>
          <w:rFonts w:asciiTheme="minorBidi" w:eastAsia="Times New Roman" w:hAnsiTheme="minorBidi"/>
          <w:b/>
          <w:bCs/>
          <w:sz w:val="24"/>
          <w:szCs w:val="24"/>
          <w:lang w:eastAsia="en-GB"/>
        </w:rPr>
        <w:fldChar w:fldCharType="end"/>
      </w:r>
      <w:r w:rsidR="002263D0">
        <w:rPr>
          <w:rFonts w:asciiTheme="minorBidi" w:eastAsia="Times New Roman" w:hAnsiTheme="minorBidi"/>
          <w:b/>
          <w:bCs/>
          <w:sz w:val="24"/>
          <w:szCs w:val="24"/>
          <w:lang w:eastAsia="en-GB"/>
        </w:rPr>
        <w:t>……………………………………</w:t>
      </w:r>
      <w:r w:rsidR="00801B78">
        <w:rPr>
          <w:rFonts w:asciiTheme="minorBidi" w:eastAsia="Times New Roman" w:hAnsiTheme="minorBidi"/>
          <w:b/>
          <w:bCs/>
          <w:sz w:val="24"/>
          <w:szCs w:val="24"/>
          <w:lang w:eastAsia="en-GB"/>
        </w:rPr>
        <w:t xml:space="preserve">…….  </w:t>
      </w:r>
      <w:r w:rsidR="002263D0">
        <w:rPr>
          <w:rFonts w:asciiTheme="minorBidi" w:eastAsia="Times New Roman" w:hAnsiTheme="minorBidi"/>
          <w:b/>
          <w:bCs/>
          <w:sz w:val="24"/>
          <w:szCs w:val="24"/>
          <w:lang w:eastAsia="en-GB"/>
        </w:rPr>
        <w:t>2</w:t>
      </w:r>
      <w:r w:rsidR="00002881">
        <w:rPr>
          <w:rFonts w:asciiTheme="minorBidi" w:eastAsia="Times New Roman" w:hAnsiTheme="minorBidi"/>
          <w:b/>
          <w:bCs/>
          <w:sz w:val="24"/>
          <w:szCs w:val="24"/>
          <w:lang w:eastAsia="en-GB"/>
        </w:rPr>
        <w:t>47</w:t>
      </w:r>
    </w:p>
    <w:bookmarkStart w:id="185" w:name="C100"/>
    <w:bookmarkEnd w:id="184"/>
    <w:p w14:paraId="22F06735" w14:textId="5E66FC96" w:rsidR="00FC0107" w:rsidRPr="00584DBC" w:rsidRDefault="00D255E3" w:rsidP="003F2E92">
      <w:pPr>
        <w:pStyle w:val="NoSpacing"/>
        <w:spacing w:line="480" w:lineRule="auto"/>
        <w:rPr>
          <w:rFonts w:asciiTheme="minorBidi" w:eastAsia="Times New Roman" w:hAnsiTheme="minorBidi"/>
          <w:b/>
          <w:bCs/>
          <w:sz w:val="24"/>
          <w:szCs w:val="24"/>
          <w:lang w:eastAsia="en-GB"/>
        </w:rPr>
      </w:pPr>
      <w:r w:rsidRPr="00584DBC">
        <w:rPr>
          <w:rFonts w:asciiTheme="minorBidi" w:eastAsia="Times New Roman" w:hAnsiTheme="minorBidi"/>
          <w:b/>
          <w:bCs/>
          <w:sz w:val="24"/>
          <w:szCs w:val="24"/>
          <w:lang w:eastAsia="en-GB"/>
        </w:rPr>
        <w:fldChar w:fldCharType="begin"/>
      </w:r>
      <w:r w:rsidRPr="00584DBC">
        <w:rPr>
          <w:rFonts w:asciiTheme="minorBidi" w:eastAsia="Times New Roman" w:hAnsiTheme="minorBidi"/>
          <w:b/>
          <w:bCs/>
          <w:sz w:val="24"/>
          <w:szCs w:val="24"/>
          <w:lang w:eastAsia="en-GB"/>
        </w:rPr>
        <w:instrText>HYPERLINK  \l "D100"</w:instrText>
      </w:r>
      <w:r w:rsidRPr="00584DBC">
        <w:rPr>
          <w:rFonts w:asciiTheme="minorBidi" w:eastAsia="Times New Roman" w:hAnsiTheme="minorBidi"/>
          <w:b/>
          <w:bCs/>
          <w:sz w:val="24"/>
          <w:szCs w:val="24"/>
          <w:lang w:eastAsia="en-GB"/>
        </w:rPr>
      </w:r>
      <w:r w:rsidRPr="00584DBC">
        <w:rPr>
          <w:rFonts w:asciiTheme="minorBidi" w:eastAsia="Times New Roman" w:hAnsiTheme="minorBidi"/>
          <w:b/>
          <w:bCs/>
          <w:sz w:val="24"/>
          <w:szCs w:val="24"/>
          <w:lang w:eastAsia="en-GB"/>
        </w:rPr>
        <w:fldChar w:fldCharType="separate"/>
      </w:r>
      <w:r w:rsidR="00FC0107" w:rsidRPr="00584DBC">
        <w:rPr>
          <w:rStyle w:val="Hyperlink"/>
          <w:rFonts w:asciiTheme="minorBidi" w:eastAsia="Times New Roman" w:hAnsiTheme="minorBidi"/>
          <w:b/>
          <w:bCs/>
          <w:sz w:val="24"/>
          <w:szCs w:val="24"/>
          <w:lang w:eastAsia="en-GB"/>
        </w:rPr>
        <w:t>4.3.3 Blockchain Technology</w:t>
      </w:r>
      <w:r w:rsidRPr="00584DBC">
        <w:rPr>
          <w:rFonts w:asciiTheme="minorBidi" w:eastAsia="Times New Roman" w:hAnsiTheme="minorBidi"/>
          <w:b/>
          <w:bCs/>
          <w:sz w:val="24"/>
          <w:szCs w:val="24"/>
          <w:lang w:eastAsia="en-GB"/>
        </w:rPr>
        <w:fldChar w:fldCharType="end"/>
      </w:r>
      <w:r w:rsidR="000E6781">
        <w:rPr>
          <w:rFonts w:asciiTheme="minorBidi" w:eastAsia="Times New Roman" w:hAnsiTheme="minorBidi"/>
          <w:b/>
          <w:bCs/>
          <w:sz w:val="24"/>
          <w:szCs w:val="24"/>
          <w:lang w:eastAsia="en-GB"/>
        </w:rPr>
        <w:t>……………………………………………………</w:t>
      </w:r>
      <w:r w:rsidR="00801B78">
        <w:rPr>
          <w:rFonts w:asciiTheme="minorBidi" w:eastAsia="Times New Roman" w:hAnsiTheme="minorBidi"/>
          <w:b/>
          <w:bCs/>
          <w:sz w:val="24"/>
          <w:szCs w:val="24"/>
          <w:lang w:eastAsia="en-GB"/>
        </w:rPr>
        <w:t xml:space="preserve">…..  </w:t>
      </w:r>
      <w:r w:rsidR="000E6781">
        <w:rPr>
          <w:rFonts w:asciiTheme="minorBidi" w:eastAsia="Times New Roman" w:hAnsiTheme="minorBidi"/>
          <w:b/>
          <w:bCs/>
          <w:sz w:val="24"/>
          <w:szCs w:val="24"/>
          <w:lang w:eastAsia="en-GB"/>
        </w:rPr>
        <w:t>2</w:t>
      </w:r>
      <w:r w:rsidR="00002881">
        <w:rPr>
          <w:rFonts w:asciiTheme="minorBidi" w:eastAsia="Times New Roman" w:hAnsiTheme="minorBidi"/>
          <w:b/>
          <w:bCs/>
          <w:sz w:val="24"/>
          <w:szCs w:val="24"/>
          <w:lang w:eastAsia="en-GB"/>
        </w:rPr>
        <w:t>56</w:t>
      </w:r>
    </w:p>
    <w:bookmarkStart w:id="186" w:name="C101"/>
    <w:bookmarkEnd w:id="185"/>
    <w:p w14:paraId="7BB41F3D" w14:textId="54067D94" w:rsidR="00FC0107" w:rsidRPr="00584DBC" w:rsidRDefault="00686250" w:rsidP="003F2E92">
      <w:pPr>
        <w:pStyle w:val="NoSpacing"/>
        <w:spacing w:line="480" w:lineRule="auto"/>
        <w:rPr>
          <w:rFonts w:asciiTheme="minorBidi" w:eastAsia="Times New Roman" w:hAnsiTheme="minorBidi"/>
          <w:b/>
          <w:bCs/>
          <w:kern w:val="0"/>
          <w:sz w:val="24"/>
          <w:szCs w:val="24"/>
          <w14:ligatures w14:val="none"/>
        </w:rPr>
      </w:pPr>
      <w:r w:rsidRPr="00584DBC">
        <w:rPr>
          <w:rFonts w:asciiTheme="minorBidi" w:eastAsia="Times New Roman" w:hAnsiTheme="minorBidi"/>
          <w:b/>
          <w:bCs/>
          <w:kern w:val="0"/>
          <w:sz w:val="24"/>
          <w:szCs w:val="24"/>
          <w14:ligatures w14:val="none"/>
        </w:rPr>
        <w:fldChar w:fldCharType="begin"/>
      </w:r>
      <w:r w:rsidRPr="00584DBC">
        <w:rPr>
          <w:rFonts w:asciiTheme="minorBidi" w:eastAsia="Times New Roman" w:hAnsiTheme="minorBidi"/>
          <w:b/>
          <w:bCs/>
          <w:kern w:val="0"/>
          <w:sz w:val="24"/>
          <w:szCs w:val="24"/>
          <w14:ligatures w14:val="none"/>
        </w:rPr>
        <w:instrText>HYPERLINK  \l "D101"</w:instrText>
      </w:r>
      <w:r w:rsidRPr="00584DBC">
        <w:rPr>
          <w:rFonts w:asciiTheme="minorBidi" w:eastAsia="Times New Roman" w:hAnsiTheme="minorBidi"/>
          <w:b/>
          <w:bCs/>
          <w:kern w:val="0"/>
          <w:sz w:val="24"/>
          <w:szCs w:val="24"/>
          <w14:ligatures w14:val="none"/>
        </w:rPr>
      </w:r>
      <w:r w:rsidRPr="00584DBC">
        <w:rPr>
          <w:rFonts w:asciiTheme="minorBidi" w:eastAsia="Times New Roman" w:hAnsiTheme="minorBidi"/>
          <w:b/>
          <w:bCs/>
          <w:kern w:val="0"/>
          <w:sz w:val="24"/>
          <w:szCs w:val="24"/>
          <w14:ligatures w14:val="none"/>
        </w:rPr>
        <w:fldChar w:fldCharType="separate"/>
      </w:r>
      <w:r w:rsidR="00FC0107" w:rsidRPr="00584DBC">
        <w:rPr>
          <w:rStyle w:val="Hyperlink"/>
          <w:rFonts w:asciiTheme="minorBidi" w:eastAsia="Times New Roman" w:hAnsiTheme="minorBidi"/>
          <w:b/>
          <w:bCs/>
          <w:kern w:val="0"/>
          <w:sz w:val="24"/>
          <w:szCs w:val="24"/>
          <w14:ligatures w14:val="none"/>
        </w:rPr>
        <w:t>4.4 Part Three: Triangulation</w:t>
      </w:r>
      <w:r w:rsidRPr="00584DBC">
        <w:rPr>
          <w:rFonts w:asciiTheme="minorBidi" w:eastAsia="Times New Roman" w:hAnsiTheme="minorBidi"/>
          <w:b/>
          <w:bCs/>
          <w:kern w:val="0"/>
          <w:sz w:val="24"/>
          <w:szCs w:val="24"/>
          <w14:ligatures w14:val="none"/>
        </w:rPr>
        <w:fldChar w:fldCharType="end"/>
      </w:r>
      <w:r w:rsidR="008C39B5">
        <w:rPr>
          <w:rFonts w:asciiTheme="minorBidi" w:eastAsia="Times New Roman" w:hAnsiTheme="minorBidi"/>
          <w:b/>
          <w:bCs/>
          <w:kern w:val="0"/>
          <w:sz w:val="24"/>
          <w:szCs w:val="24"/>
          <w14:ligatures w14:val="none"/>
        </w:rPr>
        <w:t>……………………………………………………</w:t>
      </w:r>
      <w:r w:rsidR="00801B78">
        <w:rPr>
          <w:rFonts w:asciiTheme="minorBidi" w:eastAsia="Times New Roman" w:hAnsiTheme="minorBidi"/>
          <w:b/>
          <w:bCs/>
          <w:kern w:val="0"/>
          <w:sz w:val="24"/>
          <w:szCs w:val="24"/>
          <w14:ligatures w14:val="none"/>
        </w:rPr>
        <w:t xml:space="preserve">…..  </w:t>
      </w:r>
      <w:r w:rsidR="008C39B5">
        <w:rPr>
          <w:rFonts w:asciiTheme="minorBidi" w:eastAsia="Times New Roman" w:hAnsiTheme="minorBidi"/>
          <w:b/>
          <w:bCs/>
          <w:kern w:val="0"/>
          <w:sz w:val="24"/>
          <w:szCs w:val="24"/>
          <w14:ligatures w14:val="none"/>
        </w:rPr>
        <w:t>2</w:t>
      </w:r>
      <w:r w:rsidR="00D56FE0">
        <w:rPr>
          <w:rFonts w:asciiTheme="minorBidi" w:eastAsia="Times New Roman" w:hAnsiTheme="minorBidi"/>
          <w:b/>
          <w:bCs/>
          <w:kern w:val="0"/>
          <w:sz w:val="24"/>
          <w:szCs w:val="24"/>
          <w14:ligatures w14:val="none"/>
        </w:rPr>
        <w:t>69</w:t>
      </w:r>
      <w:r w:rsidR="00FC0107" w:rsidRPr="00584DBC">
        <w:rPr>
          <w:rFonts w:asciiTheme="minorBidi" w:eastAsia="Times New Roman" w:hAnsiTheme="minorBidi"/>
          <w:b/>
          <w:bCs/>
          <w:kern w:val="0"/>
          <w:sz w:val="24"/>
          <w:szCs w:val="24"/>
          <w14:ligatures w14:val="none"/>
        </w:rPr>
        <w:t xml:space="preserve"> </w:t>
      </w:r>
    </w:p>
    <w:bookmarkStart w:id="187" w:name="A11"/>
    <w:bookmarkStart w:id="188" w:name="C102"/>
    <w:bookmarkEnd w:id="186"/>
    <w:p w14:paraId="481F4FD6" w14:textId="4C3E7194" w:rsidR="00FC0107" w:rsidRPr="00584DBC" w:rsidRDefault="00BE596A" w:rsidP="003F2E92">
      <w:pPr>
        <w:pStyle w:val="NoSpacing"/>
        <w:spacing w:line="480" w:lineRule="auto"/>
        <w:rPr>
          <w:rFonts w:asciiTheme="minorBidi" w:eastAsia="Times New Roman" w:hAnsiTheme="minorBidi"/>
          <w:b/>
          <w:bCs/>
          <w:kern w:val="0"/>
          <w:sz w:val="24"/>
          <w:szCs w:val="24"/>
          <w14:ligatures w14:val="none"/>
        </w:rPr>
      </w:pPr>
      <w:r w:rsidRPr="00584DBC">
        <w:rPr>
          <w:rFonts w:asciiTheme="minorBidi" w:eastAsia="Times New Roman" w:hAnsiTheme="minorBidi"/>
          <w:b/>
          <w:bCs/>
          <w:kern w:val="0"/>
          <w:sz w:val="24"/>
          <w:szCs w:val="24"/>
          <w14:ligatures w14:val="none"/>
        </w:rPr>
        <w:fldChar w:fldCharType="begin"/>
      </w:r>
      <w:r w:rsidRPr="00584DBC">
        <w:rPr>
          <w:rFonts w:asciiTheme="minorBidi" w:eastAsia="Times New Roman" w:hAnsiTheme="minorBidi"/>
          <w:b/>
          <w:bCs/>
          <w:kern w:val="0"/>
          <w:sz w:val="24"/>
          <w:szCs w:val="24"/>
          <w14:ligatures w14:val="none"/>
        </w:rPr>
        <w:instrText>HYPERLINK  \l "D102"</w:instrText>
      </w:r>
      <w:r w:rsidRPr="00584DBC">
        <w:rPr>
          <w:rFonts w:asciiTheme="minorBidi" w:eastAsia="Times New Roman" w:hAnsiTheme="minorBidi"/>
          <w:b/>
          <w:bCs/>
          <w:kern w:val="0"/>
          <w:sz w:val="24"/>
          <w:szCs w:val="24"/>
          <w14:ligatures w14:val="none"/>
        </w:rPr>
      </w:r>
      <w:r w:rsidRPr="00584DBC">
        <w:rPr>
          <w:rFonts w:asciiTheme="minorBidi" w:eastAsia="Times New Roman" w:hAnsiTheme="minorBidi"/>
          <w:b/>
          <w:bCs/>
          <w:kern w:val="0"/>
          <w:sz w:val="24"/>
          <w:szCs w:val="24"/>
          <w14:ligatures w14:val="none"/>
        </w:rPr>
        <w:fldChar w:fldCharType="separate"/>
      </w:r>
      <w:r w:rsidR="00FC0107" w:rsidRPr="00584DBC">
        <w:rPr>
          <w:rStyle w:val="Hyperlink"/>
          <w:rFonts w:asciiTheme="minorBidi" w:eastAsia="Times New Roman" w:hAnsiTheme="minorBidi"/>
          <w:b/>
          <w:bCs/>
          <w:kern w:val="0"/>
          <w:sz w:val="24"/>
          <w:szCs w:val="24"/>
          <w14:ligatures w14:val="none"/>
        </w:rPr>
        <w:t>4.4.1 Key Survey Findings</w:t>
      </w:r>
      <w:r w:rsidRPr="00584DBC">
        <w:rPr>
          <w:rFonts w:asciiTheme="minorBidi" w:eastAsia="Times New Roman" w:hAnsiTheme="minorBidi"/>
          <w:b/>
          <w:bCs/>
          <w:kern w:val="0"/>
          <w:sz w:val="24"/>
          <w:szCs w:val="24"/>
          <w14:ligatures w14:val="none"/>
        </w:rPr>
        <w:fldChar w:fldCharType="end"/>
      </w:r>
      <w:r w:rsidR="008C39B5">
        <w:rPr>
          <w:rFonts w:asciiTheme="minorBidi" w:eastAsia="Times New Roman" w:hAnsiTheme="minorBidi"/>
          <w:b/>
          <w:bCs/>
          <w:kern w:val="0"/>
          <w:sz w:val="24"/>
          <w:szCs w:val="24"/>
          <w14:ligatures w14:val="none"/>
        </w:rPr>
        <w:t>………………………………………………………</w:t>
      </w:r>
      <w:r w:rsidR="00801B78">
        <w:rPr>
          <w:rFonts w:asciiTheme="minorBidi" w:eastAsia="Times New Roman" w:hAnsiTheme="minorBidi"/>
          <w:b/>
          <w:bCs/>
          <w:kern w:val="0"/>
          <w:sz w:val="24"/>
          <w:szCs w:val="24"/>
          <w14:ligatures w14:val="none"/>
        </w:rPr>
        <w:t xml:space="preserve">…...  </w:t>
      </w:r>
      <w:r w:rsidR="008C39B5">
        <w:rPr>
          <w:rFonts w:asciiTheme="minorBidi" w:eastAsia="Times New Roman" w:hAnsiTheme="minorBidi"/>
          <w:b/>
          <w:bCs/>
          <w:kern w:val="0"/>
          <w:sz w:val="24"/>
          <w:szCs w:val="24"/>
          <w14:ligatures w14:val="none"/>
        </w:rPr>
        <w:t>2</w:t>
      </w:r>
      <w:r w:rsidR="00D56FE0">
        <w:rPr>
          <w:rFonts w:asciiTheme="minorBidi" w:eastAsia="Times New Roman" w:hAnsiTheme="minorBidi"/>
          <w:b/>
          <w:bCs/>
          <w:kern w:val="0"/>
          <w:sz w:val="24"/>
          <w:szCs w:val="24"/>
          <w14:ligatures w14:val="none"/>
        </w:rPr>
        <w:t>70</w:t>
      </w:r>
    </w:p>
    <w:bookmarkStart w:id="189" w:name="A12"/>
    <w:bookmarkStart w:id="190" w:name="C103"/>
    <w:bookmarkEnd w:id="187"/>
    <w:bookmarkEnd w:id="188"/>
    <w:p w14:paraId="74469523" w14:textId="1F83B90C" w:rsidR="00FC0107" w:rsidRPr="00584DBC" w:rsidRDefault="00BE596A" w:rsidP="003F2E92">
      <w:pPr>
        <w:pStyle w:val="NoSpacing"/>
        <w:spacing w:line="480" w:lineRule="auto"/>
        <w:rPr>
          <w:rFonts w:asciiTheme="minorBidi" w:eastAsia="Times New Roman" w:hAnsiTheme="minorBidi"/>
          <w:b/>
          <w:bCs/>
          <w:kern w:val="0"/>
          <w:sz w:val="24"/>
          <w:szCs w:val="24"/>
          <w14:ligatures w14:val="none"/>
        </w:rPr>
      </w:pPr>
      <w:r w:rsidRPr="00584DBC">
        <w:rPr>
          <w:rFonts w:asciiTheme="minorBidi" w:eastAsia="Times New Roman" w:hAnsiTheme="minorBidi"/>
          <w:b/>
          <w:bCs/>
          <w:kern w:val="0"/>
          <w:sz w:val="24"/>
          <w:szCs w:val="24"/>
          <w14:ligatures w14:val="none"/>
        </w:rPr>
        <w:fldChar w:fldCharType="begin"/>
      </w:r>
      <w:r w:rsidRPr="00584DBC">
        <w:rPr>
          <w:rFonts w:asciiTheme="minorBidi" w:eastAsia="Times New Roman" w:hAnsiTheme="minorBidi"/>
          <w:b/>
          <w:bCs/>
          <w:kern w:val="0"/>
          <w:sz w:val="24"/>
          <w:szCs w:val="24"/>
          <w14:ligatures w14:val="none"/>
        </w:rPr>
        <w:instrText>HYPERLINK  \l "D103"</w:instrText>
      </w:r>
      <w:r w:rsidRPr="00584DBC">
        <w:rPr>
          <w:rFonts w:asciiTheme="minorBidi" w:eastAsia="Times New Roman" w:hAnsiTheme="minorBidi"/>
          <w:b/>
          <w:bCs/>
          <w:kern w:val="0"/>
          <w:sz w:val="24"/>
          <w:szCs w:val="24"/>
          <w14:ligatures w14:val="none"/>
        </w:rPr>
      </w:r>
      <w:r w:rsidRPr="00584DBC">
        <w:rPr>
          <w:rFonts w:asciiTheme="minorBidi" w:eastAsia="Times New Roman" w:hAnsiTheme="minorBidi"/>
          <w:b/>
          <w:bCs/>
          <w:kern w:val="0"/>
          <w:sz w:val="24"/>
          <w:szCs w:val="24"/>
          <w14:ligatures w14:val="none"/>
        </w:rPr>
        <w:fldChar w:fldCharType="separate"/>
      </w:r>
      <w:r w:rsidR="00FC0107" w:rsidRPr="00584DBC">
        <w:rPr>
          <w:rStyle w:val="Hyperlink"/>
          <w:rFonts w:asciiTheme="minorBidi" w:eastAsia="Times New Roman" w:hAnsiTheme="minorBidi"/>
          <w:b/>
          <w:bCs/>
          <w:kern w:val="0"/>
          <w:sz w:val="24"/>
          <w:szCs w:val="24"/>
          <w14:ligatures w14:val="none"/>
        </w:rPr>
        <w:t>4.4.2 Major Interview Findings</w:t>
      </w:r>
      <w:r w:rsidRPr="00584DBC">
        <w:rPr>
          <w:rFonts w:asciiTheme="minorBidi" w:eastAsia="Times New Roman" w:hAnsiTheme="minorBidi"/>
          <w:b/>
          <w:bCs/>
          <w:kern w:val="0"/>
          <w:sz w:val="24"/>
          <w:szCs w:val="24"/>
          <w14:ligatures w14:val="none"/>
        </w:rPr>
        <w:fldChar w:fldCharType="end"/>
      </w:r>
      <w:r w:rsidR="00B302C4">
        <w:rPr>
          <w:rFonts w:asciiTheme="minorBidi" w:eastAsia="Times New Roman" w:hAnsiTheme="minorBidi"/>
          <w:b/>
          <w:bCs/>
          <w:kern w:val="0"/>
          <w:sz w:val="24"/>
          <w:szCs w:val="24"/>
          <w14:ligatures w14:val="none"/>
        </w:rPr>
        <w:t>…………………………………………………</w:t>
      </w:r>
      <w:r w:rsidR="00801B78">
        <w:rPr>
          <w:rFonts w:asciiTheme="minorBidi" w:eastAsia="Times New Roman" w:hAnsiTheme="minorBidi"/>
          <w:b/>
          <w:bCs/>
          <w:kern w:val="0"/>
          <w:sz w:val="24"/>
          <w:szCs w:val="24"/>
          <w14:ligatures w14:val="none"/>
        </w:rPr>
        <w:t xml:space="preserve">……  </w:t>
      </w:r>
      <w:r w:rsidR="00B302C4">
        <w:rPr>
          <w:rFonts w:asciiTheme="minorBidi" w:eastAsia="Times New Roman" w:hAnsiTheme="minorBidi"/>
          <w:b/>
          <w:bCs/>
          <w:kern w:val="0"/>
          <w:sz w:val="24"/>
          <w:szCs w:val="24"/>
          <w14:ligatures w14:val="none"/>
        </w:rPr>
        <w:t>2</w:t>
      </w:r>
      <w:r w:rsidR="00D56FE0">
        <w:rPr>
          <w:rFonts w:asciiTheme="minorBidi" w:eastAsia="Times New Roman" w:hAnsiTheme="minorBidi"/>
          <w:b/>
          <w:bCs/>
          <w:kern w:val="0"/>
          <w:sz w:val="24"/>
          <w:szCs w:val="24"/>
          <w14:ligatures w14:val="none"/>
        </w:rPr>
        <w:t>74</w:t>
      </w:r>
    </w:p>
    <w:bookmarkStart w:id="191" w:name="A13"/>
    <w:bookmarkStart w:id="192" w:name="C104"/>
    <w:bookmarkEnd w:id="189"/>
    <w:bookmarkEnd w:id="190"/>
    <w:p w14:paraId="52D45C18" w14:textId="3649F368" w:rsidR="00FC0107" w:rsidRPr="00584DBC" w:rsidRDefault="00BE596A" w:rsidP="003F2E92">
      <w:pPr>
        <w:pStyle w:val="NoSpacing"/>
        <w:spacing w:line="480" w:lineRule="auto"/>
        <w:rPr>
          <w:rFonts w:asciiTheme="minorBidi" w:eastAsia="Times New Roman" w:hAnsiTheme="minorBidi"/>
          <w:b/>
          <w:bCs/>
          <w:kern w:val="0"/>
          <w:sz w:val="24"/>
          <w:szCs w:val="24"/>
          <w14:ligatures w14:val="none"/>
        </w:rPr>
      </w:pPr>
      <w:r w:rsidRPr="00584DBC">
        <w:rPr>
          <w:rFonts w:asciiTheme="minorBidi" w:eastAsia="Times New Roman" w:hAnsiTheme="minorBidi"/>
          <w:b/>
          <w:bCs/>
          <w:kern w:val="0"/>
          <w:sz w:val="24"/>
          <w:szCs w:val="24"/>
          <w14:ligatures w14:val="none"/>
        </w:rPr>
        <w:fldChar w:fldCharType="begin"/>
      </w:r>
      <w:r w:rsidRPr="00584DBC">
        <w:rPr>
          <w:rFonts w:asciiTheme="minorBidi" w:eastAsia="Times New Roman" w:hAnsiTheme="minorBidi"/>
          <w:b/>
          <w:bCs/>
          <w:kern w:val="0"/>
          <w:sz w:val="24"/>
          <w:szCs w:val="24"/>
          <w14:ligatures w14:val="none"/>
        </w:rPr>
        <w:instrText>HYPERLINK  \l "D104"</w:instrText>
      </w:r>
      <w:r w:rsidRPr="00584DBC">
        <w:rPr>
          <w:rFonts w:asciiTheme="minorBidi" w:eastAsia="Times New Roman" w:hAnsiTheme="minorBidi"/>
          <w:b/>
          <w:bCs/>
          <w:kern w:val="0"/>
          <w:sz w:val="24"/>
          <w:szCs w:val="24"/>
          <w14:ligatures w14:val="none"/>
        </w:rPr>
      </w:r>
      <w:r w:rsidRPr="00584DBC">
        <w:rPr>
          <w:rFonts w:asciiTheme="minorBidi" w:eastAsia="Times New Roman" w:hAnsiTheme="minorBidi"/>
          <w:b/>
          <w:bCs/>
          <w:kern w:val="0"/>
          <w:sz w:val="24"/>
          <w:szCs w:val="24"/>
          <w14:ligatures w14:val="none"/>
        </w:rPr>
        <w:fldChar w:fldCharType="separate"/>
      </w:r>
      <w:r w:rsidR="00FC0107" w:rsidRPr="00584DBC">
        <w:rPr>
          <w:rStyle w:val="Hyperlink"/>
          <w:rFonts w:asciiTheme="minorBidi" w:eastAsia="Times New Roman" w:hAnsiTheme="minorBidi"/>
          <w:b/>
          <w:bCs/>
          <w:kern w:val="0"/>
          <w:sz w:val="24"/>
          <w:szCs w:val="24"/>
          <w14:ligatures w14:val="none"/>
        </w:rPr>
        <w:t>4.4.3 Triangulation Process Deepened: Convergence / Complementarity / Divergence</w:t>
      </w:r>
      <w:r w:rsidRPr="00584DBC">
        <w:rPr>
          <w:rFonts w:asciiTheme="minorBidi" w:eastAsia="Times New Roman" w:hAnsiTheme="minorBidi"/>
          <w:b/>
          <w:bCs/>
          <w:kern w:val="0"/>
          <w:sz w:val="24"/>
          <w:szCs w:val="24"/>
          <w14:ligatures w14:val="none"/>
        </w:rPr>
        <w:fldChar w:fldCharType="end"/>
      </w:r>
      <w:r w:rsidR="00B302C4">
        <w:rPr>
          <w:rFonts w:asciiTheme="minorBidi" w:eastAsia="Times New Roman" w:hAnsiTheme="minorBidi"/>
          <w:b/>
          <w:bCs/>
          <w:kern w:val="0"/>
          <w:sz w:val="24"/>
          <w:szCs w:val="24"/>
          <w14:ligatures w14:val="none"/>
        </w:rPr>
        <w:t>…………………………………………………………………………</w:t>
      </w:r>
      <w:r w:rsidR="00801B78">
        <w:rPr>
          <w:rFonts w:asciiTheme="minorBidi" w:eastAsia="Times New Roman" w:hAnsiTheme="minorBidi"/>
          <w:b/>
          <w:bCs/>
          <w:kern w:val="0"/>
          <w:sz w:val="24"/>
          <w:szCs w:val="24"/>
          <w14:ligatures w14:val="none"/>
        </w:rPr>
        <w:t xml:space="preserve">…… </w:t>
      </w:r>
      <w:r w:rsidR="00B302C4">
        <w:rPr>
          <w:rFonts w:asciiTheme="minorBidi" w:eastAsia="Times New Roman" w:hAnsiTheme="minorBidi"/>
          <w:b/>
          <w:bCs/>
          <w:kern w:val="0"/>
          <w:sz w:val="24"/>
          <w:szCs w:val="24"/>
          <w14:ligatures w14:val="none"/>
        </w:rPr>
        <w:t>2</w:t>
      </w:r>
      <w:r w:rsidR="0058748D">
        <w:rPr>
          <w:rFonts w:asciiTheme="minorBidi" w:eastAsia="Times New Roman" w:hAnsiTheme="minorBidi"/>
          <w:b/>
          <w:bCs/>
          <w:kern w:val="0"/>
          <w:sz w:val="24"/>
          <w:szCs w:val="24"/>
          <w14:ligatures w14:val="none"/>
        </w:rPr>
        <w:t>75</w:t>
      </w:r>
    </w:p>
    <w:bookmarkStart w:id="193" w:name="A14"/>
    <w:bookmarkStart w:id="194" w:name="C105"/>
    <w:bookmarkEnd w:id="191"/>
    <w:bookmarkEnd w:id="192"/>
    <w:p w14:paraId="37DDF2A4" w14:textId="37512D0E" w:rsidR="00FC0107" w:rsidRPr="00584DBC" w:rsidRDefault="00686250" w:rsidP="003F2E92">
      <w:pPr>
        <w:pStyle w:val="NoSpacing"/>
        <w:spacing w:line="480" w:lineRule="auto"/>
        <w:rPr>
          <w:rFonts w:asciiTheme="minorBidi" w:eastAsia="Times New Roman" w:hAnsiTheme="minorBidi"/>
          <w:b/>
          <w:bCs/>
          <w:sz w:val="24"/>
          <w:szCs w:val="24"/>
          <w:lang w:eastAsia="en-GB"/>
        </w:rPr>
      </w:pPr>
      <w:r w:rsidRPr="00584DBC">
        <w:rPr>
          <w:rFonts w:asciiTheme="minorBidi" w:eastAsia="Times New Roman" w:hAnsiTheme="minorBidi"/>
          <w:b/>
          <w:bCs/>
          <w:sz w:val="24"/>
          <w:szCs w:val="24"/>
          <w:lang w:eastAsia="en-GB"/>
        </w:rPr>
        <w:fldChar w:fldCharType="begin"/>
      </w:r>
      <w:r w:rsidRPr="00584DBC">
        <w:rPr>
          <w:rFonts w:asciiTheme="minorBidi" w:eastAsia="Times New Roman" w:hAnsiTheme="minorBidi"/>
          <w:b/>
          <w:bCs/>
          <w:sz w:val="24"/>
          <w:szCs w:val="24"/>
          <w:lang w:eastAsia="en-GB"/>
        </w:rPr>
        <w:instrText>HYPERLINK  \l "D105"</w:instrText>
      </w:r>
      <w:r w:rsidRPr="00584DBC">
        <w:rPr>
          <w:rFonts w:asciiTheme="minorBidi" w:eastAsia="Times New Roman" w:hAnsiTheme="minorBidi"/>
          <w:b/>
          <w:bCs/>
          <w:sz w:val="24"/>
          <w:szCs w:val="24"/>
          <w:lang w:eastAsia="en-GB"/>
        </w:rPr>
      </w:r>
      <w:r w:rsidRPr="00584DBC">
        <w:rPr>
          <w:rFonts w:asciiTheme="minorBidi" w:eastAsia="Times New Roman" w:hAnsiTheme="minorBidi"/>
          <w:b/>
          <w:bCs/>
          <w:sz w:val="24"/>
          <w:szCs w:val="24"/>
          <w:lang w:eastAsia="en-GB"/>
        </w:rPr>
        <w:fldChar w:fldCharType="separate"/>
      </w:r>
      <w:r w:rsidR="00FC0107" w:rsidRPr="00584DBC">
        <w:rPr>
          <w:rStyle w:val="Hyperlink"/>
          <w:rFonts w:asciiTheme="minorBidi" w:eastAsia="Times New Roman" w:hAnsiTheme="minorBidi"/>
          <w:b/>
          <w:bCs/>
          <w:sz w:val="24"/>
          <w:szCs w:val="24"/>
          <w:lang w:eastAsia="en-GB"/>
        </w:rPr>
        <w:t xml:space="preserve">4.5 Part Three Automation: Preparation </w:t>
      </w:r>
      <w:r w:rsidR="003D7488">
        <w:rPr>
          <w:rStyle w:val="Hyperlink"/>
          <w:rFonts w:asciiTheme="minorBidi" w:eastAsia="Times New Roman" w:hAnsiTheme="minorBidi"/>
          <w:b/>
          <w:bCs/>
          <w:sz w:val="24"/>
          <w:szCs w:val="24"/>
          <w:lang w:eastAsia="en-GB"/>
        </w:rPr>
        <w:t>B</w:t>
      </w:r>
      <w:r w:rsidR="00FC0107" w:rsidRPr="00584DBC">
        <w:rPr>
          <w:rStyle w:val="Hyperlink"/>
          <w:rFonts w:asciiTheme="minorBidi" w:eastAsia="Times New Roman" w:hAnsiTheme="minorBidi"/>
          <w:b/>
          <w:bCs/>
          <w:sz w:val="24"/>
          <w:szCs w:val="24"/>
          <w:lang w:eastAsia="en-GB"/>
        </w:rPr>
        <w:t>efore Blockchain Technology</w:t>
      </w:r>
      <w:r w:rsidRPr="00584DBC">
        <w:rPr>
          <w:rFonts w:asciiTheme="minorBidi" w:eastAsia="Times New Roman" w:hAnsiTheme="minorBidi"/>
          <w:b/>
          <w:bCs/>
          <w:sz w:val="24"/>
          <w:szCs w:val="24"/>
          <w:lang w:eastAsia="en-GB"/>
        </w:rPr>
        <w:fldChar w:fldCharType="end"/>
      </w:r>
    </w:p>
    <w:bookmarkStart w:id="195" w:name="A15"/>
    <w:bookmarkStart w:id="196" w:name="C106"/>
    <w:bookmarkEnd w:id="193"/>
    <w:bookmarkEnd w:id="194"/>
    <w:p w14:paraId="58B242F6" w14:textId="7A76F27A" w:rsidR="00FC0107" w:rsidRPr="00584DBC" w:rsidRDefault="00BE596A" w:rsidP="003F2E92">
      <w:pPr>
        <w:pStyle w:val="NoSpacing"/>
        <w:spacing w:line="480" w:lineRule="auto"/>
        <w:rPr>
          <w:rFonts w:asciiTheme="minorBidi" w:eastAsia="Times New Roman" w:hAnsiTheme="minorBidi"/>
          <w:b/>
          <w:bCs/>
          <w:kern w:val="0"/>
          <w:sz w:val="24"/>
          <w:szCs w:val="24"/>
          <w:lang w:eastAsia="en-GB"/>
          <w14:ligatures w14:val="none"/>
        </w:rPr>
      </w:pPr>
      <w:r w:rsidRPr="00584DBC">
        <w:rPr>
          <w:rFonts w:asciiTheme="minorBidi" w:eastAsia="Times New Roman" w:hAnsiTheme="minorBidi"/>
          <w:b/>
          <w:bCs/>
          <w:kern w:val="0"/>
          <w:sz w:val="24"/>
          <w:szCs w:val="24"/>
          <w:lang w:eastAsia="en-GB"/>
          <w14:ligatures w14:val="none"/>
        </w:rPr>
        <w:fldChar w:fldCharType="begin"/>
      </w:r>
      <w:r w:rsidRPr="00584DBC">
        <w:rPr>
          <w:rFonts w:asciiTheme="minorBidi" w:eastAsia="Times New Roman" w:hAnsiTheme="minorBidi"/>
          <w:b/>
          <w:bCs/>
          <w:kern w:val="0"/>
          <w:sz w:val="24"/>
          <w:szCs w:val="24"/>
          <w:lang w:eastAsia="en-GB"/>
          <w14:ligatures w14:val="none"/>
        </w:rPr>
        <w:instrText>HYPERLINK  \l "D106"</w:instrText>
      </w:r>
      <w:r w:rsidRPr="00584DBC">
        <w:rPr>
          <w:rFonts w:asciiTheme="minorBidi" w:eastAsia="Times New Roman" w:hAnsiTheme="minorBidi"/>
          <w:b/>
          <w:bCs/>
          <w:kern w:val="0"/>
          <w:sz w:val="24"/>
          <w:szCs w:val="24"/>
          <w:lang w:eastAsia="en-GB"/>
          <w14:ligatures w14:val="none"/>
        </w:rPr>
      </w:r>
      <w:r w:rsidRPr="00584DBC">
        <w:rPr>
          <w:rFonts w:asciiTheme="minorBidi" w:eastAsia="Times New Roman" w:hAnsiTheme="minorBidi"/>
          <w:b/>
          <w:bCs/>
          <w:kern w:val="0"/>
          <w:sz w:val="24"/>
          <w:szCs w:val="24"/>
          <w:lang w:eastAsia="en-GB"/>
          <w14:ligatures w14:val="none"/>
        </w:rPr>
        <w:fldChar w:fldCharType="separate"/>
      </w:r>
      <w:r w:rsidR="00FC0107" w:rsidRPr="00584DBC">
        <w:rPr>
          <w:rStyle w:val="Hyperlink"/>
          <w:rFonts w:asciiTheme="minorBidi" w:eastAsia="Times New Roman" w:hAnsiTheme="minorBidi"/>
          <w:b/>
          <w:bCs/>
          <w:kern w:val="0"/>
          <w:sz w:val="24"/>
          <w:szCs w:val="24"/>
          <w:lang w:eastAsia="en-GB"/>
          <w14:ligatures w14:val="none"/>
        </w:rPr>
        <w:t>4.5.1 What is External Audit Automation?</w:t>
      </w:r>
      <w:r w:rsidRPr="00584DBC">
        <w:rPr>
          <w:rFonts w:asciiTheme="minorBidi" w:eastAsia="Times New Roman" w:hAnsiTheme="minorBidi"/>
          <w:b/>
          <w:bCs/>
          <w:kern w:val="0"/>
          <w:sz w:val="24"/>
          <w:szCs w:val="24"/>
          <w:lang w:eastAsia="en-GB"/>
          <w14:ligatures w14:val="none"/>
        </w:rPr>
        <w:fldChar w:fldCharType="end"/>
      </w:r>
      <w:r w:rsidR="00B302C4">
        <w:rPr>
          <w:rFonts w:asciiTheme="minorBidi" w:eastAsia="Times New Roman" w:hAnsiTheme="minorBidi"/>
          <w:b/>
          <w:bCs/>
          <w:kern w:val="0"/>
          <w:sz w:val="24"/>
          <w:szCs w:val="24"/>
          <w:lang w:eastAsia="en-GB"/>
          <w14:ligatures w14:val="none"/>
        </w:rPr>
        <w:t>...................................................</w:t>
      </w:r>
      <w:r w:rsidR="00801B78">
        <w:rPr>
          <w:rFonts w:asciiTheme="minorBidi" w:eastAsia="Times New Roman" w:hAnsiTheme="minorBidi"/>
          <w:b/>
          <w:bCs/>
          <w:kern w:val="0"/>
          <w:sz w:val="24"/>
          <w:szCs w:val="24"/>
          <w:lang w:eastAsia="en-GB"/>
          <w14:ligatures w14:val="none"/>
        </w:rPr>
        <w:t xml:space="preserve">...... </w:t>
      </w:r>
      <w:r w:rsidR="00B302C4">
        <w:rPr>
          <w:rFonts w:asciiTheme="minorBidi" w:eastAsia="Times New Roman" w:hAnsiTheme="minorBidi"/>
          <w:b/>
          <w:bCs/>
          <w:kern w:val="0"/>
          <w:sz w:val="24"/>
          <w:szCs w:val="24"/>
          <w:lang w:eastAsia="en-GB"/>
          <w14:ligatures w14:val="none"/>
        </w:rPr>
        <w:t>2</w:t>
      </w:r>
      <w:r w:rsidR="00DF3254">
        <w:rPr>
          <w:rFonts w:asciiTheme="minorBidi" w:eastAsia="Times New Roman" w:hAnsiTheme="minorBidi"/>
          <w:b/>
          <w:bCs/>
          <w:kern w:val="0"/>
          <w:sz w:val="24"/>
          <w:szCs w:val="24"/>
          <w:lang w:eastAsia="en-GB"/>
          <w14:ligatures w14:val="none"/>
        </w:rPr>
        <w:t>81</w:t>
      </w:r>
    </w:p>
    <w:bookmarkStart w:id="197" w:name="A16"/>
    <w:bookmarkStart w:id="198" w:name="C107"/>
    <w:bookmarkEnd w:id="195"/>
    <w:bookmarkEnd w:id="196"/>
    <w:p w14:paraId="49BFB8D9" w14:textId="6ED9FDA3" w:rsidR="00FC0107" w:rsidRPr="00584DBC" w:rsidRDefault="00686250" w:rsidP="003F2E92">
      <w:pPr>
        <w:pStyle w:val="NoSpacing"/>
        <w:spacing w:line="480" w:lineRule="auto"/>
        <w:rPr>
          <w:rFonts w:asciiTheme="minorBidi" w:eastAsia="Times New Roman" w:hAnsiTheme="minorBidi"/>
          <w:b/>
          <w:bCs/>
          <w:kern w:val="0"/>
          <w:sz w:val="24"/>
          <w:szCs w:val="24"/>
          <w:lang w:eastAsia="en-GB"/>
          <w14:ligatures w14:val="none"/>
        </w:rPr>
      </w:pPr>
      <w:r w:rsidRPr="00584DBC">
        <w:rPr>
          <w:rFonts w:asciiTheme="minorBidi" w:eastAsia="Times New Roman" w:hAnsiTheme="minorBidi"/>
          <w:b/>
          <w:bCs/>
          <w:kern w:val="0"/>
          <w:sz w:val="24"/>
          <w:szCs w:val="24"/>
          <w:lang w:eastAsia="en-GB"/>
          <w14:ligatures w14:val="none"/>
        </w:rPr>
        <w:fldChar w:fldCharType="begin"/>
      </w:r>
      <w:r w:rsidRPr="00584DBC">
        <w:rPr>
          <w:rFonts w:asciiTheme="minorBidi" w:eastAsia="Times New Roman" w:hAnsiTheme="minorBidi"/>
          <w:b/>
          <w:bCs/>
          <w:kern w:val="0"/>
          <w:sz w:val="24"/>
          <w:szCs w:val="24"/>
          <w:lang w:eastAsia="en-GB"/>
          <w14:ligatures w14:val="none"/>
        </w:rPr>
        <w:instrText>HYPERLINK  \l "D107"</w:instrText>
      </w:r>
      <w:r w:rsidRPr="00584DBC">
        <w:rPr>
          <w:rFonts w:asciiTheme="minorBidi" w:eastAsia="Times New Roman" w:hAnsiTheme="minorBidi"/>
          <w:b/>
          <w:bCs/>
          <w:kern w:val="0"/>
          <w:sz w:val="24"/>
          <w:szCs w:val="24"/>
          <w:lang w:eastAsia="en-GB"/>
          <w14:ligatures w14:val="none"/>
        </w:rPr>
      </w:r>
      <w:r w:rsidRPr="00584DBC">
        <w:rPr>
          <w:rFonts w:asciiTheme="minorBidi" w:eastAsia="Times New Roman" w:hAnsiTheme="minorBidi"/>
          <w:b/>
          <w:bCs/>
          <w:kern w:val="0"/>
          <w:sz w:val="24"/>
          <w:szCs w:val="24"/>
          <w:lang w:eastAsia="en-GB"/>
          <w14:ligatures w14:val="none"/>
        </w:rPr>
        <w:fldChar w:fldCharType="separate"/>
      </w:r>
      <w:r w:rsidR="00FC0107" w:rsidRPr="00584DBC">
        <w:rPr>
          <w:rStyle w:val="Hyperlink"/>
          <w:rFonts w:asciiTheme="minorBidi" w:eastAsia="Times New Roman" w:hAnsiTheme="minorBidi"/>
          <w:b/>
          <w:bCs/>
          <w:kern w:val="0"/>
          <w:sz w:val="24"/>
          <w:szCs w:val="24"/>
          <w:lang w:eastAsia="en-GB"/>
          <w14:ligatures w14:val="none"/>
        </w:rPr>
        <w:t>4.5.2 Why is Audit Automation Vital?</w:t>
      </w:r>
      <w:r w:rsidRPr="00584DBC">
        <w:rPr>
          <w:rFonts w:asciiTheme="minorBidi" w:eastAsia="Times New Roman" w:hAnsiTheme="minorBidi"/>
          <w:b/>
          <w:bCs/>
          <w:kern w:val="0"/>
          <w:sz w:val="24"/>
          <w:szCs w:val="24"/>
          <w:lang w:eastAsia="en-GB"/>
          <w14:ligatures w14:val="none"/>
        </w:rPr>
        <w:fldChar w:fldCharType="end"/>
      </w:r>
      <w:r w:rsidR="00FA0966">
        <w:rPr>
          <w:rFonts w:asciiTheme="minorBidi" w:eastAsia="Times New Roman" w:hAnsiTheme="minorBidi"/>
          <w:b/>
          <w:bCs/>
          <w:kern w:val="0"/>
          <w:sz w:val="24"/>
          <w:szCs w:val="24"/>
          <w:lang w:eastAsia="en-GB"/>
          <w14:ligatures w14:val="none"/>
        </w:rPr>
        <w:t>..........................................................</w:t>
      </w:r>
      <w:r w:rsidR="00801B78">
        <w:rPr>
          <w:rFonts w:asciiTheme="minorBidi" w:eastAsia="Times New Roman" w:hAnsiTheme="minorBidi"/>
          <w:b/>
          <w:bCs/>
          <w:kern w:val="0"/>
          <w:sz w:val="24"/>
          <w:szCs w:val="24"/>
          <w:lang w:eastAsia="en-GB"/>
          <w14:ligatures w14:val="none"/>
        </w:rPr>
        <w:t xml:space="preserve">....... </w:t>
      </w:r>
      <w:r w:rsidR="00FA0966">
        <w:rPr>
          <w:rFonts w:asciiTheme="minorBidi" w:eastAsia="Times New Roman" w:hAnsiTheme="minorBidi"/>
          <w:b/>
          <w:bCs/>
          <w:kern w:val="0"/>
          <w:sz w:val="24"/>
          <w:szCs w:val="24"/>
          <w:lang w:eastAsia="en-GB"/>
          <w14:ligatures w14:val="none"/>
        </w:rPr>
        <w:t>2</w:t>
      </w:r>
      <w:r w:rsidR="00DF3254">
        <w:rPr>
          <w:rFonts w:asciiTheme="minorBidi" w:eastAsia="Times New Roman" w:hAnsiTheme="minorBidi"/>
          <w:b/>
          <w:bCs/>
          <w:kern w:val="0"/>
          <w:sz w:val="24"/>
          <w:szCs w:val="24"/>
          <w:lang w:eastAsia="en-GB"/>
          <w14:ligatures w14:val="none"/>
        </w:rPr>
        <w:t>81</w:t>
      </w:r>
    </w:p>
    <w:bookmarkStart w:id="199" w:name="A17"/>
    <w:bookmarkStart w:id="200" w:name="C108"/>
    <w:bookmarkEnd w:id="197"/>
    <w:bookmarkEnd w:id="198"/>
    <w:p w14:paraId="5B2342BC" w14:textId="23FD7F1A" w:rsidR="00FC0107" w:rsidRPr="00584DBC" w:rsidRDefault="00BE596A" w:rsidP="003F2E92">
      <w:pPr>
        <w:pStyle w:val="NoSpacing"/>
        <w:spacing w:line="480" w:lineRule="auto"/>
        <w:rPr>
          <w:rFonts w:asciiTheme="minorBidi" w:eastAsia="Times New Roman" w:hAnsiTheme="minorBidi"/>
          <w:b/>
          <w:bCs/>
          <w:kern w:val="0"/>
          <w:sz w:val="24"/>
          <w:szCs w:val="24"/>
          <w:lang w:eastAsia="en-GB"/>
          <w14:ligatures w14:val="none"/>
        </w:rPr>
      </w:pPr>
      <w:r w:rsidRPr="00584DBC">
        <w:rPr>
          <w:rFonts w:asciiTheme="minorBidi" w:eastAsia="Times New Roman" w:hAnsiTheme="minorBidi"/>
          <w:b/>
          <w:bCs/>
          <w:kern w:val="0"/>
          <w:sz w:val="24"/>
          <w:szCs w:val="24"/>
          <w:lang w:eastAsia="en-GB"/>
          <w14:ligatures w14:val="none"/>
        </w:rPr>
        <w:fldChar w:fldCharType="begin"/>
      </w:r>
      <w:r w:rsidRPr="00584DBC">
        <w:rPr>
          <w:rFonts w:asciiTheme="minorBidi" w:eastAsia="Times New Roman" w:hAnsiTheme="minorBidi"/>
          <w:b/>
          <w:bCs/>
          <w:kern w:val="0"/>
          <w:sz w:val="24"/>
          <w:szCs w:val="24"/>
          <w:lang w:eastAsia="en-GB"/>
          <w14:ligatures w14:val="none"/>
        </w:rPr>
        <w:instrText>HYPERLINK  \l "D108"</w:instrText>
      </w:r>
      <w:r w:rsidRPr="00584DBC">
        <w:rPr>
          <w:rFonts w:asciiTheme="minorBidi" w:eastAsia="Times New Roman" w:hAnsiTheme="minorBidi"/>
          <w:b/>
          <w:bCs/>
          <w:kern w:val="0"/>
          <w:sz w:val="24"/>
          <w:szCs w:val="24"/>
          <w:lang w:eastAsia="en-GB"/>
          <w14:ligatures w14:val="none"/>
        </w:rPr>
      </w:r>
      <w:r w:rsidRPr="00584DBC">
        <w:rPr>
          <w:rFonts w:asciiTheme="minorBidi" w:eastAsia="Times New Roman" w:hAnsiTheme="minorBidi"/>
          <w:b/>
          <w:bCs/>
          <w:kern w:val="0"/>
          <w:sz w:val="24"/>
          <w:szCs w:val="24"/>
          <w:lang w:eastAsia="en-GB"/>
          <w14:ligatures w14:val="none"/>
        </w:rPr>
        <w:fldChar w:fldCharType="separate"/>
      </w:r>
      <w:r w:rsidR="00FC0107" w:rsidRPr="00584DBC">
        <w:rPr>
          <w:rStyle w:val="Hyperlink"/>
          <w:rFonts w:asciiTheme="minorBidi" w:eastAsia="Times New Roman" w:hAnsiTheme="minorBidi"/>
          <w:b/>
          <w:bCs/>
          <w:kern w:val="0"/>
          <w:sz w:val="24"/>
          <w:szCs w:val="24"/>
          <w:lang w:eastAsia="en-GB"/>
          <w14:ligatures w14:val="none"/>
        </w:rPr>
        <w:t>4.5.3 What are the Advantages of Audit Automation?</w:t>
      </w:r>
      <w:r w:rsidRPr="00584DBC">
        <w:rPr>
          <w:rFonts w:asciiTheme="minorBidi" w:eastAsia="Times New Roman" w:hAnsiTheme="minorBidi"/>
          <w:b/>
          <w:bCs/>
          <w:kern w:val="0"/>
          <w:sz w:val="24"/>
          <w:szCs w:val="24"/>
          <w:lang w:eastAsia="en-GB"/>
          <w14:ligatures w14:val="none"/>
        </w:rPr>
        <w:fldChar w:fldCharType="end"/>
      </w:r>
      <w:r w:rsidR="00FA0966">
        <w:rPr>
          <w:rFonts w:asciiTheme="minorBidi" w:eastAsia="Times New Roman" w:hAnsiTheme="minorBidi"/>
          <w:b/>
          <w:bCs/>
          <w:kern w:val="0"/>
          <w:sz w:val="24"/>
          <w:szCs w:val="24"/>
          <w:lang w:eastAsia="en-GB"/>
          <w14:ligatures w14:val="none"/>
        </w:rPr>
        <w:t>...............................</w:t>
      </w:r>
      <w:r w:rsidR="00801B78">
        <w:rPr>
          <w:rFonts w:asciiTheme="minorBidi" w:eastAsia="Times New Roman" w:hAnsiTheme="minorBidi"/>
          <w:b/>
          <w:bCs/>
          <w:kern w:val="0"/>
          <w:sz w:val="24"/>
          <w:szCs w:val="24"/>
          <w:lang w:eastAsia="en-GB"/>
          <w14:ligatures w14:val="none"/>
        </w:rPr>
        <w:t xml:space="preserve">....... </w:t>
      </w:r>
      <w:r w:rsidR="00FA0966">
        <w:rPr>
          <w:rFonts w:asciiTheme="minorBidi" w:eastAsia="Times New Roman" w:hAnsiTheme="minorBidi"/>
          <w:b/>
          <w:bCs/>
          <w:kern w:val="0"/>
          <w:sz w:val="24"/>
          <w:szCs w:val="24"/>
          <w:lang w:eastAsia="en-GB"/>
          <w14:ligatures w14:val="none"/>
        </w:rPr>
        <w:t>2</w:t>
      </w:r>
      <w:r w:rsidR="00A5277A">
        <w:rPr>
          <w:rFonts w:asciiTheme="minorBidi" w:eastAsia="Times New Roman" w:hAnsiTheme="minorBidi"/>
          <w:b/>
          <w:bCs/>
          <w:kern w:val="0"/>
          <w:sz w:val="24"/>
          <w:szCs w:val="24"/>
          <w:lang w:eastAsia="en-GB"/>
          <w14:ligatures w14:val="none"/>
        </w:rPr>
        <w:t>82</w:t>
      </w:r>
    </w:p>
    <w:bookmarkStart w:id="201" w:name="A18"/>
    <w:bookmarkStart w:id="202" w:name="C109"/>
    <w:bookmarkEnd w:id="199"/>
    <w:bookmarkEnd w:id="200"/>
    <w:p w14:paraId="72C40155" w14:textId="353AF170" w:rsidR="00FC0107" w:rsidRPr="00584DBC" w:rsidRDefault="00BE596A" w:rsidP="003F2E92">
      <w:pPr>
        <w:pStyle w:val="NoSpacing"/>
        <w:spacing w:line="480" w:lineRule="auto"/>
        <w:rPr>
          <w:rFonts w:asciiTheme="minorBidi" w:eastAsiaTheme="minorHAnsi" w:hAnsiTheme="minorBidi"/>
          <w:b/>
          <w:bCs/>
          <w:kern w:val="0"/>
          <w:sz w:val="24"/>
          <w:szCs w:val="24"/>
          <w:lang w:eastAsia="en-US"/>
          <w14:ligatures w14:val="none"/>
        </w:rPr>
      </w:pPr>
      <w:r w:rsidRPr="00584DBC">
        <w:rPr>
          <w:rFonts w:asciiTheme="minorBidi" w:eastAsia="Times New Roman" w:hAnsiTheme="minorBidi"/>
          <w:b/>
          <w:bCs/>
          <w:kern w:val="0"/>
          <w:sz w:val="24"/>
          <w:szCs w:val="24"/>
          <w:lang w:eastAsia="en-GB"/>
          <w14:ligatures w14:val="none"/>
        </w:rPr>
        <w:fldChar w:fldCharType="begin"/>
      </w:r>
      <w:r w:rsidRPr="00584DBC">
        <w:rPr>
          <w:rFonts w:asciiTheme="minorBidi" w:eastAsia="Times New Roman" w:hAnsiTheme="minorBidi"/>
          <w:b/>
          <w:bCs/>
          <w:kern w:val="0"/>
          <w:sz w:val="24"/>
          <w:szCs w:val="24"/>
          <w:lang w:eastAsia="en-GB"/>
          <w14:ligatures w14:val="none"/>
        </w:rPr>
        <w:instrText>HYPERLINK  \l "D109"</w:instrText>
      </w:r>
      <w:r w:rsidRPr="00584DBC">
        <w:rPr>
          <w:rFonts w:asciiTheme="minorBidi" w:eastAsia="Times New Roman" w:hAnsiTheme="minorBidi"/>
          <w:b/>
          <w:bCs/>
          <w:kern w:val="0"/>
          <w:sz w:val="24"/>
          <w:szCs w:val="24"/>
          <w:lang w:eastAsia="en-GB"/>
          <w14:ligatures w14:val="none"/>
        </w:rPr>
      </w:r>
      <w:r w:rsidRPr="00584DBC">
        <w:rPr>
          <w:rFonts w:asciiTheme="minorBidi" w:eastAsia="Times New Roman" w:hAnsiTheme="minorBidi"/>
          <w:b/>
          <w:bCs/>
          <w:kern w:val="0"/>
          <w:sz w:val="24"/>
          <w:szCs w:val="24"/>
          <w:lang w:eastAsia="en-GB"/>
          <w14:ligatures w14:val="none"/>
        </w:rPr>
        <w:fldChar w:fldCharType="separate"/>
      </w:r>
      <w:r w:rsidR="00FC0107" w:rsidRPr="00584DBC">
        <w:rPr>
          <w:rStyle w:val="Hyperlink"/>
          <w:rFonts w:asciiTheme="minorBidi" w:eastAsia="Times New Roman" w:hAnsiTheme="minorBidi"/>
          <w:b/>
          <w:bCs/>
          <w:kern w:val="0"/>
          <w:sz w:val="24"/>
          <w:szCs w:val="24"/>
          <w:lang w:eastAsia="en-GB"/>
          <w14:ligatures w14:val="none"/>
        </w:rPr>
        <w:t xml:space="preserve">4.5.4 Which </w:t>
      </w:r>
      <w:r w:rsidR="003D7488">
        <w:rPr>
          <w:rStyle w:val="Hyperlink"/>
          <w:rFonts w:asciiTheme="minorBidi" w:eastAsia="Times New Roman" w:hAnsiTheme="minorBidi"/>
          <w:b/>
          <w:bCs/>
          <w:kern w:val="0"/>
          <w:sz w:val="24"/>
          <w:szCs w:val="24"/>
          <w:lang w:eastAsia="en-GB"/>
          <w14:ligatures w14:val="none"/>
        </w:rPr>
        <w:t>A</w:t>
      </w:r>
      <w:r w:rsidR="00FC0107" w:rsidRPr="00584DBC">
        <w:rPr>
          <w:rStyle w:val="Hyperlink"/>
          <w:rFonts w:asciiTheme="minorBidi" w:eastAsia="Times New Roman" w:hAnsiTheme="minorBidi"/>
          <w:b/>
          <w:bCs/>
          <w:kern w:val="0"/>
          <w:sz w:val="24"/>
          <w:szCs w:val="24"/>
          <w:lang w:eastAsia="en-GB"/>
          <w14:ligatures w14:val="none"/>
        </w:rPr>
        <w:t xml:space="preserve">udit </w:t>
      </w:r>
      <w:r w:rsidR="003D7488">
        <w:rPr>
          <w:rStyle w:val="Hyperlink"/>
          <w:rFonts w:asciiTheme="minorBidi" w:eastAsia="Times New Roman" w:hAnsiTheme="minorBidi"/>
          <w:b/>
          <w:bCs/>
          <w:kern w:val="0"/>
          <w:sz w:val="24"/>
          <w:szCs w:val="24"/>
          <w:lang w:eastAsia="en-GB"/>
          <w14:ligatures w14:val="none"/>
        </w:rPr>
        <w:t>T</w:t>
      </w:r>
      <w:r w:rsidR="00FC0107" w:rsidRPr="00584DBC">
        <w:rPr>
          <w:rStyle w:val="Hyperlink"/>
          <w:rFonts w:asciiTheme="minorBidi" w:eastAsia="Times New Roman" w:hAnsiTheme="minorBidi"/>
          <w:b/>
          <w:bCs/>
          <w:kern w:val="0"/>
          <w:sz w:val="24"/>
          <w:szCs w:val="24"/>
          <w:lang w:eastAsia="en-GB"/>
          <w14:ligatures w14:val="none"/>
        </w:rPr>
        <w:t xml:space="preserve">asks and </w:t>
      </w:r>
      <w:r w:rsidR="003D7488">
        <w:rPr>
          <w:rStyle w:val="Hyperlink"/>
          <w:rFonts w:asciiTheme="minorBidi" w:eastAsia="Times New Roman" w:hAnsiTheme="minorBidi"/>
          <w:b/>
          <w:bCs/>
          <w:kern w:val="0"/>
          <w:sz w:val="24"/>
          <w:szCs w:val="24"/>
          <w:lang w:eastAsia="en-GB"/>
          <w14:ligatures w14:val="none"/>
        </w:rPr>
        <w:t>W</w:t>
      </w:r>
      <w:r w:rsidR="00FC0107" w:rsidRPr="00584DBC">
        <w:rPr>
          <w:rStyle w:val="Hyperlink"/>
          <w:rFonts w:asciiTheme="minorBidi" w:eastAsia="Times New Roman" w:hAnsiTheme="minorBidi"/>
          <w:b/>
          <w:bCs/>
          <w:kern w:val="0"/>
          <w:sz w:val="24"/>
          <w:szCs w:val="24"/>
          <w:lang w:eastAsia="en-GB"/>
          <w14:ligatures w14:val="none"/>
        </w:rPr>
        <w:t xml:space="preserve">orkflow </w:t>
      </w:r>
      <w:r w:rsidR="003D7488">
        <w:rPr>
          <w:rStyle w:val="Hyperlink"/>
          <w:rFonts w:asciiTheme="minorBidi" w:eastAsia="Times New Roman" w:hAnsiTheme="minorBidi"/>
          <w:b/>
          <w:bCs/>
          <w:kern w:val="0"/>
          <w:sz w:val="24"/>
          <w:szCs w:val="24"/>
          <w:lang w:eastAsia="en-GB"/>
          <w14:ligatures w14:val="none"/>
        </w:rPr>
        <w:t>E</w:t>
      </w:r>
      <w:r w:rsidR="00FC0107" w:rsidRPr="00584DBC">
        <w:rPr>
          <w:rStyle w:val="Hyperlink"/>
          <w:rFonts w:asciiTheme="minorBidi" w:eastAsia="Times New Roman" w:hAnsiTheme="minorBidi"/>
          <w:b/>
          <w:bCs/>
          <w:kern w:val="0"/>
          <w:sz w:val="24"/>
          <w:szCs w:val="24"/>
          <w:lang w:eastAsia="en-GB"/>
          <w14:ligatures w14:val="none"/>
        </w:rPr>
        <w:t xml:space="preserve">lements </w:t>
      </w:r>
      <w:r w:rsidR="003D7488">
        <w:rPr>
          <w:rStyle w:val="Hyperlink"/>
          <w:rFonts w:asciiTheme="minorBidi" w:eastAsia="Times New Roman" w:hAnsiTheme="minorBidi"/>
          <w:b/>
          <w:bCs/>
          <w:kern w:val="0"/>
          <w:sz w:val="24"/>
          <w:szCs w:val="24"/>
          <w:lang w:eastAsia="en-GB"/>
          <w14:ligatures w14:val="none"/>
        </w:rPr>
        <w:t>C</w:t>
      </w:r>
      <w:r w:rsidR="00FC0107" w:rsidRPr="00584DBC">
        <w:rPr>
          <w:rStyle w:val="Hyperlink"/>
          <w:rFonts w:asciiTheme="minorBidi" w:eastAsia="Times New Roman" w:hAnsiTheme="minorBidi"/>
          <w:b/>
          <w:bCs/>
          <w:kern w:val="0"/>
          <w:sz w:val="24"/>
          <w:szCs w:val="24"/>
          <w:lang w:eastAsia="en-GB"/>
          <w14:ligatures w14:val="none"/>
        </w:rPr>
        <w:t xml:space="preserve">an be </w:t>
      </w:r>
      <w:r w:rsidR="003D7488">
        <w:rPr>
          <w:rStyle w:val="Hyperlink"/>
          <w:rFonts w:asciiTheme="minorBidi" w:eastAsia="Times New Roman" w:hAnsiTheme="minorBidi"/>
          <w:b/>
          <w:bCs/>
          <w:kern w:val="0"/>
          <w:sz w:val="24"/>
          <w:szCs w:val="24"/>
          <w:lang w:eastAsia="en-GB"/>
          <w14:ligatures w14:val="none"/>
        </w:rPr>
        <w:t>A</w:t>
      </w:r>
      <w:r w:rsidR="00FC0107" w:rsidRPr="00584DBC">
        <w:rPr>
          <w:rStyle w:val="Hyperlink"/>
          <w:rFonts w:asciiTheme="minorBidi" w:eastAsia="Times New Roman" w:hAnsiTheme="minorBidi"/>
          <w:b/>
          <w:bCs/>
          <w:kern w:val="0"/>
          <w:sz w:val="24"/>
          <w:szCs w:val="24"/>
          <w:lang w:eastAsia="en-GB"/>
          <w14:ligatures w14:val="none"/>
        </w:rPr>
        <w:t>utomated?</w:t>
      </w:r>
      <w:r w:rsidRPr="00584DBC">
        <w:rPr>
          <w:rFonts w:asciiTheme="minorBidi" w:eastAsia="Times New Roman" w:hAnsiTheme="minorBidi"/>
          <w:b/>
          <w:bCs/>
          <w:kern w:val="0"/>
          <w:sz w:val="24"/>
          <w:szCs w:val="24"/>
          <w:lang w:eastAsia="en-GB"/>
          <w14:ligatures w14:val="none"/>
        </w:rPr>
        <w:fldChar w:fldCharType="end"/>
      </w:r>
      <w:r w:rsidR="00FA0966">
        <w:rPr>
          <w:rFonts w:asciiTheme="minorBidi" w:eastAsia="Times New Roman" w:hAnsiTheme="minorBidi"/>
          <w:b/>
          <w:bCs/>
          <w:kern w:val="0"/>
          <w:sz w:val="24"/>
          <w:szCs w:val="24"/>
          <w:lang w:eastAsia="en-GB"/>
          <w14:ligatures w14:val="none"/>
        </w:rPr>
        <w:t>......</w:t>
      </w:r>
      <w:r w:rsidR="00801B78">
        <w:rPr>
          <w:rFonts w:asciiTheme="minorBidi" w:eastAsia="Times New Roman" w:hAnsiTheme="minorBidi"/>
          <w:b/>
          <w:bCs/>
          <w:kern w:val="0"/>
          <w:sz w:val="24"/>
          <w:szCs w:val="24"/>
          <w:lang w:eastAsia="en-GB"/>
          <w14:ligatures w14:val="none"/>
        </w:rPr>
        <w:t xml:space="preserve">.... </w:t>
      </w:r>
      <w:r w:rsidR="00FA0966">
        <w:rPr>
          <w:rFonts w:asciiTheme="minorBidi" w:eastAsia="Times New Roman" w:hAnsiTheme="minorBidi"/>
          <w:b/>
          <w:bCs/>
          <w:kern w:val="0"/>
          <w:sz w:val="24"/>
          <w:szCs w:val="24"/>
          <w:lang w:eastAsia="en-GB"/>
          <w14:ligatures w14:val="none"/>
        </w:rPr>
        <w:t>2</w:t>
      </w:r>
      <w:r w:rsidR="00224982">
        <w:rPr>
          <w:rFonts w:asciiTheme="minorBidi" w:eastAsia="Times New Roman" w:hAnsiTheme="minorBidi"/>
          <w:b/>
          <w:bCs/>
          <w:kern w:val="0"/>
          <w:sz w:val="24"/>
          <w:szCs w:val="24"/>
          <w:lang w:eastAsia="en-GB"/>
          <w14:ligatures w14:val="none"/>
        </w:rPr>
        <w:t>85</w:t>
      </w:r>
    </w:p>
    <w:bookmarkStart w:id="203" w:name="A19"/>
    <w:bookmarkStart w:id="204" w:name="C110"/>
    <w:bookmarkEnd w:id="201"/>
    <w:bookmarkEnd w:id="202"/>
    <w:p w14:paraId="64740E51" w14:textId="587E64F5" w:rsidR="00FC0107" w:rsidRPr="00584DBC" w:rsidRDefault="00686250" w:rsidP="003F2E92">
      <w:pPr>
        <w:pStyle w:val="NoSpacing"/>
        <w:spacing w:line="480" w:lineRule="auto"/>
        <w:rPr>
          <w:rFonts w:asciiTheme="minorBidi" w:eastAsiaTheme="minorHAnsi" w:hAnsiTheme="minorBidi"/>
          <w:b/>
          <w:bCs/>
          <w:kern w:val="0"/>
          <w:sz w:val="24"/>
          <w:szCs w:val="24"/>
          <w:lang w:eastAsia="en-US"/>
          <w14:ligatures w14:val="none"/>
        </w:rPr>
      </w:pPr>
      <w:r w:rsidRPr="00584DBC">
        <w:rPr>
          <w:rFonts w:asciiTheme="minorBidi" w:eastAsia="Times New Roman" w:hAnsiTheme="minorBidi"/>
          <w:b/>
          <w:bCs/>
          <w:kern w:val="0"/>
          <w:sz w:val="24"/>
          <w:szCs w:val="24"/>
          <w:lang w:eastAsia="en-GB"/>
          <w14:ligatures w14:val="none"/>
        </w:rPr>
        <w:fldChar w:fldCharType="begin"/>
      </w:r>
      <w:r w:rsidRPr="00584DBC">
        <w:rPr>
          <w:rFonts w:asciiTheme="minorBidi" w:eastAsia="Times New Roman" w:hAnsiTheme="minorBidi"/>
          <w:b/>
          <w:bCs/>
          <w:kern w:val="0"/>
          <w:sz w:val="24"/>
          <w:szCs w:val="24"/>
          <w:lang w:eastAsia="en-GB"/>
          <w14:ligatures w14:val="none"/>
        </w:rPr>
        <w:instrText>HYPERLINK  \l "D110"</w:instrText>
      </w:r>
      <w:r w:rsidRPr="00584DBC">
        <w:rPr>
          <w:rFonts w:asciiTheme="minorBidi" w:eastAsia="Times New Roman" w:hAnsiTheme="minorBidi"/>
          <w:b/>
          <w:bCs/>
          <w:kern w:val="0"/>
          <w:sz w:val="24"/>
          <w:szCs w:val="24"/>
          <w:lang w:eastAsia="en-GB"/>
          <w14:ligatures w14:val="none"/>
        </w:rPr>
      </w:r>
      <w:r w:rsidRPr="00584DBC">
        <w:rPr>
          <w:rFonts w:asciiTheme="minorBidi" w:eastAsia="Times New Roman" w:hAnsiTheme="minorBidi"/>
          <w:b/>
          <w:bCs/>
          <w:kern w:val="0"/>
          <w:sz w:val="24"/>
          <w:szCs w:val="24"/>
          <w:lang w:eastAsia="en-GB"/>
          <w14:ligatures w14:val="none"/>
        </w:rPr>
        <w:fldChar w:fldCharType="separate"/>
      </w:r>
      <w:r w:rsidR="00FC0107" w:rsidRPr="00584DBC">
        <w:rPr>
          <w:rStyle w:val="Hyperlink"/>
          <w:rFonts w:asciiTheme="minorBidi" w:eastAsia="Times New Roman" w:hAnsiTheme="minorBidi"/>
          <w:b/>
          <w:bCs/>
          <w:kern w:val="0"/>
          <w:sz w:val="24"/>
          <w:szCs w:val="24"/>
          <w:lang w:eastAsia="en-GB"/>
          <w14:ligatures w14:val="none"/>
        </w:rPr>
        <w:t>4.5.4.1</w:t>
      </w:r>
      <w:r w:rsidR="00FC0107" w:rsidRPr="00584DBC">
        <w:rPr>
          <w:rStyle w:val="Hyperlink"/>
          <w:rFonts w:asciiTheme="minorBidi" w:eastAsiaTheme="minorHAnsi" w:hAnsiTheme="minorBidi"/>
          <w:b/>
          <w:bCs/>
          <w:kern w:val="0"/>
          <w:sz w:val="24"/>
          <w:szCs w:val="24"/>
          <w:lang w:eastAsia="en-US"/>
          <w14:ligatures w14:val="none"/>
        </w:rPr>
        <w:t xml:space="preserve"> </w:t>
      </w:r>
      <w:r w:rsidR="00FC0107" w:rsidRPr="00584DBC">
        <w:rPr>
          <w:rStyle w:val="Hyperlink"/>
          <w:rFonts w:asciiTheme="minorBidi" w:eastAsia="Times New Roman" w:hAnsiTheme="minorBidi"/>
          <w:b/>
          <w:bCs/>
          <w:kern w:val="0"/>
          <w:sz w:val="24"/>
          <w:szCs w:val="24"/>
          <w:lang w:eastAsia="en-GB"/>
          <w14:ligatures w14:val="none"/>
        </w:rPr>
        <w:t>Audit Engagement Management</w:t>
      </w:r>
      <w:r w:rsidRPr="00584DBC">
        <w:rPr>
          <w:rFonts w:asciiTheme="minorBidi" w:eastAsia="Times New Roman" w:hAnsiTheme="minorBidi"/>
          <w:b/>
          <w:bCs/>
          <w:kern w:val="0"/>
          <w:sz w:val="24"/>
          <w:szCs w:val="24"/>
          <w:lang w:eastAsia="en-GB"/>
          <w14:ligatures w14:val="none"/>
        </w:rPr>
        <w:fldChar w:fldCharType="end"/>
      </w:r>
      <w:r w:rsidR="00C44886">
        <w:rPr>
          <w:rFonts w:asciiTheme="minorBidi" w:eastAsia="Times New Roman" w:hAnsiTheme="minorBidi"/>
          <w:b/>
          <w:bCs/>
          <w:kern w:val="0"/>
          <w:sz w:val="24"/>
          <w:szCs w:val="24"/>
          <w:lang w:eastAsia="en-GB"/>
          <w14:ligatures w14:val="none"/>
        </w:rPr>
        <w:t>………………………………………</w:t>
      </w:r>
      <w:r w:rsidR="00801B78">
        <w:rPr>
          <w:rFonts w:asciiTheme="minorBidi" w:eastAsia="Times New Roman" w:hAnsiTheme="minorBidi"/>
          <w:b/>
          <w:bCs/>
          <w:kern w:val="0"/>
          <w:sz w:val="24"/>
          <w:szCs w:val="24"/>
          <w:lang w:eastAsia="en-GB"/>
          <w14:ligatures w14:val="none"/>
        </w:rPr>
        <w:t xml:space="preserve">…… </w:t>
      </w:r>
      <w:r w:rsidR="00417B53">
        <w:rPr>
          <w:rFonts w:asciiTheme="minorBidi" w:eastAsia="Times New Roman" w:hAnsiTheme="minorBidi"/>
          <w:b/>
          <w:bCs/>
          <w:kern w:val="0"/>
          <w:sz w:val="24"/>
          <w:szCs w:val="24"/>
          <w:lang w:eastAsia="en-GB"/>
          <w14:ligatures w14:val="none"/>
        </w:rPr>
        <w:t>285</w:t>
      </w:r>
    </w:p>
    <w:bookmarkStart w:id="205" w:name="A20"/>
    <w:bookmarkStart w:id="206" w:name="C111"/>
    <w:bookmarkEnd w:id="203"/>
    <w:bookmarkEnd w:id="204"/>
    <w:p w14:paraId="53561DC1" w14:textId="7C7BA3BC" w:rsidR="00FC0107" w:rsidRPr="00584DBC" w:rsidRDefault="00BE596A" w:rsidP="003F2E92">
      <w:pPr>
        <w:pStyle w:val="NoSpacing"/>
        <w:spacing w:line="480" w:lineRule="auto"/>
        <w:rPr>
          <w:rFonts w:asciiTheme="minorBidi" w:eastAsia="Times New Roman" w:hAnsiTheme="minorBidi"/>
          <w:b/>
          <w:bCs/>
          <w:kern w:val="0"/>
          <w:sz w:val="24"/>
          <w:szCs w:val="24"/>
          <w:lang w:eastAsia="en-GB"/>
          <w14:ligatures w14:val="none"/>
        </w:rPr>
      </w:pPr>
      <w:r w:rsidRPr="00584DBC">
        <w:rPr>
          <w:rFonts w:asciiTheme="minorBidi" w:eastAsia="Times New Roman" w:hAnsiTheme="minorBidi"/>
          <w:b/>
          <w:bCs/>
          <w:kern w:val="0"/>
          <w:sz w:val="24"/>
          <w:szCs w:val="24"/>
          <w:lang w:eastAsia="en-GB"/>
          <w14:ligatures w14:val="none"/>
        </w:rPr>
        <w:lastRenderedPageBreak/>
        <w:fldChar w:fldCharType="begin"/>
      </w:r>
      <w:r w:rsidRPr="00584DBC">
        <w:rPr>
          <w:rFonts w:asciiTheme="minorBidi" w:eastAsia="Times New Roman" w:hAnsiTheme="minorBidi"/>
          <w:b/>
          <w:bCs/>
          <w:kern w:val="0"/>
          <w:sz w:val="24"/>
          <w:szCs w:val="24"/>
          <w:lang w:eastAsia="en-GB"/>
          <w14:ligatures w14:val="none"/>
        </w:rPr>
        <w:instrText>HYPERLINK  \l "D111"</w:instrText>
      </w:r>
      <w:r w:rsidRPr="00584DBC">
        <w:rPr>
          <w:rFonts w:asciiTheme="minorBidi" w:eastAsia="Times New Roman" w:hAnsiTheme="minorBidi"/>
          <w:b/>
          <w:bCs/>
          <w:kern w:val="0"/>
          <w:sz w:val="24"/>
          <w:szCs w:val="24"/>
          <w:lang w:eastAsia="en-GB"/>
          <w14:ligatures w14:val="none"/>
        </w:rPr>
      </w:r>
      <w:r w:rsidRPr="00584DBC">
        <w:rPr>
          <w:rFonts w:asciiTheme="minorBidi" w:eastAsia="Times New Roman" w:hAnsiTheme="minorBidi"/>
          <w:b/>
          <w:bCs/>
          <w:kern w:val="0"/>
          <w:sz w:val="24"/>
          <w:szCs w:val="24"/>
          <w:lang w:eastAsia="en-GB"/>
          <w14:ligatures w14:val="none"/>
        </w:rPr>
        <w:fldChar w:fldCharType="separate"/>
      </w:r>
      <w:r w:rsidR="00FC0107" w:rsidRPr="00584DBC">
        <w:rPr>
          <w:rStyle w:val="Hyperlink"/>
          <w:rFonts w:asciiTheme="minorBidi" w:eastAsia="Times New Roman" w:hAnsiTheme="minorBidi"/>
          <w:b/>
          <w:bCs/>
          <w:kern w:val="0"/>
          <w:sz w:val="24"/>
          <w:szCs w:val="24"/>
          <w:lang w:eastAsia="en-GB"/>
          <w14:ligatures w14:val="none"/>
        </w:rPr>
        <w:t xml:space="preserve">4.5.4.2 Audit </w:t>
      </w:r>
      <w:r w:rsidR="00417B53">
        <w:rPr>
          <w:rStyle w:val="Hyperlink"/>
          <w:rFonts w:asciiTheme="minorBidi" w:eastAsia="Times New Roman" w:hAnsiTheme="minorBidi"/>
          <w:b/>
          <w:bCs/>
          <w:kern w:val="0"/>
          <w:sz w:val="24"/>
          <w:szCs w:val="24"/>
          <w:lang w:eastAsia="en-GB"/>
          <w14:ligatures w14:val="none"/>
        </w:rPr>
        <w:t>M</w:t>
      </w:r>
      <w:r w:rsidR="00FC0107" w:rsidRPr="00584DBC">
        <w:rPr>
          <w:rStyle w:val="Hyperlink"/>
          <w:rFonts w:asciiTheme="minorBidi" w:eastAsia="Times New Roman" w:hAnsiTheme="minorBidi"/>
          <w:b/>
          <w:bCs/>
          <w:kern w:val="0"/>
          <w:sz w:val="24"/>
          <w:szCs w:val="24"/>
          <w:lang w:eastAsia="en-GB"/>
          <w14:ligatures w14:val="none"/>
        </w:rPr>
        <w:t>ethodology</w:t>
      </w:r>
      <w:r w:rsidRPr="00584DBC">
        <w:rPr>
          <w:rFonts w:asciiTheme="minorBidi" w:eastAsia="Times New Roman" w:hAnsiTheme="minorBidi"/>
          <w:b/>
          <w:bCs/>
          <w:kern w:val="0"/>
          <w:sz w:val="24"/>
          <w:szCs w:val="24"/>
          <w:lang w:eastAsia="en-GB"/>
          <w14:ligatures w14:val="none"/>
        </w:rPr>
        <w:fldChar w:fldCharType="end"/>
      </w:r>
      <w:r w:rsidR="00C44886">
        <w:rPr>
          <w:rFonts w:asciiTheme="minorBidi" w:eastAsia="Times New Roman" w:hAnsiTheme="minorBidi"/>
          <w:b/>
          <w:bCs/>
          <w:kern w:val="0"/>
          <w:sz w:val="24"/>
          <w:szCs w:val="24"/>
          <w:lang w:eastAsia="en-GB"/>
          <w14:ligatures w14:val="none"/>
        </w:rPr>
        <w:t>………………………………………………………</w:t>
      </w:r>
      <w:r w:rsidR="00801B78">
        <w:rPr>
          <w:rFonts w:asciiTheme="minorBidi" w:eastAsia="Times New Roman" w:hAnsiTheme="minorBidi"/>
          <w:b/>
          <w:bCs/>
          <w:kern w:val="0"/>
          <w:sz w:val="24"/>
          <w:szCs w:val="24"/>
          <w:lang w:eastAsia="en-GB"/>
          <w14:ligatures w14:val="none"/>
        </w:rPr>
        <w:t xml:space="preserve">…… </w:t>
      </w:r>
      <w:r w:rsidR="00417B53">
        <w:rPr>
          <w:rFonts w:asciiTheme="minorBidi" w:eastAsia="Times New Roman" w:hAnsiTheme="minorBidi"/>
          <w:b/>
          <w:bCs/>
          <w:kern w:val="0"/>
          <w:sz w:val="24"/>
          <w:szCs w:val="24"/>
          <w:lang w:eastAsia="en-GB"/>
          <w14:ligatures w14:val="none"/>
        </w:rPr>
        <w:t>286</w:t>
      </w:r>
    </w:p>
    <w:bookmarkStart w:id="207" w:name="A21"/>
    <w:bookmarkStart w:id="208" w:name="C112"/>
    <w:bookmarkEnd w:id="205"/>
    <w:bookmarkEnd w:id="206"/>
    <w:p w14:paraId="29C05745" w14:textId="34FA65BA" w:rsidR="00FC0107" w:rsidRPr="00584DBC" w:rsidRDefault="00BE596A" w:rsidP="003F2E92">
      <w:pPr>
        <w:pStyle w:val="NoSpacing"/>
        <w:spacing w:line="480" w:lineRule="auto"/>
        <w:rPr>
          <w:rFonts w:asciiTheme="minorBidi" w:eastAsia="Times New Roman" w:hAnsiTheme="minorBidi"/>
          <w:b/>
          <w:bCs/>
          <w:kern w:val="0"/>
          <w:sz w:val="24"/>
          <w:szCs w:val="24"/>
          <w:lang w:eastAsia="en-GB"/>
          <w14:ligatures w14:val="none"/>
        </w:rPr>
      </w:pPr>
      <w:r w:rsidRPr="00584DBC">
        <w:rPr>
          <w:rFonts w:asciiTheme="minorBidi" w:eastAsia="Times New Roman" w:hAnsiTheme="minorBidi"/>
          <w:b/>
          <w:bCs/>
          <w:kern w:val="0"/>
          <w:sz w:val="24"/>
          <w:szCs w:val="24"/>
          <w:lang w:eastAsia="en-GB"/>
          <w14:ligatures w14:val="none"/>
        </w:rPr>
        <w:fldChar w:fldCharType="begin"/>
      </w:r>
      <w:r w:rsidRPr="00584DBC">
        <w:rPr>
          <w:rFonts w:asciiTheme="minorBidi" w:eastAsia="Times New Roman" w:hAnsiTheme="minorBidi"/>
          <w:b/>
          <w:bCs/>
          <w:kern w:val="0"/>
          <w:sz w:val="24"/>
          <w:szCs w:val="24"/>
          <w:lang w:eastAsia="en-GB"/>
          <w14:ligatures w14:val="none"/>
        </w:rPr>
        <w:instrText>HYPERLINK  \l "D112"</w:instrText>
      </w:r>
      <w:r w:rsidRPr="00584DBC">
        <w:rPr>
          <w:rFonts w:asciiTheme="minorBidi" w:eastAsia="Times New Roman" w:hAnsiTheme="minorBidi"/>
          <w:b/>
          <w:bCs/>
          <w:kern w:val="0"/>
          <w:sz w:val="24"/>
          <w:szCs w:val="24"/>
          <w:lang w:eastAsia="en-GB"/>
          <w14:ligatures w14:val="none"/>
        </w:rPr>
      </w:r>
      <w:r w:rsidRPr="00584DBC">
        <w:rPr>
          <w:rFonts w:asciiTheme="minorBidi" w:eastAsia="Times New Roman" w:hAnsiTheme="minorBidi"/>
          <w:b/>
          <w:bCs/>
          <w:kern w:val="0"/>
          <w:sz w:val="24"/>
          <w:szCs w:val="24"/>
          <w:lang w:eastAsia="en-GB"/>
          <w14:ligatures w14:val="none"/>
        </w:rPr>
        <w:fldChar w:fldCharType="separate"/>
      </w:r>
      <w:r w:rsidR="00FC0107" w:rsidRPr="00584DBC">
        <w:rPr>
          <w:rStyle w:val="Hyperlink"/>
          <w:rFonts w:asciiTheme="minorBidi" w:eastAsia="Times New Roman" w:hAnsiTheme="minorBidi"/>
          <w:b/>
          <w:bCs/>
          <w:kern w:val="0"/>
          <w:sz w:val="24"/>
          <w:szCs w:val="24"/>
          <w:lang w:eastAsia="en-GB"/>
          <w14:ligatures w14:val="none"/>
        </w:rPr>
        <w:t xml:space="preserve">4.5.4.3 Secure </w:t>
      </w:r>
      <w:r w:rsidR="008C1EE1">
        <w:rPr>
          <w:rStyle w:val="Hyperlink"/>
          <w:rFonts w:asciiTheme="minorBidi" w:eastAsia="Times New Roman" w:hAnsiTheme="minorBidi"/>
          <w:b/>
          <w:bCs/>
          <w:kern w:val="0"/>
          <w:sz w:val="24"/>
          <w:szCs w:val="24"/>
          <w:lang w:eastAsia="en-GB"/>
          <w14:ligatures w14:val="none"/>
        </w:rPr>
        <w:t>C</w:t>
      </w:r>
      <w:r w:rsidR="00FC0107" w:rsidRPr="00584DBC">
        <w:rPr>
          <w:rStyle w:val="Hyperlink"/>
          <w:rFonts w:asciiTheme="minorBidi" w:eastAsia="Times New Roman" w:hAnsiTheme="minorBidi"/>
          <w:b/>
          <w:bCs/>
          <w:kern w:val="0"/>
          <w:sz w:val="24"/>
          <w:szCs w:val="24"/>
          <w:lang w:eastAsia="en-GB"/>
          <w14:ligatures w14:val="none"/>
        </w:rPr>
        <w:t>onfirmations</w:t>
      </w:r>
      <w:r w:rsidRPr="00584DBC">
        <w:rPr>
          <w:rFonts w:asciiTheme="minorBidi" w:eastAsia="Times New Roman" w:hAnsiTheme="minorBidi"/>
          <w:b/>
          <w:bCs/>
          <w:kern w:val="0"/>
          <w:sz w:val="24"/>
          <w:szCs w:val="24"/>
          <w:lang w:eastAsia="en-GB"/>
          <w14:ligatures w14:val="none"/>
        </w:rPr>
        <w:fldChar w:fldCharType="end"/>
      </w:r>
      <w:r w:rsidR="00C44886">
        <w:rPr>
          <w:rFonts w:asciiTheme="minorBidi" w:eastAsia="Times New Roman" w:hAnsiTheme="minorBidi"/>
          <w:b/>
          <w:bCs/>
          <w:kern w:val="0"/>
          <w:sz w:val="24"/>
          <w:szCs w:val="24"/>
          <w:lang w:eastAsia="en-GB"/>
          <w14:ligatures w14:val="none"/>
        </w:rPr>
        <w:t>……………………………………………………</w:t>
      </w:r>
      <w:r w:rsidR="00801B78">
        <w:rPr>
          <w:rFonts w:asciiTheme="minorBidi" w:eastAsia="Times New Roman" w:hAnsiTheme="minorBidi"/>
          <w:b/>
          <w:bCs/>
          <w:kern w:val="0"/>
          <w:sz w:val="24"/>
          <w:szCs w:val="24"/>
          <w:lang w:eastAsia="en-GB"/>
          <w14:ligatures w14:val="none"/>
        </w:rPr>
        <w:t>…</w:t>
      </w:r>
      <w:r w:rsidR="008C1EE1">
        <w:rPr>
          <w:rFonts w:asciiTheme="minorBidi" w:eastAsia="Times New Roman" w:hAnsiTheme="minorBidi"/>
          <w:b/>
          <w:bCs/>
          <w:kern w:val="0"/>
          <w:sz w:val="24"/>
          <w:szCs w:val="24"/>
          <w:lang w:eastAsia="en-GB"/>
          <w14:ligatures w14:val="none"/>
        </w:rPr>
        <w:t xml:space="preserve">.. </w:t>
      </w:r>
      <w:r w:rsidR="00CA5AB3">
        <w:rPr>
          <w:rFonts w:asciiTheme="minorBidi" w:eastAsia="Times New Roman" w:hAnsiTheme="minorBidi"/>
          <w:b/>
          <w:bCs/>
          <w:kern w:val="0"/>
          <w:sz w:val="24"/>
          <w:szCs w:val="24"/>
          <w:lang w:eastAsia="en-GB"/>
          <w14:ligatures w14:val="none"/>
        </w:rPr>
        <w:t>286</w:t>
      </w:r>
    </w:p>
    <w:bookmarkStart w:id="209" w:name="A22"/>
    <w:bookmarkStart w:id="210" w:name="C113"/>
    <w:bookmarkEnd w:id="207"/>
    <w:bookmarkEnd w:id="208"/>
    <w:p w14:paraId="52E0C9F5" w14:textId="1E1E1BBD" w:rsidR="00FC0107" w:rsidRPr="00584DBC" w:rsidRDefault="00BE596A" w:rsidP="003F2E92">
      <w:pPr>
        <w:pStyle w:val="NoSpacing"/>
        <w:spacing w:line="480" w:lineRule="auto"/>
        <w:rPr>
          <w:rFonts w:asciiTheme="minorBidi" w:eastAsia="Times New Roman" w:hAnsiTheme="minorBidi"/>
          <w:b/>
          <w:bCs/>
          <w:kern w:val="0"/>
          <w:sz w:val="24"/>
          <w:szCs w:val="24"/>
          <w:lang w:eastAsia="en-GB"/>
          <w14:ligatures w14:val="none"/>
        </w:rPr>
      </w:pPr>
      <w:r w:rsidRPr="00584DBC">
        <w:rPr>
          <w:rFonts w:asciiTheme="minorBidi" w:eastAsia="Times New Roman" w:hAnsiTheme="minorBidi"/>
          <w:b/>
          <w:bCs/>
          <w:kern w:val="0"/>
          <w:sz w:val="24"/>
          <w:szCs w:val="24"/>
          <w:lang w:eastAsia="en-GB"/>
          <w14:ligatures w14:val="none"/>
        </w:rPr>
        <w:fldChar w:fldCharType="begin"/>
      </w:r>
      <w:r w:rsidRPr="00584DBC">
        <w:rPr>
          <w:rFonts w:asciiTheme="minorBidi" w:eastAsia="Times New Roman" w:hAnsiTheme="minorBidi"/>
          <w:b/>
          <w:bCs/>
          <w:kern w:val="0"/>
          <w:sz w:val="24"/>
          <w:szCs w:val="24"/>
          <w:lang w:eastAsia="en-GB"/>
          <w14:ligatures w14:val="none"/>
        </w:rPr>
        <w:instrText>HYPERLINK  \l "D113"</w:instrText>
      </w:r>
      <w:r w:rsidRPr="00584DBC">
        <w:rPr>
          <w:rFonts w:asciiTheme="minorBidi" w:eastAsia="Times New Roman" w:hAnsiTheme="minorBidi"/>
          <w:b/>
          <w:bCs/>
          <w:kern w:val="0"/>
          <w:sz w:val="24"/>
          <w:szCs w:val="24"/>
          <w:lang w:eastAsia="en-GB"/>
          <w14:ligatures w14:val="none"/>
        </w:rPr>
      </w:r>
      <w:r w:rsidRPr="00584DBC">
        <w:rPr>
          <w:rFonts w:asciiTheme="minorBidi" w:eastAsia="Times New Roman" w:hAnsiTheme="minorBidi"/>
          <w:b/>
          <w:bCs/>
          <w:kern w:val="0"/>
          <w:sz w:val="24"/>
          <w:szCs w:val="24"/>
          <w:lang w:eastAsia="en-GB"/>
          <w14:ligatures w14:val="none"/>
        </w:rPr>
        <w:fldChar w:fldCharType="separate"/>
      </w:r>
      <w:r w:rsidR="00FC0107" w:rsidRPr="00584DBC">
        <w:rPr>
          <w:rStyle w:val="Hyperlink"/>
          <w:rFonts w:asciiTheme="minorBidi" w:eastAsia="Times New Roman" w:hAnsiTheme="minorBidi"/>
          <w:b/>
          <w:bCs/>
          <w:kern w:val="0"/>
          <w:sz w:val="24"/>
          <w:szCs w:val="24"/>
          <w:lang w:eastAsia="en-GB"/>
          <w14:ligatures w14:val="none"/>
        </w:rPr>
        <w:t xml:space="preserve">4.5.5 Why </w:t>
      </w:r>
      <w:r w:rsidR="003D7488">
        <w:rPr>
          <w:rStyle w:val="Hyperlink"/>
          <w:rFonts w:asciiTheme="minorBidi" w:eastAsia="Times New Roman" w:hAnsiTheme="minorBidi"/>
          <w:b/>
          <w:bCs/>
          <w:kern w:val="0"/>
          <w:sz w:val="24"/>
          <w:szCs w:val="24"/>
          <w:lang w:eastAsia="en-GB"/>
          <w14:ligatures w14:val="none"/>
        </w:rPr>
        <w:t>A</w:t>
      </w:r>
      <w:r w:rsidR="00FC0107" w:rsidRPr="00584DBC">
        <w:rPr>
          <w:rStyle w:val="Hyperlink"/>
          <w:rFonts w:asciiTheme="minorBidi" w:eastAsia="Times New Roman" w:hAnsiTheme="minorBidi"/>
          <w:b/>
          <w:bCs/>
          <w:kern w:val="0"/>
          <w:sz w:val="24"/>
          <w:szCs w:val="24"/>
          <w:lang w:eastAsia="en-GB"/>
          <w14:ligatures w14:val="none"/>
        </w:rPr>
        <w:t xml:space="preserve">udit </w:t>
      </w:r>
      <w:r w:rsidR="003D7488">
        <w:rPr>
          <w:rStyle w:val="Hyperlink"/>
          <w:rFonts w:asciiTheme="minorBidi" w:eastAsia="Times New Roman" w:hAnsiTheme="minorBidi"/>
          <w:b/>
          <w:bCs/>
          <w:kern w:val="0"/>
          <w:sz w:val="24"/>
          <w:szCs w:val="24"/>
          <w:lang w:eastAsia="en-GB"/>
          <w14:ligatures w14:val="none"/>
        </w:rPr>
        <w:t>A</w:t>
      </w:r>
      <w:r w:rsidR="00FC0107" w:rsidRPr="00584DBC">
        <w:rPr>
          <w:rStyle w:val="Hyperlink"/>
          <w:rFonts w:asciiTheme="minorBidi" w:eastAsia="Times New Roman" w:hAnsiTheme="minorBidi"/>
          <w:b/>
          <w:bCs/>
          <w:kern w:val="0"/>
          <w:sz w:val="24"/>
          <w:szCs w:val="24"/>
          <w:lang w:eastAsia="en-GB"/>
          <w14:ligatures w14:val="none"/>
        </w:rPr>
        <w:t xml:space="preserve">utomation is a </w:t>
      </w:r>
      <w:r w:rsidR="003D7488">
        <w:rPr>
          <w:rStyle w:val="Hyperlink"/>
          <w:rFonts w:asciiTheme="minorBidi" w:eastAsia="Times New Roman" w:hAnsiTheme="minorBidi"/>
          <w:b/>
          <w:bCs/>
          <w:kern w:val="0"/>
          <w:sz w:val="24"/>
          <w:szCs w:val="24"/>
          <w:lang w:eastAsia="en-GB"/>
          <w14:ligatures w14:val="none"/>
        </w:rPr>
        <w:t>W</w:t>
      </w:r>
      <w:r w:rsidR="00FC0107" w:rsidRPr="00584DBC">
        <w:rPr>
          <w:rStyle w:val="Hyperlink"/>
          <w:rFonts w:asciiTheme="minorBidi" w:eastAsia="Times New Roman" w:hAnsiTheme="minorBidi"/>
          <w:b/>
          <w:bCs/>
          <w:kern w:val="0"/>
          <w:sz w:val="24"/>
          <w:szCs w:val="24"/>
          <w:lang w:eastAsia="en-GB"/>
          <w14:ligatures w14:val="none"/>
        </w:rPr>
        <w:t xml:space="preserve">orkable </w:t>
      </w:r>
      <w:r w:rsidR="003D7488">
        <w:rPr>
          <w:rStyle w:val="Hyperlink"/>
          <w:rFonts w:asciiTheme="minorBidi" w:eastAsia="Times New Roman" w:hAnsiTheme="minorBidi"/>
          <w:b/>
          <w:bCs/>
          <w:kern w:val="0"/>
          <w:sz w:val="24"/>
          <w:szCs w:val="24"/>
          <w:lang w:eastAsia="en-GB"/>
          <w14:ligatures w14:val="none"/>
        </w:rPr>
        <w:t>S</w:t>
      </w:r>
      <w:r w:rsidR="00FC0107" w:rsidRPr="00584DBC">
        <w:rPr>
          <w:rStyle w:val="Hyperlink"/>
          <w:rFonts w:asciiTheme="minorBidi" w:eastAsia="Times New Roman" w:hAnsiTheme="minorBidi"/>
          <w:b/>
          <w:bCs/>
          <w:kern w:val="0"/>
          <w:sz w:val="24"/>
          <w:szCs w:val="24"/>
          <w:lang w:eastAsia="en-GB"/>
          <w14:ligatures w14:val="none"/>
        </w:rPr>
        <w:t>olution</w:t>
      </w:r>
      <w:bookmarkEnd w:id="209"/>
      <w:r w:rsidRPr="00584DBC">
        <w:rPr>
          <w:rFonts w:asciiTheme="minorBidi" w:eastAsia="Times New Roman" w:hAnsiTheme="minorBidi"/>
          <w:b/>
          <w:bCs/>
          <w:kern w:val="0"/>
          <w:sz w:val="24"/>
          <w:szCs w:val="24"/>
          <w:lang w:eastAsia="en-GB"/>
          <w14:ligatures w14:val="none"/>
        </w:rPr>
        <w:fldChar w:fldCharType="end"/>
      </w:r>
      <w:r w:rsidR="00C44886">
        <w:rPr>
          <w:rFonts w:asciiTheme="minorBidi" w:eastAsia="Times New Roman" w:hAnsiTheme="minorBidi"/>
          <w:b/>
          <w:bCs/>
          <w:kern w:val="0"/>
          <w:sz w:val="24"/>
          <w:szCs w:val="24"/>
          <w:lang w:eastAsia="en-GB"/>
          <w14:ligatures w14:val="none"/>
        </w:rPr>
        <w:t>…………………………</w:t>
      </w:r>
      <w:r w:rsidR="00801B78">
        <w:rPr>
          <w:rFonts w:asciiTheme="minorBidi" w:eastAsia="Times New Roman" w:hAnsiTheme="minorBidi"/>
          <w:b/>
          <w:bCs/>
          <w:kern w:val="0"/>
          <w:sz w:val="24"/>
          <w:szCs w:val="24"/>
          <w:lang w:eastAsia="en-GB"/>
          <w14:ligatures w14:val="none"/>
        </w:rPr>
        <w:t>…</w:t>
      </w:r>
      <w:r w:rsidR="003D7488">
        <w:rPr>
          <w:rFonts w:asciiTheme="minorBidi" w:eastAsia="Times New Roman" w:hAnsiTheme="minorBidi"/>
          <w:b/>
          <w:bCs/>
          <w:kern w:val="0"/>
          <w:sz w:val="24"/>
          <w:szCs w:val="24"/>
          <w:lang w:eastAsia="en-GB"/>
          <w14:ligatures w14:val="none"/>
        </w:rPr>
        <w:t xml:space="preserve"> </w:t>
      </w:r>
      <w:r w:rsidR="00CA5AB3">
        <w:rPr>
          <w:rFonts w:asciiTheme="minorBidi" w:eastAsia="Times New Roman" w:hAnsiTheme="minorBidi"/>
          <w:b/>
          <w:bCs/>
          <w:kern w:val="0"/>
          <w:sz w:val="24"/>
          <w:szCs w:val="24"/>
          <w:lang w:eastAsia="en-GB"/>
          <w14:ligatures w14:val="none"/>
        </w:rPr>
        <w:t xml:space="preserve"> 287</w:t>
      </w:r>
    </w:p>
    <w:bookmarkStart w:id="211" w:name="A23"/>
    <w:bookmarkStart w:id="212" w:name="C114"/>
    <w:bookmarkEnd w:id="210"/>
    <w:p w14:paraId="14B09852" w14:textId="3C6D0710" w:rsidR="00FC0107" w:rsidRPr="00D21E0B" w:rsidRDefault="00BE596A" w:rsidP="003F2E92">
      <w:pPr>
        <w:pStyle w:val="NoSpacing"/>
        <w:spacing w:line="480" w:lineRule="auto"/>
        <w:rPr>
          <w:rFonts w:asciiTheme="minorBidi" w:eastAsia="Times New Roman" w:hAnsiTheme="minorBidi"/>
          <w:b/>
          <w:bCs/>
          <w:kern w:val="0"/>
          <w:sz w:val="24"/>
          <w:szCs w:val="24"/>
          <w:lang w:eastAsia="en-GB"/>
          <w14:ligatures w14:val="none"/>
        </w:rPr>
      </w:pPr>
      <w:r w:rsidRPr="00584DBC">
        <w:rPr>
          <w:rFonts w:asciiTheme="minorBidi" w:eastAsia="Times New Roman" w:hAnsiTheme="minorBidi"/>
          <w:b/>
          <w:bCs/>
          <w:kern w:val="0"/>
          <w:sz w:val="24"/>
          <w:szCs w:val="24"/>
          <w:lang w:eastAsia="en-GB"/>
          <w14:ligatures w14:val="none"/>
        </w:rPr>
        <w:fldChar w:fldCharType="begin"/>
      </w:r>
      <w:r w:rsidRPr="000C7113">
        <w:rPr>
          <w:rFonts w:asciiTheme="minorBidi" w:eastAsia="Times New Roman" w:hAnsiTheme="minorBidi"/>
          <w:b/>
          <w:bCs/>
          <w:kern w:val="0"/>
          <w:sz w:val="24"/>
          <w:szCs w:val="24"/>
          <w:lang w:val="fr-FR" w:eastAsia="en-GB"/>
          <w14:ligatures w14:val="none"/>
        </w:rPr>
        <w:instrText>HYPERLINK  \l "D114"</w:instrText>
      </w:r>
      <w:r w:rsidRPr="00584DBC">
        <w:rPr>
          <w:rFonts w:asciiTheme="minorBidi" w:eastAsia="Times New Roman" w:hAnsiTheme="minorBidi"/>
          <w:b/>
          <w:bCs/>
          <w:kern w:val="0"/>
          <w:sz w:val="24"/>
          <w:szCs w:val="24"/>
          <w:lang w:eastAsia="en-GB"/>
          <w14:ligatures w14:val="none"/>
        </w:rPr>
      </w:r>
      <w:r w:rsidRPr="00584DBC">
        <w:rPr>
          <w:rFonts w:asciiTheme="minorBidi" w:eastAsia="Times New Roman" w:hAnsiTheme="minorBidi"/>
          <w:b/>
          <w:bCs/>
          <w:kern w:val="0"/>
          <w:sz w:val="24"/>
          <w:szCs w:val="24"/>
          <w:lang w:eastAsia="en-GB"/>
          <w14:ligatures w14:val="none"/>
        </w:rPr>
        <w:fldChar w:fldCharType="separate"/>
      </w:r>
      <w:r w:rsidR="00FC0107" w:rsidRPr="000C7113">
        <w:rPr>
          <w:rStyle w:val="Hyperlink"/>
          <w:rFonts w:asciiTheme="minorBidi" w:eastAsia="Times New Roman" w:hAnsiTheme="minorBidi"/>
          <w:b/>
          <w:bCs/>
          <w:kern w:val="0"/>
          <w:sz w:val="24"/>
          <w:szCs w:val="24"/>
          <w:lang w:val="fr-FR" w:eastAsia="en-GB"/>
          <w14:ligatures w14:val="none"/>
        </w:rPr>
        <w:t xml:space="preserve">4.5.6 Key Automation </w:t>
      </w:r>
      <w:r w:rsidR="006A2177" w:rsidRPr="000C7113">
        <w:rPr>
          <w:rStyle w:val="Hyperlink"/>
          <w:rFonts w:asciiTheme="minorBidi" w:eastAsia="Times New Roman" w:hAnsiTheme="minorBidi"/>
          <w:b/>
          <w:bCs/>
          <w:kern w:val="0"/>
          <w:sz w:val="24"/>
          <w:szCs w:val="24"/>
          <w:lang w:val="fr-FR" w:eastAsia="en-GB"/>
          <w14:ligatures w14:val="none"/>
        </w:rPr>
        <w:t>Technologies :</w:t>
      </w:r>
      <w:r w:rsidR="00FC0107" w:rsidRPr="000C7113">
        <w:rPr>
          <w:rStyle w:val="Hyperlink"/>
          <w:rFonts w:asciiTheme="minorBidi" w:eastAsia="Times New Roman" w:hAnsiTheme="minorBidi"/>
          <w:b/>
          <w:bCs/>
          <w:kern w:val="0"/>
          <w:sz w:val="24"/>
          <w:szCs w:val="24"/>
          <w:lang w:val="fr-FR" w:eastAsia="en-GB"/>
          <w14:ligatures w14:val="none"/>
        </w:rPr>
        <w:t xml:space="preserve"> Cloud</w:t>
      </w:r>
      <w:r w:rsidR="006E5762" w:rsidRPr="000C7113">
        <w:rPr>
          <w:rStyle w:val="Hyperlink"/>
          <w:rFonts w:asciiTheme="minorBidi" w:eastAsia="Times New Roman" w:hAnsiTheme="minorBidi"/>
          <w:b/>
          <w:bCs/>
          <w:kern w:val="0"/>
          <w:sz w:val="24"/>
          <w:szCs w:val="24"/>
          <w:lang w:val="fr-FR" w:eastAsia="en-GB"/>
          <w14:ligatures w14:val="none"/>
        </w:rPr>
        <w:t xml:space="preserve"> </w:t>
      </w:r>
      <w:r w:rsidR="00FC0107" w:rsidRPr="000C7113">
        <w:rPr>
          <w:rStyle w:val="Hyperlink"/>
          <w:rFonts w:asciiTheme="minorBidi" w:eastAsia="Times New Roman" w:hAnsiTheme="minorBidi"/>
          <w:b/>
          <w:bCs/>
          <w:kern w:val="0"/>
          <w:sz w:val="24"/>
          <w:szCs w:val="24"/>
          <w:lang w:val="fr-FR" w:eastAsia="en-GB"/>
          <w14:ligatures w14:val="none"/>
        </w:rPr>
        <w:t>Technologies</w:t>
      </w:r>
      <w:r w:rsidRPr="00584DBC">
        <w:rPr>
          <w:rFonts w:asciiTheme="minorBidi" w:eastAsia="Times New Roman" w:hAnsiTheme="minorBidi"/>
          <w:b/>
          <w:bCs/>
          <w:kern w:val="0"/>
          <w:sz w:val="24"/>
          <w:szCs w:val="24"/>
          <w:lang w:eastAsia="en-GB"/>
          <w14:ligatures w14:val="none"/>
        </w:rPr>
        <w:fldChar w:fldCharType="end"/>
      </w:r>
      <w:r w:rsidR="00C44886" w:rsidRPr="000C7113">
        <w:rPr>
          <w:rFonts w:asciiTheme="minorBidi" w:eastAsia="Times New Roman" w:hAnsiTheme="minorBidi"/>
          <w:b/>
          <w:bCs/>
          <w:kern w:val="0"/>
          <w:sz w:val="24"/>
          <w:szCs w:val="24"/>
          <w:lang w:val="fr-FR" w:eastAsia="en-GB"/>
          <w14:ligatures w14:val="none"/>
        </w:rPr>
        <w:t>……………</w:t>
      </w:r>
      <w:proofErr w:type="gramStart"/>
      <w:r w:rsidR="00C44886" w:rsidRPr="000C7113">
        <w:rPr>
          <w:rFonts w:asciiTheme="minorBidi" w:eastAsia="Times New Roman" w:hAnsiTheme="minorBidi"/>
          <w:b/>
          <w:bCs/>
          <w:kern w:val="0"/>
          <w:sz w:val="24"/>
          <w:szCs w:val="24"/>
          <w:lang w:val="fr-FR" w:eastAsia="en-GB"/>
          <w14:ligatures w14:val="none"/>
        </w:rPr>
        <w:t>…</w:t>
      </w:r>
      <w:r w:rsidR="00801B78" w:rsidRPr="000C7113">
        <w:rPr>
          <w:rFonts w:asciiTheme="minorBidi" w:eastAsia="Times New Roman" w:hAnsiTheme="minorBidi"/>
          <w:b/>
          <w:bCs/>
          <w:kern w:val="0"/>
          <w:sz w:val="24"/>
          <w:szCs w:val="24"/>
          <w:lang w:val="fr-FR" w:eastAsia="en-GB"/>
          <w14:ligatures w14:val="none"/>
        </w:rPr>
        <w:t>….</w:t>
      </w:r>
      <w:proofErr w:type="gramEnd"/>
      <w:r w:rsidR="00801B78" w:rsidRPr="000C7113">
        <w:rPr>
          <w:rFonts w:asciiTheme="minorBidi" w:eastAsia="Times New Roman" w:hAnsiTheme="minorBidi"/>
          <w:b/>
          <w:bCs/>
          <w:kern w:val="0"/>
          <w:sz w:val="24"/>
          <w:szCs w:val="24"/>
          <w:lang w:val="fr-FR" w:eastAsia="en-GB"/>
          <w14:ligatures w14:val="none"/>
        </w:rPr>
        <w:t xml:space="preserve">.   </w:t>
      </w:r>
      <w:r w:rsidR="006A2177" w:rsidRPr="00D21E0B">
        <w:rPr>
          <w:rFonts w:asciiTheme="minorBidi" w:eastAsia="Times New Roman" w:hAnsiTheme="minorBidi"/>
          <w:b/>
          <w:bCs/>
          <w:kern w:val="0"/>
          <w:sz w:val="24"/>
          <w:szCs w:val="24"/>
          <w:lang w:eastAsia="en-GB"/>
          <w14:ligatures w14:val="none"/>
        </w:rPr>
        <w:t>289</w:t>
      </w:r>
      <w:r w:rsidR="00FC0107" w:rsidRPr="00D21E0B">
        <w:rPr>
          <w:rFonts w:asciiTheme="minorBidi" w:eastAsia="Times New Roman" w:hAnsiTheme="minorBidi"/>
          <w:b/>
          <w:bCs/>
          <w:kern w:val="0"/>
          <w:sz w:val="24"/>
          <w:szCs w:val="24"/>
          <w:lang w:eastAsia="en-GB"/>
          <w14:ligatures w14:val="none"/>
        </w:rPr>
        <w:t xml:space="preserve"> </w:t>
      </w:r>
    </w:p>
    <w:bookmarkStart w:id="213" w:name="A24"/>
    <w:bookmarkStart w:id="214" w:name="C115"/>
    <w:bookmarkEnd w:id="211"/>
    <w:bookmarkEnd w:id="212"/>
    <w:p w14:paraId="55D02CDF" w14:textId="3CDEFBA8" w:rsidR="00FC0107" w:rsidRPr="00584DBC" w:rsidRDefault="00BE596A" w:rsidP="003F2E92">
      <w:pPr>
        <w:pStyle w:val="NoSpacing"/>
        <w:spacing w:line="480" w:lineRule="auto"/>
        <w:rPr>
          <w:rFonts w:asciiTheme="minorBidi" w:eastAsia="Times New Roman" w:hAnsiTheme="minorBidi"/>
          <w:b/>
          <w:bCs/>
          <w:kern w:val="0"/>
          <w:sz w:val="24"/>
          <w:szCs w:val="24"/>
          <w:lang w:eastAsia="en-GB"/>
          <w14:ligatures w14:val="none"/>
        </w:rPr>
      </w:pPr>
      <w:r w:rsidRPr="00584DBC">
        <w:rPr>
          <w:rFonts w:asciiTheme="minorBidi" w:eastAsia="Times New Roman" w:hAnsiTheme="minorBidi"/>
          <w:b/>
          <w:bCs/>
          <w:kern w:val="0"/>
          <w:sz w:val="24"/>
          <w:szCs w:val="24"/>
          <w:lang w:eastAsia="en-GB"/>
          <w14:ligatures w14:val="none"/>
        </w:rPr>
        <w:fldChar w:fldCharType="begin"/>
      </w:r>
      <w:r w:rsidRPr="00584DBC">
        <w:rPr>
          <w:rFonts w:asciiTheme="minorBidi" w:eastAsia="Times New Roman" w:hAnsiTheme="minorBidi"/>
          <w:b/>
          <w:bCs/>
          <w:kern w:val="0"/>
          <w:sz w:val="24"/>
          <w:szCs w:val="24"/>
          <w:lang w:eastAsia="en-GB"/>
          <w14:ligatures w14:val="none"/>
        </w:rPr>
        <w:instrText>HYPERLINK  \l "D115"</w:instrText>
      </w:r>
      <w:r w:rsidRPr="00584DBC">
        <w:rPr>
          <w:rFonts w:asciiTheme="minorBidi" w:eastAsia="Times New Roman" w:hAnsiTheme="minorBidi"/>
          <w:b/>
          <w:bCs/>
          <w:kern w:val="0"/>
          <w:sz w:val="24"/>
          <w:szCs w:val="24"/>
          <w:lang w:eastAsia="en-GB"/>
          <w14:ligatures w14:val="none"/>
        </w:rPr>
      </w:r>
      <w:r w:rsidRPr="00584DBC">
        <w:rPr>
          <w:rFonts w:asciiTheme="minorBidi" w:eastAsia="Times New Roman" w:hAnsiTheme="minorBidi"/>
          <w:b/>
          <w:bCs/>
          <w:kern w:val="0"/>
          <w:sz w:val="24"/>
          <w:szCs w:val="24"/>
          <w:lang w:eastAsia="en-GB"/>
          <w14:ligatures w14:val="none"/>
        </w:rPr>
        <w:fldChar w:fldCharType="separate"/>
      </w:r>
      <w:r w:rsidR="00FC0107" w:rsidRPr="00584DBC">
        <w:rPr>
          <w:rStyle w:val="Hyperlink"/>
          <w:rFonts w:asciiTheme="minorBidi" w:eastAsia="Times New Roman" w:hAnsiTheme="minorBidi"/>
          <w:b/>
          <w:bCs/>
          <w:kern w:val="0"/>
          <w:sz w:val="24"/>
          <w:szCs w:val="24"/>
          <w:lang w:eastAsia="en-GB"/>
          <w14:ligatures w14:val="none"/>
        </w:rPr>
        <w:t xml:space="preserve">4.5.6.1 Robotic </w:t>
      </w:r>
      <w:r w:rsidR="003D7488">
        <w:rPr>
          <w:rStyle w:val="Hyperlink"/>
          <w:rFonts w:asciiTheme="minorBidi" w:eastAsia="Times New Roman" w:hAnsiTheme="minorBidi"/>
          <w:b/>
          <w:bCs/>
          <w:kern w:val="0"/>
          <w:sz w:val="24"/>
          <w:szCs w:val="24"/>
          <w:lang w:eastAsia="en-GB"/>
          <w14:ligatures w14:val="none"/>
        </w:rPr>
        <w:t>P</w:t>
      </w:r>
      <w:r w:rsidR="00FC0107" w:rsidRPr="00584DBC">
        <w:rPr>
          <w:rStyle w:val="Hyperlink"/>
          <w:rFonts w:asciiTheme="minorBidi" w:eastAsia="Times New Roman" w:hAnsiTheme="minorBidi"/>
          <w:b/>
          <w:bCs/>
          <w:kern w:val="0"/>
          <w:sz w:val="24"/>
          <w:szCs w:val="24"/>
          <w:lang w:eastAsia="en-GB"/>
          <w14:ligatures w14:val="none"/>
        </w:rPr>
        <w:t xml:space="preserve">rocess </w:t>
      </w:r>
      <w:r w:rsidR="003D7488">
        <w:rPr>
          <w:rStyle w:val="Hyperlink"/>
          <w:rFonts w:asciiTheme="minorBidi" w:eastAsia="Times New Roman" w:hAnsiTheme="minorBidi"/>
          <w:b/>
          <w:bCs/>
          <w:kern w:val="0"/>
          <w:sz w:val="24"/>
          <w:szCs w:val="24"/>
          <w:lang w:eastAsia="en-GB"/>
          <w14:ligatures w14:val="none"/>
        </w:rPr>
        <w:t>A</w:t>
      </w:r>
      <w:r w:rsidR="00FC0107" w:rsidRPr="00584DBC">
        <w:rPr>
          <w:rStyle w:val="Hyperlink"/>
          <w:rFonts w:asciiTheme="minorBidi" w:eastAsia="Times New Roman" w:hAnsiTheme="minorBidi"/>
          <w:b/>
          <w:bCs/>
          <w:kern w:val="0"/>
          <w:sz w:val="24"/>
          <w:szCs w:val="24"/>
          <w:lang w:eastAsia="en-GB"/>
          <w14:ligatures w14:val="none"/>
        </w:rPr>
        <w:t>utomation</w:t>
      </w:r>
      <w:r w:rsidRPr="00584DBC">
        <w:rPr>
          <w:rFonts w:asciiTheme="minorBidi" w:eastAsia="Times New Roman" w:hAnsiTheme="minorBidi"/>
          <w:b/>
          <w:bCs/>
          <w:kern w:val="0"/>
          <w:sz w:val="24"/>
          <w:szCs w:val="24"/>
          <w:lang w:eastAsia="en-GB"/>
          <w14:ligatures w14:val="none"/>
        </w:rPr>
        <w:fldChar w:fldCharType="end"/>
      </w:r>
      <w:r w:rsidR="00C44886">
        <w:rPr>
          <w:rFonts w:asciiTheme="minorBidi" w:eastAsia="Times New Roman" w:hAnsiTheme="minorBidi"/>
          <w:b/>
          <w:bCs/>
          <w:kern w:val="0"/>
          <w:sz w:val="24"/>
          <w:szCs w:val="24"/>
          <w:lang w:eastAsia="en-GB"/>
          <w14:ligatures w14:val="none"/>
        </w:rPr>
        <w:t>…………………………………………...</w:t>
      </w:r>
      <w:r w:rsidR="00801B78">
        <w:rPr>
          <w:rFonts w:asciiTheme="minorBidi" w:eastAsia="Times New Roman" w:hAnsiTheme="minorBidi"/>
          <w:b/>
          <w:bCs/>
          <w:kern w:val="0"/>
          <w:sz w:val="24"/>
          <w:szCs w:val="24"/>
          <w:lang w:eastAsia="en-GB"/>
          <w14:ligatures w14:val="none"/>
        </w:rPr>
        <w:t xml:space="preserve">...   </w:t>
      </w:r>
      <w:r w:rsidR="006A2177">
        <w:rPr>
          <w:rFonts w:asciiTheme="minorBidi" w:eastAsia="Times New Roman" w:hAnsiTheme="minorBidi"/>
          <w:b/>
          <w:bCs/>
          <w:kern w:val="0"/>
          <w:sz w:val="24"/>
          <w:szCs w:val="24"/>
          <w:lang w:eastAsia="en-GB"/>
          <w14:ligatures w14:val="none"/>
        </w:rPr>
        <w:t>289</w:t>
      </w:r>
    </w:p>
    <w:bookmarkStart w:id="215" w:name="A25"/>
    <w:bookmarkStart w:id="216" w:name="C116"/>
    <w:bookmarkEnd w:id="213"/>
    <w:bookmarkEnd w:id="214"/>
    <w:p w14:paraId="2E5651DC" w14:textId="1E663A0A" w:rsidR="00FC0107" w:rsidRPr="00584DBC" w:rsidRDefault="00BE596A" w:rsidP="003F2E92">
      <w:pPr>
        <w:pStyle w:val="NoSpacing"/>
        <w:spacing w:line="480" w:lineRule="auto"/>
        <w:rPr>
          <w:rFonts w:asciiTheme="minorBidi" w:eastAsia="Times New Roman" w:hAnsiTheme="minorBidi"/>
          <w:b/>
          <w:bCs/>
          <w:kern w:val="0"/>
          <w:sz w:val="24"/>
          <w:szCs w:val="24"/>
          <w:lang w:eastAsia="en-GB"/>
          <w14:ligatures w14:val="none"/>
        </w:rPr>
      </w:pPr>
      <w:r w:rsidRPr="00584DBC">
        <w:rPr>
          <w:rFonts w:asciiTheme="minorBidi" w:eastAsia="Times New Roman" w:hAnsiTheme="minorBidi"/>
          <w:b/>
          <w:bCs/>
          <w:kern w:val="0"/>
          <w:sz w:val="24"/>
          <w:szCs w:val="24"/>
          <w:lang w:eastAsia="en-GB"/>
          <w14:ligatures w14:val="none"/>
        </w:rPr>
        <w:fldChar w:fldCharType="begin"/>
      </w:r>
      <w:r w:rsidRPr="00584DBC">
        <w:rPr>
          <w:rFonts w:asciiTheme="minorBidi" w:eastAsia="Times New Roman" w:hAnsiTheme="minorBidi"/>
          <w:b/>
          <w:bCs/>
          <w:kern w:val="0"/>
          <w:sz w:val="24"/>
          <w:szCs w:val="24"/>
          <w:lang w:eastAsia="en-GB"/>
          <w14:ligatures w14:val="none"/>
        </w:rPr>
        <w:instrText>HYPERLINK  \l "D116"</w:instrText>
      </w:r>
      <w:r w:rsidRPr="00584DBC">
        <w:rPr>
          <w:rFonts w:asciiTheme="minorBidi" w:eastAsia="Times New Roman" w:hAnsiTheme="minorBidi"/>
          <w:b/>
          <w:bCs/>
          <w:kern w:val="0"/>
          <w:sz w:val="24"/>
          <w:szCs w:val="24"/>
          <w:lang w:eastAsia="en-GB"/>
          <w14:ligatures w14:val="none"/>
        </w:rPr>
      </w:r>
      <w:r w:rsidRPr="00584DBC">
        <w:rPr>
          <w:rFonts w:asciiTheme="minorBidi" w:eastAsia="Times New Roman" w:hAnsiTheme="minorBidi"/>
          <w:b/>
          <w:bCs/>
          <w:kern w:val="0"/>
          <w:sz w:val="24"/>
          <w:szCs w:val="24"/>
          <w:lang w:eastAsia="en-GB"/>
          <w14:ligatures w14:val="none"/>
        </w:rPr>
        <w:fldChar w:fldCharType="separate"/>
      </w:r>
      <w:r w:rsidR="00FC0107" w:rsidRPr="00584DBC">
        <w:rPr>
          <w:rStyle w:val="Hyperlink"/>
          <w:rFonts w:asciiTheme="minorBidi" w:eastAsia="Times New Roman" w:hAnsiTheme="minorBidi"/>
          <w:b/>
          <w:bCs/>
          <w:kern w:val="0"/>
          <w:sz w:val="24"/>
          <w:szCs w:val="24"/>
          <w:lang w:eastAsia="en-GB"/>
          <w14:ligatures w14:val="none"/>
        </w:rPr>
        <w:t xml:space="preserve">4.5.6.2 Artificial </w:t>
      </w:r>
      <w:r w:rsidR="003D7488">
        <w:rPr>
          <w:rStyle w:val="Hyperlink"/>
          <w:rFonts w:asciiTheme="minorBidi" w:eastAsia="Times New Roman" w:hAnsiTheme="minorBidi"/>
          <w:b/>
          <w:bCs/>
          <w:kern w:val="0"/>
          <w:sz w:val="24"/>
          <w:szCs w:val="24"/>
          <w:lang w:eastAsia="en-GB"/>
          <w14:ligatures w14:val="none"/>
        </w:rPr>
        <w:t>I</w:t>
      </w:r>
      <w:r w:rsidR="00FC0107" w:rsidRPr="00584DBC">
        <w:rPr>
          <w:rStyle w:val="Hyperlink"/>
          <w:rFonts w:asciiTheme="minorBidi" w:eastAsia="Times New Roman" w:hAnsiTheme="minorBidi"/>
          <w:b/>
          <w:bCs/>
          <w:kern w:val="0"/>
          <w:sz w:val="24"/>
          <w:szCs w:val="24"/>
          <w:lang w:eastAsia="en-GB"/>
          <w14:ligatures w14:val="none"/>
        </w:rPr>
        <w:t>ntelligence (AI) </w:t>
      </w:r>
      <w:r w:rsidRPr="00584DBC">
        <w:rPr>
          <w:rFonts w:asciiTheme="minorBidi" w:eastAsia="Times New Roman" w:hAnsiTheme="minorBidi"/>
          <w:b/>
          <w:bCs/>
          <w:kern w:val="0"/>
          <w:sz w:val="24"/>
          <w:szCs w:val="24"/>
          <w:lang w:eastAsia="en-GB"/>
          <w14:ligatures w14:val="none"/>
        </w:rPr>
        <w:fldChar w:fldCharType="end"/>
      </w:r>
      <w:r w:rsidR="00C44886">
        <w:rPr>
          <w:rFonts w:asciiTheme="minorBidi" w:eastAsia="Times New Roman" w:hAnsiTheme="minorBidi"/>
          <w:b/>
          <w:bCs/>
          <w:kern w:val="0"/>
          <w:sz w:val="24"/>
          <w:szCs w:val="24"/>
          <w:lang w:eastAsia="en-GB"/>
          <w14:ligatures w14:val="none"/>
        </w:rPr>
        <w:t>………………………………………………</w:t>
      </w:r>
      <w:r w:rsidR="00801B78">
        <w:rPr>
          <w:rFonts w:asciiTheme="minorBidi" w:eastAsia="Times New Roman" w:hAnsiTheme="minorBidi"/>
          <w:b/>
          <w:bCs/>
          <w:kern w:val="0"/>
          <w:sz w:val="24"/>
          <w:szCs w:val="24"/>
          <w:lang w:eastAsia="en-GB"/>
          <w14:ligatures w14:val="none"/>
        </w:rPr>
        <w:t xml:space="preserve">…..   </w:t>
      </w:r>
      <w:r w:rsidR="00D265D3">
        <w:rPr>
          <w:rFonts w:asciiTheme="minorBidi" w:eastAsia="Times New Roman" w:hAnsiTheme="minorBidi"/>
          <w:b/>
          <w:bCs/>
          <w:kern w:val="0"/>
          <w:sz w:val="24"/>
          <w:szCs w:val="24"/>
          <w:lang w:eastAsia="en-GB"/>
          <w14:ligatures w14:val="none"/>
        </w:rPr>
        <w:t>290</w:t>
      </w:r>
    </w:p>
    <w:bookmarkStart w:id="217" w:name="A26"/>
    <w:bookmarkStart w:id="218" w:name="C117"/>
    <w:bookmarkEnd w:id="215"/>
    <w:bookmarkEnd w:id="216"/>
    <w:p w14:paraId="408F3F83" w14:textId="25FD93B9" w:rsidR="00FC0107" w:rsidRPr="00584DBC" w:rsidRDefault="00BE596A" w:rsidP="003F2E92">
      <w:pPr>
        <w:pStyle w:val="NoSpacing"/>
        <w:spacing w:line="480" w:lineRule="auto"/>
        <w:rPr>
          <w:rFonts w:asciiTheme="minorBidi" w:eastAsia="Times New Roman" w:hAnsiTheme="minorBidi"/>
          <w:b/>
          <w:bCs/>
          <w:kern w:val="0"/>
          <w:sz w:val="24"/>
          <w:szCs w:val="24"/>
          <w:lang w:eastAsia="en-GB"/>
          <w14:ligatures w14:val="none"/>
        </w:rPr>
      </w:pPr>
      <w:r w:rsidRPr="00584DBC">
        <w:rPr>
          <w:rFonts w:asciiTheme="minorBidi" w:eastAsia="Times New Roman" w:hAnsiTheme="minorBidi"/>
          <w:b/>
          <w:bCs/>
          <w:kern w:val="0"/>
          <w:sz w:val="24"/>
          <w:szCs w:val="24"/>
          <w:lang w:eastAsia="en-GB"/>
          <w14:ligatures w14:val="none"/>
        </w:rPr>
        <w:fldChar w:fldCharType="begin"/>
      </w:r>
      <w:r w:rsidRPr="00584DBC">
        <w:rPr>
          <w:rFonts w:asciiTheme="minorBidi" w:eastAsia="Times New Roman" w:hAnsiTheme="minorBidi"/>
          <w:b/>
          <w:bCs/>
          <w:kern w:val="0"/>
          <w:sz w:val="24"/>
          <w:szCs w:val="24"/>
          <w:lang w:eastAsia="en-GB"/>
          <w14:ligatures w14:val="none"/>
        </w:rPr>
        <w:instrText>HYPERLINK  \l "D117"</w:instrText>
      </w:r>
      <w:r w:rsidRPr="00584DBC">
        <w:rPr>
          <w:rFonts w:asciiTheme="minorBidi" w:eastAsia="Times New Roman" w:hAnsiTheme="minorBidi"/>
          <w:b/>
          <w:bCs/>
          <w:kern w:val="0"/>
          <w:sz w:val="24"/>
          <w:szCs w:val="24"/>
          <w:lang w:eastAsia="en-GB"/>
          <w14:ligatures w14:val="none"/>
        </w:rPr>
      </w:r>
      <w:r w:rsidRPr="00584DBC">
        <w:rPr>
          <w:rFonts w:asciiTheme="minorBidi" w:eastAsia="Times New Roman" w:hAnsiTheme="minorBidi"/>
          <w:b/>
          <w:bCs/>
          <w:kern w:val="0"/>
          <w:sz w:val="24"/>
          <w:szCs w:val="24"/>
          <w:lang w:eastAsia="en-GB"/>
          <w14:ligatures w14:val="none"/>
        </w:rPr>
        <w:fldChar w:fldCharType="separate"/>
      </w:r>
      <w:r w:rsidR="00FC0107" w:rsidRPr="00584DBC">
        <w:rPr>
          <w:rStyle w:val="Hyperlink"/>
          <w:rFonts w:asciiTheme="minorBidi" w:eastAsia="Times New Roman" w:hAnsiTheme="minorBidi"/>
          <w:b/>
          <w:bCs/>
          <w:kern w:val="0"/>
          <w:sz w:val="24"/>
          <w:szCs w:val="24"/>
          <w:lang w:eastAsia="en-GB"/>
          <w14:ligatures w14:val="none"/>
        </w:rPr>
        <w:t xml:space="preserve">4.5.6.3 Predictive </w:t>
      </w:r>
      <w:r w:rsidR="003D7488">
        <w:rPr>
          <w:rStyle w:val="Hyperlink"/>
          <w:rFonts w:asciiTheme="minorBidi" w:eastAsia="Times New Roman" w:hAnsiTheme="minorBidi"/>
          <w:b/>
          <w:bCs/>
          <w:kern w:val="0"/>
          <w:sz w:val="24"/>
          <w:szCs w:val="24"/>
          <w:lang w:eastAsia="en-GB"/>
          <w14:ligatures w14:val="none"/>
        </w:rPr>
        <w:t>A</w:t>
      </w:r>
      <w:r w:rsidR="00FC0107" w:rsidRPr="00584DBC">
        <w:rPr>
          <w:rStyle w:val="Hyperlink"/>
          <w:rFonts w:asciiTheme="minorBidi" w:eastAsia="Times New Roman" w:hAnsiTheme="minorBidi"/>
          <w:b/>
          <w:bCs/>
          <w:kern w:val="0"/>
          <w:sz w:val="24"/>
          <w:szCs w:val="24"/>
          <w:lang w:eastAsia="en-GB"/>
          <w14:ligatures w14:val="none"/>
        </w:rPr>
        <w:t>nalytics </w:t>
      </w:r>
      <w:r w:rsidRPr="00584DBC">
        <w:rPr>
          <w:rFonts w:asciiTheme="minorBidi" w:eastAsia="Times New Roman" w:hAnsiTheme="minorBidi"/>
          <w:b/>
          <w:bCs/>
          <w:kern w:val="0"/>
          <w:sz w:val="24"/>
          <w:szCs w:val="24"/>
          <w:lang w:eastAsia="en-GB"/>
          <w14:ligatures w14:val="none"/>
        </w:rPr>
        <w:fldChar w:fldCharType="end"/>
      </w:r>
      <w:r w:rsidR="004B427D">
        <w:rPr>
          <w:rFonts w:asciiTheme="minorBidi" w:eastAsia="Times New Roman" w:hAnsiTheme="minorBidi"/>
          <w:b/>
          <w:bCs/>
          <w:kern w:val="0"/>
          <w:sz w:val="24"/>
          <w:szCs w:val="24"/>
          <w:lang w:eastAsia="en-GB"/>
          <w14:ligatures w14:val="none"/>
        </w:rPr>
        <w:t>……………………………………………………</w:t>
      </w:r>
      <w:r w:rsidR="00801B78">
        <w:rPr>
          <w:rFonts w:asciiTheme="minorBidi" w:eastAsia="Times New Roman" w:hAnsiTheme="minorBidi"/>
          <w:b/>
          <w:bCs/>
          <w:kern w:val="0"/>
          <w:sz w:val="24"/>
          <w:szCs w:val="24"/>
          <w:lang w:eastAsia="en-GB"/>
          <w14:ligatures w14:val="none"/>
        </w:rPr>
        <w:t xml:space="preserve">……  </w:t>
      </w:r>
      <w:r w:rsidR="00D265D3">
        <w:rPr>
          <w:rFonts w:asciiTheme="minorBidi" w:eastAsia="Times New Roman" w:hAnsiTheme="minorBidi"/>
          <w:b/>
          <w:bCs/>
          <w:kern w:val="0"/>
          <w:sz w:val="24"/>
          <w:szCs w:val="24"/>
          <w:lang w:eastAsia="en-GB"/>
          <w14:ligatures w14:val="none"/>
        </w:rPr>
        <w:t>291</w:t>
      </w:r>
    </w:p>
    <w:bookmarkStart w:id="219" w:name="A27"/>
    <w:bookmarkStart w:id="220" w:name="C118"/>
    <w:bookmarkEnd w:id="217"/>
    <w:bookmarkEnd w:id="218"/>
    <w:p w14:paraId="52844F38" w14:textId="372CCBBE" w:rsidR="00FC0107" w:rsidRPr="00584DBC" w:rsidRDefault="00BE596A" w:rsidP="003F2E92">
      <w:pPr>
        <w:pStyle w:val="NoSpacing"/>
        <w:spacing w:line="480" w:lineRule="auto"/>
        <w:rPr>
          <w:rFonts w:asciiTheme="minorBidi" w:eastAsia="Times New Roman" w:hAnsiTheme="minorBidi"/>
          <w:b/>
          <w:bCs/>
          <w:kern w:val="0"/>
          <w:sz w:val="24"/>
          <w:szCs w:val="24"/>
          <w:lang w:eastAsia="en-GB"/>
          <w14:ligatures w14:val="none"/>
        </w:rPr>
      </w:pPr>
      <w:r w:rsidRPr="00584DBC">
        <w:rPr>
          <w:rFonts w:asciiTheme="minorBidi" w:eastAsia="Times New Roman" w:hAnsiTheme="minorBidi"/>
          <w:b/>
          <w:bCs/>
          <w:kern w:val="0"/>
          <w:sz w:val="24"/>
          <w:szCs w:val="24"/>
          <w:lang w:eastAsia="en-GB"/>
          <w14:ligatures w14:val="none"/>
        </w:rPr>
        <w:fldChar w:fldCharType="begin"/>
      </w:r>
      <w:r w:rsidRPr="00584DBC">
        <w:rPr>
          <w:rFonts w:asciiTheme="minorBidi" w:eastAsia="Times New Roman" w:hAnsiTheme="minorBidi"/>
          <w:b/>
          <w:bCs/>
          <w:kern w:val="0"/>
          <w:sz w:val="24"/>
          <w:szCs w:val="24"/>
          <w:lang w:eastAsia="en-GB"/>
          <w14:ligatures w14:val="none"/>
        </w:rPr>
        <w:instrText>HYPERLINK  \l "D118"</w:instrText>
      </w:r>
      <w:r w:rsidRPr="00584DBC">
        <w:rPr>
          <w:rFonts w:asciiTheme="minorBidi" w:eastAsia="Times New Roman" w:hAnsiTheme="minorBidi"/>
          <w:b/>
          <w:bCs/>
          <w:kern w:val="0"/>
          <w:sz w:val="24"/>
          <w:szCs w:val="24"/>
          <w:lang w:eastAsia="en-GB"/>
          <w14:ligatures w14:val="none"/>
        </w:rPr>
      </w:r>
      <w:r w:rsidRPr="00584DBC">
        <w:rPr>
          <w:rFonts w:asciiTheme="minorBidi" w:eastAsia="Times New Roman" w:hAnsiTheme="minorBidi"/>
          <w:b/>
          <w:bCs/>
          <w:kern w:val="0"/>
          <w:sz w:val="24"/>
          <w:szCs w:val="24"/>
          <w:lang w:eastAsia="en-GB"/>
          <w14:ligatures w14:val="none"/>
        </w:rPr>
        <w:fldChar w:fldCharType="separate"/>
      </w:r>
      <w:r w:rsidR="00FC0107" w:rsidRPr="00584DBC">
        <w:rPr>
          <w:rStyle w:val="Hyperlink"/>
          <w:rFonts w:asciiTheme="minorBidi" w:eastAsia="Times New Roman" w:hAnsiTheme="minorBidi"/>
          <w:b/>
          <w:bCs/>
          <w:kern w:val="0"/>
          <w:sz w:val="24"/>
          <w:szCs w:val="24"/>
          <w:lang w:eastAsia="en-GB"/>
          <w14:ligatures w14:val="none"/>
        </w:rPr>
        <w:t>4.5.7 ‘People-</w:t>
      </w:r>
      <w:r w:rsidR="003D7488">
        <w:rPr>
          <w:rStyle w:val="Hyperlink"/>
          <w:rFonts w:asciiTheme="minorBidi" w:eastAsia="Times New Roman" w:hAnsiTheme="minorBidi"/>
          <w:b/>
          <w:bCs/>
          <w:kern w:val="0"/>
          <w:sz w:val="24"/>
          <w:szCs w:val="24"/>
          <w:lang w:eastAsia="en-GB"/>
          <w14:ligatures w14:val="none"/>
        </w:rPr>
        <w:t>C</w:t>
      </w:r>
      <w:r w:rsidR="00FC0107" w:rsidRPr="00584DBC">
        <w:rPr>
          <w:rStyle w:val="Hyperlink"/>
          <w:rFonts w:asciiTheme="minorBidi" w:eastAsia="Times New Roman" w:hAnsiTheme="minorBidi"/>
          <w:b/>
          <w:bCs/>
          <w:kern w:val="0"/>
          <w:sz w:val="24"/>
          <w:szCs w:val="24"/>
          <w:lang w:eastAsia="en-GB"/>
          <w14:ligatures w14:val="none"/>
        </w:rPr>
        <w:t xml:space="preserve">entric’ </w:t>
      </w:r>
      <w:r w:rsidR="003D7488">
        <w:rPr>
          <w:rStyle w:val="Hyperlink"/>
          <w:rFonts w:asciiTheme="minorBidi" w:eastAsia="Times New Roman" w:hAnsiTheme="minorBidi"/>
          <w:b/>
          <w:bCs/>
          <w:kern w:val="0"/>
          <w:sz w:val="24"/>
          <w:szCs w:val="24"/>
          <w:lang w:eastAsia="en-GB"/>
          <w14:ligatures w14:val="none"/>
        </w:rPr>
        <w:t>A</w:t>
      </w:r>
      <w:r w:rsidR="00FC0107" w:rsidRPr="00584DBC">
        <w:rPr>
          <w:rStyle w:val="Hyperlink"/>
          <w:rFonts w:asciiTheme="minorBidi" w:eastAsia="Times New Roman" w:hAnsiTheme="minorBidi"/>
          <w:b/>
          <w:bCs/>
          <w:kern w:val="0"/>
          <w:sz w:val="24"/>
          <w:szCs w:val="24"/>
          <w:lang w:eastAsia="en-GB"/>
          <w14:ligatures w14:val="none"/>
        </w:rPr>
        <w:t>pproaches</w:t>
      </w:r>
      <w:r w:rsidRPr="00584DBC">
        <w:rPr>
          <w:rFonts w:asciiTheme="minorBidi" w:eastAsia="Times New Roman" w:hAnsiTheme="minorBidi"/>
          <w:b/>
          <w:bCs/>
          <w:kern w:val="0"/>
          <w:sz w:val="24"/>
          <w:szCs w:val="24"/>
          <w:lang w:eastAsia="en-GB"/>
          <w14:ligatures w14:val="none"/>
        </w:rPr>
        <w:fldChar w:fldCharType="end"/>
      </w:r>
      <w:r w:rsidR="00B1333B">
        <w:rPr>
          <w:rFonts w:asciiTheme="minorBidi" w:eastAsia="Times New Roman" w:hAnsiTheme="minorBidi"/>
          <w:b/>
          <w:bCs/>
          <w:kern w:val="0"/>
          <w:sz w:val="24"/>
          <w:szCs w:val="24"/>
          <w:lang w:eastAsia="en-GB"/>
          <w14:ligatures w14:val="none"/>
        </w:rPr>
        <w:t>……………………………………………</w:t>
      </w:r>
      <w:r w:rsidR="00801B78">
        <w:rPr>
          <w:rFonts w:asciiTheme="minorBidi" w:eastAsia="Times New Roman" w:hAnsiTheme="minorBidi"/>
          <w:b/>
          <w:bCs/>
          <w:kern w:val="0"/>
          <w:sz w:val="24"/>
          <w:szCs w:val="24"/>
          <w:lang w:eastAsia="en-GB"/>
          <w14:ligatures w14:val="none"/>
        </w:rPr>
        <w:t xml:space="preserve">…… </w:t>
      </w:r>
      <w:r w:rsidR="00AC3BC6">
        <w:rPr>
          <w:rFonts w:asciiTheme="minorBidi" w:eastAsia="Times New Roman" w:hAnsiTheme="minorBidi"/>
          <w:b/>
          <w:bCs/>
          <w:kern w:val="0"/>
          <w:sz w:val="24"/>
          <w:szCs w:val="24"/>
          <w:lang w:eastAsia="en-GB"/>
          <w14:ligatures w14:val="none"/>
        </w:rPr>
        <w:t xml:space="preserve"> 292</w:t>
      </w:r>
    </w:p>
    <w:bookmarkStart w:id="221" w:name="A28"/>
    <w:bookmarkStart w:id="222" w:name="C119"/>
    <w:bookmarkEnd w:id="219"/>
    <w:bookmarkEnd w:id="220"/>
    <w:p w14:paraId="38DFEDE3" w14:textId="4D0C9180" w:rsidR="00FC0107" w:rsidRPr="00584DBC" w:rsidRDefault="00BE596A" w:rsidP="003F2E92">
      <w:pPr>
        <w:pStyle w:val="NoSpacing"/>
        <w:spacing w:line="480" w:lineRule="auto"/>
        <w:rPr>
          <w:rFonts w:asciiTheme="minorBidi" w:eastAsia="Times New Roman" w:hAnsiTheme="minorBidi"/>
          <w:b/>
          <w:bCs/>
          <w:kern w:val="0"/>
          <w:sz w:val="24"/>
          <w:szCs w:val="24"/>
          <w:lang w:eastAsia="en-GB"/>
          <w14:ligatures w14:val="none"/>
        </w:rPr>
      </w:pPr>
      <w:r w:rsidRPr="00584DBC">
        <w:rPr>
          <w:rFonts w:asciiTheme="minorBidi" w:eastAsia="Times New Roman" w:hAnsiTheme="minorBidi"/>
          <w:b/>
          <w:bCs/>
          <w:kern w:val="0"/>
          <w:sz w:val="24"/>
          <w:szCs w:val="24"/>
          <w:lang w:eastAsia="en-GB"/>
          <w14:ligatures w14:val="none"/>
        </w:rPr>
        <w:fldChar w:fldCharType="begin"/>
      </w:r>
      <w:r w:rsidRPr="00584DBC">
        <w:rPr>
          <w:rFonts w:asciiTheme="minorBidi" w:eastAsia="Times New Roman" w:hAnsiTheme="minorBidi"/>
          <w:b/>
          <w:bCs/>
          <w:kern w:val="0"/>
          <w:sz w:val="24"/>
          <w:szCs w:val="24"/>
          <w:lang w:eastAsia="en-GB"/>
          <w14:ligatures w14:val="none"/>
        </w:rPr>
        <w:instrText>HYPERLINK  \l "D119"</w:instrText>
      </w:r>
      <w:r w:rsidRPr="00584DBC">
        <w:rPr>
          <w:rFonts w:asciiTheme="minorBidi" w:eastAsia="Times New Roman" w:hAnsiTheme="minorBidi"/>
          <w:b/>
          <w:bCs/>
          <w:kern w:val="0"/>
          <w:sz w:val="24"/>
          <w:szCs w:val="24"/>
          <w:lang w:eastAsia="en-GB"/>
          <w14:ligatures w14:val="none"/>
        </w:rPr>
      </w:r>
      <w:r w:rsidRPr="00584DBC">
        <w:rPr>
          <w:rFonts w:asciiTheme="minorBidi" w:eastAsia="Times New Roman" w:hAnsiTheme="minorBidi"/>
          <w:b/>
          <w:bCs/>
          <w:kern w:val="0"/>
          <w:sz w:val="24"/>
          <w:szCs w:val="24"/>
          <w:lang w:eastAsia="en-GB"/>
          <w14:ligatures w14:val="none"/>
        </w:rPr>
        <w:fldChar w:fldCharType="separate"/>
      </w:r>
      <w:r w:rsidR="00FC0107" w:rsidRPr="00584DBC">
        <w:rPr>
          <w:rStyle w:val="Hyperlink"/>
          <w:rFonts w:asciiTheme="minorBidi" w:eastAsia="Times New Roman" w:hAnsiTheme="minorBidi"/>
          <w:b/>
          <w:bCs/>
          <w:kern w:val="0"/>
          <w:sz w:val="24"/>
          <w:szCs w:val="24"/>
          <w:lang w:eastAsia="en-GB"/>
          <w14:ligatures w14:val="none"/>
        </w:rPr>
        <w:t>4.5.7.1 Accounting Ethics</w:t>
      </w:r>
      <w:r w:rsidRPr="00584DBC">
        <w:rPr>
          <w:rFonts w:asciiTheme="minorBidi" w:eastAsia="Times New Roman" w:hAnsiTheme="minorBidi"/>
          <w:b/>
          <w:bCs/>
          <w:kern w:val="0"/>
          <w:sz w:val="24"/>
          <w:szCs w:val="24"/>
          <w:lang w:eastAsia="en-GB"/>
          <w14:ligatures w14:val="none"/>
        </w:rPr>
        <w:fldChar w:fldCharType="end"/>
      </w:r>
      <w:r w:rsidR="00ED4FCB">
        <w:rPr>
          <w:rFonts w:asciiTheme="minorBidi" w:eastAsia="Times New Roman" w:hAnsiTheme="minorBidi"/>
          <w:b/>
          <w:bCs/>
          <w:kern w:val="0"/>
          <w:sz w:val="24"/>
          <w:szCs w:val="24"/>
          <w:lang w:eastAsia="en-GB"/>
          <w14:ligatures w14:val="none"/>
        </w:rPr>
        <w:t>………………………………………………………</w:t>
      </w:r>
      <w:r w:rsidR="00801B78">
        <w:rPr>
          <w:rFonts w:asciiTheme="minorBidi" w:eastAsia="Times New Roman" w:hAnsiTheme="minorBidi"/>
          <w:b/>
          <w:bCs/>
          <w:kern w:val="0"/>
          <w:sz w:val="24"/>
          <w:szCs w:val="24"/>
          <w:lang w:eastAsia="en-GB"/>
          <w14:ligatures w14:val="none"/>
        </w:rPr>
        <w:t xml:space="preserve">……  </w:t>
      </w:r>
      <w:r w:rsidR="00F4193B">
        <w:rPr>
          <w:rFonts w:asciiTheme="minorBidi" w:eastAsia="Times New Roman" w:hAnsiTheme="minorBidi"/>
          <w:b/>
          <w:bCs/>
          <w:kern w:val="0"/>
          <w:sz w:val="24"/>
          <w:szCs w:val="24"/>
          <w:lang w:eastAsia="en-GB"/>
          <w14:ligatures w14:val="none"/>
        </w:rPr>
        <w:t>294</w:t>
      </w:r>
    </w:p>
    <w:bookmarkStart w:id="223" w:name="A29"/>
    <w:bookmarkStart w:id="224" w:name="C120"/>
    <w:bookmarkEnd w:id="221"/>
    <w:bookmarkEnd w:id="222"/>
    <w:p w14:paraId="01B5EF71" w14:textId="7E8289E0" w:rsidR="00FC0107" w:rsidRPr="00584DBC" w:rsidRDefault="005900C3" w:rsidP="003F2E92">
      <w:pPr>
        <w:pStyle w:val="NoSpacing"/>
        <w:spacing w:line="480" w:lineRule="auto"/>
        <w:rPr>
          <w:rFonts w:asciiTheme="minorBidi" w:eastAsia="Times New Roman" w:hAnsiTheme="minorBidi"/>
          <w:b/>
          <w:bCs/>
          <w:kern w:val="0"/>
          <w:sz w:val="24"/>
          <w:szCs w:val="24"/>
          <w:lang w:eastAsia="en-GB"/>
          <w14:ligatures w14:val="none"/>
        </w:rPr>
      </w:pPr>
      <w:r w:rsidRPr="00584DBC">
        <w:rPr>
          <w:rFonts w:asciiTheme="minorBidi" w:eastAsia="Times New Roman" w:hAnsiTheme="minorBidi"/>
          <w:b/>
          <w:bCs/>
          <w:kern w:val="0"/>
          <w:sz w:val="24"/>
          <w:szCs w:val="24"/>
          <w:lang w:eastAsia="en-GB"/>
          <w14:ligatures w14:val="none"/>
        </w:rPr>
        <w:fldChar w:fldCharType="begin"/>
      </w:r>
      <w:r w:rsidRPr="00584DBC">
        <w:rPr>
          <w:rFonts w:asciiTheme="minorBidi" w:eastAsia="Times New Roman" w:hAnsiTheme="minorBidi"/>
          <w:b/>
          <w:bCs/>
          <w:kern w:val="0"/>
          <w:sz w:val="24"/>
          <w:szCs w:val="24"/>
          <w:lang w:eastAsia="en-GB"/>
          <w14:ligatures w14:val="none"/>
        </w:rPr>
        <w:instrText>HYPERLINK  \l "D120"</w:instrText>
      </w:r>
      <w:r w:rsidRPr="00584DBC">
        <w:rPr>
          <w:rFonts w:asciiTheme="minorBidi" w:eastAsia="Times New Roman" w:hAnsiTheme="minorBidi"/>
          <w:b/>
          <w:bCs/>
          <w:kern w:val="0"/>
          <w:sz w:val="24"/>
          <w:szCs w:val="24"/>
          <w:lang w:eastAsia="en-GB"/>
          <w14:ligatures w14:val="none"/>
        </w:rPr>
      </w:r>
      <w:r w:rsidRPr="00584DBC">
        <w:rPr>
          <w:rFonts w:asciiTheme="minorBidi" w:eastAsia="Times New Roman" w:hAnsiTheme="minorBidi"/>
          <w:b/>
          <w:bCs/>
          <w:kern w:val="0"/>
          <w:sz w:val="24"/>
          <w:szCs w:val="24"/>
          <w:lang w:eastAsia="en-GB"/>
          <w14:ligatures w14:val="none"/>
        </w:rPr>
        <w:fldChar w:fldCharType="separate"/>
      </w:r>
      <w:r w:rsidR="00FC0107" w:rsidRPr="00584DBC">
        <w:rPr>
          <w:rStyle w:val="Hyperlink"/>
          <w:rFonts w:asciiTheme="minorBidi" w:eastAsia="Times New Roman" w:hAnsiTheme="minorBidi"/>
          <w:b/>
          <w:bCs/>
          <w:kern w:val="0"/>
          <w:sz w:val="24"/>
          <w:szCs w:val="24"/>
          <w:lang w:eastAsia="en-GB"/>
          <w14:ligatures w14:val="none"/>
        </w:rPr>
        <w:t xml:space="preserve">4.5.7.2 Creating an </w:t>
      </w:r>
      <w:r w:rsidR="003D7488">
        <w:rPr>
          <w:rStyle w:val="Hyperlink"/>
          <w:rFonts w:asciiTheme="minorBidi" w:eastAsia="Times New Roman" w:hAnsiTheme="minorBidi"/>
          <w:b/>
          <w:bCs/>
          <w:kern w:val="0"/>
          <w:sz w:val="24"/>
          <w:szCs w:val="24"/>
          <w:lang w:eastAsia="en-GB"/>
          <w14:ligatures w14:val="none"/>
        </w:rPr>
        <w:t>E</w:t>
      </w:r>
      <w:r w:rsidR="00FC0107" w:rsidRPr="00584DBC">
        <w:rPr>
          <w:rStyle w:val="Hyperlink"/>
          <w:rFonts w:asciiTheme="minorBidi" w:eastAsia="Times New Roman" w:hAnsiTheme="minorBidi"/>
          <w:b/>
          <w:bCs/>
          <w:kern w:val="0"/>
          <w:sz w:val="24"/>
          <w:szCs w:val="24"/>
          <w:lang w:eastAsia="en-GB"/>
          <w14:ligatures w14:val="none"/>
        </w:rPr>
        <w:t xml:space="preserve">thical </w:t>
      </w:r>
      <w:r w:rsidR="003D7488">
        <w:rPr>
          <w:rStyle w:val="Hyperlink"/>
          <w:rFonts w:asciiTheme="minorBidi" w:eastAsia="Times New Roman" w:hAnsiTheme="minorBidi"/>
          <w:b/>
          <w:bCs/>
          <w:kern w:val="0"/>
          <w:sz w:val="24"/>
          <w:szCs w:val="24"/>
          <w:lang w:eastAsia="en-GB"/>
          <w14:ligatures w14:val="none"/>
        </w:rPr>
        <w:t>C</w:t>
      </w:r>
      <w:r w:rsidR="00FC0107" w:rsidRPr="00584DBC">
        <w:rPr>
          <w:rStyle w:val="Hyperlink"/>
          <w:rFonts w:asciiTheme="minorBidi" w:eastAsia="Times New Roman" w:hAnsiTheme="minorBidi"/>
          <w:b/>
          <w:bCs/>
          <w:kern w:val="0"/>
          <w:sz w:val="24"/>
          <w:szCs w:val="24"/>
          <w:lang w:eastAsia="en-GB"/>
          <w14:ligatures w14:val="none"/>
        </w:rPr>
        <w:t>ulture</w:t>
      </w:r>
      <w:bookmarkEnd w:id="223"/>
      <w:r w:rsidRPr="00584DBC">
        <w:rPr>
          <w:rFonts w:asciiTheme="minorBidi" w:eastAsia="Times New Roman" w:hAnsiTheme="minorBidi"/>
          <w:b/>
          <w:bCs/>
          <w:kern w:val="0"/>
          <w:sz w:val="24"/>
          <w:szCs w:val="24"/>
          <w:lang w:eastAsia="en-GB"/>
          <w14:ligatures w14:val="none"/>
        </w:rPr>
        <w:fldChar w:fldCharType="end"/>
      </w:r>
      <w:r w:rsidR="00E6661D">
        <w:rPr>
          <w:rFonts w:asciiTheme="minorBidi" w:eastAsia="Times New Roman" w:hAnsiTheme="minorBidi"/>
          <w:b/>
          <w:bCs/>
          <w:kern w:val="0"/>
          <w:sz w:val="24"/>
          <w:szCs w:val="24"/>
          <w:lang w:eastAsia="en-GB"/>
          <w14:ligatures w14:val="none"/>
        </w:rPr>
        <w:t>……………………………………………</w:t>
      </w:r>
      <w:r w:rsidR="00801B78">
        <w:rPr>
          <w:rFonts w:asciiTheme="minorBidi" w:eastAsia="Times New Roman" w:hAnsiTheme="minorBidi"/>
          <w:b/>
          <w:bCs/>
          <w:kern w:val="0"/>
          <w:sz w:val="24"/>
          <w:szCs w:val="24"/>
          <w:lang w:eastAsia="en-GB"/>
          <w14:ligatures w14:val="none"/>
        </w:rPr>
        <w:t>…</w:t>
      </w:r>
      <w:r w:rsidR="003D7488">
        <w:rPr>
          <w:rFonts w:asciiTheme="minorBidi" w:eastAsia="Times New Roman" w:hAnsiTheme="minorBidi"/>
          <w:b/>
          <w:bCs/>
          <w:kern w:val="0"/>
          <w:sz w:val="24"/>
          <w:szCs w:val="24"/>
          <w:lang w:eastAsia="en-GB"/>
          <w14:ligatures w14:val="none"/>
        </w:rPr>
        <w:t>…</w:t>
      </w:r>
      <w:r w:rsidR="00801B78">
        <w:rPr>
          <w:rFonts w:asciiTheme="minorBidi" w:eastAsia="Times New Roman" w:hAnsiTheme="minorBidi"/>
          <w:b/>
          <w:bCs/>
          <w:kern w:val="0"/>
          <w:sz w:val="24"/>
          <w:szCs w:val="24"/>
          <w:lang w:eastAsia="en-GB"/>
          <w14:ligatures w14:val="none"/>
        </w:rPr>
        <w:t xml:space="preserve">  </w:t>
      </w:r>
      <w:r w:rsidR="00A913CA">
        <w:rPr>
          <w:rFonts w:asciiTheme="minorBidi" w:eastAsia="Times New Roman" w:hAnsiTheme="minorBidi"/>
          <w:b/>
          <w:bCs/>
          <w:kern w:val="0"/>
          <w:sz w:val="24"/>
          <w:szCs w:val="24"/>
          <w:lang w:eastAsia="en-GB"/>
          <w14:ligatures w14:val="none"/>
        </w:rPr>
        <w:t>299</w:t>
      </w:r>
    </w:p>
    <w:bookmarkStart w:id="225" w:name="A30"/>
    <w:bookmarkStart w:id="226" w:name="C121"/>
    <w:bookmarkEnd w:id="224"/>
    <w:p w14:paraId="3BAF6A96" w14:textId="3846CA00" w:rsidR="00FC0107" w:rsidRPr="00584DBC" w:rsidRDefault="00BE596A" w:rsidP="003F2E92">
      <w:pPr>
        <w:pStyle w:val="NoSpacing"/>
        <w:spacing w:line="480" w:lineRule="auto"/>
        <w:rPr>
          <w:rFonts w:asciiTheme="minorBidi" w:eastAsiaTheme="minorHAnsi" w:hAnsiTheme="minorBidi"/>
          <w:b/>
          <w:bCs/>
          <w:kern w:val="0"/>
          <w:sz w:val="24"/>
          <w:szCs w:val="24"/>
          <w:lang w:eastAsia="en-US"/>
          <w14:ligatures w14:val="none"/>
        </w:rPr>
      </w:pPr>
      <w:r w:rsidRPr="00584DBC">
        <w:rPr>
          <w:rFonts w:asciiTheme="minorBidi" w:eastAsiaTheme="minorHAnsi" w:hAnsiTheme="minorBidi"/>
          <w:b/>
          <w:bCs/>
          <w:kern w:val="0"/>
          <w:sz w:val="24"/>
          <w:szCs w:val="24"/>
          <w:lang w:eastAsia="en-US"/>
          <w14:ligatures w14:val="none"/>
        </w:rPr>
        <w:fldChar w:fldCharType="begin"/>
      </w:r>
      <w:r w:rsidRPr="00584DBC">
        <w:rPr>
          <w:rFonts w:asciiTheme="minorBidi" w:eastAsiaTheme="minorHAnsi" w:hAnsiTheme="minorBidi"/>
          <w:b/>
          <w:bCs/>
          <w:kern w:val="0"/>
          <w:sz w:val="24"/>
          <w:szCs w:val="24"/>
          <w:lang w:eastAsia="en-US"/>
          <w14:ligatures w14:val="none"/>
        </w:rPr>
        <w:instrText>HYPERLINK  \l "D121"</w:instrText>
      </w:r>
      <w:r w:rsidRPr="00584DBC">
        <w:rPr>
          <w:rFonts w:asciiTheme="minorBidi" w:eastAsiaTheme="minorHAnsi" w:hAnsiTheme="minorBidi"/>
          <w:b/>
          <w:bCs/>
          <w:kern w:val="0"/>
          <w:sz w:val="24"/>
          <w:szCs w:val="24"/>
          <w:lang w:eastAsia="en-US"/>
          <w14:ligatures w14:val="none"/>
        </w:rPr>
      </w:r>
      <w:r w:rsidRPr="00584DBC">
        <w:rPr>
          <w:rFonts w:asciiTheme="minorBidi" w:eastAsiaTheme="minorHAnsi" w:hAnsiTheme="minorBidi"/>
          <w:b/>
          <w:bCs/>
          <w:kern w:val="0"/>
          <w:sz w:val="24"/>
          <w:szCs w:val="24"/>
          <w:lang w:eastAsia="en-US"/>
          <w14:ligatures w14:val="none"/>
        </w:rPr>
        <w:fldChar w:fldCharType="separate"/>
      </w:r>
      <w:r w:rsidR="00FC0107" w:rsidRPr="00584DBC">
        <w:rPr>
          <w:rStyle w:val="Hyperlink"/>
          <w:rFonts w:asciiTheme="minorBidi" w:eastAsiaTheme="minorHAnsi" w:hAnsiTheme="minorBidi"/>
          <w:b/>
          <w:bCs/>
          <w:kern w:val="0"/>
          <w:sz w:val="24"/>
          <w:szCs w:val="24"/>
          <w:lang w:eastAsia="en-US"/>
          <w14:ligatures w14:val="none"/>
        </w:rPr>
        <w:t>4.6 Chapter Summary</w:t>
      </w:r>
      <w:r w:rsidRPr="00584DBC">
        <w:rPr>
          <w:rFonts w:asciiTheme="minorBidi" w:eastAsiaTheme="minorHAnsi" w:hAnsiTheme="minorBidi"/>
          <w:b/>
          <w:bCs/>
          <w:kern w:val="0"/>
          <w:sz w:val="24"/>
          <w:szCs w:val="24"/>
          <w:lang w:eastAsia="en-US"/>
          <w14:ligatures w14:val="none"/>
        </w:rPr>
        <w:fldChar w:fldCharType="end"/>
      </w:r>
      <w:r w:rsidR="00E6661D">
        <w:rPr>
          <w:rFonts w:asciiTheme="minorBidi" w:eastAsiaTheme="minorHAnsi" w:hAnsiTheme="minorBidi"/>
          <w:b/>
          <w:bCs/>
          <w:kern w:val="0"/>
          <w:sz w:val="24"/>
          <w:szCs w:val="24"/>
          <w:lang w:eastAsia="en-US"/>
          <w14:ligatures w14:val="none"/>
        </w:rPr>
        <w:t>……………………………………………………………</w:t>
      </w:r>
      <w:r w:rsidR="00801B78">
        <w:rPr>
          <w:rFonts w:asciiTheme="minorBidi" w:eastAsiaTheme="minorHAnsi" w:hAnsiTheme="minorBidi"/>
          <w:b/>
          <w:bCs/>
          <w:kern w:val="0"/>
          <w:sz w:val="24"/>
          <w:szCs w:val="24"/>
          <w:lang w:eastAsia="en-US"/>
          <w14:ligatures w14:val="none"/>
        </w:rPr>
        <w:t xml:space="preserve">……  </w:t>
      </w:r>
      <w:r w:rsidR="00E6661D">
        <w:rPr>
          <w:rFonts w:asciiTheme="minorBidi" w:eastAsiaTheme="minorHAnsi" w:hAnsiTheme="minorBidi"/>
          <w:b/>
          <w:bCs/>
          <w:kern w:val="0"/>
          <w:sz w:val="24"/>
          <w:szCs w:val="24"/>
          <w:lang w:eastAsia="en-US"/>
          <w14:ligatures w14:val="none"/>
        </w:rPr>
        <w:t>3</w:t>
      </w:r>
      <w:r w:rsidR="00A913CA">
        <w:rPr>
          <w:rFonts w:asciiTheme="minorBidi" w:eastAsiaTheme="minorHAnsi" w:hAnsiTheme="minorBidi"/>
          <w:b/>
          <w:bCs/>
          <w:kern w:val="0"/>
          <w:sz w:val="24"/>
          <w:szCs w:val="24"/>
          <w:lang w:eastAsia="en-US"/>
          <w14:ligatures w14:val="none"/>
        </w:rPr>
        <w:t>02</w:t>
      </w:r>
    </w:p>
    <w:bookmarkEnd w:id="225"/>
    <w:bookmarkEnd w:id="226"/>
    <w:p w14:paraId="0F503B64" w14:textId="77777777" w:rsidR="00FC0107" w:rsidRPr="00584DBC" w:rsidRDefault="00FC0107" w:rsidP="003F2E92">
      <w:pPr>
        <w:pStyle w:val="NoSpacing"/>
        <w:spacing w:line="480" w:lineRule="auto"/>
        <w:rPr>
          <w:rFonts w:asciiTheme="minorBidi" w:eastAsia="Times New Roman" w:hAnsiTheme="minorBidi"/>
          <w:b/>
          <w:bCs/>
          <w:kern w:val="0"/>
          <w:sz w:val="24"/>
          <w:szCs w:val="24"/>
          <w14:ligatures w14:val="none"/>
        </w:rPr>
      </w:pPr>
    </w:p>
    <w:bookmarkStart w:id="227" w:name="C122"/>
    <w:bookmarkStart w:id="228" w:name="CH5"/>
    <w:p w14:paraId="2C837ADA" w14:textId="34034073" w:rsidR="00B53D9A" w:rsidRPr="00584DBC" w:rsidRDefault="006A594C" w:rsidP="00E47F6F">
      <w:pPr>
        <w:pStyle w:val="NoSpacing"/>
        <w:pBdr>
          <w:top w:val="single" w:sz="4" w:space="1" w:color="auto"/>
          <w:left w:val="single" w:sz="4" w:space="4" w:color="auto"/>
          <w:bottom w:val="single" w:sz="4" w:space="1" w:color="auto"/>
          <w:right w:val="single" w:sz="4" w:space="4" w:color="auto"/>
        </w:pBdr>
        <w:rPr>
          <w:rFonts w:asciiTheme="minorBidi" w:hAnsiTheme="minorBidi"/>
          <w:b/>
          <w:bCs/>
          <w:sz w:val="24"/>
          <w:szCs w:val="24"/>
        </w:rPr>
      </w:pPr>
      <w:r w:rsidRPr="00584DBC">
        <w:rPr>
          <w:rFonts w:asciiTheme="minorBidi" w:hAnsiTheme="minorBidi"/>
          <w:b/>
          <w:bCs/>
          <w:sz w:val="24"/>
          <w:szCs w:val="24"/>
        </w:rPr>
        <w:fldChar w:fldCharType="begin"/>
      </w:r>
      <w:r w:rsidRPr="00584DBC">
        <w:rPr>
          <w:rFonts w:asciiTheme="minorBidi" w:hAnsiTheme="minorBidi"/>
          <w:b/>
          <w:bCs/>
          <w:sz w:val="24"/>
          <w:szCs w:val="24"/>
        </w:rPr>
        <w:instrText>HYPERLINK  \l "DH5"</w:instrText>
      </w:r>
      <w:r w:rsidRPr="00584DBC">
        <w:rPr>
          <w:rFonts w:asciiTheme="minorBidi" w:hAnsiTheme="minorBidi"/>
          <w:b/>
          <w:bCs/>
          <w:sz w:val="24"/>
          <w:szCs w:val="24"/>
        </w:rPr>
      </w:r>
      <w:r w:rsidRPr="00584DBC">
        <w:rPr>
          <w:rFonts w:asciiTheme="minorBidi" w:hAnsiTheme="minorBidi"/>
          <w:b/>
          <w:bCs/>
          <w:sz w:val="24"/>
          <w:szCs w:val="24"/>
        </w:rPr>
        <w:fldChar w:fldCharType="separate"/>
      </w:r>
      <w:r w:rsidR="00F82F8A" w:rsidRPr="00584DBC">
        <w:rPr>
          <w:rStyle w:val="Hyperlink"/>
          <w:rFonts w:asciiTheme="minorBidi" w:hAnsiTheme="minorBidi"/>
          <w:b/>
          <w:bCs/>
          <w:sz w:val="24"/>
          <w:szCs w:val="24"/>
        </w:rPr>
        <w:t>Chapter Five:</w:t>
      </w:r>
      <w:r w:rsidR="00B53D9A" w:rsidRPr="00584DBC">
        <w:rPr>
          <w:rStyle w:val="Hyperlink"/>
          <w:rFonts w:asciiTheme="minorBidi" w:hAnsiTheme="minorBidi"/>
          <w:b/>
          <w:bCs/>
          <w:sz w:val="24"/>
          <w:szCs w:val="24"/>
        </w:rPr>
        <w:t xml:space="preserve"> Research Conclusion, Contribution, &amp; Recommendations</w:t>
      </w:r>
      <w:r w:rsidRPr="00584DBC">
        <w:rPr>
          <w:rFonts w:asciiTheme="minorBidi" w:hAnsiTheme="minorBidi"/>
          <w:b/>
          <w:bCs/>
          <w:sz w:val="24"/>
          <w:szCs w:val="24"/>
        </w:rPr>
        <w:fldChar w:fldCharType="end"/>
      </w:r>
    </w:p>
    <w:p w14:paraId="04CDB587" w14:textId="77777777" w:rsidR="00D21E0B" w:rsidRDefault="00D21E0B" w:rsidP="003F2E92">
      <w:pPr>
        <w:pStyle w:val="NoSpacing"/>
        <w:spacing w:line="480" w:lineRule="auto"/>
        <w:rPr>
          <w:rFonts w:asciiTheme="minorBidi" w:eastAsiaTheme="minorHAnsi" w:hAnsiTheme="minorBidi"/>
          <w:b/>
          <w:bCs/>
          <w:kern w:val="0"/>
          <w:sz w:val="24"/>
          <w:szCs w:val="24"/>
          <w:lang w:eastAsia="en-US"/>
          <w14:ligatures w14:val="none"/>
        </w:rPr>
      </w:pPr>
      <w:bookmarkStart w:id="229" w:name="C123"/>
      <w:bookmarkEnd w:id="227"/>
      <w:bookmarkEnd w:id="228"/>
    </w:p>
    <w:p w14:paraId="4B0CC307" w14:textId="5D865091" w:rsidR="00B53D9A" w:rsidRPr="00584DBC" w:rsidRDefault="00000000" w:rsidP="003F2E92">
      <w:pPr>
        <w:pStyle w:val="NoSpacing"/>
        <w:spacing w:line="480" w:lineRule="auto"/>
        <w:rPr>
          <w:rFonts w:asciiTheme="minorBidi" w:eastAsiaTheme="minorHAnsi" w:hAnsiTheme="minorBidi"/>
          <w:b/>
          <w:bCs/>
          <w:kern w:val="0"/>
          <w:sz w:val="24"/>
          <w:szCs w:val="24"/>
          <w:lang w:eastAsia="en-US"/>
          <w14:ligatures w14:val="none"/>
        </w:rPr>
      </w:pPr>
      <w:hyperlink w:anchor="D123" w:history="1">
        <w:r w:rsidR="00B53D9A" w:rsidRPr="00584DBC">
          <w:rPr>
            <w:rStyle w:val="Hyperlink"/>
            <w:rFonts w:asciiTheme="minorBidi" w:eastAsiaTheme="minorHAnsi" w:hAnsiTheme="minorBidi"/>
            <w:b/>
            <w:bCs/>
            <w:kern w:val="0"/>
            <w:sz w:val="24"/>
            <w:szCs w:val="24"/>
            <w:lang w:eastAsia="en-US"/>
            <w14:ligatures w14:val="none"/>
          </w:rPr>
          <w:t>5.1 Introduction</w:t>
        </w:r>
      </w:hyperlink>
      <w:r w:rsidR="008649A1">
        <w:rPr>
          <w:rFonts w:asciiTheme="minorBidi" w:eastAsiaTheme="minorHAnsi" w:hAnsiTheme="minorBidi"/>
          <w:b/>
          <w:bCs/>
          <w:kern w:val="0"/>
          <w:sz w:val="24"/>
          <w:szCs w:val="24"/>
          <w:lang w:eastAsia="en-US"/>
          <w14:ligatures w14:val="none"/>
        </w:rPr>
        <w:t>……………………………………………………………………</w:t>
      </w:r>
      <w:r w:rsidR="00FD6EC0">
        <w:rPr>
          <w:rFonts w:asciiTheme="minorBidi" w:eastAsiaTheme="minorHAnsi" w:hAnsiTheme="minorBidi"/>
          <w:b/>
          <w:bCs/>
          <w:kern w:val="0"/>
          <w:sz w:val="24"/>
          <w:szCs w:val="24"/>
          <w:lang w:eastAsia="en-US"/>
          <w14:ligatures w14:val="none"/>
        </w:rPr>
        <w:t xml:space="preserve">…… </w:t>
      </w:r>
      <w:r w:rsidR="008649A1">
        <w:rPr>
          <w:rFonts w:asciiTheme="minorBidi" w:eastAsiaTheme="minorHAnsi" w:hAnsiTheme="minorBidi"/>
          <w:b/>
          <w:bCs/>
          <w:kern w:val="0"/>
          <w:sz w:val="24"/>
          <w:szCs w:val="24"/>
          <w:lang w:eastAsia="en-US"/>
          <w14:ligatures w14:val="none"/>
        </w:rPr>
        <w:t>3</w:t>
      </w:r>
      <w:r w:rsidR="00F53FB5">
        <w:rPr>
          <w:rFonts w:asciiTheme="minorBidi" w:eastAsiaTheme="minorHAnsi" w:hAnsiTheme="minorBidi"/>
          <w:b/>
          <w:bCs/>
          <w:kern w:val="0"/>
          <w:sz w:val="24"/>
          <w:szCs w:val="24"/>
          <w:lang w:eastAsia="en-US"/>
          <w14:ligatures w14:val="none"/>
        </w:rPr>
        <w:t>08</w:t>
      </w:r>
    </w:p>
    <w:bookmarkStart w:id="230" w:name="C124"/>
    <w:bookmarkEnd w:id="229"/>
    <w:p w14:paraId="43A2C879" w14:textId="2BA3E17C" w:rsidR="00B53D9A" w:rsidRPr="00584DBC" w:rsidRDefault="00491902" w:rsidP="003F2E92">
      <w:pPr>
        <w:pStyle w:val="NoSpacing"/>
        <w:spacing w:line="480" w:lineRule="auto"/>
        <w:rPr>
          <w:rFonts w:asciiTheme="minorBidi" w:eastAsiaTheme="minorHAnsi" w:hAnsiTheme="minorBidi"/>
          <w:b/>
          <w:bCs/>
          <w:kern w:val="0"/>
          <w:sz w:val="24"/>
          <w:szCs w:val="24"/>
          <w:lang w:eastAsia="en-US"/>
          <w14:ligatures w14:val="none"/>
        </w:rPr>
      </w:pPr>
      <w:r w:rsidRPr="00584DBC">
        <w:rPr>
          <w:rFonts w:asciiTheme="minorBidi" w:eastAsiaTheme="minorHAnsi" w:hAnsiTheme="minorBidi"/>
          <w:b/>
          <w:bCs/>
          <w:kern w:val="0"/>
          <w:sz w:val="24"/>
          <w:szCs w:val="24"/>
          <w:lang w:eastAsia="en-US"/>
          <w14:ligatures w14:val="none"/>
        </w:rPr>
        <w:fldChar w:fldCharType="begin"/>
      </w:r>
      <w:r w:rsidRPr="00584DBC">
        <w:rPr>
          <w:rFonts w:asciiTheme="minorBidi" w:eastAsiaTheme="minorHAnsi" w:hAnsiTheme="minorBidi"/>
          <w:b/>
          <w:bCs/>
          <w:kern w:val="0"/>
          <w:sz w:val="24"/>
          <w:szCs w:val="24"/>
          <w:lang w:eastAsia="en-US"/>
          <w14:ligatures w14:val="none"/>
        </w:rPr>
        <w:instrText>HYPERLINK  \l "D124"</w:instrText>
      </w:r>
      <w:r w:rsidRPr="00584DBC">
        <w:rPr>
          <w:rFonts w:asciiTheme="minorBidi" w:eastAsiaTheme="minorHAnsi" w:hAnsiTheme="minorBidi"/>
          <w:b/>
          <w:bCs/>
          <w:kern w:val="0"/>
          <w:sz w:val="24"/>
          <w:szCs w:val="24"/>
          <w:lang w:eastAsia="en-US"/>
          <w14:ligatures w14:val="none"/>
        </w:rPr>
      </w:r>
      <w:r w:rsidRPr="00584DBC">
        <w:rPr>
          <w:rFonts w:asciiTheme="minorBidi" w:eastAsiaTheme="minorHAnsi" w:hAnsiTheme="minorBidi"/>
          <w:b/>
          <w:bCs/>
          <w:kern w:val="0"/>
          <w:sz w:val="24"/>
          <w:szCs w:val="24"/>
          <w:lang w:eastAsia="en-US"/>
          <w14:ligatures w14:val="none"/>
        </w:rPr>
        <w:fldChar w:fldCharType="separate"/>
      </w:r>
      <w:r w:rsidR="00B53D9A" w:rsidRPr="00584DBC">
        <w:rPr>
          <w:rStyle w:val="Hyperlink"/>
          <w:rFonts w:asciiTheme="minorBidi" w:eastAsiaTheme="minorHAnsi" w:hAnsiTheme="minorBidi"/>
          <w:b/>
          <w:bCs/>
          <w:kern w:val="0"/>
          <w:sz w:val="24"/>
          <w:szCs w:val="24"/>
          <w:lang w:eastAsia="en-US"/>
          <w14:ligatures w14:val="none"/>
        </w:rPr>
        <w:t>5.1.1 Research Aim, Research Objectives and Research Questions</w:t>
      </w:r>
      <w:r w:rsidRPr="00584DBC">
        <w:rPr>
          <w:rFonts w:asciiTheme="minorBidi" w:eastAsiaTheme="minorHAnsi" w:hAnsiTheme="minorBidi"/>
          <w:b/>
          <w:bCs/>
          <w:kern w:val="0"/>
          <w:sz w:val="24"/>
          <w:szCs w:val="24"/>
          <w:lang w:eastAsia="en-US"/>
          <w14:ligatures w14:val="none"/>
        </w:rPr>
        <w:fldChar w:fldCharType="end"/>
      </w:r>
      <w:r w:rsidR="00532920">
        <w:rPr>
          <w:rFonts w:asciiTheme="minorBidi" w:eastAsiaTheme="minorHAnsi" w:hAnsiTheme="minorBidi"/>
          <w:b/>
          <w:bCs/>
          <w:kern w:val="0"/>
          <w:sz w:val="24"/>
          <w:szCs w:val="24"/>
          <w:lang w:eastAsia="en-US"/>
          <w14:ligatures w14:val="none"/>
        </w:rPr>
        <w:t>……</w:t>
      </w:r>
      <w:r w:rsidR="00FD6EC0">
        <w:rPr>
          <w:rFonts w:asciiTheme="minorBidi" w:eastAsiaTheme="minorHAnsi" w:hAnsiTheme="minorBidi"/>
          <w:b/>
          <w:bCs/>
          <w:kern w:val="0"/>
          <w:sz w:val="24"/>
          <w:szCs w:val="24"/>
          <w:lang w:eastAsia="en-US"/>
          <w14:ligatures w14:val="none"/>
        </w:rPr>
        <w:t xml:space="preserve">…… </w:t>
      </w:r>
      <w:r w:rsidR="00532920">
        <w:rPr>
          <w:rFonts w:asciiTheme="minorBidi" w:eastAsiaTheme="minorHAnsi" w:hAnsiTheme="minorBidi"/>
          <w:b/>
          <w:bCs/>
          <w:kern w:val="0"/>
          <w:sz w:val="24"/>
          <w:szCs w:val="24"/>
          <w:lang w:eastAsia="en-US"/>
          <w14:ligatures w14:val="none"/>
        </w:rPr>
        <w:t>3</w:t>
      </w:r>
      <w:r w:rsidR="002906FA">
        <w:rPr>
          <w:rFonts w:asciiTheme="minorBidi" w:eastAsiaTheme="minorHAnsi" w:hAnsiTheme="minorBidi"/>
          <w:b/>
          <w:bCs/>
          <w:kern w:val="0"/>
          <w:sz w:val="24"/>
          <w:szCs w:val="24"/>
          <w:lang w:eastAsia="en-US"/>
          <w14:ligatures w14:val="none"/>
        </w:rPr>
        <w:t>10</w:t>
      </w:r>
    </w:p>
    <w:bookmarkStart w:id="231" w:name="C125"/>
    <w:bookmarkEnd w:id="230"/>
    <w:p w14:paraId="56F19722" w14:textId="5FB2BE73" w:rsidR="00B53D9A" w:rsidRPr="00584DBC" w:rsidRDefault="00491902" w:rsidP="003F2E92">
      <w:pPr>
        <w:pStyle w:val="NoSpacing"/>
        <w:spacing w:line="480" w:lineRule="auto"/>
        <w:rPr>
          <w:rFonts w:asciiTheme="minorBidi" w:eastAsiaTheme="minorHAnsi" w:hAnsiTheme="minorBidi"/>
          <w:b/>
          <w:bCs/>
          <w:kern w:val="0"/>
          <w:sz w:val="24"/>
          <w:szCs w:val="24"/>
          <w:lang w:eastAsia="en-US"/>
          <w14:ligatures w14:val="none"/>
        </w:rPr>
      </w:pPr>
      <w:r w:rsidRPr="00584DBC">
        <w:rPr>
          <w:rFonts w:asciiTheme="minorBidi" w:eastAsiaTheme="minorHAnsi" w:hAnsiTheme="minorBidi"/>
          <w:b/>
          <w:bCs/>
          <w:kern w:val="0"/>
          <w:sz w:val="24"/>
          <w:szCs w:val="24"/>
          <w:lang w:eastAsia="en-US"/>
          <w14:ligatures w14:val="none"/>
        </w:rPr>
        <w:fldChar w:fldCharType="begin"/>
      </w:r>
      <w:r w:rsidRPr="00584DBC">
        <w:rPr>
          <w:rFonts w:asciiTheme="minorBidi" w:eastAsiaTheme="minorHAnsi" w:hAnsiTheme="minorBidi"/>
          <w:b/>
          <w:bCs/>
          <w:kern w:val="0"/>
          <w:sz w:val="24"/>
          <w:szCs w:val="24"/>
          <w:lang w:eastAsia="en-US"/>
          <w14:ligatures w14:val="none"/>
        </w:rPr>
        <w:instrText>HYPERLINK  \l "D125"</w:instrText>
      </w:r>
      <w:r w:rsidRPr="00584DBC">
        <w:rPr>
          <w:rFonts w:asciiTheme="minorBidi" w:eastAsiaTheme="minorHAnsi" w:hAnsiTheme="minorBidi"/>
          <w:b/>
          <w:bCs/>
          <w:kern w:val="0"/>
          <w:sz w:val="24"/>
          <w:szCs w:val="24"/>
          <w:lang w:eastAsia="en-US"/>
          <w14:ligatures w14:val="none"/>
        </w:rPr>
      </w:r>
      <w:r w:rsidRPr="00584DBC">
        <w:rPr>
          <w:rFonts w:asciiTheme="minorBidi" w:eastAsiaTheme="minorHAnsi" w:hAnsiTheme="minorBidi"/>
          <w:b/>
          <w:bCs/>
          <w:kern w:val="0"/>
          <w:sz w:val="24"/>
          <w:szCs w:val="24"/>
          <w:lang w:eastAsia="en-US"/>
          <w14:ligatures w14:val="none"/>
        </w:rPr>
        <w:fldChar w:fldCharType="separate"/>
      </w:r>
      <w:r w:rsidR="00B53D9A" w:rsidRPr="00584DBC">
        <w:rPr>
          <w:rStyle w:val="Hyperlink"/>
          <w:rFonts w:asciiTheme="minorBidi" w:eastAsiaTheme="minorHAnsi" w:hAnsiTheme="minorBidi"/>
          <w:b/>
          <w:bCs/>
          <w:kern w:val="0"/>
          <w:sz w:val="24"/>
          <w:szCs w:val="24"/>
          <w:lang w:eastAsia="en-US"/>
          <w14:ligatures w14:val="none"/>
        </w:rPr>
        <w:t>5.1.1.1 Research Aim</w:t>
      </w:r>
      <w:r w:rsidRPr="00584DBC">
        <w:rPr>
          <w:rFonts w:asciiTheme="minorBidi" w:eastAsiaTheme="minorHAnsi" w:hAnsiTheme="minorBidi"/>
          <w:b/>
          <w:bCs/>
          <w:kern w:val="0"/>
          <w:sz w:val="24"/>
          <w:szCs w:val="24"/>
          <w:lang w:eastAsia="en-US"/>
          <w14:ligatures w14:val="none"/>
        </w:rPr>
        <w:fldChar w:fldCharType="end"/>
      </w:r>
      <w:r w:rsidR="00532920">
        <w:rPr>
          <w:rFonts w:asciiTheme="minorBidi" w:eastAsiaTheme="minorHAnsi" w:hAnsiTheme="minorBidi"/>
          <w:b/>
          <w:bCs/>
          <w:kern w:val="0"/>
          <w:sz w:val="24"/>
          <w:szCs w:val="24"/>
          <w:lang w:eastAsia="en-US"/>
          <w14:ligatures w14:val="none"/>
        </w:rPr>
        <w:t>……………………………………………………………</w:t>
      </w:r>
      <w:r w:rsidR="00FD6EC0">
        <w:rPr>
          <w:rFonts w:asciiTheme="minorBidi" w:eastAsiaTheme="minorHAnsi" w:hAnsiTheme="minorBidi"/>
          <w:b/>
          <w:bCs/>
          <w:kern w:val="0"/>
          <w:sz w:val="24"/>
          <w:szCs w:val="24"/>
          <w:lang w:eastAsia="en-US"/>
          <w14:ligatures w14:val="none"/>
        </w:rPr>
        <w:t xml:space="preserve">…….. </w:t>
      </w:r>
      <w:r w:rsidR="00532920">
        <w:rPr>
          <w:rFonts w:asciiTheme="minorBidi" w:eastAsiaTheme="minorHAnsi" w:hAnsiTheme="minorBidi"/>
          <w:b/>
          <w:bCs/>
          <w:kern w:val="0"/>
          <w:sz w:val="24"/>
          <w:szCs w:val="24"/>
          <w:lang w:eastAsia="en-US"/>
          <w14:ligatures w14:val="none"/>
        </w:rPr>
        <w:t>3</w:t>
      </w:r>
      <w:r w:rsidR="002906FA">
        <w:rPr>
          <w:rFonts w:asciiTheme="minorBidi" w:eastAsiaTheme="minorHAnsi" w:hAnsiTheme="minorBidi"/>
          <w:b/>
          <w:bCs/>
          <w:kern w:val="0"/>
          <w:sz w:val="24"/>
          <w:szCs w:val="24"/>
          <w:lang w:eastAsia="en-US"/>
          <w14:ligatures w14:val="none"/>
        </w:rPr>
        <w:t>10</w:t>
      </w:r>
    </w:p>
    <w:bookmarkStart w:id="232" w:name="C126"/>
    <w:bookmarkEnd w:id="231"/>
    <w:p w14:paraId="0D3FD0A4" w14:textId="0D465488" w:rsidR="00B53D9A" w:rsidRPr="00584DBC" w:rsidRDefault="00491902" w:rsidP="003F2E92">
      <w:pPr>
        <w:pStyle w:val="NoSpacing"/>
        <w:spacing w:line="480" w:lineRule="auto"/>
        <w:rPr>
          <w:rFonts w:asciiTheme="minorBidi" w:eastAsiaTheme="minorHAnsi" w:hAnsiTheme="minorBidi"/>
          <w:b/>
          <w:bCs/>
          <w:kern w:val="0"/>
          <w:sz w:val="24"/>
          <w:szCs w:val="24"/>
          <w:lang w:eastAsia="en-US"/>
          <w14:ligatures w14:val="none"/>
        </w:rPr>
      </w:pPr>
      <w:r w:rsidRPr="00584DBC">
        <w:rPr>
          <w:rFonts w:asciiTheme="minorBidi" w:eastAsiaTheme="minorHAnsi" w:hAnsiTheme="minorBidi"/>
          <w:b/>
          <w:bCs/>
          <w:kern w:val="0"/>
          <w:sz w:val="24"/>
          <w:szCs w:val="24"/>
          <w:lang w:eastAsia="en-US"/>
          <w14:ligatures w14:val="none"/>
        </w:rPr>
        <w:fldChar w:fldCharType="begin"/>
      </w:r>
      <w:r w:rsidRPr="00584DBC">
        <w:rPr>
          <w:rFonts w:asciiTheme="minorBidi" w:eastAsiaTheme="minorHAnsi" w:hAnsiTheme="minorBidi"/>
          <w:b/>
          <w:bCs/>
          <w:kern w:val="0"/>
          <w:sz w:val="24"/>
          <w:szCs w:val="24"/>
          <w:lang w:eastAsia="en-US"/>
          <w14:ligatures w14:val="none"/>
        </w:rPr>
        <w:instrText>HYPERLINK  \l "D126"</w:instrText>
      </w:r>
      <w:r w:rsidRPr="00584DBC">
        <w:rPr>
          <w:rFonts w:asciiTheme="minorBidi" w:eastAsiaTheme="minorHAnsi" w:hAnsiTheme="minorBidi"/>
          <w:b/>
          <w:bCs/>
          <w:kern w:val="0"/>
          <w:sz w:val="24"/>
          <w:szCs w:val="24"/>
          <w:lang w:eastAsia="en-US"/>
          <w14:ligatures w14:val="none"/>
        </w:rPr>
      </w:r>
      <w:r w:rsidRPr="00584DBC">
        <w:rPr>
          <w:rFonts w:asciiTheme="minorBidi" w:eastAsiaTheme="minorHAnsi" w:hAnsiTheme="minorBidi"/>
          <w:b/>
          <w:bCs/>
          <w:kern w:val="0"/>
          <w:sz w:val="24"/>
          <w:szCs w:val="24"/>
          <w:lang w:eastAsia="en-US"/>
          <w14:ligatures w14:val="none"/>
        </w:rPr>
        <w:fldChar w:fldCharType="separate"/>
      </w:r>
      <w:r w:rsidR="00B53D9A" w:rsidRPr="00584DBC">
        <w:rPr>
          <w:rStyle w:val="Hyperlink"/>
          <w:rFonts w:asciiTheme="minorBidi" w:eastAsiaTheme="minorHAnsi" w:hAnsiTheme="minorBidi"/>
          <w:b/>
          <w:bCs/>
          <w:kern w:val="0"/>
          <w:sz w:val="24"/>
          <w:szCs w:val="24"/>
          <w:lang w:eastAsia="en-US"/>
          <w14:ligatures w14:val="none"/>
        </w:rPr>
        <w:t>5.1.1.2 Research Objectives (1 – 5) and Research Question (1 – 5)</w:t>
      </w:r>
      <w:r w:rsidRPr="00584DBC">
        <w:rPr>
          <w:rFonts w:asciiTheme="minorBidi" w:eastAsiaTheme="minorHAnsi" w:hAnsiTheme="minorBidi"/>
          <w:b/>
          <w:bCs/>
          <w:kern w:val="0"/>
          <w:sz w:val="24"/>
          <w:szCs w:val="24"/>
          <w:lang w:eastAsia="en-US"/>
          <w14:ligatures w14:val="none"/>
        </w:rPr>
        <w:fldChar w:fldCharType="end"/>
      </w:r>
      <w:r w:rsidR="000576F2">
        <w:rPr>
          <w:rFonts w:asciiTheme="minorBidi" w:eastAsiaTheme="minorHAnsi" w:hAnsiTheme="minorBidi"/>
          <w:b/>
          <w:bCs/>
          <w:kern w:val="0"/>
          <w:sz w:val="24"/>
          <w:szCs w:val="24"/>
          <w:lang w:eastAsia="en-US"/>
          <w14:ligatures w14:val="none"/>
        </w:rPr>
        <w:t>……</w:t>
      </w:r>
      <w:r w:rsidR="00FD6EC0">
        <w:rPr>
          <w:rFonts w:asciiTheme="minorBidi" w:eastAsiaTheme="minorHAnsi" w:hAnsiTheme="minorBidi"/>
          <w:b/>
          <w:bCs/>
          <w:kern w:val="0"/>
          <w:sz w:val="24"/>
          <w:szCs w:val="24"/>
          <w:lang w:eastAsia="en-US"/>
          <w14:ligatures w14:val="none"/>
        </w:rPr>
        <w:t xml:space="preserve">…….. </w:t>
      </w:r>
      <w:r w:rsidR="000576F2">
        <w:rPr>
          <w:rFonts w:asciiTheme="minorBidi" w:eastAsiaTheme="minorHAnsi" w:hAnsiTheme="minorBidi"/>
          <w:b/>
          <w:bCs/>
          <w:kern w:val="0"/>
          <w:sz w:val="24"/>
          <w:szCs w:val="24"/>
          <w:lang w:eastAsia="en-US"/>
          <w14:ligatures w14:val="none"/>
        </w:rPr>
        <w:t>3</w:t>
      </w:r>
      <w:r w:rsidR="00CF2D29">
        <w:rPr>
          <w:rFonts w:asciiTheme="minorBidi" w:eastAsiaTheme="minorHAnsi" w:hAnsiTheme="minorBidi"/>
          <w:b/>
          <w:bCs/>
          <w:kern w:val="0"/>
          <w:sz w:val="24"/>
          <w:szCs w:val="24"/>
          <w:lang w:eastAsia="en-US"/>
          <w14:ligatures w14:val="none"/>
        </w:rPr>
        <w:t>13</w:t>
      </w:r>
    </w:p>
    <w:bookmarkStart w:id="233" w:name="C127"/>
    <w:bookmarkEnd w:id="232"/>
    <w:p w14:paraId="6433DC86" w14:textId="0BFCB649" w:rsidR="00B53D9A" w:rsidRPr="00584DBC" w:rsidRDefault="00491902" w:rsidP="003F2E92">
      <w:pPr>
        <w:pStyle w:val="NoSpacing"/>
        <w:spacing w:line="480" w:lineRule="auto"/>
        <w:rPr>
          <w:rFonts w:asciiTheme="minorBidi" w:eastAsia="Times New Roman" w:hAnsiTheme="minorBidi"/>
          <w:b/>
          <w:bCs/>
          <w:kern w:val="0"/>
          <w:sz w:val="24"/>
          <w:szCs w:val="24"/>
          <w14:ligatures w14:val="none"/>
        </w:rPr>
      </w:pPr>
      <w:r w:rsidRPr="00584DBC">
        <w:rPr>
          <w:rFonts w:asciiTheme="minorBidi" w:eastAsiaTheme="minorHAnsi" w:hAnsiTheme="minorBidi"/>
          <w:b/>
          <w:bCs/>
          <w:kern w:val="0"/>
          <w:sz w:val="24"/>
          <w:szCs w:val="24"/>
          <w:lang w:eastAsia="en-US"/>
          <w14:ligatures w14:val="none"/>
        </w:rPr>
        <w:fldChar w:fldCharType="begin"/>
      </w:r>
      <w:r w:rsidRPr="00584DBC">
        <w:rPr>
          <w:rFonts w:asciiTheme="minorBidi" w:eastAsiaTheme="minorHAnsi" w:hAnsiTheme="minorBidi"/>
          <w:b/>
          <w:bCs/>
          <w:kern w:val="0"/>
          <w:sz w:val="24"/>
          <w:szCs w:val="24"/>
          <w:lang w:eastAsia="en-US"/>
          <w14:ligatures w14:val="none"/>
        </w:rPr>
        <w:instrText>HYPERLINK  \l "D127"</w:instrText>
      </w:r>
      <w:r w:rsidRPr="00584DBC">
        <w:rPr>
          <w:rFonts w:asciiTheme="minorBidi" w:eastAsiaTheme="minorHAnsi" w:hAnsiTheme="minorBidi"/>
          <w:b/>
          <w:bCs/>
          <w:kern w:val="0"/>
          <w:sz w:val="24"/>
          <w:szCs w:val="24"/>
          <w:lang w:eastAsia="en-US"/>
          <w14:ligatures w14:val="none"/>
        </w:rPr>
      </w:r>
      <w:r w:rsidRPr="00584DBC">
        <w:rPr>
          <w:rFonts w:asciiTheme="minorBidi" w:eastAsiaTheme="minorHAnsi" w:hAnsiTheme="minorBidi"/>
          <w:b/>
          <w:bCs/>
          <w:kern w:val="0"/>
          <w:sz w:val="24"/>
          <w:szCs w:val="24"/>
          <w:lang w:eastAsia="en-US"/>
          <w14:ligatures w14:val="none"/>
        </w:rPr>
        <w:fldChar w:fldCharType="separate"/>
      </w:r>
      <w:r w:rsidR="00B53D9A" w:rsidRPr="00584DBC">
        <w:rPr>
          <w:rStyle w:val="Hyperlink"/>
          <w:rFonts w:asciiTheme="minorBidi" w:eastAsiaTheme="minorHAnsi" w:hAnsiTheme="minorBidi"/>
          <w:b/>
          <w:bCs/>
          <w:kern w:val="0"/>
          <w:sz w:val="24"/>
          <w:szCs w:val="24"/>
          <w:lang w:eastAsia="en-US"/>
          <w14:ligatures w14:val="none"/>
        </w:rPr>
        <w:t>5.1.1.3 Sub-Research Questions</w:t>
      </w:r>
      <w:r w:rsidRPr="00584DBC">
        <w:rPr>
          <w:rFonts w:asciiTheme="minorBidi" w:eastAsiaTheme="minorHAnsi" w:hAnsiTheme="minorBidi"/>
          <w:b/>
          <w:bCs/>
          <w:kern w:val="0"/>
          <w:sz w:val="24"/>
          <w:szCs w:val="24"/>
          <w:lang w:eastAsia="en-US"/>
          <w14:ligatures w14:val="none"/>
        </w:rPr>
        <w:fldChar w:fldCharType="end"/>
      </w:r>
      <w:r w:rsidR="004D0132">
        <w:rPr>
          <w:rFonts w:asciiTheme="minorBidi" w:eastAsiaTheme="minorHAnsi" w:hAnsiTheme="minorBidi"/>
          <w:b/>
          <w:bCs/>
          <w:kern w:val="0"/>
          <w:sz w:val="24"/>
          <w:szCs w:val="24"/>
          <w:lang w:eastAsia="en-US"/>
          <w14:ligatures w14:val="none"/>
        </w:rPr>
        <w:t>………………………………………………</w:t>
      </w:r>
      <w:r w:rsidR="00FD6EC0">
        <w:rPr>
          <w:rFonts w:asciiTheme="minorBidi" w:eastAsiaTheme="minorHAnsi" w:hAnsiTheme="minorBidi"/>
          <w:b/>
          <w:bCs/>
          <w:kern w:val="0"/>
          <w:sz w:val="24"/>
          <w:szCs w:val="24"/>
          <w:lang w:eastAsia="en-US"/>
          <w14:ligatures w14:val="none"/>
        </w:rPr>
        <w:t xml:space="preserve">……. </w:t>
      </w:r>
      <w:r w:rsidR="004D0132">
        <w:rPr>
          <w:rFonts w:asciiTheme="minorBidi" w:eastAsiaTheme="minorHAnsi" w:hAnsiTheme="minorBidi"/>
          <w:b/>
          <w:bCs/>
          <w:kern w:val="0"/>
          <w:sz w:val="24"/>
          <w:szCs w:val="24"/>
          <w:lang w:eastAsia="en-US"/>
          <w14:ligatures w14:val="none"/>
        </w:rPr>
        <w:t>3</w:t>
      </w:r>
      <w:r w:rsidR="004330C3">
        <w:rPr>
          <w:rFonts w:asciiTheme="minorBidi" w:eastAsiaTheme="minorHAnsi" w:hAnsiTheme="minorBidi"/>
          <w:b/>
          <w:bCs/>
          <w:kern w:val="0"/>
          <w:sz w:val="24"/>
          <w:szCs w:val="24"/>
          <w:lang w:eastAsia="en-US"/>
          <w14:ligatures w14:val="none"/>
        </w:rPr>
        <w:t>17</w:t>
      </w:r>
    </w:p>
    <w:bookmarkStart w:id="234" w:name="C128"/>
    <w:bookmarkEnd w:id="233"/>
    <w:p w14:paraId="349FDC51" w14:textId="32310355" w:rsidR="00B53D9A" w:rsidRPr="00584DBC" w:rsidRDefault="00491902" w:rsidP="003F2E92">
      <w:pPr>
        <w:pStyle w:val="NoSpacing"/>
        <w:spacing w:line="480" w:lineRule="auto"/>
        <w:rPr>
          <w:rFonts w:asciiTheme="minorBidi" w:hAnsiTheme="minorBidi"/>
          <w:b/>
          <w:bCs/>
          <w:sz w:val="24"/>
          <w:szCs w:val="24"/>
        </w:rPr>
      </w:pPr>
      <w:r w:rsidRPr="00584DBC">
        <w:rPr>
          <w:rFonts w:asciiTheme="minorBidi" w:eastAsiaTheme="minorHAnsi" w:hAnsiTheme="minorBidi"/>
          <w:b/>
          <w:bCs/>
          <w:kern w:val="0"/>
          <w:sz w:val="24"/>
          <w:szCs w:val="24"/>
          <w:lang w:eastAsia="en-US"/>
          <w14:ligatures w14:val="none"/>
        </w:rPr>
        <w:fldChar w:fldCharType="begin"/>
      </w:r>
      <w:r w:rsidRPr="00584DBC">
        <w:rPr>
          <w:rFonts w:asciiTheme="minorBidi" w:eastAsiaTheme="minorHAnsi" w:hAnsiTheme="minorBidi"/>
          <w:b/>
          <w:bCs/>
          <w:kern w:val="0"/>
          <w:sz w:val="24"/>
          <w:szCs w:val="24"/>
          <w:lang w:eastAsia="en-US"/>
          <w14:ligatures w14:val="none"/>
        </w:rPr>
        <w:instrText>HYPERLINK  \l "D128"</w:instrText>
      </w:r>
      <w:r w:rsidRPr="00584DBC">
        <w:rPr>
          <w:rFonts w:asciiTheme="minorBidi" w:eastAsiaTheme="minorHAnsi" w:hAnsiTheme="minorBidi"/>
          <w:b/>
          <w:bCs/>
          <w:kern w:val="0"/>
          <w:sz w:val="24"/>
          <w:szCs w:val="24"/>
          <w:lang w:eastAsia="en-US"/>
          <w14:ligatures w14:val="none"/>
        </w:rPr>
      </w:r>
      <w:r w:rsidRPr="00584DBC">
        <w:rPr>
          <w:rFonts w:asciiTheme="minorBidi" w:eastAsiaTheme="minorHAnsi" w:hAnsiTheme="minorBidi"/>
          <w:b/>
          <w:bCs/>
          <w:kern w:val="0"/>
          <w:sz w:val="24"/>
          <w:szCs w:val="24"/>
          <w:lang w:eastAsia="en-US"/>
          <w14:ligatures w14:val="none"/>
        </w:rPr>
        <w:fldChar w:fldCharType="separate"/>
      </w:r>
      <w:r w:rsidR="00B53D9A" w:rsidRPr="00584DBC">
        <w:rPr>
          <w:rStyle w:val="Hyperlink"/>
          <w:rFonts w:asciiTheme="minorBidi" w:eastAsiaTheme="minorHAnsi" w:hAnsiTheme="minorBidi"/>
          <w:b/>
          <w:bCs/>
          <w:kern w:val="0"/>
          <w:sz w:val="24"/>
          <w:szCs w:val="24"/>
          <w:lang w:eastAsia="en-US"/>
          <w14:ligatures w14:val="none"/>
        </w:rPr>
        <w:t xml:space="preserve">5.2 Implications </w:t>
      </w:r>
      <w:r w:rsidR="00210C68">
        <w:rPr>
          <w:rStyle w:val="Hyperlink"/>
          <w:rFonts w:asciiTheme="minorBidi" w:eastAsiaTheme="minorHAnsi" w:hAnsiTheme="minorBidi"/>
          <w:b/>
          <w:bCs/>
          <w:kern w:val="0"/>
          <w:sz w:val="24"/>
          <w:szCs w:val="24"/>
          <w:lang w:eastAsia="en-US"/>
          <w14:ligatures w14:val="none"/>
        </w:rPr>
        <w:t>B</w:t>
      </w:r>
      <w:r w:rsidR="00B53D9A" w:rsidRPr="00584DBC">
        <w:rPr>
          <w:rStyle w:val="Hyperlink"/>
          <w:rFonts w:asciiTheme="minorBidi" w:eastAsiaTheme="minorHAnsi" w:hAnsiTheme="minorBidi"/>
          <w:b/>
          <w:bCs/>
          <w:kern w:val="0"/>
          <w:sz w:val="24"/>
          <w:szCs w:val="24"/>
          <w:lang w:eastAsia="en-US"/>
          <w14:ligatures w14:val="none"/>
        </w:rPr>
        <w:t>ased on the Research Aim, Research Objectives 1 – 5 and Research Questions 1 - 5</w:t>
      </w:r>
      <w:r w:rsidRPr="00584DBC">
        <w:rPr>
          <w:rFonts w:asciiTheme="minorBidi" w:eastAsiaTheme="minorHAnsi" w:hAnsiTheme="minorBidi"/>
          <w:b/>
          <w:bCs/>
          <w:kern w:val="0"/>
          <w:sz w:val="24"/>
          <w:szCs w:val="24"/>
          <w:lang w:eastAsia="en-US"/>
          <w14:ligatures w14:val="none"/>
        </w:rPr>
        <w:fldChar w:fldCharType="end"/>
      </w:r>
      <w:r w:rsidR="004D0132">
        <w:rPr>
          <w:rFonts w:asciiTheme="minorBidi" w:eastAsiaTheme="minorHAnsi" w:hAnsiTheme="minorBidi"/>
          <w:b/>
          <w:bCs/>
          <w:kern w:val="0"/>
          <w:sz w:val="24"/>
          <w:szCs w:val="24"/>
          <w:lang w:eastAsia="en-US"/>
          <w14:ligatures w14:val="none"/>
        </w:rPr>
        <w:t>…………………………………………………</w:t>
      </w:r>
      <w:r w:rsidR="00FD6EC0">
        <w:rPr>
          <w:rFonts w:asciiTheme="minorBidi" w:eastAsiaTheme="minorHAnsi" w:hAnsiTheme="minorBidi"/>
          <w:b/>
          <w:bCs/>
          <w:kern w:val="0"/>
          <w:sz w:val="24"/>
          <w:szCs w:val="24"/>
          <w:lang w:eastAsia="en-US"/>
          <w14:ligatures w14:val="none"/>
        </w:rPr>
        <w:t xml:space="preserve">………….. </w:t>
      </w:r>
      <w:r w:rsidR="004D0132">
        <w:rPr>
          <w:rFonts w:asciiTheme="minorBidi" w:eastAsiaTheme="minorHAnsi" w:hAnsiTheme="minorBidi"/>
          <w:b/>
          <w:bCs/>
          <w:kern w:val="0"/>
          <w:sz w:val="24"/>
          <w:szCs w:val="24"/>
          <w:lang w:eastAsia="en-US"/>
          <w14:ligatures w14:val="none"/>
        </w:rPr>
        <w:t>3</w:t>
      </w:r>
      <w:r w:rsidR="00585F0E">
        <w:rPr>
          <w:rFonts w:asciiTheme="minorBidi" w:eastAsiaTheme="minorHAnsi" w:hAnsiTheme="minorBidi"/>
          <w:b/>
          <w:bCs/>
          <w:kern w:val="0"/>
          <w:sz w:val="24"/>
          <w:szCs w:val="24"/>
          <w:lang w:eastAsia="en-US"/>
          <w14:ligatures w14:val="none"/>
        </w:rPr>
        <w:t>26</w:t>
      </w:r>
    </w:p>
    <w:bookmarkStart w:id="235" w:name="C129"/>
    <w:bookmarkEnd w:id="234"/>
    <w:p w14:paraId="73D3EEE2" w14:textId="6747B8B7" w:rsidR="00B53D9A" w:rsidRPr="00584DBC" w:rsidRDefault="00DA15D5" w:rsidP="003F2E92">
      <w:pPr>
        <w:pStyle w:val="NoSpacing"/>
        <w:spacing w:line="480" w:lineRule="auto"/>
        <w:rPr>
          <w:rFonts w:asciiTheme="minorBidi" w:eastAsia="Times New Roman" w:hAnsiTheme="minorBidi"/>
          <w:b/>
          <w:bCs/>
          <w:kern w:val="0"/>
          <w:sz w:val="24"/>
          <w:szCs w:val="24"/>
          <w14:ligatures w14:val="none"/>
        </w:rPr>
      </w:pPr>
      <w:r w:rsidRPr="00584DBC">
        <w:rPr>
          <w:rFonts w:asciiTheme="minorBidi" w:eastAsia="Times New Roman" w:hAnsiTheme="minorBidi"/>
          <w:b/>
          <w:bCs/>
          <w:kern w:val="0"/>
          <w:sz w:val="24"/>
          <w:szCs w:val="24"/>
          <w14:ligatures w14:val="none"/>
        </w:rPr>
        <w:fldChar w:fldCharType="begin"/>
      </w:r>
      <w:r w:rsidRPr="00584DBC">
        <w:rPr>
          <w:rFonts w:asciiTheme="minorBidi" w:eastAsia="Times New Roman" w:hAnsiTheme="minorBidi"/>
          <w:b/>
          <w:bCs/>
          <w:kern w:val="0"/>
          <w:sz w:val="24"/>
          <w:szCs w:val="24"/>
          <w14:ligatures w14:val="none"/>
        </w:rPr>
        <w:instrText>HYPERLINK  \l "D129"</w:instrText>
      </w:r>
      <w:r w:rsidRPr="00584DBC">
        <w:rPr>
          <w:rFonts w:asciiTheme="minorBidi" w:eastAsia="Times New Roman" w:hAnsiTheme="minorBidi"/>
          <w:b/>
          <w:bCs/>
          <w:kern w:val="0"/>
          <w:sz w:val="24"/>
          <w:szCs w:val="24"/>
          <w14:ligatures w14:val="none"/>
        </w:rPr>
      </w:r>
      <w:r w:rsidRPr="00584DBC">
        <w:rPr>
          <w:rFonts w:asciiTheme="minorBidi" w:eastAsia="Times New Roman" w:hAnsiTheme="minorBidi"/>
          <w:b/>
          <w:bCs/>
          <w:kern w:val="0"/>
          <w:sz w:val="24"/>
          <w:szCs w:val="24"/>
          <w14:ligatures w14:val="none"/>
        </w:rPr>
        <w:fldChar w:fldCharType="separate"/>
      </w:r>
      <w:r w:rsidR="00B53D9A" w:rsidRPr="00584DBC">
        <w:rPr>
          <w:rStyle w:val="Hyperlink"/>
          <w:rFonts w:asciiTheme="minorBidi" w:eastAsia="Times New Roman" w:hAnsiTheme="minorBidi"/>
          <w:b/>
          <w:bCs/>
          <w:kern w:val="0"/>
          <w:sz w:val="24"/>
          <w:szCs w:val="24"/>
          <w14:ligatures w14:val="none"/>
        </w:rPr>
        <w:t>5.2.1 Implications for Accounting and Corporate Governance</w:t>
      </w:r>
      <w:r w:rsidRPr="00584DBC">
        <w:rPr>
          <w:rFonts w:asciiTheme="minorBidi" w:eastAsia="Times New Roman" w:hAnsiTheme="minorBidi"/>
          <w:b/>
          <w:bCs/>
          <w:kern w:val="0"/>
          <w:sz w:val="24"/>
          <w:szCs w:val="24"/>
          <w14:ligatures w14:val="none"/>
        </w:rPr>
        <w:fldChar w:fldCharType="end"/>
      </w:r>
      <w:r w:rsidR="004D0132">
        <w:rPr>
          <w:rFonts w:asciiTheme="minorBidi" w:eastAsia="Times New Roman" w:hAnsiTheme="minorBidi"/>
          <w:b/>
          <w:bCs/>
          <w:kern w:val="0"/>
          <w:sz w:val="24"/>
          <w:szCs w:val="24"/>
          <w14:ligatures w14:val="none"/>
        </w:rPr>
        <w:t>…………...</w:t>
      </w:r>
      <w:r w:rsidR="00FD6EC0">
        <w:rPr>
          <w:rFonts w:asciiTheme="minorBidi" w:eastAsia="Times New Roman" w:hAnsiTheme="minorBidi"/>
          <w:b/>
          <w:bCs/>
          <w:kern w:val="0"/>
          <w:sz w:val="24"/>
          <w:szCs w:val="24"/>
          <w14:ligatures w14:val="none"/>
        </w:rPr>
        <w:t xml:space="preserve">...... </w:t>
      </w:r>
      <w:r w:rsidR="004D0132">
        <w:rPr>
          <w:rFonts w:asciiTheme="minorBidi" w:eastAsia="Times New Roman" w:hAnsiTheme="minorBidi"/>
          <w:b/>
          <w:bCs/>
          <w:kern w:val="0"/>
          <w:sz w:val="24"/>
          <w:szCs w:val="24"/>
          <w14:ligatures w14:val="none"/>
        </w:rPr>
        <w:t>3</w:t>
      </w:r>
      <w:r w:rsidR="006D7AB5">
        <w:rPr>
          <w:rFonts w:asciiTheme="minorBidi" w:eastAsia="Times New Roman" w:hAnsiTheme="minorBidi"/>
          <w:b/>
          <w:bCs/>
          <w:kern w:val="0"/>
          <w:sz w:val="24"/>
          <w:szCs w:val="24"/>
          <w14:ligatures w14:val="none"/>
        </w:rPr>
        <w:t>27</w:t>
      </w:r>
    </w:p>
    <w:bookmarkStart w:id="236" w:name="C130"/>
    <w:bookmarkEnd w:id="235"/>
    <w:p w14:paraId="24803DAD" w14:textId="15C7A747" w:rsidR="00B53D9A" w:rsidRPr="00584DBC" w:rsidRDefault="00DA15D5" w:rsidP="003F2E92">
      <w:pPr>
        <w:pStyle w:val="NoSpacing"/>
        <w:spacing w:line="480" w:lineRule="auto"/>
        <w:rPr>
          <w:rFonts w:asciiTheme="minorBidi" w:eastAsia="Times New Roman" w:hAnsiTheme="minorBidi"/>
          <w:b/>
          <w:bCs/>
          <w:kern w:val="0"/>
          <w:sz w:val="24"/>
          <w:szCs w:val="24"/>
          <w14:ligatures w14:val="none"/>
        </w:rPr>
      </w:pPr>
      <w:r w:rsidRPr="00584DBC">
        <w:rPr>
          <w:rFonts w:asciiTheme="minorBidi" w:eastAsia="Times New Roman" w:hAnsiTheme="minorBidi"/>
          <w:b/>
          <w:bCs/>
          <w:kern w:val="0"/>
          <w:sz w:val="24"/>
          <w:szCs w:val="24"/>
          <w14:ligatures w14:val="none"/>
        </w:rPr>
        <w:fldChar w:fldCharType="begin"/>
      </w:r>
      <w:r w:rsidRPr="00584DBC">
        <w:rPr>
          <w:rFonts w:asciiTheme="minorBidi" w:eastAsia="Times New Roman" w:hAnsiTheme="minorBidi"/>
          <w:b/>
          <w:bCs/>
          <w:kern w:val="0"/>
          <w:sz w:val="24"/>
          <w:szCs w:val="24"/>
          <w14:ligatures w14:val="none"/>
        </w:rPr>
        <w:instrText>HYPERLINK  \l "D130"</w:instrText>
      </w:r>
      <w:r w:rsidRPr="00584DBC">
        <w:rPr>
          <w:rFonts w:asciiTheme="minorBidi" w:eastAsia="Times New Roman" w:hAnsiTheme="minorBidi"/>
          <w:b/>
          <w:bCs/>
          <w:kern w:val="0"/>
          <w:sz w:val="24"/>
          <w:szCs w:val="24"/>
          <w14:ligatures w14:val="none"/>
        </w:rPr>
      </w:r>
      <w:r w:rsidRPr="00584DBC">
        <w:rPr>
          <w:rFonts w:asciiTheme="minorBidi" w:eastAsia="Times New Roman" w:hAnsiTheme="minorBidi"/>
          <w:b/>
          <w:bCs/>
          <w:kern w:val="0"/>
          <w:sz w:val="24"/>
          <w:szCs w:val="24"/>
          <w14:ligatures w14:val="none"/>
        </w:rPr>
        <w:fldChar w:fldCharType="separate"/>
      </w:r>
      <w:r w:rsidR="00B53D9A" w:rsidRPr="00584DBC">
        <w:rPr>
          <w:rStyle w:val="Hyperlink"/>
          <w:rFonts w:asciiTheme="minorBidi" w:eastAsia="Times New Roman" w:hAnsiTheme="minorBidi"/>
          <w:b/>
          <w:bCs/>
          <w:kern w:val="0"/>
          <w:sz w:val="24"/>
          <w:szCs w:val="24"/>
          <w14:ligatures w14:val="none"/>
        </w:rPr>
        <w:t>5.2.2 Implications for Behavioural Studies and Psychopathy</w:t>
      </w:r>
      <w:r w:rsidRPr="00584DBC">
        <w:rPr>
          <w:rFonts w:asciiTheme="minorBidi" w:eastAsia="Times New Roman" w:hAnsiTheme="minorBidi"/>
          <w:b/>
          <w:bCs/>
          <w:kern w:val="0"/>
          <w:sz w:val="24"/>
          <w:szCs w:val="24"/>
          <w14:ligatures w14:val="none"/>
        </w:rPr>
        <w:fldChar w:fldCharType="end"/>
      </w:r>
      <w:r w:rsidR="004D0132">
        <w:rPr>
          <w:rFonts w:asciiTheme="minorBidi" w:eastAsia="Times New Roman" w:hAnsiTheme="minorBidi"/>
          <w:b/>
          <w:bCs/>
          <w:kern w:val="0"/>
          <w:sz w:val="24"/>
          <w:szCs w:val="24"/>
          <w14:ligatures w14:val="none"/>
        </w:rPr>
        <w:t>……………</w:t>
      </w:r>
      <w:r w:rsidR="00FD6EC0">
        <w:rPr>
          <w:rFonts w:asciiTheme="minorBidi" w:eastAsia="Times New Roman" w:hAnsiTheme="minorBidi"/>
          <w:b/>
          <w:bCs/>
          <w:kern w:val="0"/>
          <w:sz w:val="24"/>
          <w:szCs w:val="24"/>
          <w14:ligatures w14:val="none"/>
        </w:rPr>
        <w:t xml:space="preserve">…… </w:t>
      </w:r>
      <w:r w:rsidR="004D0132">
        <w:rPr>
          <w:rFonts w:asciiTheme="minorBidi" w:eastAsia="Times New Roman" w:hAnsiTheme="minorBidi"/>
          <w:b/>
          <w:bCs/>
          <w:kern w:val="0"/>
          <w:sz w:val="24"/>
          <w:szCs w:val="24"/>
          <w14:ligatures w14:val="none"/>
        </w:rPr>
        <w:t>3</w:t>
      </w:r>
      <w:r w:rsidR="006D7AB5">
        <w:rPr>
          <w:rFonts w:asciiTheme="minorBidi" w:eastAsia="Times New Roman" w:hAnsiTheme="minorBidi"/>
          <w:b/>
          <w:bCs/>
          <w:kern w:val="0"/>
          <w:sz w:val="24"/>
          <w:szCs w:val="24"/>
          <w14:ligatures w14:val="none"/>
        </w:rPr>
        <w:t>28</w:t>
      </w:r>
    </w:p>
    <w:bookmarkStart w:id="237" w:name="C131"/>
    <w:bookmarkEnd w:id="236"/>
    <w:p w14:paraId="66CAED23" w14:textId="4F197FA4" w:rsidR="00B53D9A" w:rsidRPr="00584DBC" w:rsidRDefault="00DA15D5" w:rsidP="003F2E92">
      <w:pPr>
        <w:pStyle w:val="NoSpacing"/>
        <w:spacing w:line="480" w:lineRule="auto"/>
        <w:rPr>
          <w:rFonts w:asciiTheme="minorBidi" w:eastAsia="Times New Roman" w:hAnsiTheme="minorBidi"/>
          <w:b/>
          <w:bCs/>
          <w:kern w:val="0"/>
          <w:sz w:val="24"/>
          <w:szCs w:val="24"/>
          <w14:ligatures w14:val="none"/>
        </w:rPr>
      </w:pPr>
      <w:r w:rsidRPr="00584DBC">
        <w:rPr>
          <w:rFonts w:asciiTheme="minorBidi" w:eastAsia="Times New Roman" w:hAnsiTheme="minorBidi"/>
          <w:b/>
          <w:bCs/>
          <w:kern w:val="0"/>
          <w:sz w:val="24"/>
          <w:szCs w:val="24"/>
          <w14:ligatures w14:val="none"/>
        </w:rPr>
        <w:fldChar w:fldCharType="begin"/>
      </w:r>
      <w:r w:rsidRPr="00584DBC">
        <w:rPr>
          <w:rFonts w:asciiTheme="minorBidi" w:eastAsia="Times New Roman" w:hAnsiTheme="minorBidi"/>
          <w:b/>
          <w:bCs/>
          <w:kern w:val="0"/>
          <w:sz w:val="24"/>
          <w:szCs w:val="24"/>
          <w14:ligatures w14:val="none"/>
        </w:rPr>
        <w:instrText>HYPERLINK  \l "D131"</w:instrText>
      </w:r>
      <w:r w:rsidRPr="00584DBC">
        <w:rPr>
          <w:rFonts w:asciiTheme="minorBidi" w:eastAsia="Times New Roman" w:hAnsiTheme="minorBidi"/>
          <w:b/>
          <w:bCs/>
          <w:kern w:val="0"/>
          <w:sz w:val="24"/>
          <w:szCs w:val="24"/>
          <w14:ligatures w14:val="none"/>
        </w:rPr>
      </w:r>
      <w:r w:rsidRPr="00584DBC">
        <w:rPr>
          <w:rFonts w:asciiTheme="minorBidi" w:eastAsia="Times New Roman" w:hAnsiTheme="minorBidi"/>
          <w:b/>
          <w:bCs/>
          <w:kern w:val="0"/>
          <w:sz w:val="24"/>
          <w:szCs w:val="24"/>
          <w14:ligatures w14:val="none"/>
        </w:rPr>
        <w:fldChar w:fldCharType="separate"/>
      </w:r>
      <w:r w:rsidR="00B53D9A" w:rsidRPr="00584DBC">
        <w:rPr>
          <w:rStyle w:val="Hyperlink"/>
          <w:rFonts w:asciiTheme="minorBidi" w:eastAsia="Times New Roman" w:hAnsiTheme="minorBidi"/>
          <w:b/>
          <w:bCs/>
          <w:kern w:val="0"/>
          <w:sz w:val="24"/>
          <w:szCs w:val="24"/>
          <w14:ligatures w14:val="none"/>
        </w:rPr>
        <w:t>5.2.3 Implications for Policy and Regulation</w:t>
      </w:r>
      <w:r w:rsidRPr="00584DBC">
        <w:rPr>
          <w:rFonts w:asciiTheme="minorBidi" w:eastAsia="Times New Roman" w:hAnsiTheme="minorBidi"/>
          <w:b/>
          <w:bCs/>
          <w:kern w:val="0"/>
          <w:sz w:val="24"/>
          <w:szCs w:val="24"/>
          <w14:ligatures w14:val="none"/>
        </w:rPr>
        <w:fldChar w:fldCharType="end"/>
      </w:r>
      <w:r w:rsidR="004D0132">
        <w:rPr>
          <w:rFonts w:asciiTheme="minorBidi" w:eastAsia="Times New Roman" w:hAnsiTheme="minorBidi"/>
          <w:b/>
          <w:bCs/>
          <w:kern w:val="0"/>
          <w:sz w:val="24"/>
          <w:szCs w:val="24"/>
          <w14:ligatures w14:val="none"/>
        </w:rPr>
        <w:t>…………………………………</w:t>
      </w:r>
      <w:r w:rsidR="00555E4B">
        <w:rPr>
          <w:rFonts w:asciiTheme="minorBidi" w:eastAsia="Times New Roman" w:hAnsiTheme="minorBidi"/>
          <w:b/>
          <w:bCs/>
          <w:kern w:val="0"/>
          <w:sz w:val="24"/>
          <w:szCs w:val="24"/>
          <w14:ligatures w14:val="none"/>
        </w:rPr>
        <w:t xml:space="preserve">…... </w:t>
      </w:r>
      <w:r w:rsidR="004D0132">
        <w:rPr>
          <w:rFonts w:asciiTheme="minorBidi" w:eastAsia="Times New Roman" w:hAnsiTheme="minorBidi"/>
          <w:b/>
          <w:bCs/>
          <w:kern w:val="0"/>
          <w:sz w:val="24"/>
          <w:szCs w:val="24"/>
          <w14:ligatures w14:val="none"/>
        </w:rPr>
        <w:t>3</w:t>
      </w:r>
      <w:r w:rsidR="006D7AB5">
        <w:rPr>
          <w:rFonts w:asciiTheme="minorBidi" w:eastAsia="Times New Roman" w:hAnsiTheme="minorBidi"/>
          <w:b/>
          <w:bCs/>
          <w:kern w:val="0"/>
          <w:sz w:val="24"/>
          <w:szCs w:val="24"/>
          <w14:ligatures w14:val="none"/>
        </w:rPr>
        <w:t>29</w:t>
      </w:r>
    </w:p>
    <w:bookmarkStart w:id="238" w:name="C132"/>
    <w:bookmarkEnd w:id="237"/>
    <w:p w14:paraId="11F84902" w14:textId="319F592E" w:rsidR="00B53D9A" w:rsidRPr="00584DBC" w:rsidRDefault="00DA15D5" w:rsidP="003F2E92">
      <w:pPr>
        <w:pStyle w:val="NoSpacing"/>
        <w:spacing w:line="480" w:lineRule="auto"/>
        <w:rPr>
          <w:rFonts w:asciiTheme="minorBidi" w:eastAsia="Times New Roman" w:hAnsiTheme="minorBidi"/>
          <w:b/>
          <w:bCs/>
          <w:kern w:val="0"/>
          <w:sz w:val="24"/>
          <w:szCs w:val="24"/>
          <w14:ligatures w14:val="none"/>
        </w:rPr>
      </w:pPr>
      <w:r w:rsidRPr="00584DBC">
        <w:rPr>
          <w:rFonts w:asciiTheme="minorBidi" w:eastAsia="Times New Roman" w:hAnsiTheme="minorBidi"/>
          <w:b/>
          <w:bCs/>
          <w:kern w:val="0"/>
          <w:sz w:val="24"/>
          <w:szCs w:val="24"/>
          <w14:ligatures w14:val="none"/>
        </w:rPr>
        <w:fldChar w:fldCharType="begin"/>
      </w:r>
      <w:r w:rsidRPr="00584DBC">
        <w:rPr>
          <w:rFonts w:asciiTheme="minorBidi" w:eastAsia="Times New Roman" w:hAnsiTheme="minorBidi"/>
          <w:b/>
          <w:bCs/>
          <w:kern w:val="0"/>
          <w:sz w:val="24"/>
          <w:szCs w:val="24"/>
          <w14:ligatures w14:val="none"/>
        </w:rPr>
        <w:instrText>HYPERLINK  \l "D132"</w:instrText>
      </w:r>
      <w:r w:rsidRPr="00584DBC">
        <w:rPr>
          <w:rFonts w:asciiTheme="minorBidi" w:eastAsia="Times New Roman" w:hAnsiTheme="minorBidi"/>
          <w:b/>
          <w:bCs/>
          <w:kern w:val="0"/>
          <w:sz w:val="24"/>
          <w:szCs w:val="24"/>
          <w14:ligatures w14:val="none"/>
        </w:rPr>
      </w:r>
      <w:r w:rsidRPr="00584DBC">
        <w:rPr>
          <w:rFonts w:asciiTheme="minorBidi" w:eastAsia="Times New Roman" w:hAnsiTheme="minorBidi"/>
          <w:b/>
          <w:bCs/>
          <w:kern w:val="0"/>
          <w:sz w:val="24"/>
          <w:szCs w:val="24"/>
          <w14:ligatures w14:val="none"/>
        </w:rPr>
        <w:fldChar w:fldCharType="separate"/>
      </w:r>
      <w:r w:rsidR="00B53D9A" w:rsidRPr="00584DBC">
        <w:rPr>
          <w:rStyle w:val="Hyperlink"/>
          <w:rFonts w:asciiTheme="minorBidi" w:eastAsia="Times New Roman" w:hAnsiTheme="minorBidi"/>
          <w:b/>
          <w:bCs/>
          <w:kern w:val="0"/>
          <w:sz w:val="24"/>
          <w:szCs w:val="24"/>
          <w14:ligatures w14:val="none"/>
        </w:rPr>
        <w:t>5.2.4 Implications for Education and Training</w:t>
      </w:r>
      <w:r w:rsidRPr="00584DBC">
        <w:rPr>
          <w:rFonts w:asciiTheme="minorBidi" w:eastAsia="Times New Roman" w:hAnsiTheme="minorBidi"/>
          <w:b/>
          <w:bCs/>
          <w:kern w:val="0"/>
          <w:sz w:val="24"/>
          <w:szCs w:val="24"/>
          <w14:ligatures w14:val="none"/>
        </w:rPr>
        <w:fldChar w:fldCharType="end"/>
      </w:r>
      <w:r w:rsidR="00BF7A65">
        <w:rPr>
          <w:rFonts w:asciiTheme="minorBidi" w:eastAsia="Times New Roman" w:hAnsiTheme="minorBidi"/>
          <w:b/>
          <w:bCs/>
          <w:kern w:val="0"/>
          <w:sz w:val="24"/>
          <w:szCs w:val="24"/>
          <w14:ligatures w14:val="none"/>
        </w:rPr>
        <w:t>………………………………</w:t>
      </w:r>
      <w:r w:rsidR="00555E4B">
        <w:rPr>
          <w:rFonts w:asciiTheme="minorBidi" w:eastAsia="Times New Roman" w:hAnsiTheme="minorBidi"/>
          <w:b/>
          <w:bCs/>
          <w:kern w:val="0"/>
          <w:sz w:val="24"/>
          <w:szCs w:val="24"/>
          <w14:ligatures w14:val="none"/>
        </w:rPr>
        <w:t xml:space="preserve">……. </w:t>
      </w:r>
      <w:r w:rsidR="00BF7A65">
        <w:rPr>
          <w:rFonts w:asciiTheme="minorBidi" w:eastAsia="Times New Roman" w:hAnsiTheme="minorBidi"/>
          <w:b/>
          <w:bCs/>
          <w:kern w:val="0"/>
          <w:sz w:val="24"/>
          <w:szCs w:val="24"/>
          <w14:ligatures w14:val="none"/>
        </w:rPr>
        <w:t>3</w:t>
      </w:r>
      <w:r w:rsidR="006D7AB5">
        <w:rPr>
          <w:rFonts w:asciiTheme="minorBidi" w:eastAsia="Times New Roman" w:hAnsiTheme="minorBidi"/>
          <w:b/>
          <w:bCs/>
          <w:kern w:val="0"/>
          <w:sz w:val="24"/>
          <w:szCs w:val="24"/>
          <w14:ligatures w14:val="none"/>
        </w:rPr>
        <w:t>31</w:t>
      </w:r>
    </w:p>
    <w:bookmarkStart w:id="239" w:name="C133"/>
    <w:bookmarkEnd w:id="238"/>
    <w:p w14:paraId="7D159DC6" w14:textId="4F1DE939" w:rsidR="00B53D9A" w:rsidRPr="00584DBC" w:rsidRDefault="00DA15D5" w:rsidP="003F2E92">
      <w:pPr>
        <w:pStyle w:val="NoSpacing"/>
        <w:spacing w:line="480" w:lineRule="auto"/>
        <w:rPr>
          <w:rFonts w:asciiTheme="minorBidi" w:eastAsia="Times New Roman" w:hAnsiTheme="minorBidi"/>
          <w:b/>
          <w:bCs/>
          <w:kern w:val="0"/>
          <w:sz w:val="24"/>
          <w:szCs w:val="24"/>
          <w14:ligatures w14:val="none"/>
        </w:rPr>
      </w:pPr>
      <w:r w:rsidRPr="00584DBC">
        <w:rPr>
          <w:rFonts w:asciiTheme="minorBidi" w:eastAsia="Times New Roman" w:hAnsiTheme="minorBidi"/>
          <w:b/>
          <w:bCs/>
          <w:kern w:val="0"/>
          <w:sz w:val="24"/>
          <w:szCs w:val="24"/>
          <w14:ligatures w14:val="none"/>
        </w:rPr>
        <w:fldChar w:fldCharType="begin"/>
      </w:r>
      <w:r w:rsidRPr="00584DBC">
        <w:rPr>
          <w:rFonts w:asciiTheme="minorBidi" w:eastAsia="Times New Roman" w:hAnsiTheme="minorBidi"/>
          <w:b/>
          <w:bCs/>
          <w:kern w:val="0"/>
          <w:sz w:val="24"/>
          <w:szCs w:val="24"/>
          <w14:ligatures w14:val="none"/>
        </w:rPr>
        <w:instrText>HYPERLINK  \l "D133"</w:instrText>
      </w:r>
      <w:r w:rsidRPr="00584DBC">
        <w:rPr>
          <w:rFonts w:asciiTheme="minorBidi" w:eastAsia="Times New Roman" w:hAnsiTheme="minorBidi"/>
          <w:b/>
          <w:bCs/>
          <w:kern w:val="0"/>
          <w:sz w:val="24"/>
          <w:szCs w:val="24"/>
          <w14:ligatures w14:val="none"/>
        </w:rPr>
      </w:r>
      <w:r w:rsidRPr="00584DBC">
        <w:rPr>
          <w:rFonts w:asciiTheme="minorBidi" w:eastAsia="Times New Roman" w:hAnsiTheme="minorBidi"/>
          <w:b/>
          <w:bCs/>
          <w:kern w:val="0"/>
          <w:sz w:val="24"/>
          <w:szCs w:val="24"/>
          <w14:ligatures w14:val="none"/>
        </w:rPr>
        <w:fldChar w:fldCharType="separate"/>
      </w:r>
      <w:r w:rsidR="00B53D9A" w:rsidRPr="00584DBC">
        <w:rPr>
          <w:rStyle w:val="Hyperlink"/>
          <w:rFonts w:asciiTheme="minorBidi" w:eastAsia="Times New Roman" w:hAnsiTheme="minorBidi"/>
          <w:b/>
          <w:bCs/>
          <w:kern w:val="0"/>
          <w:sz w:val="24"/>
          <w:szCs w:val="24"/>
          <w14:ligatures w14:val="none"/>
        </w:rPr>
        <w:t xml:space="preserve">5.3 </w:t>
      </w:r>
      <w:r w:rsidR="00B53D9A" w:rsidRPr="00584DBC">
        <w:rPr>
          <w:rStyle w:val="Hyperlink"/>
          <w:rFonts w:asciiTheme="minorBidi" w:eastAsiaTheme="minorHAnsi" w:hAnsiTheme="minorBidi"/>
          <w:b/>
          <w:bCs/>
          <w:kern w:val="0"/>
          <w:sz w:val="24"/>
          <w:szCs w:val="24"/>
          <w:shd w:val="clear" w:color="auto" w:fill="FFFFFF"/>
          <w:lang w:eastAsia="en-US"/>
          <w14:ligatures w14:val="none"/>
        </w:rPr>
        <w:t xml:space="preserve">The </w:t>
      </w:r>
      <w:r w:rsidR="001863A4">
        <w:rPr>
          <w:rStyle w:val="Hyperlink"/>
          <w:rFonts w:asciiTheme="minorBidi" w:eastAsiaTheme="minorHAnsi" w:hAnsiTheme="minorBidi"/>
          <w:b/>
          <w:bCs/>
          <w:kern w:val="0"/>
          <w:sz w:val="24"/>
          <w:szCs w:val="24"/>
          <w:shd w:val="clear" w:color="auto" w:fill="FFFFFF"/>
          <w:lang w:eastAsia="en-US"/>
          <w14:ligatures w14:val="none"/>
        </w:rPr>
        <w:t>N</w:t>
      </w:r>
      <w:r w:rsidR="00B53D9A" w:rsidRPr="00584DBC">
        <w:rPr>
          <w:rStyle w:val="Hyperlink"/>
          <w:rFonts w:asciiTheme="minorBidi" w:eastAsiaTheme="minorHAnsi" w:hAnsiTheme="minorBidi"/>
          <w:b/>
          <w:bCs/>
          <w:kern w:val="0"/>
          <w:sz w:val="24"/>
          <w:szCs w:val="24"/>
          <w:shd w:val="clear" w:color="auto" w:fill="FFFFFF"/>
          <w:lang w:eastAsia="en-US"/>
          <w14:ligatures w14:val="none"/>
        </w:rPr>
        <w:t xml:space="preserve">uts and </w:t>
      </w:r>
      <w:r w:rsidR="001863A4">
        <w:rPr>
          <w:rStyle w:val="Hyperlink"/>
          <w:rFonts w:asciiTheme="minorBidi" w:eastAsiaTheme="minorHAnsi" w:hAnsiTheme="minorBidi"/>
          <w:b/>
          <w:bCs/>
          <w:kern w:val="0"/>
          <w:sz w:val="24"/>
          <w:szCs w:val="24"/>
          <w:shd w:val="clear" w:color="auto" w:fill="FFFFFF"/>
          <w:lang w:eastAsia="en-US"/>
          <w14:ligatures w14:val="none"/>
        </w:rPr>
        <w:t>B</w:t>
      </w:r>
      <w:r w:rsidR="00B53D9A" w:rsidRPr="00584DBC">
        <w:rPr>
          <w:rStyle w:val="Hyperlink"/>
          <w:rFonts w:asciiTheme="minorBidi" w:eastAsiaTheme="minorHAnsi" w:hAnsiTheme="minorBidi"/>
          <w:b/>
          <w:bCs/>
          <w:kern w:val="0"/>
          <w:sz w:val="24"/>
          <w:szCs w:val="24"/>
          <w:shd w:val="clear" w:color="auto" w:fill="FFFFFF"/>
          <w:lang w:eastAsia="en-US"/>
          <w14:ligatures w14:val="none"/>
        </w:rPr>
        <w:t xml:space="preserve">olts of </w:t>
      </w:r>
      <w:r w:rsidR="001863A4">
        <w:rPr>
          <w:rStyle w:val="Hyperlink"/>
          <w:rFonts w:asciiTheme="minorBidi" w:eastAsiaTheme="minorHAnsi" w:hAnsiTheme="minorBidi"/>
          <w:b/>
          <w:bCs/>
          <w:kern w:val="0"/>
          <w:sz w:val="24"/>
          <w:szCs w:val="24"/>
          <w:shd w:val="clear" w:color="auto" w:fill="FFFFFF"/>
          <w:lang w:eastAsia="en-US"/>
          <w14:ligatures w14:val="none"/>
        </w:rPr>
        <w:t>C</w:t>
      </w:r>
      <w:r w:rsidR="00B53D9A" w:rsidRPr="00584DBC">
        <w:rPr>
          <w:rStyle w:val="Hyperlink"/>
          <w:rFonts w:asciiTheme="minorBidi" w:eastAsiaTheme="minorHAnsi" w:hAnsiTheme="minorBidi"/>
          <w:b/>
          <w:bCs/>
          <w:kern w:val="0"/>
          <w:sz w:val="24"/>
          <w:szCs w:val="24"/>
          <w:shd w:val="clear" w:color="auto" w:fill="FFFFFF"/>
          <w:lang w:eastAsia="en-US"/>
          <w14:ligatures w14:val="none"/>
        </w:rPr>
        <w:t xml:space="preserve">reating an </w:t>
      </w:r>
      <w:r w:rsidR="001863A4">
        <w:rPr>
          <w:rStyle w:val="Hyperlink"/>
          <w:rFonts w:asciiTheme="minorBidi" w:eastAsiaTheme="minorHAnsi" w:hAnsiTheme="minorBidi"/>
          <w:b/>
          <w:bCs/>
          <w:kern w:val="0"/>
          <w:sz w:val="24"/>
          <w:szCs w:val="24"/>
          <w:shd w:val="clear" w:color="auto" w:fill="FFFFFF"/>
          <w:lang w:eastAsia="en-US"/>
          <w14:ligatures w14:val="none"/>
        </w:rPr>
        <w:t>A</w:t>
      </w:r>
      <w:r w:rsidR="00B53D9A" w:rsidRPr="00584DBC">
        <w:rPr>
          <w:rStyle w:val="Hyperlink"/>
          <w:rFonts w:asciiTheme="minorBidi" w:eastAsiaTheme="minorHAnsi" w:hAnsiTheme="minorBidi"/>
          <w:b/>
          <w:bCs/>
          <w:kern w:val="0"/>
          <w:sz w:val="24"/>
          <w:szCs w:val="24"/>
          <w:shd w:val="clear" w:color="auto" w:fill="FFFFFF"/>
          <w:lang w:eastAsia="en-US"/>
          <w14:ligatures w14:val="none"/>
        </w:rPr>
        <w:t>nti-</w:t>
      </w:r>
      <w:r w:rsidR="001863A4">
        <w:rPr>
          <w:rStyle w:val="Hyperlink"/>
          <w:rFonts w:asciiTheme="minorBidi" w:eastAsiaTheme="minorHAnsi" w:hAnsiTheme="minorBidi"/>
          <w:b/>
          <w:bCs/>
          <w:kern w:val="0"/>
          <w:sz w:val="24"/>
          <w:szCs w:val="24"/>
          <w:shd w:val="clear" w:color="auto" w:fill="FFFFFF"/>
          <w:lang w:eastAsia="en-US"/>
          <w14:ligatures w14:val="none"/>
        </w:rPr>
        <w:t>F</w:t>
      </w:r>
      <w:r w:rsidR="00B53D9A" w:rsidRPr="00584DBC">
        <w:rPr>
          <w:rStyle w:val="Hyperlink"/>
          <w:rFonts w:asciiTheme="minorBidi" w:eastAsiaTheme="minorHAnsi" w:hAnsiTheme="minorBidi"/>
          <w:b/>
          <w:bCs/>
          <w:kern w:val="0"/>
          <w:sz w:val="24"/>
          <w:szCs w:val="24"/>
          <w:shd w:val="clear" w:color="auto" w:fill="FFFFFF"/>
          <w:lang w:eastAsia="en-US"/>
          <w14:ligatures w14:val="none"/>
        </w:rPr>
        <w:t xml:space="preserve">raud </w:t>
      </w:r>
      <w:r w:rsidR="001863A4">
        <w:rPr>
          <w:rStyle w:val="Hyperlink"/>
          <w:rFonts w:asciiTheme="minorBidi" w:eastAsiaTheme="minorHAnsi" w:hAnsiTheme="minorBidi"/>
          <w:b/>
          <w:bCs/>
          <w:kern w:val="0"/>
          <w:sz w:val="24"/>
          <w:szCs w:val="24"/>
          <w:shd w:val="clear" w:color="auto" w:fill="FFFFFF"/>
          <w:lang w:eastAsia="en-US"/>
          <w14:ligatures w14:val="none"/>
        </w:rPr>
        <w:t>C</w:t>
      </w:r>
      <w:r w:rsidR="00B53D9A" w:rsidRPr="00584DBC">
        <w:rPr>
          <w:rStyle w:val="Hyperlink"/>
          <w:rFonts w:asciiTheme="minorBidi" w:eastAsiaTheme="minorHAnsi" w:hAnsiTheme="minorBidi"/>
          <w:b/>
          <w:bCs/>
          <w:kern w:val="0"/>
          <w:sz w:val="24"/>
          <w:szCs w:val="24"/>
          <w:shd w:val="clear" w:color="auto" w:fill="FFFFFF"/>
          <w:lang w:eastAsia="en-US"/>
          <w14:ligatures w14:val="none"/>
        </w:rPr>
        <w:t>ulture</w:t>
      </w:r>
      <w:r w:rsidRPr="00584DBC">
        <w:rPr>
          <w:rFonts w:asciiTheme="minorBidi" w:eastAsia="Times New Roman" w:hAnsiTheme="minorBidi"/>
          <w:b/>
          <w:bCs/>
          <w:kern w:val="0"/>
          <w:sz w:val="24"/>
          <w:szCs w:val="24"/>
          <w14:ligatures w14:val="none"/>
        </w:rPr>
        <w:fldChar w:fldCharType="end"/>
      </w:r>
      <w:r w:rsidR="00381B84">
        <w:rPr>
          <w:rFonts w:asciiTheme="minorBidi" w:eastAsiaTheme="minorHAnsi" w:hAnsiTheme="minorBidi"/>
          <w:b/>
          <w:bCs/>
          <w:kern w:val="0"/>
          <w:sz w:val="24"/>
          <w:szCs w:val="24"/>
          <w:shd w:val="clear" w:color="auto" w:fill="FFFFFF"/>
          <w:lang w:eastAsia="en-US"/>
          <w14:ligatures w14:val="none"/>
        </w:rPr>
        <w:t>…………………..</w:t>
      </w:r>
      <w:r w:rsidR="00C07481">
        <w:rPr>
          <w:rFonts w:asciiTheme="minorBidi" w:eastAsiaTheme="minorHAnsi" w:hAnsiTheme="minorBidi"/>
          <w:b/>
          <w:bCs/>
          <w:kern w:val="0"/>
          <w:sz w:val="24"/>
          <w:szCs w:val="24"/>
          <w:shd w:val="clear" w:color="auto" w:fill="FFFFFF"/>
          <w:lang w:eastAsia="en-US"/>
          <w14:ligatures w14:val="none"/>
        </w:rPr>
        <w:t>.</w:t>
      </w:r>
      <w:r w:rsidR="00555E4B">
        <w:rPr>
          <w:rFonts w:asciiTheme="minorBidi" w:eastAsiaTheme="minorHAnsi" w:hAnsiTheme="minorBidi"/>
          <w:b/>
          <w:bCs/>
          <w:kern w:val="0"/>
          <w:sz w:val="24"/>
          <w:szCs w:val="24"/>
          <w:shd w:val="clear" w:color="auto" w:fill="FFFFFF"/>
          <w:lang w:eastAsia="en-US"/>
          <w14:ligatures w14:val="none"/>
        </w:rPr>
        <w:t xml:space="preserve">... </w:t>
      </w:r>
      <w:r w:rsidR="00381B84">
        <w:rPr>
          <w:rFonts w:asciiTheme="minorBidi" w:eastAsiaTheme="minorHAnsi" w:hAnsiTheme="minorBidi"/>
          <w:b/>
          <w:bCs/>
          <w:kern w:val="0"/>
          <w:sz w:val="24"/>
          <w:szCs w:val="24"/>
          <w:shd w:val="clear" w:color="auto" w:fill="FFFFFF"/>
          <w:lang w:eastAsia="en-US"/>
          <w14:ligatures w14:val="none"/>
        </w:rPr>
        <w:t>3</w:t>
      </w:r>
      <w:r w:rsidR="006D7AB5">
        <w:rPr>
          <w:rFonts w:asciiTheme="minorBidi" w:eastAsiaTheme="minorHAnsi" w:hAnsiTheme="minorBidi"/>
          <w:b/>
          <w:bCs/>
          <w:kern w:val="0"/>
          <w:sz w:val="24"/>
          <w:szCs w:val="24"/>
          <w:shd w:val="clear" w:color="auto" w:fill="FFFFFF"/>
          <w:lang w:eastAsia="en-US"/>
          <w14:ligatures w14:val="none"/>
        </w:rPr>
        <w:t>32</w:t>
      </w:r>
    </w:p>
    <w:bookmarkStart w:id="240" w:name="C134"/>
    <w:bookmarkEnd w:id="239"/>
    <w:p w14:paraId="4152C325" w14:textId="55F8E6DE" w:rsidR="00B53D9A" w:rsidRPr="00584DBC" w:rsidRDefault="00DA15D5" w:rsidP="003F2E92">
      <w:pPr>
        <w:pStyle w:val="NoSpacing"/>
        <w:spacing w:line="480" w:lineRule="auto"/>
        <w:rPr>
          <w:rFonts w:asciiTheme="minorBidi" w:eastAsiaTheme="minorHAnsi" w:hAnsiTheme="minorBidi"/>
          <w:b/>
          <w:bCs/>
          <w:kern w:val="0"/>
          <w:sz w:val="24"/>
          <w:szCs w:val="24"/>
          <w:lang w:eastAsia="en-US"/>
          <w14:ligatures w14:val="none"/>
        </w:rPr>
      </w:pPr>
      <w:r w:rsidRPr="00584DBC">
        <w:rPr>
          <w:rFonts w:asciiTheme="minorBidi" w:eastAsiaTheme="minorHAnsi" w:hAnsiTheme="minorBidi"/>
          <w:b/>
          <w:bCs/>
          <w:kern w:val="0"/>
          <w:sz w:val="24"/>
          <w:szCs w:val="24"/>
          <w:lang w:eastAsia="en-US"/>
          <w14:ligatures w14:val="none"/>
        </w:rPr>
        <w:lastRenderedPageBreak/>
        <w:fldChar w:fldCharType="begin"/>
      </w:r>
      <w:r w:rsidRPr="00584DBC">
        <w:rPr>
          <w:rFonts w:asciiTheme="minorBidi" w:eastAsiaTheme="minorHAnsi" w:hAnsiTheme="minorBidi"/>
          <w:b/>
          <w:bCs/>
          <w:kern w:val="0"/>
          <w:sz w:val="24"/>
          <w:szCs w:val="24"/>
          <w:lang w:eastAsia="en-US"/>
          <w14:ligatures w14:val="none"/>
        </w:rPr>
        <w:instrText>HYPERLINK  \l "D134"</w:instrText>
      </w:r>
      <w:r w:rsidRPr="00584DBC">
        <w:rPr>
          <w:rFonts w:asciiTheme="minorBidi" w:eastAsiaTheme="minorHAnsi" w:hAnsiTheme="minorBidi"/>
          <w:b/>
          <w:bCs/>
          <w:kern w:val="0"/>
          <w:sz w:val="24"/>
          <w:szCs w:val="24"/>
          <w:lang w:eastAsia="en-US"/>
          <w14:ligatures w14:val="none"/>
        </w:rPr>
      </w:r>
      <w:r w:rsidRPr="00584DBC">
        <w:rPr>
          <w:rFonts w:asciiTheme="minorBidi" w:eastAsiaTheme="minorHAnsi" w:hAnsiTheme="minorBidi"/>
          <w:b/>
          <w:bCs/>
          <w:kern w:val="0"/>
          <w:sz w:val="24"/>
          <w:szCs w:val="24"/>
          <w:lang w:eastAsia="en-US"/>
          <w14:ligatures w14:val="none"/>
        </w:rPr>
        <w:fldChar w:fldCharType="separate"/>
      </w:r>
      <w:r w:rsidR="00B53D9A" w:rsidRPr="00584DBC">
        <w:rPr>
          <w:rStyle w:val="Hyperlink"/>
          <w:rFonts w:asciiTheme="minorBidi" w:eastAsiaTheme="minorHAnsi" w:hAnsiTheme="minorBidi"/>
          <w:b/>
          <w:bCs/>
          <w:kern w:val="0"/>
          <w:sz w:val="24"/>
          <w:szCs w:val="24"/>
          <w:lang w:eastAsia="en-US"/>
          <w14:ligatures w14:val="none"/>
        </w:rPr>
        <w:t>5.4 Contributions, Limitations and Further Avenues for Research</w:t>
      </w:r>
      <w:r w:rsidRPr="00584DBC">
        <w:rPr>
          <w:rFonts w:asciiTheme="minorBidi" w:eastAsiaTheme="minorHAnsi" w:hAnsiTheme="minorBidi"/>
          <w:b/>
          <w:bCs/>
          <w:kern w:val="0"/>
          <w:sz w:val="24"/>
          <w:szCs w:val="24"/>
          <w:lang w:eastAsia="en-US"/>
          <w14:ligatures w14:val="none"/>
        </w:rPr>
        <w:fldChar w:fldCharType="end"/>
      </w:r>
      <w:r w:rsidR="00DC53EB">
        <w:rPr>
          <w:rFonts w:asciiTheme="minorBidi" w:eastAsiaTheme="minorHAnsi" w:hAnsiTheme="minorBidi"/>
          <w:b/>
          <w:bCs/>
          <w:kern w:val="0"/>
          <w:sz w:val="24"/>
          <w:szCs w:val="24"/>
          <w:lang w:eastAsia="en-US"/>
          <w14:ligatures w14:val="none"/>
        </w:rPr>
        <w:t>……...</w:t>
      </w:r>
      <w:r w:rsidR="00555E4B">
        <w:rPr>
          <w:rFonts w:asciiTheme="minorBidi" w:eastAsiaTheme="minorHAnsi" w:hAnsiTheme="minorBidi"/>
          <w:b/>
          <w:bCs/>
          <w:kern w:val="0"/>
          <w:sz w:val="24"/>
          <w:szCs w:val="24"/>
          <w:lang w:eastAsia="en-US"/>
          <w14:ligatures w14:val="none"/>
        </w:rPr>
        <w:t xml:space="preserve">....... </w:t>
      </w:r>
      <w:r w:rsidR="00DC53EB">
        <w:rPr>
          <w:rFonts w:asciiTheme="minorBidi" w:eastAsiaTheme="minorHAnsi" w:hAnsiTheme="minorBidi"/>
          <w:b/>
          <w:bCs/>
          <w:kern w:val="0"/>
          <w:sz w:val="24"/>
          <w:szCs w:val="24"/>
          <w:lang w:eastAsia="en-US"/>
          <w14:ligatures w14:val="none"/>
        </w:rPr>
        <w:t>3</w:t>
      </w:r>
      <w:r w:rsidR="00941CA7">
        <w:rPr>
          <w:rFonts w:asciiTheme="minorBidi" w:eastAsiaTheme="minorHAnsi" w:hAnsiTheme="minorBidi"/>
          <w:b/>
          <w:bCs/>
          <w:kern w:val="0"/>
          <w:sz w:val="24"/>
          <w:szCs w:val="24"/>
          <w:lang w:eastAsia="en-US"/>
          <w14:ligatures w14:val="none"/>
        </w:rPr>
        <w:t>42</w:t>
      </w:r>
    </w:p>
    <w:bookmarkStart w:id="241" w:name="C135"/>
    <w:bookmarkEnd w:id="240"/>
    <w:p w14:paraId="1F1532FE" w14:textId="1D0CA7EE" w:rsidR="00B53D9A" w:rsidRPr="00584DBC" w:rsidRDefault="00DA15D5" w:rsidP="003F2E92">
      <w:pPr>
        <w:pStyle w:val="NoSpacing"/>
        <w:spacing w:line="480" w:lineRule="auto"/>
        <w:rPr>
          <w:rFonts w:asciiTheme="minorBidi" w:eastAsiaTheme="minorHAnsi" w:hAnsiTheme="minorBidi"/>
          <w:b/>
          <w:bCs/>
          <w:kern w:val="0"/>
          <w:sz w:val="24"/>
          <w:szCs w:val="24"/>
          <w:lang w:eastAsia="en-US"/>
          <w14:ligatures w14:val="none"/>
        </w:rPr>
      </w:pPr>
      <w:r w:rsidRPr="00584DBC">
        <w:rPr>
          <w:rFonts w:asciiTheme="minorBidi" w:eastAsiaTheme="minorHAnsi" w:hAnsiTheme="minorBidi"/>
          <w:b/>
          <w:bCs/>
          <w:kern w:val="0"/>
          <w:sz w:val="24"/>
          <w:szCs w:val="24"/>
          <w:lang w:eastAsia="en-US"/>
          <w14:ligatures w14:val="none"/>
        </w:rPr>
        <w:fldChar w:fldCharType="begin"/>
      </w:r>
      <w:r w:rsidRPr="00584DBC">
        <w:rPr>
          <w:rFonts w:asciiTheme="minorBidi" w:eastAsiaTheme="minorHAnsi" w:hAnsiTheme="minorBidi"/>
          <w:b/>
          <w:bCs/>
          <w:kern w:val="0"/>
          <w:sz w:val="24"/>
          <w:szCs w:val="24"/>
          <w:lang w:eastAsia="en-US"/>
          <w14:ligatures w14:val="none"/>
        </w:rPr>
        <w:instrText>HYPERLINK  \l "D135"</w:instrText>
      </w:r>
      <w:r w:rsidRPr="00584DBC">
        <w:rPr>
          <w:rFonts w:asciiTheme="minorBidi" w:eastAsiaTheme="minorHAnsi" w:hAnsiTheme="minorBidi"/>
          <w:b/>
          <w:bCs/>
          <w:kern w:val="0"/>
          <w:sz w:val="24"/>
          <w:szCs w:val="24"/>
          <w:lang w:eastAsia="en-US"/>
          <w14:ligatures w14:val="none"/>
        </w:rPr>
      </w:r>
      <w:r w:rsidRPr="00584DBC">
        <w:rPr>
          <w:rFonts w:asciiTheme="minorBidi" w:eastAsiaTheme="minorHAnsi" w:hAnsiTheme="minorBidi"/>
          <w:b/>
          <w:bCs/>
          <w:kern w:val="0"/>
          <w:sz w:val="24"/>
          <w:szCs w:val="24"/>
          <w:lang w:eastAsia="en-US"/>
          <w14:ligatures w14:val="none"/>
        </w:rPr>
        <w:fldChar w:fldCharType="separate"/>
      </w:r>
      <w:r w:rsidR="00B53D9A" w:rsidRPr="00584DBC">
        <w:rPr>
          <w:rStyle w:val="Hyperlink"/>
          <w:rFonts w:asciiTheme="minorBidi" w:eastAsiaTheme="minorHAnsi" w:hAnsiTheme="minorBidi"/>
          <w:b/>
          <w:bCs/>
          <w:kern w:val="0"/>
          <w:sz w:val="24"/>
          <w:szCs w:val="24"/>
          <w:lang w:eastAsia="en-US"/>
          <w14:ligatures w14:val="none"/>
        </w:rPr>
        <w:t>5.4.1 Contributions</w:t>
      </w:r>
      <w:r w:rsidRPr="00584DBC">
        <w:rPr>
          <w:rFonts w:asciiTheme="minorBidi" w:eastAsiaTheme="minorHAnsi" w:hAnsiTheme="minorBidi"/>
          <w:b/>
          <w:bCs/>
          <w:kern w:val="0"/>
          <w:sz w:val="24"/>
          <w:szCs w:val="24"/>
          <w:lang w:eastAsia="en-US"/>
          <w14:ligatures w14:val="none"/>
        </w:rPr>
        <w:fldChar w:fldCharType="end"/>
      </w:r>
      <w:r w:rsidR="00DC53EB">
        <w:rPr>
          <w:rFonts w:asciiTheme="minorBidi" w:eastAsiaTheme="minorHAnsi" w:hAnsiTheme="minorBidi"/>
          <w:b/>
          <w:bCs/>
          <w:kern w:val="0"/>
          <w:sz w:val="24"/>
          <w:szCs w:val="24"/>
          <w:lang w:eastAsia="en-US"/>
          <w14:ligatures w14:val="none"/>
        </w:rPr>
        <w:t>………………………………………………………………</w:t>
      </w:r>
      <w:r w:rsidR="00555E4B">
        <w:rPr>
          <w:rFonts w:asciiTheme="minorBidi" w:eastAsiaTheme="minorHAnsi" w:hAnsiTheme="minorBidi"/>
          <w:b/>
          <w:bCs/>
          <w:kern w:val="0"/>
          <w:sz w:val="24"/>
          <w:szCs w:val="24"/>
          <w:lang w:eastAsia="en-US"/>
          <w14:ligatures w14:val="none"/>
        </w:rPr>
        <w:t xml:space="preserve">…….. </w:t>
      </w:r>
      <w:r w:rsidR="00DC53EB">
        <w:rPr>
          <w:rFonts w:asciiTheme="minorBidi" w:eastAsiaTheme="minorHAnsi" w:hAnsiTheme="minorBidi"/>
          <w:b/>
          <w:bCs/>
          <w:kern w:val="0"/>
          <w:sz w:val="24"/>
          <w:szCs w:val="24"/>
          <w:lang w:eastAsia="en-US"/>
          <w14:ligatures w14:val="none"/>
        </w:rPr>
        <w:t>3</w:t>
      </w:r>
      <w:r w:rsidR="00941CA7">
        <w:rPr>
          <w:rFonts w:asciiTheme="minorBidi" w:eastAsiaTheme="minorHAnsi" w:hAnsiTheme="minorBidi"/>
          <w:b/>
          <w:bCs/>
          <w:kern w:val="0"/>
          <w:sz w:val="24"/>
          <w:szCs w:val="24"/>
          <w:lang w:eastAsia="en-US"/>
          <w14:ligatures w14:val="none"/>
        </w:rPr>
        <w:t>42</w:t>
      </w:r>
    </w:p>
    <w:bookmarkStart w:id="242" w:name="C136"/>
    <w:bookmarkEnd w:id="241"/>
    <w:p w14:paraId="0B51F7DE" w14:textId="4423363E" w:rsidR="00B53D9A" w:rsidRPr="00584DBC" w:rsidRDefault="00DA15D5" w:rsidP="003F2E92">
      <w:pPr>
        <w:pStyle w:val="NoSpacing"/>
        <w:spacing w:line="480" w:lineRule="auto"/>
        <w:rPr>
          <w:rFonts w:asciiTheme="minorBidi" w:eastAsiaTheme="minorHAnsi" w:hAnsiTheme="minorBidi"/>
          <w:b/>
          <w:bCs/>
          <w:kern w:val="0"/>
          <w:sz w:val="24"/>
          <w:szCs w:val="24"/>
          <w:lang w:eastAsia="en-US"/>
          <w14:ligatures w14:val="none"/>
        </w:rPr>
      </w:pPr>
      <w:r w:rsidRPr="00584DBC">
        <w:rPr>
          <w:rFonts w:asciiTheme="minorBidi" w:eastAsiaTheme="minorHAnsi" w:hAnsiTheme="minorBidi"/>
          <w:b/>
          <w:bCs/>
          <w:kern w:val="0"/>
          <w:sz w:val="24"/>
          <w:szCs w:val="24"/>
          <w:lang w:eastAsia="en-US"/>
          <w14:ligatures w14:val="none"/>
        </w:rPr>
        <w:fldChar w:fldCharType="begin"/>
      </w:r>
      <w:r w:rsidRPr="00584DBC">
        <w:rPr>
          <w:rFonts w:asciiTheme="minorBidi" w:eastAsiaTheme="minorHAnsi" w:hAnsiTheme="minorBidi"/>
          <w:b/>
          <w:bCs/>
          <w:kern w:val="0"/>
          <w:sz w:val="24"/>
          <w:szCs w:val="24"/>
          <w:lang w:eastAsia="en-US"/>
          <w14:ligatures w14:val="none"/>
        </w:rPr>
        <w:instrText>HYPERLINK  \l "D136"</w:instrText>
      </w:r>
      <w:r w:rsidRPr="00584DBC">
        <w:rPr>
          <w:rFonts w:asciiTheme="minorBidi" w:eastAsiaTheme="minorHAnsi" w:hAnsiTheme="minorBidi"/>
          <w:b/>
          <w:bCs/>
          <w:kern w:val="0"/>
          <w:sz w:val="24"/>
          <w:szCs w:val="24"/>
          <w:lang w:eastAsia="en-US"/>
          <w14:ligatures w14:val="none"/>
        </w:rPr>
      </w:r>
      <w:r w:rsidRPr="00584DBC">
        <w:rPr>
          <w:rFonts w:asciiTheme="minorBidi" w:eastAsiaTheme="minorHAnsi" w:hAnsiTheme="minorBidi"/>
          <w:b/>
          <w:bCs/>
          <w:kern w:val="0"/>
          <w:sz w:val="24"/>
          <w:szCs w:val="24"/>
          <w:lang w:eastAsia="en-US"/>
          <w14:ligatures w14:val="none"/>
        </w:rPr>
        <w:fldChar w:fldCharType="separate"/>
      </w:r>
      <w:r w:rsidR="00B53D9A" w:rsidRPr="00584DBC">
        <w:rPr>
          <w:rStyle w:val="Hyperlink"/>
          <w:rFonts w:asciiTheme="minorBidi" w:eastAsiaTheme="minorHAnsi" w:hAnsiTheme="minorBidi"/>
          <w:b/>
          <w:bCs/>
          <w:kern w:val="0"/>
          <w:sz w:val="24"/>
          <w:szCs w:val="24"/>
          <w:lang w:eastAsia="en-US"/>
          <w14:ligatures w14:val="none"/>
        </w:rPr>
        <w:t>5.4.2 Limitations</w:t>
      </w:r>
      <w:r w:rsidRPr="00584DBC">
        <w:rPr>
          <w:rFonts w:asciiTheme="minorBidi" w:eastAsiaTheme="minorHAnsi" w:hAnsiTheme="minorBidi"/>
          <w:b/>
          <w:bCs/>
          <w:kern w:val="0"/>
          <w:sz w:val="24"/>
          <w:szCs w:val="24"/>
          <w:lang w:eastAsia="en-US"/>
          <w14:ligatures w14:val="none"/>
        </w:rPr>
        <w:fldChar w:fldCharType="end"/>
      </w:r>
      <w:r w:rsidR="00DC53EB">
        <w:rPr>
          <w:rFonts w:asciiTheme="minorBidi" w:eastAsiaTheme="minorHAnsi" w:hAnsiTheme="minorBidi"/>
          <w:b/>
          <w:bCs/>
          <w:kern w:val="0"/>
          <w:sz w:val="24"/>
          <w:szCs w:val="24"/>
          <w:lang w:eastAsia="en-US"/>
          <w14:ligatures w14:val="none"/>
        </w:rPr>
        <w:t>…………………………………………………………………...</w:t>
      </w:r>
      <w:r w:rsidR="00555E4B">
        <w:rPr>
          <w:rFonts w:asciiTheme="minorBidi" w:eastAsiaTheme="minorHAnsi" w:hAnsiTheme="minorBidi"/>
          <w:b/>
          <w:bCs/>
          <w:kern w:val="0"/>
          <w:sz w:val="24"/>
          <w:szCs w:val="24"/>
          <w:lang w:eastAsia="en-US"/>
          <w14:ligatures w14:val="none"/>
        </w:rPr>
        <w:t xml:space="preserve">....... </w:t>
      </w:r>
      <w:r w:rsidR="00DC53EB">
        <w:rPr>
          <w:rFonts w:asciiTheme="minorBidi" w:eastAsiaTheme="minorHAnsi" w:hAnsiTheme="minorBidi"/>
          <w:b/>
          <w:bCs/>
          <w:kern w:val="0"/>
          <w:sz w:val="24"/>
          <w:szCs w:val="24"/>
          <w:lang w:eastAsia="en-US"/>
          <w14:ligatures w14:val="none"/>
        </w:rPr>
        <w:t>3</w:t>
      </w:r>
      <w:r w:rsidR="001D2AA8">
        <w:rPr>
          <w:rFonts w:asciiTheme="minorBidi" w:eastAsiaTheme="minorHAnsi" w:hAnsiTheme="minorBidi"/>
          <w:b/>
          <w:bCs/>
          <w:kern w:val="0"/>
          <w:sz w:val="24"/>
          <w:szCs w:val="24"/>
          <w:lang w:eastAsia="en-US"/>
          <w14:ligatures w14:val="none"/>
        </w:rPr>
        <w:t>46</w:t>
      </w:r>
    </w:p>
    <w:bookmarkStart w:id="243" w:name="C137"/>
    <w:bookmarkEnd w:id="242"/>
    <w:p w14:paraId="629EBEF6" w14:textId="2F31966C" w:rsidR="00B53D9A" w:rsidRPr="00584DBC" w:rsidRDefault="00DA15D5" w:rsidP="003F2E92">
      <w:pPr>
        <w:pStyle w:val="NoSpacing"/>
        <w:spacing w:line="480" w:lineRule="auto"/>
        <w:rPr>
          <w:rFonts w:asciiTheme="minorBidi" w:eastAsiaTheme="minorHAnsi" w:hAnsiTheme="minorBidi"/>
          <w:b/>
          <w:bCs/>
          <w:kern w:val="0"/>
          <w:sz w:val="24"/>
          <w:szCs w:val="24"/>
          <w:lang w:eastAsia="en-US"/>
          <w14:ligatures w14:val="none"/>
        </w:rPr>
      </w:pPr>
      <w:r w:rsidRPr="00584DBC">
        <w:rPr>
          <w:rFonts w:asciiTheme="minorBidi" w:eastAsiaTheme="minorHAnsi" w:hAnsiTheme="minorBidi"/>
          <w:b/>
          <w:bCs/>
          <w:kern w:val="0"/>
          <w:sz w:val="24"/>
          <w:szCs w:val="24"/>
          <w:lang w:eastAsia="en-US"/>
          <w14:ligatures w14:val="none"/>
        </w:rPr>
        <w:fldChar w:fldCharType="begin"/>
      </w:r>
      <w:r w:rsidRPr="00584DBC">
        <w:rPr>
          <w:rFonts w:asciiTheme="minorBidi" w:eastAsiaTheme="minorHAnsi" w:hAnsiTheme="minorBidi"/>
          <w:b/>
          <w:bCs/>
          <w:kern w:val="0"/>
          <w:sz w:val="24"/>
          <w:szCs w:val="24"/>
          <w:lang w:eastAsia="en-US"/>
          <w14:ligatures w14:val="none"/>
        </w:rPr>
        <w:instrText>HYPERLINK  \l "D137"</w:instrText>
      </w:r>
      <w:r w:rsidRPr="00584DBC">
        <w:rPr>
          <w:rFonts w:asciiTheme="minorBidi" w:eastAsiaTheme="minorHAnsi" w:hAnsiTheme="minorBidi"/>
          <w:b/>
          <w:bCs/>
          <w:kern w:val="0"/>
          <w:sz w:val="24"/>
          <w:szCs w:val="24"/>
          <w:lang w:eastAsia="en-US"/>
          <w14:ligatures w14:val="none"/>
        </w:rPr>
      </w:r>
      <w:r w:rsidRPr="00584DBC">
        <w:rPr>
          <w:rFonts w:asciiTheme="minorBidi" w:eastAsiaTheme="minorHAnsi" w:hAnsiTheme="minorBidi"/>
          <w:b/>
          <w:bCs/>
          <w:kern w:val="0"/>
          <w:sz w:val="24"/>
          <w:szCs w:val="24"/>
          <w:lang w:eastAsia="en-US"/>
          <w14:ligatures w14:val="none"/>
        </w:rPr>
        <w:fldChar w:fldCharType="separate"/>
      </w:r>
      <w:r w:rsidR="00B53D9A" w:rsidRPr="00584DBC">
        <w:rPr>
          <w:rStyle w:val="Hyperlink"/>
          <w:rFonts w:asciiTheme="minorBidi" w:eastAsiaTheme="minorHAnsi" w:hAnsiTheme="minorBidi"/>
          <w:b/>
          <w:bCs/>
          <w:kern w:val="0"/>
          <w:sz w:val="24"/>
          <w:szCs w:val="24"/>
          <w:lang w:eastAsia="en-US"/>
          <w14:ligatures w14:val="none"/>
        </w:rPr>
        <w:t>5.4.3 Further Research</w:t>
      </w:r>
      <w:r w:rsidRPr="00584DBC">
        <w:rPr>
          <w:rFonts w:asciiTheme="minorBidi" w:eastAsiaTheme="minorHAnsi" w:hAnsiTheme="minorBidi"/>
          <w:b/>
          <w:bCs/>
          <w:kern w:val="0"/>
          <w:sz w:val="24"/>
          <w:szCs w:val="24"/>
          <w:lang w:eastAsia="en-US"/>
          <w14:ligatures w14:val="none"/>
        </w:rPr>
        <w:fldChar w:fldCharType="end"/>
      </w:r>
      <w:r w:rsidR="00432768">
        <w:rPr>
          <w:rFonts w:asciiTheme="minorBidi" w:eastAsiaTheme="minorHAnsi" w:hAnsiTheme="minorBidi"/>
          <w:b/>
          <w:bCs/>
          <w:kern w:val="0"/>
          <w:sz w:val="24"/>
          <w:szCs w:val="24"/>
          <w:lang w:eastAsia="en-US"/>
          <w14:ligatures w14:val="none"/>
        </w:rPr>
        <w:t>…………………………………………………………...</w:t>
      </w:r>
      <w:r w:rsidR="00555E4B">
        <w:rPr>
          <w:rFonts w:asciiTheme="minorBidi" w:eastAsiaTheme="minorHAnsi" w:hAnsiTheme="minorBidi"/>
          <w:b/>
          <w:bCs/>
          <w:kern w:val="0"/>
          <w:sz w:val="24"/>
          <w:szCs w:val="24"/>
          <w:lang w:eastAsia="en-US"/>
          <w14:ligatures w14:val="none"/>
        </w:rPr>
        <w:t xml:space="preserve">....... </w:t>
      </w:r>
      <w:r w:rsidR="00432768">
        <w:rPr>
          <w:rFonts w:asciiTheme="minorBidi" w:eastAsiaTheme="minorHAnsi" w:hAnsiTheme="minorBidi"/>
          <w:b/>
          <w:bCs/>
          <w:kern w:val="0"/>
          <w:sz w:val="24"/>
          <w:szCs w:val="24"/>
          <w:lang w:eastAsia="en-US"/>
          <w14:ligatures w14:val="none"/>
        </w:rPr>
        <w:t>3</w:t>
      </w:r>
      <w:r w:rsidR="00792E49">
        <w:rPr>
          <w:rFonts w:asciiTheme="minorBidi" w:eastAsiaTheme="minorHAnsi" w:hAnsiTheme="minorBidi"/>
          <w:b/>
          <w:bCs/>
          <w:kern w:val="0"/>
          <w:sz w:val="24"/>
          <w:szCs w:val="24"/>
          <w:lang w:eastAsia="en-US"/>
          <w14:ligatures w14:val="none"/>
        </w:rPr>
        <w:t>47</w:t>
      </w:r>
    </w:p>
    <w:bookmarkStart w:id="244" w:name="C138"/>
    <w:bookmarkEnd w:id="243"/>
    <w:p w14:paraId="7F10CFDC" w14:textId="79042774" w:rsidR="00B53D9A" w:rsidRPr="00584DBC" w:rsidRDefault="006A594C" w:rsidP="003F2E92">
      <w:pPr>
        <w:pStyle w:val="NoSpacing"/>
        <w:spacing w:line="480" w:lineRule="auto"/>
        <w:rPr>
          <w:rFonts w:asciiTheme="minorBidi" w:eastAsiaTheme="minorHAnsi" w:hAnsiTheme="minorBidi"/>
          <w:b/>
          <w:bCs/>
          <w:kern w:val="0"/>
          <w:sz w:val="24"/>
          <w:szCs w:val="24"/>
          <w:lang w:eastAsia="en-US"/>
          <w14:ligatures w14:val="none"/>
        </w:rPr>
      </w:pPr>
      <w:r w:rsidRPr="00584DBC">
        <w:rPr>
          <w:rFonts w:asciiTheme="minorBidi" w:eastAsiaTheme="minorHAnsi" w:hAnsiTheme="minorBidi"/>
          <w:b/>
          <w:bCs/>
          <w:kern w:val="0"/>
          <w:sz w:val="24"/>
          <w:szCs w:val="24"/>
          <w:lang w:eastAsia="en-US"/>
          <w14:ligatures w14:val="none"/>
        </w:rPr>
        <w:fldChar w:fldCharType="begin"/>
      </w:r>
      <w:r w:rsidRPr="00584DBC">
        <w:rPr>
          <w:rFonts w:asciiTheme="minorBidi" w:eastAsiaTheme="minorHAnsi" w:hAnsiTheme="minorBidi"/>
          <w:b/>
          <w:bCs/>
          <w:kern w:val="0"/>
          <w:sz w:val="24"/>
          <w:szCs w:val="24"/>
          <w:lang w:eastAsia="en-US"/>
          <w14:ligatures w14:val="none"/>
        </w:rPr>
        <w:instrText>HYPERLINK  \l "D138"</w:instrText>
      </w:r>
      <w:r w:rsidRPr="00584DBC">
        <w:rPr>
          <w:rFonts w:asciiTheme="minorBidi" w:eastAsiaTheme="minorHAnsi" w:hAnsiTheme="minorBidi"/>
          <w:b/>
          <w:bCs/>
          <w:kern w:val="0"/>
          <w:sz w:val="24"/>
          <w:szCs w:val="24"/>
          <w:lang w:eastAsia="en-US"/>
          <w14:ligatures w14:val="none"/>
        </w:rPr>
      </w:r>
      <w:r w:rsidRPr="00584DBC">
        <w:rPr>
          <w:rFonts w:asciiTheme="minorBidi" w:eastAsiaTheme="minorHAnsi" w:hAnsiTheme="minorBidi"/>
          <w:b/>
          <w:bCs/>
          <w:kern w:val="0"/>
          <w:sz w:val="24"/>
          <w:szCs w:val="24"/>
          <w:lang w:eastAsia="en-US"/>
          <w14:ligatures w14:val="none"/>
        </w:rPr>
        <w:fldChar w:fldCharType="separate"/>
      </w:r>
      <w:r w:rsidR="00B53D9A" w:rsidRPr="00584DBC">
        <w:rPr>
          <w:rStyle w:val="Hyperlink"/>
          <w:rFonts w:asciiTheme="minorBidi" w:eastAsiaTheme="minorHAnsi" w:hAnsiTheme="minorBidi"/>
          <w:b/>
          <w:bCs/>
          <w:kern w:val="0"/>
          <w:sz w:val="24"/>
          <w:szCs w:val="24"/>
          <w:lang w:eastAsia="en-US"/>
          <w14:ligatures w14:val="none"/>
        </w:rPr>
        <w:t>5.5 Recommendations</w:t>
      </w:r>
      <w:r w:rsidRPr="00584DBC">
        <w:rPr>
          <w:rFonts w:asciiTheme="minorBidi" w:eastAsiaTheme="minorHAnsi" w:hAnsiTheme="minorBidi"/>
          <w:b/>
          <w:bCs/>
          <w:kern w:val="0"/>
          <w:sz w:val="24"/>
          <w:szCs w:val="24"/>
          <w:lang w:eastAsia="en-US"/>
          <w14:ligatures w14:val="none"/>
        </w:rPr>
        <w:fldChar w:fldCharType="end"/>
      </w:r>
      <w:r w:rsidR="00C60B02">
        <w:rPr>
          <w:rFonts w:asciiTheme="minorBidi" w:eastAsiaTheme="minorHAnsi" w:hAnsiTheme="minorBidi"/>
          <w:b/>
          <w:bCs/>
          <w:kern w:val="0"/>
          <w:sz w:val="24"/>
          <w:szCs w:val="24"/>
          <w:lang w:eastAsia="en-US"/>
          <w14:ligatures w14:val="none"/>
        </w:rPr>
        <w:t>……………………………………………………………</w:t>
      </w:r>
      <w:r w:rsidR="00555E4B">
        <w:rPr>
          <w:rFonts w:asciiTheme="minorBidi" w:eastAsiaTheme="minorHAnsi" w:hAnsiTheme="minorBidi"/>
          <w:b/>
          <w:bCs/>
          <w:kern w:val="0"/>
          <w:sz w:val="24"/>
          <w:szCs w:val="24"/>
          <w:lang w:eastAsia="en-US"/>
          <w14:ligatures w14:val="none"/>
        </w:rPr>
        <w:t xml:space="preserve">…… </w:t>
      </w:r>
      <w:r w:rsidR="00C60B02">
        <w:rPr>
          <w:rFonts w:asciiTheme="minorBidi" w:eastAsiaTheme="minorHAnsi" w:hAnsiTheme="minorBidi"/>
          <w:b/>
          <w:bCs/>
          <w:kern w:val="0"/>
          <w:sz w:val="24"/>
          <w:szCs w:val="24"/>
          <w:lang w:eastAsia="en-US"/>
          <w14:ligatures w14:val="none"/>
        </w:rPr>
        <w:t>3</w:t>
      </w:r>
      <w:r w:rsidR="00B67F9F">
        <w:rPr>
          <w:rFonts w:asciiTheme="minorBidi" w:eastAsiaTheme="minorHAnsi" w:hAnsiTheme="minorBidi"/>
          <w:b/>
          <w:bCs/>
          <w:kern w:val="0"/>
          <w:sz w:val="24"/>
          <w:szCs w:val="24"/>
          <w:lang w:eastAsia="en-US"/>
          <w14:ligatures w14:val="none"/>
        </w:rPr>
        <w:t>49</w:t>
      </w:r>
    </w:p>
    <w:bookmarkEnd w:id="244"/>
    <w:p w14:paraId="4F7C02CF" w14:textId="77777777" w:rsidR="007A476A" w:rsidRPr="00584DBC" w:rsidRDefault="007A476A" w:rsidP="003F2E92">
      <w:pPr>
        <w:pStyle w:val="NoSpacing"/>
        <w:spacing w:line="480" w:lineRule="auto"/>
        <w:rPr>
          <w:rFonts w:asciiTheme="minorBidi" w:eastAsiaTheme="minorHAnsi" w:hAnsiTheme="minorBidi"/>
          <w:b/>
          <w:bCs/>
          <w:kern w:val="0"/>
          <w:sz w:val="24"/>
          <w:szCs w:val="24"/>
          <w:lang w:eastAsia="en-US"/>
          <w14:ligatures w14:val="none"/>
        </w:rPr>
      </w:pPr>
    </w:p>
    <w:bookmarkStart w:id="245" w:name="C139"/>
    <w:bookmarkStart w:id="246" w:name="REFC"/>
    <w:p w14:paraId="70EA2690" w14:textId="3EA89109" w:rsidR="007A476A" w:rsidRPr="00584DBC" w:rsidRDefault="00E67E08" w:rsidP="007A476A">
      <w:pPr>
        <w:pBdr>
          <w:top w:val="single" w:sz="4" w:space="1" w:color="auto"/>
          <w:left w:val="single" w:sz="4" w:space="4" w:color="auto"/>
          <w:bottom w:val="single" w:sz="4" w:space="1" w:color="auto"/>
          <w:right w:val="single" w:sz="4" w:space="4" w:color="auto"/>
        </w:pBdr>
        <w:rPr>
          <w:rFonts w:asciiTheme="minorBidi" w:hAnsiTheme="minorBidi"/>
          <w:b/>
          <w:bCs/>
          <w:lang w:eastAsia="en-US"/>
        </w:rPr>
      </w:pPr>
      <w:r w:rsidRPr="00584DBC">
        <w:rPr>
          <w:rFonts w:asciiTheme="minorBidi" w:hAnsiTheme="minorBidi"/>
          <w:b/>
          <w:bCs/>
          <w:lang w:eastAsia="en-US"/>
        </w:rPr>
        <w:fldChar w:fldCharType="begin"/>
      </w:r>
      <w:r w:rsidRPr="00584DBC">
        <w:rPr>
          <w:rFonts w:asciiTheme="minorBidi" w:hAnsiTheme="minorBidi"/>
          <w:b/>
          <w:bCs/>
          <w:lang w:eastAsia="en-US"/>
        </w:rPr>
        <w:instrText>HYPERLINK  \l "REFD"</w:instrText>
      </w:r>
      <w:r w:rsidRPr="00584DBC">
        <w:rPr>
          <w:rFonts w:asciiTheme="minorBidi" w:hAnsiTheme="minorBidi"/>
          <w:b/>
          <w:bCs/>
          <w:lang w:eastAsia="en-US"/>
        </w:rPr>
      </w:r>
      <w:r w:rsidRPr="00584DBC">
        <w:rPr>
          <w:rFonts w:asciiTheme="minorBidi" w:hAnsiTheme="minorBidi"/>
          <w:b/>
          <w:bCs/>
          <w:lang w:eastAsia="en-US"/>
        </w:rPr>
        <w:fldChar w:fldCharType="separate"/>
      </w:r>
      <w:r w:rsidR="007A476A" w:rsidRPr="00584DBC">
        <w:rPr>
          <w:rStyle w:val="Hyperlink"/>
          <w:rFonts w:asciiTheme="minorBidi" w:hAnsiTheme="minorBidi"/>
          <w:b/>
          <w:bCs/>
          <w:lang w:eastAsia="en-US"/>
        </w:rPr>
        <w:t>References</w:t>
      </w:r>
      <w:r w:rsidRPr="00584DBC">
        <w:rPr>
          <w:rFonts w:asciiTheme="minorBidi" w:hAnsiTheme="minorBidi"/>
          <w:b/>
          <w:bCs/>
          <w:lang w:eastAsia="en-US"/>
        </w:rPr>
        <w:fldChar w:fldCharType="end"/>
      </w:r>
      <w:r w:rsidR="00C60B02">
        <w:rPr>
          <w:rFonts w:asciiTheme="minorBidi" w:hAnsiTheme="minorBidi"/>
          <w:b/>
          <w:bCs/>
          <w:lang w:eastAsia="en-US"/>
        </w:rPr>
        <w:t>…………………………………………………………………………</w:t>
      </w:r>
      <w:r w:rsidR="00555E4B">
        <w:rPr>
          <w:rFonts w:asciiTheme="minorBidi" w:hAnsiTheme="minorBidi"/>
          <w:b/>
          <w:bCs/>
          <w:lang w:eastAsia="en-US"/>
        </w:rPr>
        <w:t xml:space="preserve">…… </w:t>
      </w:r>
      <w:r w:rsidR="00C60B02">
        <w:rPr>
          <w:rFonts w:asciiTheme="minorBidi" w:hAnsiTheme="minorBidi"/>
          <w:b/>
          <w:bCs/>
          <w:lang w:eastAsia="en-US"/>
        </w:rPr>
        <w:t>3</w:t>
      </w:r>
      <w:r w:rsidR="00167F0F">
        <w:rPr>
          <w:rFonts w:asciiTheme="minorBidi" w:hAnsiTheme="minorBidi"/>
          <w:b/>
          <w:bCs/>
          <w:lang w:eastAsia="en-US"/>
        </w:rPr>
        <w:t>54</w:t>
      </w:r>
    </w:p>
    <w:bookmarkEnd w:id="245"/>
    <w:bookmarkEnd w:id="246"/>
    <w:p w14:paraId="2AED31D6" w14:textId="77777777" w:rsidR="00FC0107" w:rsidRPr="00584DBC" w:rsidRDefault="00FC0107" w:rsidP="00935D12">
      <w:pPr>
        <w:rPr>
          <w:rFonts w:asciiTheme="minorBidi" w:eastAsia="Times New Roman" w:hAnsiTheme="minorBidi"/>
          <w:b/>
          <w:bCs/>
          <w:kern w:val="0"/>
          <w14:ligatures w14:val="none"/>
        </w:rPr>
      </w:pPr>
    </w:p>
    <w:bookmarkStart w:id="247" w:name="C140"/>
    <w:bookmarkStart w:id="248" w:name="APPA"/>
    <w:p w14:paraId="22488757" w14:textId="04B3F089" w:rsidR="00FC0107" w:rsidRPr="00584DBC" w:rsidRDefault="00E67E08" w:rsidP="007A476A">
      <w:pPr>
        <w:pBdr>
          <w:top w:val="single" w:sz="4" w:space="1" w:color="auto"/>
          <w:left w:val="single" w:sz="4" w:space="4" w:color="auto"/>
          <w:bottom w:val="single" w:sz="4" w:space="1" w:color="auto"/>
          <w:right w:val="single" w:sz="4" w:space="4" w:color="auto"/>
        </w:pBdr>
        <w:rPr>
          <w:rFonts w:asciiTheme="minorBidi" w:eastAsia="Times New Roman" w:hAnsiTheme="minorBidi"/>
          <w:b/>
          <w:bCs/>
          <w:kern w:val="0"/>
          <w14:ligatures w14:val="none"/>
        </w:rPr>
      </w:pPr>
      <w:r w:rsidRPr="00584DBC">
        <w:rPr>
          <w:rFonts w:asciiTheme="minorBidi" w:eastAsia="Times New Roman" w:hAnsiTheme="minorBidi"/>
          <w:b/>
          <w:bCs/>
          <w:kern w:val="0"/>
          <w14:ligatures w14:val="none"/>
        </w:rPr>
        <w:fldChar w:fldCharType="begin"/>
      </w:r>
      <w:r w:rsidRPr="00584DBC">
        <w:rPr>
          <w:rFonts w:asciiTheme="minorBidi" w:eastAsia="Times New Roman" w:hAnsiTheme="minorBidi"/>
          <w:b/>
          <w:bCs/>
          <w:kern w:val="0"/>
          <w14:ligatures w14:val="none"/>
        </w:rPr>
        <w:instrText>HYPERLINK  \l "APPB"</w:instrText>
      </w:r>
      <w:r w:rsidRPr="00584DBC">
        <w:rPr>
          <w:rFonts w:asciiTheme="minorBidi" w:eastAsia="Times New Roman" w:hAnsiTheme="minorBidi"/>
          <w:b/>
          <w:bCs/>
          <w:kern w:val="0"/>
          <w14:ligatures w14:val="none"/>
        </w:rPr>
      </w:r>
      <w:r w:rsidRPr="00584DBC">
        <w:rPr>
          <w:rFonts w:asciiTheme="minorBidi" w:eastAsia="Times New Roman" w:hAnsiTheme="minorBidi"/>
          <w:b/>
          <w:bCs/>
          <w:kern w:val="0"/>
          <w14:ligatures w14:val="none"/>
        </w:rPr>
        <w:fldChar w:fldCharType="separate"/>
      </w:r>
      <w:r w:rsidR="007A476A" w:rsidRPr="00584DBC">
        <w:rPr>
          <w:rStyle w:val="Hyperlink"/>
          <w:rFonts w:asciiTheme="minorBidi" w:eastAsia="Times New Roman" w:hAnsiTheme="minorBidi"/>
          <w:b/>
          <w:bCs/>
          <w:kern w:val="0"/>
          <w14:ligatures w14:val="none"/>
        </w:rPr>
        <w:t>Appendices</w:t>
      </w:r>
      <w:r w:rsidRPr="00584DBC">
        <w:rPr>
          <w:rFonts w:asciiTheme="minorBidi" w:eastAsia="Times New Roman" w:hAnsiTheme="minorBidi"/>
          <w:b/>
          <w:bCs/>
          <w:kern w:val="0"/>
          <w14:ligatures w14:val="none"/>
        </w:rPr>
        <w:fldChar w:fldCharType="end"/>
      </w:r>
      <w:r w:rsidR="008453D2">
        <w:rPr>
          <w:rFonts w:asciiTheme="minorBidi" w:eastAsia="Times New Roman" w:hAnsiTheme="minorBidi"/>
          <w:b/>
          <w:bCs/>
          <w:kern w:val="0"/>
          <w14:ligatures w14:val="none"/>
        </w:rPr>
        <w:t>………………………………………………………………………</w:t>
      </w:r>
      <w:r w:rsidR="00555E4B">
        <w:rPr>
          <w:rFonts w:asciiTheme="minorBidi" w:eastAsia="Times New Roman" w:hAnsiTheme="minorBidi"/>
          <w:b/>
          <w:bCs/>
          <w:kern w:val="0"/>
          <w14:ligatures w14:val="none"/>
        </w:rPr>
        <w:t xml:space="preserve">……..  </w:t>
      </w:r>
      <w:r w:rsidR="008453D2">
        <w:rPr>
          <w:rFonts w:asciiTheme="minorBidi" w:eastAsia="Times New Roman" w:hAnsiTheme="minorBidi"/>
          <w:b/>
          <w:bCs/>
          <w:kern w:val="0"/>
          <w14:ligatures w14:val="none"/>
        </w:rPr>
        <w:t>4</w:t>
      </w:r>
      <w:r w:rsidR="00167F0F">
        <w:rPr>
          <w:rFonts w:asciiTheme="minorBidi" w:eastAsia="Times New Roman" w:hAnsiTheme="minorBidi"/>
          <w:b/>
          <w:bCs/>
          <w:kern w:val="0"/>
          <w14:ligatures w14:val="none"/>
        </w:rPr>
        <w:t>23</w:t>
      </w:r>
    </w:p>
    <w:bookmarkEnd w:id="21"/>
    <w:bookmarkEnd w:id="247"/>
    <w:bookmarkEnd w:id="248"/>
    <w:p w14:paraId="69C9C9FE" w14:textId="77777777" w:rsidR="00E6731B" w:rsidRDefault="00E6731B" w:rsidP="00E749D9">
      <w:pPr>
        <w:spacing w:line="480" w:lineRule="auto"/>
        <w:rPr>
          <w:rFonts w:ascii="Arial" w:hAnsi="Arial" w:cs="Arial"/>
          <w:b/>
          <w:bCs/>
        </w:rPr>
      </w:pPr>
    </w:p>
    <w:p w14:paraId="6F9924EB" w14:textId="77777777" w:rsidR="00D21B79" w:rsidRDefault="00D21B79" w:rsidP="00E749D9">
      <w:pPr>
        <w:spacing w:line="480" w:lineRule="auto"/>
        <w:rPr>
          <w:rFonts w:ascii="Arial" w:hAnsi="Arial" w:cs="Arial"/>
          <w:b/>
          <w:bCs/>
        </w:rPr>
      </w:pPr>
    </w:p>
    <w:p w14:paraId="2BC5190E" w14:textId="77777777" w:rsidR="00D21B79" w:rsidRDefault="00D21B79" w:rsidP="00E749D9">
      <w:pPr>
        <w:spacing w:line="480" w:lineRule="auto"/>
        <w:rPr>
          <w:rFonts w:ascii="Arial" w:hAnsi="Arial" w:cs="Arial"/>
          <w:b/>
          <w:bCs/>
        </w:rPr>
      </w:pPr>
    </w:p>
    <w:p w14:paraId="2C30A9C4" w14:textId="77777777" w:rsidR="00D21B79" w:rsidRDefault="00D21B79" w:rsidP="00E749D9">
      <w:pPr>
        <w:spacing w:line="480" w:lineRule="auto"/>
        <w:rPr>
          <w:rFonts w:ascii="Arial" w:hAnsi="Arial" w:cs="Arial"/>
          <w:b/>
          <w:bCs/>
        </w:rPr>
      </w:pPr>
    </w:p>
    <w:p w14:paraId="74113AF3" w14:textId="77777777" w:rsidR="00D21B79" w:rsidRDefault="00D21B79" w:rsidP="00E749D9">
      <w:pPr>
        <w:spacing w:line="480" w:lineRule="auto"/>
        <w:rPr>
          <w:rFonts w:ascii="Arial" w:hAnsi="Arial" w:cs="Arial"/>
          <w:b/>
          <w:bCs/>
        </w:rPr>
      </w:pPr>
    </w:p>
    <w:p w14:paraId="6F9D7E38" w14:textId="77777777" w:rsidR="00D21B79" w:rsidRDefault="00D21B79" w:rsidP="00E749D9">
      <w:pPr>
        <w:spacing w:line="480" w:lineRule="auto"/>
        <w:rPr>
          <w:rFonts w:ascii="Arial" w:hAnsi="Arial" w:cs="Arial"/>
          <w:b/>
          <w:bCs/>
        </w:rPr>
      </w:pPr>
    </w:p>
    <w:p w14:paraId="09D1AA29" w14:textId="77777777" w:rsidR="00D21B79" w:rsidRDefault="00D21B79" w:rsidP="00E749D9">
      <w:pPr>
        <w:spacing w:line="480" w:lineRule="auto"/>
        <w:rPr>
          <w:rFonts w:ascii="Arial" w:hAnsi="Arial" w:cs="Arial"/>
          <w:b/>
          <w:bCs/>
        </w:rPr>
      </w:pPr>
    </w:p>
    <w:p w14:paraId="10CB3B37" w14:textId="77777777" w:rsidR="00D21B79" w:rsidRDefault="00D21B79" w:rsidP="00E749D9">
      <w:pPr>
        <w:spacing w:line="480" w:lineRule="auto"/>
        <w:rPr>
          <w:rFonts w:ascii="Arial" w:hAnsi="Arial" w:cs="Arial"/>
          <w:b/>
          <w:bCs/>
        </w:rPr>
      </w:pPr>
    </w:p>
    <w:p w14:paraId="4F26FD14" w14:textId="77777777" w:rsidR="00D21B79" w:rsidRDefault="00D21B79" w:rsidP="00E749D9">
      <w:pPr>
        <w:spacing w:line="480" w:lineRule="auto"/>
        <w:rPr>
          <w:rFonts w:ascii="Arial" w:hAnsi="Arial" w:cs="Arial"/>
          <w:b/>
          <w:bCs/>
        </w:rPr>
      </w:pPr>
    </w:p>
    <w:p w14:paraId="7A630381" w14:textId="77777777" w:rsidR="00D21B79" w:rsidRDefault="00D21B79" w:rsidP="00E749D9">
      <w:pPr>
        <w:spacing w:line="480" w:lineRule="auto"/>
        <w:rPr>
          <w:rFonts w:ascii="Arial" w:hAnsi="Arial" w:cs="Arial"/>
          <w:b/>
          <w:bCs/>
        </w:rPr>
      </w:pPr>
    </w:p>
    <w:p w14:paraId="3040FB46" w14:textId="77777777" w:rsidR="00D21B79" w:rsidRDefault="00D21B79" w:rsidP="00E749D9">
      <w:pPr>
        <w:spacing w:line="480" w:lineRule="auto"/>
        <w:rPr>
          <w:rFonts w:ascii="Arial" w:hAnsi="Arial" w:cs="Arial"/>
          <w:b/>
          <w:bCs/>
        </w:rPr>
      </w:pPr>
    </w:p>
    <w:p w14:paraId="060A2DB5" w14:textId="77777777" w:rsidR="00D21B79" w:rsidRDefault="00D21B79" w:rsidP="00E749D9">
      <w:pPr>
        <w:spacing w:line="480" w:lineRule="auto"/>
        <w:rPr>
          <w:rFonts w:ascii="Arial" w:hAnsi="Arial" w:cs="Arial"/>
          <w:b/>
          <w:bCs/>
        </w:rPr>
      </w:pPr>
    </w:p>
    <w:p w14:paraId="33AA3125" w14:textId="77777777" w:rsidR="008501C9" w:rsidRDefault="008501C9" w:rsidP="00E749D9">
      <w:pPr>
        <w:spacing w:line="480" w:lineRule="auto"/>
        <w:rPr>
          <w:rFonts w:ascii="Arial" w:hAnsi="Arial" w:cs="Arial"/>
          <w:b/>
          <w:bCs/>
        </w:rPr>
      </w:pPr>
    </w:p>
    <w:p w14:paraId="58AC2DD8" w14:textId="5BC3A326" w:rsidR="00706E58" w:rsidRPr="00706E58" w:rsidRDefault="00706E58" w:rsidP="00706E58">
      <w:pPr>
        <w:pStyle w:val="NoSpacing"/>
        <w:pBdr>
          <w:top w:val="single" w:sz="4" w:space="1" w:color="auto"/>
          <w:left w:val="single" w:sz="4" w:space="4" w:color="auto"/>
          <w:bottom w:val="single" w:sz="4" w:space="1" w:color="auto"/>
          <w:right w:val="single" w:sz="4" w:space="4" w:color="auto"/>
        </w:pBdr>
        <w:rPr>
          <w:rFonts w:asciiTheme="minorBidi" w:hAnsiTheme="minorBidi"/>
          <w:b/>
          <w:bCs/>
          <w:sz w:val="24"/>
          <w:szCs w:val="24"/>
        </w:rPr>
      </w:pPr>
      <w:r w:rsidRPr="00706E58">
        <w:rPr>
          <w:rFonts w:asciiTheme="minorBidi" w:hAnsiTheme="minorBidi"/>
          <w:b/>
          <w:bCs/>
          <w:sz w:val="24"/>
          <w:szCs w:val="24"/>
        </w:rPr>
        <w:lastRenderedPageBreak/>
        <w:t xml:space="preserve">List of Tables and Figures </w:t>
      </w:r>
    </w:p>
    <w:p w14:paraId="08AC11B3" w14:textId="77777777" w:rsidR="00D21E0B" w:rsidRDefault="00D21E0B" w:rsidP="00BB01E0">
      <w:pPr>
        <w:spacing w:line="360" w:lineRule="auto"/>
        <w:rPr>
          <w:rFonts w:asciiTheme="minorBidi" w:hAnsiTheme="minorBidi"/>
        </w:rPr>
      </w:pPr>
    </w:p>
    <w:p w14:paraId="6F3EDDCC" w14:textId="62B9B044" w:rsidR="00706E58" w:rsidRPr="00BB01E0" w:rsidRDefault="00706E58" w:rsidP="00BB01E0">
      <w:pPr>
        <w:spacing w:line="360" w:lineRule="auto"/>
        <w:rPr>
          <w:rFonts w:asciiTheme="minorBidi" w:hAnsiTheme="minorBidi"/>
        </w:rPr>
      </w:pPr>
      <w:r w:rsidRPr="00BB01E0">
        <w:rPr>
          <w:rFonts w:asciiTheme="minorBidi" w:hAnsiTheme="minorBidi"/>
        </w:rPr>
        <w:t>Table 1.1 Overview of Research Aim, Objectives &amp; Questions</w:t>
      </w:r>
    </w:p>
    <w:p w14:paraId="1153421F" w14:textId="026E4452" w:rsidR="00706E58" w:rsidRPr="00BB01E0" w:rsidRDefault="00706E58" w:rsidP="006B37C0">
      <w:pPr>
        <w:spacing w:line="360" w:lineRule="auto"/>
        <w:rPr>
          <w:rFonts w:asciiTheme="minorBidi" w:hAnsiTheme="minorBidi"/>
        </w:rPr>
      </w:pPr>
      <w:r w:rsidRPr="00BB01E0">
        <w:rPr>
          <w:rFonts w:asciiTheme="minorBidi" w:hAnsiTheme="minorBidi"/>
        </w:rPr>
        <w:t xml:space="preserve">Table </w:t>
      </w:r>
      <w:r w:rsidRPr="00BB01E0">
        <w:rPr>
          <w:rFonts w:asciiTheme="minorBidi" w:hAnsiTheme="minorBidi"/>
        </w:rPr>
        <w:fldChar w:fldCharType="begin"/>
      </w:r>
      <w:r w:rsidRPr="00BB01E0">
        <w:rPr>
          <w:rFonts w:asciiTheme="minorBidi" w:hAnsiTheme="minorBidi"/>
        </w:rPr>
        <w:instrText xml:space="preserve"> STYLEREF 1 \s </w:instrText>
      </w:r>
      <w:r w:rsidRPr="00BB01E0">
        <w:rPr>
          <w:rFonts w:asciiTheme="minorBidi" w:hAnsiTheme="minorBidi"/>
        </w:rPr>
        <w:fldChar w:fldCharType="separate"/>
      </w:r>
      <w:r w:rsidRPr="00BB01E0">
        <w:rPr>
          <w:rFonts w:asciiTheme="minorBidi" w:hAnsiTheme="minorBidi"/>
          <w:noProof/>
          <w:cs/>
        </w:rPr>
        <w:t>‎</w:t>
      </w:r>
      <w:r w:rsidRPr="00BB01E0">
        <w:rPr>
          <w:rFonts w:asciiTheme="minorBidi" w:hAnsiTheme="minorBidi"/>
          <w:noProof/>
        </w:rPr>
        <w:t>2</w:t>
      </w:r>
      <w:r w:rsidRPr="00BB01E0">
        <w:rPr>
          <w:rFonts w:asciiTheme="minorBidi" w:hAnsiTheme="minorBidi"/>
        </w:rPr>
        <w:fldChar w:fldCharType="end"/>
      </w:r>
      <w:r w:rsidRPr="00BB01E0">
        <w:rPr>
          <w:rFonts w:asciiTheme="minorBidi" w:hAnsiTheme="minorBidi"/>
        </w:rPr>
        <w:t xml:space="preserve">.1 Chapter Two Research Objectives </w:t>
      </w:r>
      <w:r w:rsidR="006B37C0">
        <w:rPr>
          <w:rFonts w:asciiTheme="minorBidi" w:hAnsiTheme="minorBidi"/>
        </w:rPr>
        <w:t>/ Questions</w:t>
      </w:r>
      <w:r w:rsidRPr="00BB01E0">
        <w:rPr>
          <w:rFonts w:asciiTheme="minorBidi" w:hAnsiTheme="minorBidi"/>
        </w:rPr>
        <w:t xml:space="preserve">1 - 4 </w:t>
      </w:r>
    </w:p>
    <w:p w14:paraId="421C4DF1" w14:textId="77777777" w:rsidR="00706E58" w:rsidRPr="00BB01E0" w:rsidRDefault="00706E58" w:rsidP="00BB01E0">
      <w:pPr>
        <w:spacing w:line="360" w:lineRule="auto"/>
        <w:rPr>
          <w:rFonts w:asciiTheme="minorBidi" w:hAnsiTheme="minorBidi"/>
          <w:iCs/>
          <w:lang w:eastAsia="en-US"/>
        </w:rPr>
      </w:pPr>
      <w:bookmarkStart w:id="249" w:name="_Hlk171601142"/>
      <w:r w:rsidRPr="00BB01E0">
        <w:rPr>
          <w:rFonts w:asciiTheme="minorBidi" w:hAnsiTheme="minorBidi"/>
          <w:iCs/>
          <w:lang w:eastAsia="en-US"/>
        </w:rPr>
        <w:t>Table 2.2 Summary of Accounting Scandals based on ‘a – d’.</w:t>
      </w:r>
    </w:p>
    <w:bookmarkEnd w:id="249"/>
    <w:p w14:paraId="7E3CAB93" w14:textId="77777777" w:rsidR="00706E58" w:rsidRPr="00BB01E0" w:rsidRDefault="00706E58" w:rsidP="00BB01E0">
      <w:pPr>
        <w:spacing w:line="360" w:lineRule="auto"/>
        <w:rPr>
          <w:rFonts w:asciiTheme="minorBidi" w:eastAsiaTheme="majorEastAsia" w:hAnsiTheme="minorBidi"/>
          <w:kern w:val="0"/>
          <w14:ligatures w14:val="none"/>
        </w:rPr>
      </w:pPr>
      <w:r w:rsidRPr="00BB01E0">
        <w:rPr>
          <w:rFonts w:asciiTheme="minorBidi" w:eastAsiaTheme="majorEastAsia" w:hAnsiTheme="minorBidi"/>
          <w:kern w:val="0"/>
          <w14:ligatures w14:val="none"/>
        </w:rPr>
        <w:t>Table 3.1 Inclusion of Sub Research Questions (SRQ1 – SRQ6)</w:t>
      </w:r>
    </w:p>
    <w:p w14:paraId="788F2EC5" w14:textId="77777777" w:rsidR="00706E58" w:rsidRPr="00BB01E0" w:rsidRDefault="00706E58" w:rsidP="00BB01E0">
      <w:pPr>
        <w:spacing w:line="360" w:lineRule="auto"/>
        <w:rPr>
          <w:rFonts w:asciiTheme="minorBidi" w:eastAsia="Times New Roman" w:hAnsiTheme="minorBidi"/>
          <w:kern w:val="0"/>
          <w14:ligatures w14:val="none"/>
        </w:rPr>
      </w:pPr>
      <w:r w:rsidRPr="00BB01E0">
        <w:rPr>
          <w:rFonts w:asciiTheme="minorBidi" w:eastAsia="Times New Roman" w:hAnsiTheme="minorBidi"/>
          <w:color w:val="000000" w:themeColor="text1"/>
          <w:kern w:val="0"/>
          <w14:ligatures w14:val="none"/>
        </w:rPr>
        <w:t>Table 3.2 – Review of Research Strategies</w:t>
      </w:r>
    </w:p>
    <w:p w14:paraId="77B73EA7" w14:textId="77777777" w:rsidR="005D0973" w:rsidRPr="00BB01E0" w:rsidRDefault="005D0973" w:rsidP="00BB01E0">
      <w:pPr>
        <w:spacing w:line="360" w:lineRule="auto"/>
        <w:rPr>
          <w:rFonts w:asciiTheme="minorBidi" w:hAnsiTheme="minorBidi"/>
        </w:rPr>
      </w:pPr>
      <w:r w:rsidRPr="00BB01E0">
        <w:rPr>
          <w:rFonts w:asciiTheme="minorBidi" w:hAnsiTheme="minorBidi"/>
        </w:rPr>
        <w:t xml:space="preserve">Table 4.1 Research Objectives 5 and Research Questions 5. </w:t>
      </w:r>
    </w:p>
    <w:p w14:paraId="4BEB932A" w14:textId="77777777" w:rsidR="005D0973" w:rsidRPr="00BB01E0" w:rsidRDefault="005D0973" w:rsidP="00BB01E0">
      <w:pPr>
        <w:spacing w:line="360" w:lineRule="auto"/>
        <w:rPr>
          <w:rFonts w:asciiTheme="minorBidi" w:hAnsiTheme="minorBidi"/>
          <w:color w:val="000000" w:themeColor="text1"/>
        </w:rPr>
      </w:pPr>
      <w:r w:rsidRPr="00BB01E0">
        <w:rPr>
          <w:rFonts w:asciiTheme="minorBidi" w:hAnsiTheme="minorBidi"/>
          <w:color w:val="000000" w:themeColor="text1"/>
        </w:rPr>
        <w:t>Table 4.2 Methodological Choice &amp; Research Strategy</w:t>
      </w:r>
    </w:p>
    <w:p w14:paraId="27798DE6" w14:textId="77777777" w:rsidR="005D0973" w:rsidRPr="00BB01E0" w:rsidRDefault="005D0973" w:rsidP="00BB01E0">
      <w:pPr>
        <w:spacing w:line="360" w:lineRule="auto"/>
        <w:rPr>
          <w:rFonts w:asciiTheme="minorBidi" w:eastAsia="Times New Roman" w:hAnsiTheme="minorBidi"/>
          <w:color w:val="000000" w:themeColor="text1"/>
          <w:spacing w:val="1"/>
          <w:lang w:eastAsia="en-GB"/>
        </w:rPr>
      </w:pPr>
      <w:bookmarkStart w:id="250" w:name="_Hlk171606518"/>
      <w:r w:rsidRPr="00BB01E0">
        <w:rPr>
          <w:rFonts w:asciiTheme="minorBidi" w:eastAsia="Times New Roman" w:hAnsiTheme="minorBidi"/>
          <w:color w:val="000000" w:themeColor="text1"/>
          <w:spacing w:val="1"/>
          <w:lang w:eastAsia="en-GB"/>
        </w:rPr>
        <w:t xml:space="preserve">Table 4.3 Culture Statements </w:t>
      </w:r>
    </w:p>
    <w:p w14:paraId="7D4569A6" w14:textId="77777777" w:rsidR="005D0973" w:rsidRPr="00BB01E0" w:rsidRDefault="005D0973" w:rsidP="00BB01E0">
      <w:pPr>
        <w:spacing w:line="360" w:lineRule="auto"/>
        <w:rPr>
          <w:rFonts w:asciiTheme="minorBidi" w:eastAsia="Times New Roman" w:hAnsiTheme="minorBidi"/>
          <w:color w:val="000000" w:themeColor="text1"/>
          <w:spacing w:val="1"/>
          <w:lang w:eastAsia="en-GB"/>
        </w:rPr>
      </w:pPr>
      <w:bookmarkStart w:id="251" w:name="_Hlk171606551"/>
      <w:bookmarkEnd w:id="250"/>
      <w:r w:rsidRPr="00BB01E0">
        <w:rPr>
          <w:rFonts w:asciiTheme="minorBidi" w:eastAsia="Times New Roman" w:hAnsiTheme="minorBidi"/>
          <w:color w:val="000000" w:themeColor="text1"/>
          <w:spacing w:val="1"/>
          <w:lang w:eastAsia="en-GB"/>
        </w:rPr>
        <w:t>Table 4.4 Unethical Actions</w:t>
      </w:r>
    </w:p>
    <w:p w14:paraId="6AF2EEE0" w14:textId="77777777" w:rsidR="005D0973" w:rsidRPr="00BB01E0" w:rsidRDefault="005D0973" w:rsidP="00BB01E0">
      <w:pPr>
        <w:spacing w:line="360" w:lineRule="auto"/>
        <w:rPr>
          <w:rFonts w:asciiTheme="minorBidi" w:hAnsiTheme="minorBidi"/>
          <w:color w:val="000000" w:themeColor="text1"/>
          <w:spacing w:val="1"/>
        </w:rPr>
      </w:pPr>
      <w:bookmarkStart w:id="252" w:name="_Hlk171606583"/>
      <w:bookmarkEnd w:id="251"/>
      <w:r w:rsidRPr="00BB01E0">
        <w:rPr>
          <w:rFonts w:asciiTheme="minorBidi" w:hAnsiTheme="minorBidi"/>
          <w:color w:val="000000" w:themeColor="text1"/>
          <w:spacing w:val="1"/>
        </w:rPr>
        <w:t>Table 4.5 Statements Testing Psychopathy</w:t>
      </w:r>
    </w:p>
    <w:bookmarkEnd w:id="252"/>
    <w:p w14:paraId="56D90D1D" w14:textId="77777777" w:rsidR="005D0973" w:rsidRPr="00BB01E0" w:rsidRDefault="005D0973" w:rsidP="00BB01E0">
      <w:pPr>
        <w:spacing w:line="360" w:lineRule="auto"/>
        <w:rPr>
          <w:rFonts w:asciiTheme="minorBidi" w:eastAsia="Times New Roman" w:hAnsiTheme="minorBidi"/>
          <w:kern w:val="0"/>
          <w14:ligatures w14:val="none"/>
        </w:rPr>
      </w:pPr>
      <w:r w:rsidRPr="00BB01E0">
        <w:rPr>
          <w:rFonts w:asciiTheme="minorBidi" w:eastAsia="Times New Roman" w:hAnsiTheme="minorBidi"/>
          <w:kern w:val="0"/>
          <w14:ligatures w14:val="none"/>
        </w:rPr>
        <w:t>Table 5.1 The Research Cycle</w:t>
      </w:r>
    </w:p>
    <w:p w14:paraId="5FD8FB68" w14:textId="77777777" w:rsidR="005D0973" w:rsidRPr="00BB01E0" w:rsidRDefault="005D0973" w:rsidP="00BB01E0">
      <w:pPr>
        <w:spacing w:line="360" w:lineRule="auto"/>
        <w:rPr>
          <w:rFonts w:asciiTheme="minorBidi" w:hAnsiTheme="minorBidi"/>
        </w:rPr>
      </w:pPr>
      <w:r w:rsidRPr="00BB01E0">
        <w:rPr>
          <w:rFonts w:asciiTheme="minorBidi" w:hAnsiTheme="minorBidi"/>
        </w:rPr>
        <w:t>Table 5.2 Research Objective and Research Question Six</w:t>
      </w:r>
    </w:p>
    <w:p w14:paraId="2231B7E0" w14:textId="77777777" w:rsidR="005D0973" w:rsidRPr="00BB01E0" w:rsidRDefault="005D0973" w:rsidP="00BB01E0">
      <w:pPr>
        <w:spacing w:line="360" w:lineRule="auto"/>
        <w:rPr>
          <w:rFonts w:asciiTheme="minorBidi" w:hAnsiTheme="minorBidi"/>
        </w:rPr>
      </w:pPr>
      <w:r w:rsidRPr="00BB01E0">
        <w:rPr>
          <w:rFonts w:asciiTheme="minorBidi" w:eastAsiaTheme="minorHAnsi" w:hAnsiTheme="minorBidi"/>
          <w:color w:val="0D0D0D" w:themeColor="text1" w:themeTint="F2"/>
          <w:kern w:val="0"/>
          <w:lang w:eastAsia="en-US"/>
          <w14:ligatures w14:val="none"/>
        </w:rPr>
        <w:t xml:space="preserve">Table 5.3 </w:t>
      </w:r>
      <w:r w:rsidRPr="00BB01E0">
        <w:rPr>
          <w:rFonts w:asciiTheme="minorBidi" w:hAnsiTheme="minorBidi"/>
        </w:rPr>
        <w:t>Overall Research Aim, Research Objectives and Research Questions</w:t>
      </w:r>
    </w:p>
    <w:p w14:paraId="6867BFD9" w14:textId="77777777" w:rsidR="005D0973" w:rsidRPr="00BB01E0" w:rsidRDefault="005D0973" w:rsidP="00BB01E0">
      <w:pPr>
        <w:spacing w:line="360" w:lineRule="auto"/>
        <w:rPr>
          <w:rFonts w:asciiTheme="minorBidi" w:eastAsia="Times New Roman" w:hAnsiTheme="minorBidi"/>
          <w:kern w:val="0"/>
          <w14:ligatures w14:val="none"/>
        </w:rPr>
      </w:pPr>
      <w:r w:rsidRPr="00BB01E0">
        <w:rPr>
          <w:rFonts w:asciiTheme="minorBidi" w:eastAsia="Times New Roman" w:hAnsiTheme="minorBidi"/>
          <w:kern w:val="0"/>
          <w14:ligatures w14:val="none"/>
        </w:rPr>
        <w:t>Table 5.4 Outcome of Hypotheses Tested</w:t>
      </w:r>
    </w:p>
    <w:p w14:paraId="6F37DFDD" w14:textId="77777777" w:rsidR="005D0973" w:rsidRPr="00BB01E0" w:rsidRDefault="005D0973" w:rsidP="00BB01E0">
      <w:pPr>
        <w:spacing w:line="360" w:lineRule="auto"/>
        <w:rPr>
          <w:rFonts w:asciiTheme="minorBidi" w:eastAsiaTheme="minorHAnsi" w:hAnsiTheme="minorBidi"/>
          <w:color w:val="000000" w:themeColor="text1"/>
          <w:kern w:val="0"/>
          <w:lang w:eastAsia="en-US"/>
          <w14:ligatures w14:val="none"/>
        </w:rPr>
      </w:pPr>
      <w:r w:rsidRPr="00BB01E0">
        <w:rPr>
          <w:rFonts w:asciiTheme="minorBidi" w:eastAsiaTheme="minorHAnsi" w:hAnsiTheme="minorBidi"/>
          <w:color w:val="000000" w:themeColor="text1"/>
          <w:kern w:val="0"/>
          <w:lang w:eastAsia="en-US"/>
          <w14:ligatures w14:val="none"/>
        </w:rPr>
        <w:t>Table 5.5 Stages and Approaches to Facilitate an Anti-Fraud Culture</w:t>
      </w:r>
    </w:p>
    <w:p w14:paraId="4D94210A" w14:textId="77777777" w:rsidR="005D0973" w:rsidRPr="00BB01E0" w:rsidRDefault="005D0973" w:rsidP="00BB01E0">
      <w:pPr>
        <w:spacing w:line="360" w:lineRule="auto"/>
        <w:rPr>
          <w:rFonts w:asciiTheme="minorBidi" w:eastAsiaTheme="minorHAnsi" w:hAnsiTheme="minorBidi"/>
          <w:color w:val="000000" w:themeColor="text1"/>
          <w:kern w:val="0"/>
          <w:lang w:eastAsia="en-US"/>
          <w14:ligatures w14:val="none"/>
        </w:rPr>
      </w:pPr>
      <w:r w:rsidRPr="00BB01E0">
        <w:rPr>
          <w:rFonts w:asciiTheme="minorBidi" w:eastAsia="Times New Roman" w:hAnsiTheme="minorBidi"/>
          <w:kern w:val="0"/>
          <w14:ligatures w14:val="none"/>
        </w:rPr>
        <w:t>Table 5.6 The Theoretical Models and Corporate Psychopath Accountant Construct underpinning the</w:t>
      </w:r>
      <w:r w:rsidRPr="00BB01E0">
        <w:rPr>
          <w:rFonts w:asciiTheme="minorBidi" w:eastAsiaTheme="minorHAnsi" w:hAnsiTheme="minorBidi"/>
          <w:color w:val="000000" w:themeColor="text1"/>
          <w:kern w:val="0"/>
          <w:lang w:eastAsia="en-US"/>
          <w14:ligatures w14:val="none"/>
        </w:rPr>
        <w:t xml:space="preserve"> SM CROWE ANTI-FRAUD BUILDER</w:t>
      </w:r>
    </w:p>
    <w:p w14:paraId="7D1FFD6D" w14:textId="77777777" w:rsidR="00206123" w:rsidRPr="00BB01E0" w:rsidRDefault="00206123" w:rsidP="00BB01E0">
      <w:pPr>
        <w:spacing w:line="360" w:lineRule="auto"/>
        <w:rPr>
          <w:rFonts w:asciiTheme="minorBidi" w:hAnsiTheme="minorBidi"/>
          <w:shd w:val="clear" w:color="auto" w:fill="FFFFFF"/>
          <w:lang w:val="en-US"/>
        </w:rPr>
      </w:pPr>
      <w:r w:rsidRPr="00BB01E0">
        <w:rPr>
          <w:rFonts w:asciiTheme="minorBidi" w:hAnsiTheme="minorBidi"/>
          <w:shd w:val="clear" w:color="auto" w:fill="FFFFFF"/>
          <w:lang w:val="en-US"/>
        </w:rPr>
        <w:t>Figure 1.1 Top ten bankruptcies to date</w:t>
      </w:r>
    </w:p>
    <w:p w14:paraId="4F4A3AFA" w14:textId="77777777" w:rsidR="00206123" w:rsidRPr="00BB01E0" w:rsidRDefault="00206123" w:rsidP="00BB01E0">
      <w:pPr>
        <w:spacing w:line="360" w:lineRule="auto"/>
        <w:rPr>
          <w:rFonts w:asciiTheme="minorBidi" w:hAnsiTheme="minorBidi"/>
          <w:lang w:val="en-US"/>
        </w:rPr>
      </w:pPr>
      <w:r w:rsidRPr="00BB01E0">
        <w:rPr>
          <w:rFonts w:asciiTheme="minorBidi" w:hAnsiTheme="minorBidi"/>
          <w:lang w:val="en-US"/>
        </w:rPr>
        <w:t>Figure 1.2 The Dark Triad</w:t>
      </w:r>
    </w:p>
    <w:p w14:paraId="6DC576BD" w14:textId="77777777" w:rsidR="00206123" w:rsidRPr="00BB01E0" w:rsidRDefault="00206123" w:rsidP="00BB01E0">
      <w:pPr>
        <w:spacing w:line="360" w:lineRule="auto"/>
        <w:rPr>
          <w:rFonts w:asciiTheme="minorBidi" w:hAnsiTheme="minorBidi"/>
        </w:rPr>
      </w:pPr>
      <w:r w:rsidRPr="00BB01E0">
        <w:rPr>
          <w:rFonts w:asciiTheme="minorBidi" w:hAnsiTheme="minorBidi"/>
        </w:rPr>
        <w:t>Figure 1.3 Thesis Chapter Organisation</w:t>
      </w:r>
    </w:p>
    <w:p w14:paraId="4B691C68" w14:textId="77777777" w:rsidR="00206123" w:rsidRPr="00BB01E0" w:rsidRDefault="00206123" w:rsidP="00BB01E0">
      <w:pPr>
        <w:spacing w:line="360" w:lineRule="auto"/>
        <w:rPr>
          <w:rFonts w:asciiTheme="minorBidi" w:hAnsiTheme="minorBidi"/>
        </w:rPr>
      </w:pPr>
      <w:r w:rsidRPr="00BB01E0">
        <w:rPr>
          <w:rFonts w:asciiTheme="minorBidi" w:hAnsiTheme="minorBidi"/>
        </w:rPr>
        <w:t xml:space="preserve">Figure 1.4 Thesis Framework </w:t>
      </w:r>
    </w:p>
    <w:p w14:paraId="19209AEC" w14:textId="77777777" w:rsidR="00206123" w:rsidRPr="00BB01E0" w:rsidRDefault="00206123" w:rsidP="00BB01E0">
      <w:pPr>
        <w:spacing w:line="360" w:lineRule="auto"/>
        <w:rPr>
          <w:rFonts w:asciiTheme="minorBidi" w:hAnsiTheme="minorBidi"/>
        </w:rPr>
      </w:pPr>
      <w:r w:rsidRPr="00BB01E0">
        <w:rPr>
          <w:rFonts w:asciiTheme="minorBidi" w:eastAsiaTheme="minorHAnsi" w:hAnsiTheme="minorBidi"/>
          <w:kern w:val="0"/>
          <w:lang w:val="en-US" w:eastAsia="en-US"/>
          <w14:ligatures w14:val="none"/>
        </w:rPr>
        <w:t>Figure 2.1 Literature Review Chapter Break Down</w:t>
      </w:r>
    </w:p>
    <w:p w14:paraId="12E4174B" w14:textId="77777777" w:rsidR="00206123" w:rsidRPr="00BB01E0" w:rsidRDefault="00206123" w:rsidP="00BB01E0">
      <w:pPr>
        <w:spacing w:line="360" w:lineRule="auto"/>
        <w:rPr>
          <w:rFonts w:asciiTheme="minorBidi" w:eastAsiaTheme="minorHAnsi" w:hAnsiTheme="minorBidi"/>
          <w:kern w:val="0"/>
          <w:shd w:val="clear" w:color="auto" w:fill="FFFFFF"/>
          <w:lang w:val="en-US" w:eastAsia="en-US"/>
          <w14:ligatures w14:val="none"/>
        </w:rPr>
      </w:pPr>
      <w:r w:rsidRPr="00BB01E0">
        <w:rPr>
          <w:rFonts w:asciiTheme="minorBidi" w:eastAsiaTheme="minorHAnsi" w:hAnsiTheme="minorBidi"/>
          <w:kern w:val="0"/>
          <w:shd w:val="clear" w:color="auto" w:fill="FFFFFF"/>
          <w:lang w:val="en-US" w:eastAsia="en-US"/>
          <w14:ligatures w14:val="none"/>
        </w:rPr>
        <w:t>Figure 2.2 ACFE (2018) report to the nations</w:t>
      </w:r>
    </w:p>
    <w:p w14:paraId="535E5DA1" w14:textId="77777777" w:rsidR="00206123" w:rsidRPr="00BB01E0" w:rsidRDefault="00206123" w:rsidP="00BB01E0">
      <w:pPr>
        <w:spacing w:line="360" w:lineRule="auto"/>
        <w:rPr>
          <w:rFonts w:asciiTheme="minorBidi" w:eastAsiaTheme="minorHAnsi" w:hAnsiTheme="minorBidi"/>
          <w:iCs/>
          <w:kern w:val="0"/>
          <w:shd w:val="clear" w:color="auto" w:fill="FFFFFF"/>
          <w:lang w:val="en-US" w:eastAsia="en-US"/>
          <w14:ligatures w14:val="none"/>
        </w:rPr>
      </w:pPr>
      <w:r w:rsidRPr="00BB01E0">
        <w:rPr>
          <w:rFonts w:asciiTheme="minorBidi" w:eastAsiaTheme="minorHAnsi" w:hAnsiTheme="minorBidi"/>
          <w:iCs/>
          <w:kern w:val="0"/>
          <w:shd w:val="clear" w:color="auto" w:fill="FFFFFF"/>
          <w:lang w:val="en-US" w:eastAsia="en-US"/>
          <w14:ligatures w14:val="none"/>
        </w:rPr>
        <w:lastRenderedPageBreak/>
        <w:t>Figure 2.3 Examples of techniques used to abuse revenue.</w:t>
      </w:r>
    </w:p>
    <w:p w14:paraId="663ACAF8" w14:textId="77777777" w:rsidR="00206123" w:rsidRPr="00BB01E0" w:rsidRDefault="00206123" w:rsidP="00BB01E0">
      <w:pPr>
        <w:spacing w:line="360" w:lineRule="auto"/>
        <w:rPr>
          <w:rFonts w:asciiTheme="minorBidi" w:eastAsiaTheme="minorHAnsi" w:hAnsiTheme="minorBidi"/>
          <w:kern w:val="0"/>
          <w:shd w:val="clear" w:color="auto" w:fill="FFFFFF"/>
          <w:lang w:val="en-US" w:eastAsia="en-US"/>
          <w14:ligatures w14:val="none"/>
        </w:rPr>
      </w:pPr>
      <w:r w:rsidRPr="00BB01E0">
        <w:rPr>
          <w:rFonts w:asciiTheme="minorBidi" w:eastAsiaTheme="minorHAnsi" w:hAnsiTheme="minorBidi"/>
          <w:kern w:val="0"/>
          <w:shd w:val="clear" w:color="auto" w:fill="FFFFFF"/>
          <w:lang w:val="en-US" w:eastAsia="en-US"/>
          <w14:ligatures w14:val="none"/>
        </w:rPr>
        <w:t>Figure 2.4 Examples of techniques to undertake asset valuation misuse.</w:t>
      </w:r>
    </w:p>
    <w:p w14:paraId="788971FE" w14:textId="77777777" w:rsidR="00206123" w:rsidRPr="00BB01E0" w:rsidRDefault="00206123" w:rsidP="00BB01E0">
      <w:pPr>
        <w:spacing w:line="360" w:lineRule="auto"/>
        <w:rPr>
          <w:rFonts w:asciiTheme="minorBidi" w:eastAsiaTheme="minorHAnsi" w:hAnsiTheme="minorBidi"/>
          <w:kern w:val="0"/>
          <w:shd w:val="clear" w:color="auto" w:fill="FFFFFF"/>
          <w:lang w:val="en-US" w:eastAsia="en-US"/>
          <w14:ligatures w14:val="none"/>
        </w:rPr>
      </w:pPr>
      <w:r w:rsidRPr="00BB01E0">
        <w:rPr>
          <w:rFonts w:asciiTheme="minorBidi" w:eastAsiaTheme="minorHAnsi" w:hAnsiTheme="minorBidi"/>
          <w:kern w:val="0"/>
          <w:shd w:val="clear" w:color="auto" w:fill="FFFFFF"/>
          <w:lang w:val="en-US" w:eastAsia="en-US"/>
          <w14:ligatures w14:val="none"/>
        </w:rPr>
        <w:t>Figure 2.5 Examples of hiding liabilities and expenses</w:t>
      </w:r>
    </w:p>
    <w:p w14:paraId="4BE71EAD" w14:textId="77777777" w:rsidR="00206123" w:rsidRPr="00BB01E0" w:rsidRDefault="00206123" w:rsidP="00BB01E0">
      <w:pPr>
        <w:spacing w:line="360" w:lineRule="auto"/>
        <w:rPr>
          <w:rFonts w:asciiTheme="minorBidi" w:eastAsia="Times New Roman" w:hAnsiTheme="minorBidi"/>
          <w:kern w:val="0"/>
          <w14:ligatures w14:val="none"/>
        </w:rPr>
      </w:pPr>
      <w:r w:rsidRPr="00BB01E0">
        <w:rPr>
          <w:rFonts w:asciiTheme="minorBidi" w:eastAsia="Times New Roman" w:hAnsiTheme="minorBidi"/>
          <w:kern w:val="0"/>
          <w14:ligatures w14:val="none"/>
        </w:rPr>
        <w:t>Figure 2.6 Chief Components of Corporate Governance</w:t>
      </w:r>
    </w:p>
    <w:p w14:paraId="7C90A0FF" w14:textId="77777777" w:rsidR="00206123" w:rsidRPr="00BB01E0" w:rsidRDefault="00206123" w:rsidP="00BB01E0">
      <w:pPr>
        <w:spacing w:line="360" w:lineRule="auto"/>
        <w:rPr>
          <w:rFonts w:asciiTheme="minorBidi" w:hAnsiTheme="minorBidi"/>
        </w:rPr>
      </w:pPr>
      <w:bookmarkStart w:id="253" w:name="_Hlk171600710"/>
      <w:r w:rsidRPr="00BB01E0">
        <w:rPr>
          <w:rFonts w:asciiTheme="minorBidi" w:hAnsiTheme="minorBidi"/>
        </w:rPr>
        <w:t>Figure 2.7 Corporate Governance Cosmos</w:t>
      </w:r>
    </w:p>
    <w:bookmarkEnd w:id="253"/>
    <w:p w14:paraId="537D41C9" w14:textId="77777777" w:rsidR="00206123" w:rsidRPr="00BB01E0" w:rsidRDefault="00206123" w:rsidP="00BB01E0">
      <w:pPr>
        <w:spacing w:line="360" w:lineRule="auto"/>
        <w:rPr>
          <w:rFonts w:asciiTheme="minorBidi" w:eastAsiaTheme="minorHAnsi" w:hAnsiTheme="minorBidi"/>
          <w:kern w:val="0"/>
          <w:lang w:val="en-US" w:eastAsia="en-US"/>
          <w14:ligatures w14:val="none"/>
        </w:rPr>
      </w:pPr>
      <w:r w:rsidRPr="00BB01E0">
        <w:rPr>
          <w:rFonts w:asciiTheme="minorBidi" w:eastAsiaTheme="minorHAnsi" w:hAnsiTheme="minorBidi"/>
          <w:kern w:val="0"/>
          <w:lang w:val="en-US" w:eastAsia="en-US"/>
          <w14:ligatures w14:val="none"/>
        </w:rPr>
        <w:t xml:space="preserve">Figure 2.8 The Fraud Triangle </w:t>
      </w:r>
    </w:p>
    <w:p w14:paraId="07518C46" w14:textId="77777777" w:rsidR="00206123" w:rsidRPr="00BB01E0" w:rsidRDefault="00206123" w:rsidP="00BB01E0">
      <w:pPr>
        <w:spacing w:line="360" w:lineRule="auto"/>
        <w:rPr>
          <w:rFonts w:asciiTheme="minorBidi" w:eastAsiaTheme="minorHAnsi" w:hAnsiTheme="minorBidi"/>
          <w:kern w:val="0"/>
          <w:shd w:val="clear" w:color="auto" w:fill="FFFFFF"/>
          <w:lang w:val="en-US" w:eastAsia="en-US"/>
          <w14:ligatures w14:val="none"/>
        </w:rPr>
      </w:pPr>
      <w:bookmarkStart w:id="254" w:name="_Hlk171601288"/>
      <w:r w:rsidRPr="00BB01E0">
        <w:rPr>
          <w:rFonts w:asciiTheme="minorBidi" w:eastAsiaTheme="minorHAnsi" w:hAnsiTheme="minorBidi"/>
          <w:iCs/>
          <w:kern w:val="0"/>
          <w:lang w:val="en-US" w:eastAsia="en-US"/>
          <w14:ligatures w14:val="none"/>
        </w:rPr>
        <w:t xml:space="preserve">Figure 2.9 </w:t>
      </w:r>
      <w:r w:rsidRPr="00BB01E0">
        <w:rPr>
          <w:rFonts w:asciiTheme="minorBidi" w:eastAsiaTheme="minorHAnsi" w:hAnsiTheme="minorBidi"/>
          <w:kern w:val="0"/>
          <w:shd w:val="clear" w:color="auto" w:fill="FFFFFF"/>
          <w:lang w:val="en-US" w:eastAsia="en-US"/>
          <w14:ligatures w14:val="none"/>
        </w:rPr>
        <w:t>Typology of Pressure</w:t>
      </w:r>
      <w:bookmarkEnd w:id="254"/>
    </w:p>
    <w:p w14:paraId="5E7EFB25" w14:textId="3973391F" w:rsidR="00206123" w:rsidRPr="00BB01E0" w:rsidRDefault="00206123" w:rsidP="00BB01E0">
      <w:pPr>
        <w:spacing w:line="360" w:lineRule="auto"/>
        <w:rPr>
          <w:rFonts w:asciiTheme="minorBidi" w:eastAsiaTheme="minorHAnsi" w:hAnsiTheme="minorBidi"/>
          <w:kern w:val="0"/>
          <w:lang w:eastAsia="en-US"/>
          <w14:ligatures w14:val="none"/>
        </w:rPr>
      </w:pPr>
      <w:r w:rsidRPr="00BB01E0">
        <w:rPr>
          <w:rFonts w:asciiTheme="minorBidi" w:eastAsiaTheme="minorHAnsi" w:hAnsiTheme="minorBidi"/>
          <w:kern w:val="0"/>
          <w:lang w:eastAsia="en-US"/>
          <w14:ligatures w14:val="none"/>
        </w:rPr>
        <w:t xml:space="preserve">Figure 2.10 Fraud Triangle (Adapted by </w:t>
      </w:r>
      <w:r w:rsidR="007951D3">
        <w:rPr>
          <w:rFonts w:asciiTheme="minorBidi" w:eastAsiaTheme="minorHAnsi" w:hAnsiTheme="minorBidi"/>
          <w:kern w:val="0"/>
          <w:lang w:eastAsia="en-US"/>
          <w14:ligatures w14:val="none"/>
        </w:rPr>
        <w:t>Researcher</w:t>
      </w:r>
      <w:r w:rsidRPr="00BB01E0">
        <w:rPr>
          <w:rFonts w:asciiTheme="minorBidi" w:eastAsiaTheme="minorHAnsi" w:hAnsiTheme="minorBidi"/>
          <w:kern w:val="0"/>
          <w:lang w:eastAsia="en-US"/>
          <w14:ligatures w14:val="none"/>
        </w:rPr>
        <w:t>)</w:t>
      </w:r>
    </w:p>
    <w:p w14:paraId="4875B09A" w14:textId="77777777" w:rsidR="00206123" w:rsidRPr="00BB01E0" w:rsidRDefault="00206123" w:rsidP="00BB01E0">
      <w:pPr>
        <w:spacing w:line="360" w:lineRule="auto"/>
        <w:rPr>
          <w:rFonts w:asciiTheme="minorBidi" w:eastAsiaTheme="minorHAnsi" w:hAnsiTheme="minorBidi"/>
          <w:kern w:val="0"/>
          <w:lang w:val="en-US" w:eastAsia="en-US"/>
          <w14:ligatures w14:val="none"/>
        </w:rPr>
      </w:pPr>
      <w:bookmarkStart w:id="255" w:name="_Hlk171604287"/>
      <w:r w:rsidRPr="00BB01E0">
        <w:rPr>
          <w:rFonts w:asciiTheme="minorBidi" w:eastAsiaTheme="minorHAnsi" w:hAnsiTheme="minorBidi"/>
          <w:kern w:val="0"/>
          <w:lang w:val="en-US" w:eastAsia="en-US"/>
          <w14:ligatures w14:val="none"/>
        </w:rPr>
        <w:t xml:space="preserve">Figure 2.11 The Fraud Scale </w:t>
      </w:r>
    </w:p>
    <w:p w14:paraId="6604EEF1" w14:textId="77777777" w:rsidR="00206123" w:rsidRPr="00BB01E0" w:rsidRDefault="00206123" w:rsidP="00BB01E0">
      <w:pPr>
        <w:spacing w:line="360" w:lineRule="auto"/>
        <w:rPr>
          <w:rFonts w:asciiTheme="minorBidi" w:eastAsiaTheme="minorHAnsi" w:hAnsiTheme="minorBidi"/>
          <w:kern w:val="0"/>
          <w:shd w:val="clear" w:color="auto" w:fill="FFFFFF"/>
          <w:lang w:val="en-US" w:eastAsia="en-US"/>
          <w14:ligatures w14:val="none"/>
        </w:rPr>
      </w:pPr>
      <w:bookmarkStart w:id="256" w:name="_Hlk171604349"/>
      <w:bookmarkEnd w:id="255"/>
      <w:r w:rsidRPr="00BB01E0">
        <w:rPr>
          <w:rFonts w:asciiTheme="minorBidi" w:eastAsiaTheme="minorHAnsi" w:hAnsiTheme="minorBidi"/>
          <w:kern w:val="0"/>
          <w:shd w:val="clear" w:color="auto" w:fill="FFFFFF"/>
          <w:lang w:val="en-US" w:eastAsia="en-US"/>
          <w14:ligatures w14:val="none"/>
        </w:rPr>
        <w:t xml:space="preserve">Figure 2.12 The Fraud Diamond </w:t>
      </w:r>
    </w:p>
    <w:p w14:paraId="664F7C13" w14:textId="77777777" w:rsidR="00206123" w:rsidRPr="00BB01E0" w:rsidRDefault="00206123" w:rsidP="00BB01E0">
      <w:pPr>
        <w:spacing w:line="360" w:lineRule="auto"/>
        <w:rPr>
          <w:rFonts w:asciiTheme="minorBidi" w:eastAsiaTheme="minorHAnsi" w:hAnsiTheme="minorBidi"/>
          <w:kern w:val="0"/>
          <w:lang w:val="en-US" w:eastAsia="en-US"/>
          <w14:ligatures w14:val="none"/>
        </w:rPr>
      </w:pPr>
      <w:bookmarkStart w:id="257" w:name="_Hlk171604394"/>
      <w:bookmarkEnd w:id="256"/>
      <w:r w:rsidRPr="00BB01E0">
        <w:rPr>
          <w:rFonts w:asciiTheme="minorBidi" w:eastAsiaTheme="minorHAnsi" w:hAnsiTheme="minorBidi"/>
          <w:kern w:val="0"/>
          <w:lang w:val="en-US" w:eastAsia="en-US"/>
          <w14:ligatures w14:val="none"/>
        </w:rPr>
        <w:t>Figure 2.13 The Fraud Pentagon</w:t>
      </w:r>
    </w:p>
    <w:p w14:paraId="1257CDA8" w14:textId="77777777" w:rsidR="00206123" w:rsidRPr="00BB01E0" w:rsidRDefault="00206123" w:rsidP="00BB01E0">
      <w:pPr>
        <w:spacing w:line="360" w:lineRule="auto"/>
        <w:rPr>
          <w:rFonts w:asciiTheme="minorBidi" w:eastAsiaTheme="minorHAnsi" w:hAnsiTheme="minorBidi"/>
          <w:kern w:val="0"/>
          <w:shd w:val="clear" w:color="auto" w:fill="FFFFFF"/>
          <w:lang w:eastAsia="en-US"/>
          <w14:ligatures w14:val="none"/>
        </w:rPr>
      </w:pPr>
      <w:bookmarkStart w:id="258" w:name="_Hlk171604514"/>
      <w:bookmarkEnd w:id="257"/>
      <w:r w:rsidRPr="00BB01E0">
        <w:rPr>
          <w:rFonts w:asciiTheme="minorBidi" w:eastAsiaTheme="minorHAnsi" w:hAnsiTheme="minorBidi"/>
          <w:kern w:val="0"/>
          <w:shd w:val="clear" w:color="auto" w:fill="FFFFFF"/>
          <w:lang w:eastAsia="en-US"/>
          <w14:ligatures w14:val="none"/>
        </w:rPr>
        <w:t>Figure 2.14 Key themes from C R I M E L model</w:t>
      </w:r>
    </w:p>
    <w:p w14:paraId="4D7956F5" w14:textId="77777777" w:rsidR="00206123" w:rsidRPr="00BB01E0" w:rsidRDefault="00206123" w:rsidP="00BB01E0">
      <w:pPr>
        <w:spacing w:line="360" w:lineRule="auto"/>
        <w:rPr>
          <w:rFonts w:asciiTheme="minorBidi" w:eastAsiaTheme="minorHAnsi" w:hAnsiTheme="minorBidi"/>
          <w:kern w:val="0"/>
          <w:shd w:val="clear" w:color="auto" w:fill="FFFFFF"/>
          <w:lang w:val="en-US" w:eastAsia="en-US"/>
          <w14:ligatures w14:val="none"/>
        </w:rPr>
      </w:pPr>
      <w:bookmarkStart w:id="259" w:name="_Hlk171604537"/>
      <w:bookmarkEnd w:id="258"/>
      <w:r w:rsidRPr="00BB01E0">
        <w:rPr>
          <w:rFonts w:asciiTheme="minorBidi" w:eastAsiaTheme="minorHAnsi" w:hAnsiTheme="minorBidi"/>
          <w:kern w:val="0"/>
          <w:shd w:val="clear" w:color="auto" w:fill="FFFFFF"/>
          <w:lang w:val="en-US" w:eastAsia="en-US"/>
          <w14:ligatures w14:val="none"/>
        </w:rPr>
        <w:t>Figure 2.15 Complete learnings from 33 case studies</w:t>
      </w:r>
    </w:p>
    <w:p w14:paraId="4309E64C" w14:textId="77777777" w:rsidR="00206123" w:rsidRPr="00BB01E0" w:rsidRDefault="00206123" w:rsidP="00BB01E0">
      <w:pPr>
        <w:spacing w:line="360" w:lineRule="auto"/>
        <w:rPr>
          <w:rFonts w:asciiTheme="minorBidi" w:eastAsiaTheme="minorHAnsi" w:hAnsiTheme="minorBidi"/>
          <w:kern w:val="0"/>
          <w:lang w:val="en-US" w:eastAsia="en-US"/>
          <w14:ligatures w14:val="none"/>
        </w:rPr>
      </w:pPr>
      <w:bookmarkStart w:id="260" w:name="_Hlk171604613"/>
      <w:bookmarkEnd w:id="259"/>
      <w:r w:rsidRPr="00BB01E0">
        <w:rPr>
          <w:rFonts w:asciiTheme="minorBidi" w:eastAsiaTheme="minorHAnsi" w:hAnsiTheme="minorBidi"/>
          <w:kern w:val="0"/>
          <w:lang w:val="en-US" w:eastAsia="en-US"/>
          <w14:ligatures w14:val="none"/>
        </w:rPr>
        <w:t>Figure 2.16 The Dark Triad</w:t>
      </w:r>
    </w:p>
    <w:p w14:paraId="6DD4BDA9" w14:textId="77777777" w:rsidR="00206123" w:rsidRPr="00BB01E0" w:rsidRDefault="00206123" w:rsidP="00BB01E0">
      <w:pPr>
        <w:spacing w:line="360" w:lineRule="auto"/>
        <w:rPr>
          <w:rFonts w:asciiTheme="minorBidi" w:hAnsiTheme="minorBidi"/>
          <w:shd w:val="clear" w:color="auto" w:fill="FFFFFF"/>
        </w:rPr>
      </w:pPr>
      <w:bookmarkStart w:id="261" w:name="_Hlk171604772"/>
      <w:bookmarkEnd w:id="260"/>
      <w:r w:rsidRPr="00BB01E0">
        <w:rPr>
          <w:rFonts w:asciiTheme="minorBidi" w:hAnsiTheme="minorBidi"/>
          <w:shd w:val="clear" w:color="auto" w:fill="FFFFFF"/>
        </w:rPr>
        <w:t xml:space="preserve">Figure 2.17 </w:t>
      </w:r>
      <w:r w:rsidRPr="00BB01E0">
        <w:rPr>
          <w:rFonts w:asciiTheme="minorBidi" w:hAnsiTheme="minorBidi"/>
        </w:rPr>
        <w:t>Blockchain</w:t>
      </w:r>
      <w:r w:rsidRPr="00BB01E0">
        <w:rPr>
          <w:rFonts w:asciiTheme="minorBidi" w:hAnsiTheme="minorBidi"/>
          <w:shd w:val="clear" w:color="auto" w:fill="FFFFFF"/>
        </w:rPr>
        <w:t xml:space="preserve"> Impact on the Audit Framework</w:t>
      </w:r>
    </w:p>
    <w:bookmarkEnd w:id="261"/>
    <w:p w14:paraId="157CE440" w14:textId="77777777" w:rsidR="00206123" w:rsidRPr="00BB01E0" w:rsidRDefault="00206123" w:rsidP="00BB01E0">
      <w:pPr>
        <w:spacing w:line="360" w:lineRule="auto"/>
        <w:rPr>
          <w:rFonts w:asciiTheme="minorBidi" w:hAnsiTheme="minorBidi"/>
        </w:rPr>
      </w:pPr>
      <w:r w:rsidRPr="00BB01E0">
        <w:rPr>
          <w:rFonts w:asciiTheme="minorBidi" w:hAnsiTheme="minorBidi"/>
        </w:rPr>
        <w:t xml:space="preserve">Figure 2.18 Blockchain Influence on Accounting Processes </w:t>
      </w:r>
    </w:p>
    <w:p w14:paraId="3D94B2DD" w14:textId="77777777" w:rsidR="00206123" w:rsidRPr="00BB01E0" w:rsidRDefault="00206123" w:rsidP="00BB01E0">
      <w:pPr>
        <w:spacing w:line="360" w:lineRule="auto"/>
        <w:rPr>
          <w:rFonts w:asciiTheme="minorBidi" w:hAnsiTheme="minorBidi"/>
          <w:shd w:val="clear" w:color="auto" w:fill="FFFFFF"/>
        </w:rPr>
      </w:pPr>
      <w:bookmarkStart w:id="262" w:name="_Hlk171604854"/>
      <w:r w:rsidRPr="00BB01E0">
        <w:rPr>
          <w:rFonts w:asciiTheme="minorBidi" w:hAnsiTheme="minorBidi"/>
          <w:shd w:val="clear" w:color="auto" w:fill="FFFFFF"/>
        </w:rPr>
        <w:t xml:space="preserve">Figure 2.19 Benefits of </w:t>
      </w:r>
      <w:r w:rsidRPr="00BB01E0">
        <w:rPr>
          <w:rFonts w:asciiTheme="minorBidi" w:hAnsiTheme="minorBidi"/>
        </w:rPr>
        <w:t xml:space="preserve">Blockchain </w:t>
      </w:r>
      <w:r w:rsidRPr="00BB01E0">
        <w:rPr>
          <w:rFonts w:asciiTheme="minorBidi" w:hAnsiTheme="minorBidi"/>
          <w:shd w:val="clear" w:color="auto" w:fill="FFFFFF"/>
        </w:rPr>
        <w:t>to the Accountancy Profe</w:t>
      </w:r>
      <w:bookmarkEnd w:id="262"/>
      <w:r w:rsidRPr="00BB01E0">
        <w:rPr>
          <w:rFonts w:asciiTheme="minorBidi" w:hAnsiTheme="minorBidi"/>
          <w:shd w:val="clear" w:color="auto" w:fill="FFFFFF"/>
        </w:rPr>
        <w:t>ssion</w:t>
      </w:r>
    </w:p>
    <w:p w14:paraId="56F5A7C8" w14:textId="77777777" w:rsidR="00BB01E0" w:rsidRPr="00BB01E0" w:rsidRDefault="00BB01E0" w:rsidP="00BB01E0">
      <w:pPr>
        <w:spacing w:line="360" w:lineRule="auto"/>
        <w:rPr>
          <w:rFonts w:asciiTheme="minorBidi" w:eastAsia="Times New Roman" w:hAnsiTheme="minorBidi"/>
          <w:kern w:val="0"/>
          <w14:ligatures w14:val="none"/>
        </w:rPr>
      </w:pPr>
      <w:r w:rsidRPr="00BB01E0">
        <w:rPr>
          <w:rFonts w:asciiTheme="minorBidi" w:eastAsia="Times New Roman" w:hAnsiTheme="minorBidi"/>
          <w:kern w:val="0"/>
          <w14:ligatures w14:val="none"/>
        </w:rPr>
        <w:t>Figure 3.1 Thesis Framework</w:t>
      </w:r>
    </w:p>
    <w:p w14:paraId="29329792" w14:textId="77777777" w:rsidR="00BB01E0" w:rsidRPr="00BB01E0" w:rsidRDefault="00BB01E0" w:rsidP="00BB01E0">
      <w:pPr>
        <w:spacing w:line="360" w:lineRule="auto"/>
        <w:rPr>
          <w:rFonts w:asciiTheme="minorBidi" w:hAnsiTheme="minorBidi"/>
          <w:color w:val="000000" w:themeColor="text1"/>
        </w:rPr>
      </w:pPr>
      <w:r w:rsidRPr="00BB01E0">
        <w:rPr>
          <w:rFonts w:asciiTheme="minorBidi" w:hAnsiTheme="minorBidi"/>
          <w:color w:val="000000" w:themeColor="text1"/>
        </w:rPr>
        <w:t>Figure 3.2. Methodological Approach of the Study</w:t>
      </w:r>
    </w:p>
    <w:p w14:paraId="759EEDA4" w14:textId="77777777" w:rsidR="00BB01E0" w:rsidRPr="00BB01E0" w:rsidRDefault="00BB01E0" w:rsidP="00BB01E0">
      <w:pPr>
        <w:spacing w:line="360" w:lineRule="auto"/>
        <w:rPr>
          <w:rFonts w:asciiTheme="minorBidi" w:eastAsia="Times New Roman" w:hAnsiTheme="minorBidi"/>
          <w:kern w:val="0"/>
          <w14:ligatures w14:val="none"/>
        </w:rPr>
      </w:pPr>
      <w:r w:rsidRPr="00BB01E0">
        <w:rPr>
          <w:rFonts w:asciiTheme="minorBidi" w:eastAsia="Times New Roman" w:hAnsiTheme="minorBidi"/>
          <w:kern w:val="0"/>
          <w14:ligatures w14:val="none"/>
        </w:rPr>
        <w:t>Figure 4.1 Methodological Choice and Research Strategy Thematic for Chapter Four</w:t>
      </w:r>
    </w:p>
    <w:p w14:paraId="6D0FA0CA" w14:textId="77777777" w:rsidR="00BB01E0" w:rsidRDefault="00BB01E0" w:rsidP="00BB01E0">
      <w:pPr>
        <w:spacing w:line="360" w:lineRule="auto"/>
        <w:rPr>
          <w:rFonts w:asciiTheme="minorBidi" w:hAnsiTheme="minorBidi"/>
        </w:rPr>
      </w:pPr>
      <w:r w:rsidRPr="00BB01E0">
        <w:rPr>
          <w:rFonts w:asciiTheme="minorBidi" w:hAnsiTheme="minorBidi"/>
        </w:rPr>
        <w:t xml:space="preserve">Figure 4.2 Thesis Framework </w:t>
      </w:r>
    </w:p>
    <w:p w14:paraId="1D230C06" w14:textId="77777777" w:rsidR="009B1AEB" w:rsidRPr="00BB01E0" w:rsidRDefault="009B1AEB" w:rsidP="00BB01E0">
      <w:pPr>
        <w:spacing w:line="360" w:lineRule="auto"/>
        <w:rPr>
          <w:rFonts w:asciiTheme="minorBidi" w:eastAsia="Times New Roman" w:hAnsiTheme="minorBidi"/>
          <w:kern w:val="0"/>
          <w14:ligatures w14:val="none"/>
        </w:rPr>
      </w:pPr>
    </w:p>
    <w:p w14:paraId="39463F42" w14:textId="77777777" w:rsidR="00BB01E0" w:rsidRDefault="00BB01E0" w:rsidP="00206123"/>
    <w:p w14:paraId="734D156F" w14:textId="77777777" w:rsidR="00BB01E0" w:rsidRPr="00F414FF" w:rsidRDefault="00BB01E0" w:rsidP="00206123">
      <w:pPr>
        <w:sectPr w:rsidR="00BB01E0" w:rsidRPr="00F414FF" w:rsidSect="003E44A1">
          <w:headerReference w:type="default" r:id="rId8"/>
          <w:pgSz w:w="11906" w:h="16838" w:code="9"/>
          <w:pgMar w:top="1440" w:right="1440" w:bottom="1440" w:left="1440" w:header="709" w:footer="709" w:gutter="0"/>
          <w:cols w:space="708"/>
          <w:titlePg/>
          <w:docGrid w:linePitch="360"/>
        </w:sectPr>
      </w:pPr>
    </w:p>
    <w:bookmarkStart w:id="263" w:name="D1"/>
    <w:bookmarkStart w:id="264" w:name="A"/>
    <w:p w14:paraId="0CAA102F" w14:textId="09F4A942" w:rsidR="00E6731B" w:rsidRPr="00B86D36" w:rsidRDefault="00734444" w:rsidP="00E6731B">
      <w:pPr>
        <w:pBdr>
          <w:top w:val="single" w:sz="4" w:space="1" w:color="auto"/>
          <w:left w:val="single" w:sz="4" w:space="4" w:color="auto"/>
          <w:bottom w:val="single" w:sz="4" w:space="1" w:color="auto"/>
          <w:right w:val="single" w:sz="4" w:space="4" w:color="auto"/>
        </w:pBdr>
        <w:rPr>
          <w:rFonts w:asciiTheme="minorBidi" w:hAnsiTheme="minorBidi"/>
          <w:b/>
          <w:bCs/>
        </w:rPr>
      </w:pPr>
      <w:r>
        <w:rPr>
          <w:rFonts w:asciiTheme="minorBidi" w:hAnsiTheme="minorBidi"/>
          <w:b/>
          <w:bCs/>
        </w:rPr>
        <w:lastRenderedPageBreak/>
        <w:fldChar w:fldCharType="begin"/>
      </w:r>
      <w:r>
        <w:rPr>
          <w:rFonts w:asciiTheme="minorBidi" w:hAnsiTheme="minorBidi"/>
          <w:b/>
          <w:bCs/>
        </w:rPr>
        <w:instrText>HYPERLINK  \l "C1"</w:instrText>
      </w:r>
      <w:r>
        <w:rPr>
          <w:rFonts w:asciiTheme="minorBidi" w:hAnsiTheme="minorBidi"/>
          <w:b/>
          <w:bCs/>
        </w:rPr>
      </w:r>
      <w:r>
        <w:rPr>
          <w:rFonts w:asciiTheme="minorBidi" w:hAnsiTheme="minorBidi"/>
          <w:b/>
          <w:bCs/>
        </w:rPr>
        <w:fldChar w:fldCharType="separate"/>
      </w:r>
      <w:r w:rsidR="00E6731B" w:rsidRPr="00734444">
        <w:rPr>
          <w:rStyle w:val="Hyperlink"/>
          <w:rFonts w:asciiTheme="minorBidi" w:hAnsiTheme="minorBidi"/>
          <w:b/>
          <w:bCs/>
        </w:rPr>
        <w:t>Cha</w:t>
      </w:r>
      <w:r w:rsidR="00B86D36" w:rsidRPr="00734444">
        <w:rPr>
          <w:rStyle w:val="Hyperlink"/>
          <w:rFonts w:asciiTheme="minorBidi" w:hAnsiTheme="minorBidi"/>
          <w:b/>
          <w:bCs/>
        </w:rPr>
        <w:t>p</w:t>
      </w:r>
      <w:r w:rsidR="00E6731B" w:rsidRPr="00734444">
        <w:rPr>
          <w:rStyle w:val="Hyperlink"/>
          <w:rFonts w:asciiTheme="minorBidi" w:hAnsiTheme="minorBidi"/>
          <w:b/>
          <w:bCs/>
        </w:rPr>
        <w:t>ter One</w:t>
      </w:r>
      <w:r w:rsidRPr="00734444">
        <w:rPr>
          <w:rStyle w:val="Hyperlink"/>
          <w:rFonts w:asciiTheme="minorBidi" w:hAnsiTheme="minorBidi"/>
          <w:b/>
          <w:bCs/>
        </w:rPr>
        <w:t>: Introduction</w:t>
      </w:r>
      <w:r>
        <w:rPr>
          <w:rFonts w:asciiTheme="minorBidi" w:hAnsiTheme="minorBidi"/>
          <w:b/>
          <w:bCs/>
        </w:rPr>
        <w:fldChar w:fldCharType="end"/>
      </w:r>
    </w:p>
    <w:bookmarkEnd w:id="263"/>
    <w:p w14:paraId="51872E00" w14:textId="77777777" w:rsidR="00E6731B" w:rsidRDefault="00E6731B" w:rsidP="00E6731B">
      <w:pPr>
        <w:rPr>
          <w:rFonts w:asciiTheme="minorBidi" w:hAnsiTheme="minorBidi"/>
          <w:b/>
          <w:bCs/>
        </w:rPr>
      </w:pPr>
    </w:p>
    <w:bookmarkStart w:id="265" w:name="D2"/>
    <w:p w14:paraId="5C73A1F7" w14:textId="02B52759" w:rsidR="00E6731B" w:rsidRPr="00084C23" w:rsidRDefault="00B86D36" w:rsidP="000504A7">
      <w:pPr>
        <w:pBdr>
          <w:top w:val="single" w:sz="4" w:space="1" w:color="auto"/>
          <w:left w:val="single" w:sz="4" w:space="4" w:color="auto"/>
          <w:bottom w:val="single" w:sz="4" w:space="1" w:color="auto"/>
          <w:right w:val="single" w:sz="4" w:space="4" w:color="auto"/>
        </w:pBdr>
        <w:rPr>
          <w:rFonts w:asciiTheme="minorBidi" w:hAnsiTheme="minorBidi"/>
          <w:b/>
          <w:bCs/>
        </w:rPr>
      </w:pPr>
      <w:r>
        <w:rPr>
          <w:rFonts w:asciiTheme="minorBidi" w:hAnsiTheme="minorBidi"/>
          <w:b/>
          <w:bCs/>
        </w:rPr>
        <w:fldChar w:fldCharType="begin"/>
      </w:r>
      <w:r>
        <w:rPr>
          <w:rFonts w:asciiTheme="minorBidi" w:hAnsiTheme="minorBidi"/>
          <w:b/>
          <w:bCs/>
        </w:rPr>
        <w:instrText>HYPERLINK  \l "C2"</w:instrText>
      </w:r>
      <w:r>
        <w:rPr>
          <w:rFonts w:asciiTheme="minorBidi" w:hAnsiTheme="minorBidi"/>
          <w:b/>
          <w:bCs/>
        </w:rPr>
      </w:r>
      <w:r>
        <w:rPr>
          <w:rFonts w:asciiTheme="minorBidi" w:hAnsiTheme="minorBidi"/>
          <w:b/>
          <w:bCs/>
        </w:rPr>
        <w:fldChar w:fldCharType="separate"/>
      </w:r>
      <w:r w:rsidR="00E6731B" w:rsidRPr="00B86D36">
        <w:rPr>
          <w:rStyle w:val="Hyperlink"/>
          <w:rFonts w:asciiTheme="minorBidi" w:hAnsiTheme="minorBidi"/>
          <w:b/>
          <w:bCs/>
        </w:rPr>
        <w:t>1.0 Introduction</w:t>
      </w:r>
      <w:r>
        <w:rPr>
          <w:rFonts w:asciiTheme="minorBidi" w:hAnsiTheme="minorBidi"/>
          <w:b/>
          <w:bCs/>
        </w:rPr>
        <w:fldChar w:fldCharType="end"/>
      </w:r>
    </w:p>
    <w:bookmarkEnd w:id="264"/>
    <w:bookmarkEnd w:id="265"/>
    <w:p w14:paraId="7B3DB076" w14:textId="77777777" w:rsidR="00E6731B" w:rsidRPr="00982A84" w:rsidRDefault="00E6731B" w:rsidP="00E6731B">
      <w:pPr>
        <w:pStyle w:val="TXL"/>
        <w:spacing w:line="480" w:lineRule="auto"/>
        <w:jc w:val="both"/>
        <w:rPr>
          <w:rFonts w:ascii="Arial" w:hAnsi="Arial" w:cs="Arial"/>
          <w:sz w:val="24"/>
          <w:szCs w:val="24"/>
          <w:lang w:val="en-US"/>
        </w:rPr>
      </w:pPr>
      <w:r w:rsidRPr="00982A84">
        <w:rPr>
          <w:rFonts w:ascii="Arial" w:hAnsi="Arial" w:cs="Arial"/>
          <w:sz w:val="24"/>
          <w:szCs w:val="24"/>
          <w:lang w:val="en-US"/>
        </w:rPr>
        <w:t xml:space="preserve">Fraud has existed perhaps since the beginning of trade and commerce. According to some commentators such as Woodward et al. (2003) basic body measurements and calculations or biometrics were used thousands of years ago as a method of gauging the trustworthiness of traders, implying that dishonest businesspeople have always existed. In general, fraud includes the intent to deceive, breaking the rule of law or established norms or protocols such as accounting standards, resulting in negative, if not harmful, consequences to its victims </w:t>
      </w:r>
      <w:r w:rsidRPr="00982A84">
        <w:rPr>
          <w:rFonts w:ascii="Arial" w:hAnsi="Arial" w:cs="Arial"/>
          <w:sz w:val="24"/>
          <w:szCs w:val="24"/>
        </w:rPr>
        <w:t xml:space="preserve">(Johnson and Rudesill, 2001; O’Gara, 2004; Alleyne and Howard 2005; Wells, 2009; Lord, 2010; Kassem, 2016). </w:t>
      </w:r>
      <w:r w:rsidRPr="00982A84">
        <w:rPr>
          <w:rFonts w:ascii="Arial" w:hAnsi="Arial" w:cs="Arial"/>
          <w:sz w:val="24"/>
          <w:szCs w:val="24"/>
          <w:lang w:val="en-US"/>
        </w:rPr>
        <w:t>KPMG (2017) noted that “[t]he total cost of fraudulent activity in the UK has surpassed a billion pounds (£1.1 billion) for the first time since 2011.”</w:t>
      </w:r>
      <w:bookmarkStart w:id="266" w:name="9"/>
    </w:p>
    <w:p w14:paraId="08A78F57" w14:textId="77777777" w:rsidR="00E6731B" w:rsidRPr="00982A84" w:rsidRDefault="00E6731B" w:rsidP="00E6731B">
      <w:pPr>
        <w:pStyle w:val="TX"/>
        <w:spacing w:line="480" w:lineRule="auto"/>
        <w:jc w:val="both"/>
        <w:rPr>
          <w:rFonts w:ascii="Arial" w:hAnsi="Arial" w:cs="Arial"/>
          <w:sz w:val="24"/>
          <w:szCs w:val="24"/>
          <w:lang w:val="en-US"/>
        </w:rPr>
      </w:pPr>
      <w:r w:rsidRPr="00982A84">
        <w:rPr>
          <w:rFonts w:ascii="Arial" w:hAnsi="Arial" w:cs="Arial"/>
          <w:sz w:val="24"/>
          <w:szCs w:val="24"/>
          <w:lang w:val="en-US"/>
        </w:rPr>
        <w:t>The Oxford Dictionary describes fraud in the following way:</w:t>
      </w:r>
    </w:p>
    <w:p w14:paraId="1F32A272" w14:textId="77777777" w:rsidR="00E6731B" w:rsidRPr="00982A84" w:rsidRDefault="00E6731B" w:rsidP="00E6731B">
      <w:pPr>
        <w:pStyle w:val="EXT"/>
        <w:rPr>
          <w:color w:val="auto"/>
        </w:rPr>
      </w:pPr>
      <w:bookmarkStart w:id="267" w:name="10"/>
      <w:bookmarkEnd w:id="266"/>
      <w:r w:rsidRPr="00982A84">
        <w:rPr>
          <w:color w:val="auto"/>
        </w:rPr>
        <w:t>“Wrongful or criminal deception intended to result in ﬁnancial or personal gain.”</w:t>
      </w:r>
    </w:p>
    <w:p w14:paraId="748EBED6" w14:textId="3298F3F5" w:rsidR="00E6731B" w:rsidRPr="00982A84" w:rsidRDefault="00E6731B" w:rsidP="00E6731B">
      <w:pPr>
        <w:pStyle w:val="TX"/>
        <w:spacing w:line="480" w:lineRule="auto"/>
        <w:jc w:val="both"/>
        <w:rPr>
          <w:rFonts w:ascii="Arial" w:hAnsi="Arial" w:cs="Arial"/>
          <w:sz w:val="24"/>
          <w:szCs w:val="24"/>
          <w:lang w:val="en-US"/>
        </w:rPr>
      </w:pPr>
      <w:bookmarkStart w:id="268" w:name="11"/>
      <w:bookmarkEnd w:id="267"/>
      <w:r w:rsidRPr="00982A84">
        <w:rPr>
          <w:rFonts w:ascii="Arial" w:hAnsi="Arial" w:cs="Arial"/>
          <w:sz w:val="24"/>
          <w:szCs w:val="24"/>
          <w:lang w:val="en-US"/>
        </w:rPr>
        <w:t xml:space="preserve">The above deﬁnition describes the fundamental characteristics of fraud but does not explain its nature and features. As already discussed, fraud is not a recent trend, nor is it limited to humankind. Animals also engage in what could be argued, at minimum, as manipulative </w:t>
      </w:r>
      <w:r w:rsidR="00881293" w:rsidRPr="00982A84">
        <w:rPr>
          <w:rFonts w:ascii="Arial" w:hAnsi="Arial" w:cs="Arial"/>
          <w:sz w:val="24"/>
          <w:szCs w:val="24"/>
          <w:lang w:val="en-US"/>
        </w:rPr>
        <w:t>behavior</w:t>
      </w:r>
      <w:r w:rsidRPr="00982A84">
        <w:rPr>
          <w:rFonts w:ascii="Arial" w:hAnsi="Arial" w:cs="Arial"/>
          <w:sz w:val="24"/>
          <w:szCs w:val="24"/>
          <w:lang w:val="en-US"/>
        </w:rPr>
        <w:t>, or fraudulent activities (Baesens, et al 2015), such as chameleons changing color. A more comprehensive definition of fraud is supplied by Van Vlasselaer et al. (2016):</w:t>
      </w:r>
    </w:p>
    <w:p w14:paraId="233C0643" w14:textId="77777777" w:rsidR="00E6731B" w:rsidRPr="00982A84" w:rsidRDefault="00E6731B" w:rsidP="00E6731B">
      <w:pPr>
        <w:pStyle w:val="EXT"/>
        <w:rPr>
          <w:color w:val="auto"/>
        </w:rPr>
      </w:pPr>
      <w:bookmarkStart w:id="269" w:name="12"/>
      <w:bookmarkEnd w:id="268"/>
      <w:r w:rsidRPr="00982A84">
        <w:rPr>
          <w:color w:val="auto"/>
        </w:rPr>
        <w:t>“Fraud is an uncommon, well-considered, imperceptibly concealed, time-evolving and often carefully organized crime which appears in many types of form.”</w:t>
      </w:r>
    </w:p>
    <w:p w14:paraId="50C90F2E" w14:textId="77777777" w:rsidR="00E6731B" w:rsidRPr="00982A84" w:rsidRDefault="00E6731B" w:rsidP="00E6731B">
      <w:pPr>
        <w:pStyle w:val="TX"/>
        <w:spacing w:line="480" w:lineRule="auto"/>
        <w:jc w:val="both"/>
        <w:rPr>
          <w:rFonts w:ascii="Arial" w:hAnsi="Arial" w:cs="Arial"/>
          <w:sz w:val="24"/>
          <w:szCs w:val="24"/>
          <w:lang w:val="en-US"/>
        </w:rPr>
      </w:pPr>
      <w:bookmarkStart w:id="270" w:name="15"/>
      <w:bookmarkEnd w:id="269"/>
      <w:r w:rsidRPr="00982A84">
        <w:rPr>
          <w:rFonts w:ascii="Arial" w:hAnsi="Arial" w:cs="Arial"/>
          <w:sz w:val="24"/>
          <w:szCs w:val="24"/>
          <w:lang w:val="en-US"/>
        </w:rPr>
        <w:lastRenderedPageBreak/>
        <w:t xml:space="preserve">Jackson (2015) suggests that Accounting Fraud (also referred to as </w:t>
      </w:r>
      <w:r>
        <w:rPr>
          <w:rFonts w:ascii="Arial" w:hAnsi="Arial" w:cs="Arial"/>
          <w:sz w:val="24"/>
          <w:szCs w:val="24"/>
          <w:lang w:val="en-US"/>
        </w:rPr>
        <w:t>‘</w:t>
      </w:r>
      <w:r w:rsidRPr="00982A84">
        <w:rPr>
          <w:rFonts w:ascii="Arial" w:hAnsi="Arial" w:cs="Arial"/>
          <w:sz w:val="24"/>
          <w:szCs w:val="24"/>
          <w:lang w:val="en-US"/>
        </w:rPr>
        <w:t>‘corporate fraud’</w:t>
      </w:r>
      <w:r>
        <w:rPr>
          <w:rFonts w:ascii="Arial" w:hAnsi="Arial" w:cs="Arial"/>
          <w:sz w:val="24"/>
          <w:szCs w:val="24"/>
          <w:lang w:val="en-US"/>
        </w:rPr>
        <w:t>’</w:t>
      </w:r>
      <w:r w:rsidRPr="00982A84">
        <w:rPr>
          <w:rFonts w:ascii="Arial" w:hAnsi="Arial" w:cs="Arial"/>
          <w:sz w:val="24"/>
          <w:szCs w:val="24"/>
          <w:lang w:val="en-US"/>
        </w:rPr>
        <w:t xml:space="preserve"> or ‘financial reporting fraud’ or ‘</w:t>
      </w:r>
      <w:r>
        <w:rPr>
          <w:rFonts w:ascii="Arial" w:hAnsi="Arial" w:cs="Arial"/>
          <w:sz w:val="24"/>
          <w:szCs w:val="24"/>
          <w:lang w:val="en-US"/>
        </w:rPr>
        <w:t>’</w:t>
      </w:r>
      <w:r w:rsidRPr="00982A84">
        <w:rPr>
          <w:rFonts w:ascii="Arial" w:hAnsi="Arial" w:cs="Arial"/>
          <w:sz w:val="24"/>
          <w:szCs w:val="24"/>
          <w:lang w:val="en-US"/>
        </w:rPr>
        <w:t>financial statement fraud’</w:t>
      </w:r>
      <w:r>
        <w:rPr>
          <w:rFonts w:ascii="Arial" w:hAnsi="Arial" w:cs="Arial"/>
          <w:sz w:val="24"/>
          <w:szCs w:val="24"/>
          <w:lang w:val="en-US"/>
        </w:rPr>
        <w:t>’</w:t>
      </w:r>
      <w:r w:rsidRPr="00982A84">
        <w:rPr>
          <w:rFonts w:ascii="Arial" w:hAnsi="Arial" w:cs="Arial"/>
          <w:sz w:val="24"/>
          <w:szCs w:val="24"/>
          <w:lang w:val="en-US"/>
        </w:rPr>
        <w:t>) is a special kind of fraud that necessitates the manipulation of financial statements.</w:t>
      </w:r>
      <w:r w:rsidRPr="00982A84">
        <w:rPr>
          <w:rFonts w:ascii="Arial" w:hAnsi="Arial" w:cs="Arial"/>
          <w:sz w:val="24"/>
          <w:szCs w:val="24"/>
        </w:rPr>
        <w:t xml:space="preserve"> </w:t>
      </w:r>
      <w:r w:rsidRPr="00982A84">
        <w:rPr>
          <w:rFonts w:ascii="Arial" w:hAnsi="Arial" w:cs="Arial"/>
          <w:sz w:val="24"/>
          <w:szCs w:val="24"/>
          <w:lang w:val="en-US"/>
        </w:rPr>
        <w:t>Coenen (2008) argues that Accounting Fraud does not result in an explicit ﬁnancial advantage to anyone. Instead, it supplies an implicit gain, in the shape of higher share prices, superior stock options for managers, and continued lines of credit.</w:t>
      </w:r>
    </w:p>
    <w:p w14:paraId="4C58458E" w14:textId="77777777" w:rsidR="00E6731B" w:rsidRDefault="00E6731B" w:rsidP="00E6731B">
      <w:pPr>
        <w:pStyle w:val="TX"/>
        <w:spacing w:line="480" w:lineRule="auto"/>
        <w:jc w:val="both"/>
        <w:rPr>
          <w:rFonts w:ascii="Arial" w:hAnsi="Arial" w:cs="Arial"/>
          <w:sz w:val="24"/>
          <w:szCs w:val="24"/>
          <w:lang w:val="en-US"/>
        </w:rPr>
      </w:pPr>
      <w:r w:rsidRPr="00982A84">
        <w:rPr>
          <w:rFonts w:ascii="Arial" w:hAnsi="Arial" w:cs="Arial"/>
          <w:sz w:val="24"/>
          <w:szCs w:val="24"/>
          <w:lang w:val="en-US"/>
        </w:rPr>
        <w:t xml:space="preserve">The Association of Certified Fraud Examiners (ACFE) is a renowned American professional antifraud body that globally provides antifraud training and education. In the ACFEs 2022 Fraud Examiners Manual, Accounting Fraud is defined as </w:t>
      </w:r>
      <w:r>
        <w:rPr>
          <w:rFonts w:ascii="Arial" w:hAnsi="Arial" w:cs="Arial"/>
          <w:sz w:val="24"/>
          <w:szCs w:val="24"/>
          <w:lang w:val="en-US"/>
        </w:rPr>
        <w:t>‘</w:t>
      </w:r>
      <w:r w:rsidRPr="00982A84">
        <w:rPr>
          <w:rFonts w:ascii="Arial" w:hAnsi="Arial" w:cs="Arial"/>
          <w:sz w:val="24"/>
          <w:szCs w:val="24"/>
          <w:lang w:val="en-US"/>
        </w:rPr>
        <w:t>‘the deliberate misrepresentation of the financial condition of an enterprise accomplished through the intentional misstatement or omission of amounts or disclosures in the financial statements to deceive financial statement users’</w:t>
      </w:r>
      <w:r>
        <w:rPr>
          <w:rFonts w:ascii="Arial" w:hAnsi="Arial" w:cs="Arial"/>
          <w:sz w:val="24"/>
          <w:szCs w:val="24"/>
          <w:lang w:val="en-US"/>
        </w:rPr>
        <w:t>’</w:t>
      </w:r>
      <w:r w:rsidRPr="00982A84">
        <w:rPr>
          <w:rFonts w:ascii="Arial" w:hAnsi="Arial" w:cs="Arial"/>
          <w:sz w:val="24"/>
          <w:szCs w:val="24"/>
          <w:lang w:val="en-US"/>
        </w:rPr>
        <w:t xml:space="preserve">. Robins (2007) suggested that the first recorded example of Accounting Fraud was the one that occurred in the 1600s to the British East India Company. </w:t>
      </w:r>
    </w:p>
    <w:p w14:paraId="71713D5D" w14:textId="751DD54B" w:rsidR="00E6731B" w:rsidRPr="00982A84" w:rsidRDefault="00E6731B" w:rsidP="00E6731B">
      <w:pPr>
        <w:pStyle w:val="TXL"/>
        <w:spacing w:line="480" w:lineRule="auto"/>
        <w:jc w:val="both"/>
        <w:rPr>
          <w:rFonts w:ascii="Arial" w:hAnsi="Arial" w:cs="Arial"/>
          <w:sz w:val="24"/>
          <w:szCs w:val="24"/>
          <w:lang w:val="en-US"/>
        </w:rPr>
      </w:pPr>
      <w:bookmarkStart w:id="271" w:name="14"/>
      <w:r w:rsidRPr="00982A84">
        <w:rPr>
          <w:rFonts w:ascii="Arial" w:hAnsi="Arial" w:cs="Arial"/>
          <w:sz w:val="24"/>
          <w:szCs w:val="24"/>
          <w:lang w:val="en-US"/>
        </w:rPr>
        <w:t>Financial statements are prepared because they assist in decision making, planning, and controlling processes. In most of the world it is also a statutory requirement to produce financial statements according to country specific Generally Accepted Accounting Principles (GAAP) such as U.S. GAAP or International Financial Reporting Standards. Furthermore, the financial statements are vital tools for senior managers because they help to communicate past achievements and are a basis for future expectations or plans. The figures reported in the financial statements provide an important source of information regarding the evaluation of performance, going concern, and the story of the company’s history. Thus, the accuracy of these documents is exceedingly important because they reflect the actual financial position of a company at any given time. External stakeholders such as analysts scrutini</w:t>
      </w:r>
      <w:r w:rsidR="00C54723">
        <w:rPr>
          <w:rFonts w:ascii="Arial" w:hAnsi="Arial" w:cs="Arial"/>
          <w:sz w:val="24"/>
          <w:szCs w:val="24"/>
          <w:lang w:val="en-US"/>
        </w:rPr>
        <w:t>z</w:t>
      </w:r>
      <w:r w:rsidRPr="00982A84">
        <w:rPr>
          <w:rFonts w:ascii="Arial" w:hAnsi="Arial" w:cs="Arial"/>
          <w:sz w:val="24"/>
          <w:szCs w:val="24"/>
          <w:lang w:val="en-US"/>
        </w:rPr>
        <w:t xml:space="preserve">e the </w:t>
      </w:r>
      <w:r w:rsidRPr="00982A84">
        <w:rPr>
          <w:rFonts w:ascii="Arial" w:hAnsi="Arial" w:cs="Arial"/>
          <w:sz w:val="24"/>
          <w:szCs w:val="24"/>
          <w:lang w:val="en-US"/>
        </w:rPr>
        <w:lastRenderedPageBreak/>
        <w:t xml:space="preserve">financial information supplied by financial statements to consider the financial performance of the company and make investment recommendations accordingly. Specifically, equity investors and creditors will be concerned with the quality and sustainability of profitability and cash flow, these being the key sources of financing for the operation of the company. Financial statements for public listed companies are authenticated </w:t>
      </w:r>
      <w:r w:rsidRPr="00982A84">
        <w:rPr>
          <w:rFonts w:ascii="Arial" w:hAnsi="Arial" w:cs="Arial"/>
          <w:sz w:val="24"/>
          <w:szCs w:val="24"/>
          <w:shd w:val="clear" w:color="auto" w:fill="FFFFFF"/>
          <w:lang w:val="en-US"/>
        </w:rPr>
        <w:t>by both internal and external auditors to give more reliability to the reported financial position.</w:t>
      </w:r>
    </w:p>
    <w:p w14:paraId="204BFE64" w14:textId="77777777" w:rsidR="00E6731B" w:rsidRPr="00982A84" w:rsidRDefault="00E6731B" w:rsidP="00E6731B">
      <w:pPr>
        <w:pStyle w:val="TX"/>
        <w:spacing w:line="480" w:lineRule="auto"/>
        <w:jc w:val="both"/>
        <w:rPr>
          <w:rFonts w:ascii="Arial" w:hAnsi="Arial" w:cs="Arial"/>
          <w:sz w:val="24"/>
          <w:szCs w:val="24"/>
          <w:lang w:val="en-US"/>
        </w:rPr>
      </w:pPr>
      <w:bookmarkStart w:id="272" w:name="16"/>
      <w:bookmarkEnd w:id="270"/>
      <w:bookmarkEnd w:id="271"/>
      <w:r w:rsidRPr="00982A84">
        <w:rPr>
          <w:rFonts w:ascii="Arial" w:hAnsi="Arial" w:cs="Arial"/>
          <w:sz w:val="24"/>
          <w:szCs w:val="24"/>
          <w:lang w:val="en-US"/>
        </w:rPr>
        <w:t>Major corporate scandals have occurred that have shaken the confidence of all stakeholders, the public, and investors, and, worryingly in the financial system itself. The phenomenon of Accounting Fraud underpinned almost all cases of recent corporate scandals such as, the UK-based, Carillion in 2018. It is argued that when financial statements are not accurate because of accounting irregularities, they change from a highly useful tool into a way of deceiving the public.</w:t>
      </w:r>
    </w:p>
    <w:p w14:paraId="1E6B017F" w14:textId="77777777" w:rsidR="00E6731B" w:rsidRPr="00982A84" w:rsidRDefault="00E6731B" w:rsidP="00E6731B">
      <w:pPr>
        <w:pStyle w:val="TX"/>
        <w:spacing w:line="480" w:lineRule="auto"/>
        <w:jc w:val="both"/>
        <w:rPr>
          <w:rFonts w:ascii="Arial" w:hAnsi="Arial" w:cs="Arial"/>
          <w:sz w:val="24"/>
          <w:szCs w:val="24"/>
          <w:lang w:val="en-US"/>
        </w:rPr>
      </w:pPr>
      <w:bookmarkStart w:id="273" w:name="17"/>
      <w:bookmarkEnd w:id="272"/>
      <w:r w:rsidRPr="00982A84">
        <w:rPr>
          <w:rFonts w:ascii="Arial" w:hAnsi="Arial" w:cs="Arial"/>
          <w:sz w:val="24"/>
          <w:szCs w:val="24"/>
          <w:lang w:val="en-US"/>
        </w:rPr>
        <w:t>Research suggests that unethical conduct and fraudulent activities such as manipulation of accounting information does not occur in a vacuum; rather, there must be specific factors that make it possible. Arjoon (2005) claims that most examples of corporate failure occur for various reasons, including fraudulent financial reporting, misuse of power, insider trading, corruption, bribery, unsuitable investment practices, pursuing short-term profits to the detriment of shareholders, poor internal control environment, and ineffective management.</w:t>
      </w:r>
    </w:p>
    <w:p w14:paraId="0A251D56" w14:textId="25DF5AC2" w:rsidR="00E6731B" w:rsidRPr="00982A84" w:rsidRDefault="00E6731B" w:rsidP="00E6731B">
      <w:pPr>
        <w:pStyle w:val="TX"/>
        <w:spacing w:line="480" w:lineRule="auto"/>
        <w:jc w:val="both"/>
        <w:rPr>
          <w:rFonts w:ascii="Arial" w:hAnsi="Arial" w:cs="Arial"/>
          <w:sz w:val="24"/>
          <w:szCs w:val="24"/>
          <w:lang w:val="en-US"/>
        </w:rPr>
      </w:pPr>
      <w:bookmarkStart w:id="274" w:name="18"/>
      <w:bookmarkEnd w:id="273"/>
      <w:r w:rsidRPr="00982A84">
        <w:rPr>
          <w:rFonts w:ascii="Arial" w:hAnsi="Arial" w:cs="Arial"/>
          <w:sz w:val="24"/>
          <w:szCs w:val="24"/>
          <w:lang w:val="en-US"/>
        </w:rPr>
        <w:t xml:space="preserve">Leading fraud examiner Wells (2005) argues that fraud is not merely an accounting problem but a social phenomenon and that there are three methods of unlawfully taking money from a victim, namely, by force, stealth, or trickery. Hence, a weak internal control environment in an </w:t>
      </w:r>
      <w:r w:rsidR="00C54723" w:rsidRPr="00982A84">
        <w:rPr>
          <w:rFonts w:ascii="Arial" w:hAnsi="Arial" w:cs="Arial"/>
          <w:sz w:val="24"/>
          <w:szCs w:val="24"/>
          <w:lang w:val="en-US"/>
        </w:rPr>
        <w:t>organization</w:t>
      </w:r>
      <w:r w:rsidRPr="00982A84">
        <w:rPr>
          <w:rFonts w:ascii="Arial" w:hAnsi="Arial" w:cs="Arial"/>
          <w:sz w:val="24"/>
          <w:szCs w:val="24"/>
          <w:lang w:val="en-US"/>
        </w:rPr>
        <w:t xml:space="preserve"> is an opportunity for a fraudster. Where </w:t>
      </w:r>
      <w:r w:rsidRPr="00982A84">
        <w:rPr>
          <w:rFonts w:ascii="Arial" w:hAnsi="Arial" w:cs="Arial"/>
          <w:sz w:val="24"/>
          <w:szCs w:val="24"/>
          <w:lang w:val="en-US"/>
        </w:rPr>
        <w:lastRenderedPageBreak/>
        <w:t>an accounting information system does not supply timely, accurate, sufficiently detailed, and relevant results, it is susceptible to theft and concealment from the company bank account. A weak internal audit function, or lack of one, is also a sign of poor internal control. A specific example of deficient accounting practice is failure to ensure monthly bank reconciliations (Frost, 2012).</w:t>
      </w:r>
    </w:p>
    <w:bookmarkStart w:id="275" w:name="B"/>
    <w:bookmarkStart w:id="276" w:name="D3"/>
    <w:bookmarkEnd w:id="274"/>
    <w:p w14:paraId="4CE3288F" w14:textId="3F4AD072" w:rsidR="00E6731B" w:rsidRDefault="002F726E" w:rsidP="000504A7">
      <w:pPr>
        <w:pStyle w:val="ListParagraph"/>
        <w:pBdr>
          <w:top w:val="single" w:sz="4" w:space="1" w:color="auto"/>
          <w:left w:val="single" w:sz="4" w:space="4" w:color="auto"/>
          <w:bottom w:val="single" w:sz="4" w:space="1" w:color="auto"/>
          <w:right w:val="single" w:sz="4" w:space="4" w:color="auto"/>
        </w:pBdr>
        <w:ind w:left="0"/>
        <w:rPr>
          <w:rFonts w:asciiTheme="minorBidi" w:hAnsiTheme="minorBidi"/>
          <w:b/>
          <w:bCs/>
          <w:lang w:val="en-US"/>
        </w:rPr>
      </w:pPr>
      <w:r>
        <w:rPr>
          <w:rFonts w:asciiTheme="minorBidi" w:hAnsiTheme="minorBidi"/>
          <w:b/>
          <w:bCs/>
          <w:lang w:val="en-US"/>
        </w:rPr>
        <w:fldChar w:fldCharType="begin"/>
      </w:r>
      <w:r>
        <w:rPr>
          <w:rFonts w:asciiTheme="minorBidi" w:hAnsiTheme="minorBidi"/>
          <w:b/>
          <w:bCs/>
          <w:lang w:val="en-US"/>
        </w:rPr>
        <w:instrText>HYPERLINK  \l "C3"</w:instrText>
      </w:r>
      <w:r>
        <w:rPr>
          <w:rFonts w:asciiTheme="minorBidi" w:hAnsiTheme="minorBidi"/>
          <w:b/>
          <w:bCs/>
          <w:lang w:val="en-US"/>
        </w:rPr>
      </w:r>
      <w:r>
        <w:rPr>
          <w:rFonts w:asciiTheme="minorBidi" w:hAnsiTheme="minorBidi"/>
          <w:b/>
          <w:bCs/>
          <w:lang w:val="en-US"/>
        </w:rPr>
        <w:fldChar w:fldCharType="separate"/>
      </w:r>
      <w:r w:rsidR="00E6731B" w:rsidRPr="002F726E">
        <w:rPr>
          <w:rStyle w:val="Hyperlink"/>
          <w:rFonts w:asciiTheme="minorBidi" w:hAnsiTheme="minorBidi"/>
          <w:b/>
          <w:bCs/>
          <w:lang w:val="en-US"/>
        </w:rPr>
        <w:t>1.1 Study Motivation</w:t>
      </w:r>
      <w:bookmarkEnd w:id="275"/>
      <w:r>
        <w:rPr>
          <w:rFonts w:asciiTheme="minorBidi" w:hAnsiTheme="minorBidi"/>
          <w:b/>
          <w:bCs/>
          <w:lang w:val="en-US"/>
        </w:rPr>
        <w:fldChar w:fldCharType="end"/>
      </w:r>
    </w:p>
    <w:bookmarkEnd w:id="276"/>
    <w:p w14:paraId="79501B70" w14:textId="77777777" w:rsidR="00E6731B" w:rsidRDefault="00E6731B" w:rsidP="00E6731B">
      <w:pPr>
        <w:spacing w:line="480" w:lineRule="auto"/>
        <w:jc w:val="both"/>
        <w:rPr>
          <w:rFonts w:asciiTheme="minorBidi" w:eastAsia="Times New Roman" w:hAnsiTheme="minorBidi"/>
        </w:rPr>
      </w:pPr>
      <w:r>
        <w:rPr>
          <w:rFonts w:ascii="Arial" w:hAnsi="Arial" w:cs="Arial"/>
          <w:lang w:val="en-US"/>
        </w:rPr>
        <w:t xml:space="preserve">As a practitioner, with more than 10 years’ experience, the researcher </w:t>
      </w:r>
      <w:r w:rsidRPr="00982A84">
        <w:rPr>
          <w:rFonts w:asciiTheme="minorBidi" w:eastAsia="Times New Roman" w:hAnsiTheme="minorBidi"/>
        </w:rPr>
        <w:t xml:space="preserve">witnessed firsthand the complexities of financial reporting and the widespread prevalence of Accounting Fraud. This experience made the </w:t>
      </w:r>
      <w:r>
        <w:rPr>
          <w:rFonts w:asciiTheme="minorBidi" w:eastAsia="Times New Roman" w:hAnsiTheme="minorBidi"/>
        </w:rPr>
        <w:t xml:space="preserve">researcher </w:t>
      </w:r>
      <w:r w:rsidRPr="00982A84">
        <w:rPr>
          <w:rFonts w:asciiTheme="minorBidi" w:eastAsia="Times New Roman" w:hAnsiTheme="minorBidi"/>
        </w:rPr>
        <w:t xml:space="preserve">realise the importance of </w:t>
      </w:r>
      <w:r>
        <w:rPr>
          <w:rFonts w:asciiTheme="minorBidi" w:eastAsia="Times New Roman" w:hAnsiTheme="minorBidi"/>
        </w:rPr>
        <w:t xml:space="preserve">better understanding and investigating </w:t>
      </w:r>
      <w:r w:rsidRPr="00982A84">
        <w:rPr>
          <w:rFonts w:asciiTheme="minorBidi" w:eastAsia="Times New Roman" w:hAnsiTheme="minorBidi"/>
        </w:rPr>
        <w:t>this phenomenon, conducting thorough research</w:t>
      </w:r>
      <w:r>
        <w:rPr>
          <w:rFonts w:asciiTheme="minorBidi" w:eastAsia="Times New Roman" w:hAnsiTheme="minorBidi"/>
        </w:rPr>
        <w:t xml:space="preserve"> to understand why this phenomenon continues</w:t>
      </w:r>
      <w:r w:rsidRPr="00982A84">
        <w:rPr>
          <w:rFonts w:asciiTheme="minorBidi" w:eastAsia="Times New Roman" w:hAnsiTheme="minorBidi"/>
        </w:rPr>
        <w:t xml:space="preserve">, and exploring </w:t>
      </w:r>
      <w:r>
        <w:rPr>
          <w:rFonts w:asciiTheme="minorBidi" w:eastAsia="Times New Roman" w:hAnsiTheme="minorBidi"/>
        </w:rPr>
        <w:t xml:space="preserve">potential technological </w:t>
      </w:r>
      <w:r w:rsidRPr="00982A84">
        <w:rPr>
          <w:rFonts w:asciiTheme="minorBidi" w:eastAsia="Times New Roman" w:hAnsiTheme="minorBidi"/>
        </w:rPr>
        <w:t>measures to prevent Accounting Fraud. Furthermore, as a higher education teacher, with 15 years’ experience, the researcher would like to better prepare his undergraduate students so that they have a deeper understanding of Accounting Fraud and the resulting negative externalities such as job losses and mistrust in the profession.</w:t>
      </w:r>
    </w:p>
    <w:p w14:paraId="11399220" w14:textId="77777777" w:rsidR="00E6731B" w:rsidRDefault="00E6731B" w:rsidP="00E6731B">
      <w:pPr>
        <w:spacing w:line="480" w:lineRule="auto"/>
        <w:jc w:val="both"/>
        <w:rPr>
          <w:rFonts w:asciiTheme="minorBidi" w:hAnsiTheme="minorBidi"/>
        </w:rPr>
      </w:pPr>
      <w:r>
        <w:rPr>
          <w:rFonts w:ascii="Arial" w:hAnsi="Arial" w:cs="Arial"/>
          <w:lang w:val="en-US"/>
        </w:rPr>
        <w:t xml:space="preserve">The foremost theoretical model that attempts to explain why Accounting Fraud persists is Cressey’s (1950, 1953) The Fraud Triangle which argues that the conditions of ‘’pressure’’ normally a lifestyle trigger such as gambling, ‘’opportunity’ usually weak internal controls and ‘’rationalisation’’ must simultaneously occur before the perpetrator will commit the crime. </w:t>
      </w:r>
      <w:r w:rsidRPr="009073B9">
        <w:rPr>
          <w:rFonts w:asciiTheme="minorBidi" w:hAnsiTheme="minorBidi"/>
        </w:rPr>
        <w:t xml:space="preserve">Over the decades, the Fraud Triangle has been critiqued, extended, and revised by </w:t>
      </w:r>
      <w:r>
        <w:rPr>
          <w:rFonts w:asciiTheme="minorBidi" w:hAnsiTheme="minorBidi"/>
        </w:rPr>
        <w:t>many</w:t>
      </w:r>
      <w:r w:rsidRPr="009073B9">
        <w:rPr>
          <w:rFonts w:asciiTheme="minorBidi" w:hAnsiTheme="minorBidi"/>
        </w:rPr>
        <w:t xml:space="preserve"> scholars (Dorminey et al., 2012; Free, 2015)</w:t>
      </w:r>
    </w:p>
    <w:p w14:paraId="2BD5B61F" w14:textId="77777777" w:rsidR="003E44A1" w:rsidRDefault="003E44A1" w:rsidP="00E6731B">
      <w:pPr>
        <w:spacing w:line="480" w:lineRule="auto"/>
        <w:jc w:val="both"/>
        <w:rPr>
          <w:rFonts w:asciiTheme="minorBidi" w:hAnsiTheme="minorBidi"/>
        </w:rPr>
      </w:pPr>
    </w:p>
    <w:p w14:paraId="32E9E01E" w14:textId="77777777" w:rsidR="003E44A1" w:rsidRDefault="003E44A1" w:rsidP="00E6731B">
      <w:pPr>
        <w:spacing w:line="480" w:lineRule="auto"/>
        <w:jc w:val="both"/>
        <w:rPr>
          <w:rFonts w:asciiTheme="minorBidi" w:hAnsiTheme="minorBidi"/>
        </w:rPr>
      </w:pPr>
    </w:p>
    <w:bookmarkStart w:id="277" w:name="C"/>
    <w:bookmarkStart w:id="278" w:name="D4"/>
    <w:p w14:paraId="7D24090C" w14:textId="0A9119F0" w:rsidR="00E6731B" w:rsidRDefault="002F726E" w:rsidP="000504A7">
      <w:pPr>
        <w:pStyle w:val="ListParagraph"/>
        <w:pBdr>
          <w:top w:val="single" w:sz="4" w:space="1" w:color="auto"/>
          <w:left w:val="single" w:sz="4" w:space="4" w:color="auto"/>
          <w:bottom w:val="single" w:sz="4" w:space="1" w:color="auto"/>
          <w:right w:val="single" w:sz="4" w:space="4" w:color="auto"/>
        </w:pBdr>
        <w:ind w:left="0"/>
        <w:rPr>
          <w:rFonts w:asciiTheme="minorBidi" w:hAnsiTheme="minorBidi"/>
          <w:b/>
          <w:bCs/>
        </w:rPr>
      </w:pPr>
      <w:r>
        <w:rPr>
          <w:rFonts w:asciiTheme="minorBidi" w:hAnsiTheme="minorBidi"/>
          <w:b/>
          <w:bCs/>
        </w:rPr>
        <w:lastRenderedPageBreak/>
        <w:fldChar w:fldCharType="begin"/>
      </w:r>
      <w:r>
        <w:rPr>
          <w:rFonts w:asciiTheme="minorBidi" w:hAnsiTheme="minorBidi"/>
          <w:b/>
          <w:bCs/>
        </w:rPr>
        <w:instrText>HYPERLINK  \l "C4"</w:instrText>
      </w:r>
      <w:r>
        <w:rPr>
          <w:rFonts w:asciiTheme="minorBidi" w:hAnsiTheme="minorBidi"/>
          <w:b/>
          <w:bCs/>
        </w:rPr>
      </w:r>
      <w:r>
        <w:rPr>
          <w:rFonts w:asciiTheme="minorBidi" w:hAnsiTheme="minorBidi"/>
          <w:b/>
          <w:bCs/>
        </w:rPr>
        <w:fldChar w:fldCharType="separate"/>
      </w:r>
      <w:r w:rsidR="00E6731B" w:rsidRPr="002F726E">
        <w:rPr>
          <w:rStyle w:val="Hyperlink"/>
          <w:rFonts w:asciiTheme="minorBidi" w:hAnsiTheme="minorBidi"/>
          <w:b/>
          <w:bCs/>
        </w:rPr>
        <w:t>1.2 Background to Study</w:t>
      </w:r>
      <w:r>
        <w:rPr>
          <w:rFonts w:asciiTheme="minorBidi" w:hAnsiTheme="minorBidi"/>
          <w:b/>
          <w:bCs/>
        </w:rPr>
        <w:fldChar w:fldCharType="end"/>
      </w:r>
    </w:p>
    <w:bookmarkEnd w:id="277"/>
    <w:bookmarkEnd w:id="278"/>
    <w:p w14:paraId="332DE4E8" w14:textId="77777777" w:rsidR="00E6731B" w:rsidRPr="00982A84" w:rsidRDefault="00E6731B" w:rsidP="00E6731B">
      <w:pPr>
        <w:pStyle w:val="TXL"/>
        <w:spacing w:line="480" w:lineRule="auto"/>
        <w:jc w:val="both"/>
        <w:rPr>
          <w:rFonts w:ascii="Arial" w:hAnsi="Arial" w:cs="Arial"/>
          <w:sz w:val="24"/>
          <w:szCs w:val="24"/>
          <w:lang w:val="en-US"/>
        </w:rPr>
      </w:pPr>
      <w:r w:rsidRPr="00982A84">
        <w:rPr>
          <w:rFonts w:ascii="Arial" w:hAnsi="Arial" w:cs="Arial"/>
          <w:sz w:val="24"/>
          <w:szCs w:val="24"/>
          <w:lang w:val="en-US"/>
        </w:rPr>
        <w:t>Corporate crimes are white-collar crimes executed by corporations or an individual in a position of authority such as a CEO or CFO. This includes all corporate activities that are prohibited and punishable by law (Braithwaite, 1984). Simpson (2002) states what is being sought are organisational benefits instead of individual gains. Many corporate crimes are highly complex, involving multiple actors, and it is challenging to establish who is responsible for the harm. Benson and Simpson (2014) maintain that most ordinary people are unaware of the frequency and economic damage caused by corporate crimes. The socioeconomic fallout from criminal activities committed by companies can be devastating, resulting in tens of thousands of job losses, as in the case of WorldCom. It should not be a surprise when some commentators deem corporate crime to be one of the gravest crimes that occur in society (Simpson, 2002).</w:t>
      </w:r>
      <w:bookmarkStart w:id="279" w:name="5"/>
      <w:r w:rsidRPr="00982A84">
        <w:rPr>
          <w:rFonts w:ascii="Arial" w:hAnsi="Arial" w:cs="Arial"/>
          <w:sz w:val="24"/>
          <w:szCs w:val="24"/>
          <w:lang w:val="en-US"/>
        </w:rPr>
        <w:t xml:space="preserve"> Mokhiber (2007) argues that corporate crime wreaks more socioeconomic destruction than all street crime combined and is even claimed that corporate crime is a form of violent crime. Many social problems, tyranny of native and indigenous communities, food contamination, medical negligence, and unsafe working conditions, are a result of concerted corporate power (Mokhiber and Weissman, 2005). Furthermore, many of the penalties imposed on corporations have little or no impact on their finances and business practices; hence the requirement for alternative methods of restricting and effectively controlling corporate crime.</w:t>
      </w:r>
      <w:bookmarkEnd w:id="279"/>
    </w:p>
    <w:p w14:paraId="02B371E6" w14:textId="77777777" w:rsidR="00E6731B" w:rsidRDefault="00E6731B" w:rsidP="00E6731B">
      <w:pPr>
        <w:pStyle w:val="TX"/>
        <w:autoSpaceDE w:val="0"/>
        <w:autoSpaceDN w:val="0"/>
        <w:adjustRightInd w:val="0"/>
        <w:spacing w:after="0" w:line="480" w:lineRule="auto"/>
        <w:jc w:val="both"/>
        <w:rPr>
          <w:rFonts w:ascii="Arial" w:hAnsi="Arial" w:cs="Arial"/>
          <w:sz w:val="24"/>
          <w:szCs w:val="24"/>
        </w:rPr>
      </w:pPr>
      <w:r w:rsidRPr="00317550">
        <w:rPr>
          <w:rFonts w:ascii="Arial" w:hAnsi="Arial" w:cs="Arial"/>
          <w:sz w:val="24"/>
          <w:szCs w:val="24"/>
          <w:lang w:val="en-US"/>
        </w:rPr>
        <w:t xml:space="preserve">Bernnan and Macgrath (2007) found that the share price of a company fell steeply once it became public knowledge that it had engaged in Accounting Fraud, such as with the UK listed company Tesco in 2017 (Guardian, 2017), which admitted that its 2014 profits were overstated by £250 million. The consequences of Accounting Fraud are far-reaching and can lead to erosion of investors’ confidence in the audit </w:t>
      </w:r>
      <w:r w:rsidRPr="00317550">
        <w:rPr>
          <w:rFonts w:ascii="Arial" w:hAnsi="Arial" w:cs="Arial"/>
          <w:sz w:val="24"/>
          <w:szCs w:val="24"/>
          <w:lang w:val="en-US"/>
        </w:rPr>
        <w:lastRenderedPageBreak/>
        <w:t xml:space="preserve">profession and the capital markets, damaging companies and forcing them to hire new managers (Rezaee and Riley, 2010), with overall harm to the economy and society </w:t>
      </w:r>
      <w:r w:rsidRPr="00317550">
        <w:rPr>
          <w:rFonts w:ascii="Arial" w:hAnsi="Arial" w:cs="Arial"/>
          <w:sz w:val="24"/>
          <w:szCs w:val="24"/>
        </w:rPr>
        <w:t>(Kalbers, 2009; Centre for Audit Quality, 2010)</w:t>
      </w:r>
    </w:p>
    <w:p w14:paraId="25568B36" w14:textId="77777777" w:rsidR="003E44A1" w:rsidRDefault="003E44A1" w:rsidP="003E44A1">
      <w:pPr>
        <w:rPr>
          <w:lang w:val="en-US"/>
        </w:rPr>
      </w:pPr>
    </w:p>
    <w:p w14:paraId="39254153" w14:textId="2F608838" w:rsidR="00E6731B" w:rsidRDefault="00E6731B" w:rsidP="00E6731B">
      <w:pPr>
        <w:pStyle w:val="TX"/>
        <w:autoSpaceDE w:val="0"/>
        <w:autoSpaceDN w:val="0"/>
        <w:adjustRightInd w:val="0"/>
        <w:spacing w:after="0" w:line="480" w:lineRule="auto"/>
        <w:jc w:val="both"/>
        <w:rPr>
          <w:rFonts w:ascii="Arial" w:hAnsi="Arial" w:cs="Arial"/>
          <w:sz w:val="24"/>
          <w:szCs w:val="24"/>
          <w:lang w:val="en-US"/>
        </w:rPr>
      </w:pPr>
      <w:r w:rsidRPr="00317550">
        <w:rPr>
          <w:rFonts w:ascii="Arial" w:hAnsi="Arial" w:cs="Arial"/>
          <w:sz w:val="24"/>
          <w:szCs w:val="24"/>
          <w:lang w:val="en-US"/>
        </w:rPr>
        <w:t xml:space="preserve">The ACFE (2016) study highlighted that Accounting Fraud usually occurs in larger companies, particularly in construction, banking and financial services, health care, and manufacturing. The report also, worryingly, stated that the number of Accounting Fraud cases has risen since the previous report in 2014. </w:t>
      </w:r>
      <w:r w:rsidRPr="00317550">
        <w:rPr>
          <w:rFonts w:ascii="Arial" w:hAnsi="Arial" w:cs="Arial"/>
          <w:sz w:val="24"/>
          <w:szCs w:val="24"/>
        </w:rPr>
        <w:t xml:space="preserve">The ACFE global fraud study also established that although Accounting Fraud was the lowest category of occupational fraud it resulted in the highest median loss of $975,000. </w:t>
      </w:r>
      <w:r w:rsidRPr="00317550">
        <w:rPr>
          <w:rFonts w:ascii="Arial" w:hAnsi="Arial" w:cs="Arial"/>
          <w:sz w:val="24"/>
          <w:szCs w:val="24"/>
          <w:lang w:val="en-US"/>
        </w:rPr>
        <w:t>To protect the global capital markets from recurring fraud, rules and regulations are required. Moreover, for capital markets to operate efficiently, the quality, reliability, and integrity of financial statements supplied by companies to the market must be true and fair. Therefore, we will briefly explore the Sarbanes–Oxley Act 2002 (SOX-2002), which was instituted in the United States as a response to the menace of Accounting Fraud.</w:t>
      </w:r>
      <w:bookmarkStart w:id="280" w:name="275"/>
    </w:p>
    <w:p w14:paraId="7141A824" w14:textId="77777777" w:rsidR="00090A70" w:rsidRDefault="00090A70" w:rsidP="00E6731B">
      <w:pPr>
        <w:pStyle w:val="TX"/>
        <w:autoSpaceDE w:val="0"/>
        <w:autoSpaceDN w:val="0"/>
        <w:adjustRightInd w:val="0"/>
        <w:spacing w:after="0" w:line="480" w:lineRule="auto"/>
        <w:jc w:val="both"/>
        <w:rPr>
          <w:rFonts w:ascii="Arial" w:hAnsi="Arial" w:cs="Arial"/>
          <w:sz w:val="24"/>
          <w:szCs w:val="24"/>
          <w:lang w:val="en-US"/>
        </w:rPr>
      </w:pPr>
    </w:p>
    <w:p w14:paraId="523C7C8B" w14:textId="7EDC5201" w:rsidR="00320A99" w:rsidRDefault="00E6731B" w:rsidP="00090A70">
      <w:pPr>
        <w:spacing w:after="200" w:line="480" w:lineRule="auto"/>
        <w:jc w:val="both"/>
        <w:rPr>
          <w:rFonts w:ascii="Arial" w:hAnsi="Arial" w:cs="Arial"/>
          <w:lang w:val="en-US"/>
        </w:rPr>
      </w:pPr>
      <w:r w:rsidRPr="00317550">
        <w:rPr>
          <w:rFonts w:ascii="Arial" w:hAnsi="Arial" w:cs="Arial"/>
          <w:lang w:val="en-US"/>
        </w:rPr>
        <w:t xml:space="preserve">At the turn of the 21st century, the United States experienced major accounting scandals such as Enron, WorldCom, and Tyco that resulted in severe socioeconomic damage. The table, </w:t>
      </w:r>
      <w:r w:rsidRPr="00317550">
        <w:rPr>
          <w:rFonts w:ascii="Arial" w:hAnsi="Arial" w:cs="Arial"/>
          <w:b/>
          <w:bCs/>
          <w:lang w:val="en-US"/>
        </w:rPr>
        <w:t>Figure 1.</w:t>
      </w:r>
      <w:r>
        <w:rPr>
          <w:rFonts w:ascii="Arial" w:hAnsi="Arial" w:cs="Arial"/>
          <w:b/>
          <w:bCs/>
          <w:lang w:val="en-US"/>
        </w:rPr>
        <w:t>1</w:t>
      </w:r>
      <w:r w:rsidRPr="00317550">
        <w:rPr>
          <w:rFonts w:ascii="Arial" w:hAnsi="Arial" w:cs="Arial"/>
          <w:lang w:val="en-US"/>
        </w:rPr>
        <w:t>, highlights the asset size of the top ten bankruptcies to date (Frunza, 2016:394):</w:t>
      </w:r>
      <w:bookmarkEnd w:id="280"/>
    </w:p>
    <w:p w14:paraId="2430370F" w14:textId="77777777" w:rsidR="003E44A1" w:rsidRDefault="003E44A1" w:rsidP="00090A70">
      <w:pPr>
        <w:spacing w:after="200" w:line="480" w:lineRule="auto"/>
        <w:jc w:val="both"/>
        <w:rPr>
          <w:rFonts w:ascii="Arial" w:hAnsi="Arial" w:cs="Arial"/>
          <w:lang w:val="en-US"/>
        </w:rPr>
      </w:pPr>
    </w:p>
    <w:p w14:paraId="344AFFE6" w14:textId="77777777" w:rsidR="003E44A1" w:rsidRDefault="003E44A1" w:rsidP="00090A70">
      <w:pPr>
        <w:spacing w:after="200" w:line="480" w:lineRule="auto"/>
        <w:jc w:val="both"/>
        <w:rPr>
          <w:rFonts w:ascii="Arial" w:hAnsi="Arial" w:cs="Arial"/>
          <w:lang w:val="en-US"/>
        </w:rPr>
      </w:pPr>
    </w:p>
    <w:p w14:paraId="2A0A2628" w14:textId="77777777" w:rsidR="003E44A1" w:rsidRDefault="003E44A1" w:rsidP="00090A70">
      <w:pPr>
        <w:spacing w:after="200" w:line="480" w:lineRule="auto"/>
        <w:jc w:val="both"/>
        <w:rPr>
          <w:rFonts w:ascii="Arial" w:hAnsi="Arial" w:cs="Arial"/>
          <w:lang w:val="en-US"/>
        </w:rPr>
      </w:pPr>
    </w:p>
    <w:p w14:paraId="6DE54517" w14:textId="77777777" w:rsidR="003E44A1" w:rsidRPr="00317550" w:rsidRDefault="003E44A1" w:rsidP="00090A70">
      <w:pPr>
        <w:spacing w:after="200" w:line="480" w:lineRule="auto"/>
        <w:jc w:val="both"/>
        <w:rPr>
          <w:rFonts w:ascii="Arial" w:hAnsi="Arial" w:cs="Arial"/>
          <w:lang w:val="en-US"/>
        </w:rPr>
      </w:pPr>
    </w:p>
    <w:p w14:paraId="0E7ED49B" w14:textId="77777777" w:rsidR="00E6731B" w:rsidRPr="00317550" w:rsidRDefault="00E6731B" w:rsidP="00E6731B">
      <w:pPr>
        <w:spacing w:after="200" w:line="480" w:lineRule="auto"/>
        <w:jc w:val="both"/>
        <w:rPr>
          <w:rFonts w:ascii="Arial" w:hAnsi="Arial" w:cs="Arial"/>
          <w:b/>
          <w:bCs/>
          <w:shd w:val="clear" w:color="auto" w:fill="FFFFFF"/>
          <w:lang w:val="en-US"/>
        </w:rPr>
      </w:pPr>
      <w:bookmarkStart w:id="281" w:name="_Hlk171600748"/>
      <w:r w:rsidRPr="00317550">
        <w:rPr>
          <w:rFonts w:ascii="Arial" w:hAnsi="Arial" w:cs="Arial"/>
          <w:b/>
          <w:bCs/>
          <w:shd w:val="clear" w:color="auto" w:fill="FFFFFF"/>
          <w:lang w:val="en-US"/>
        </w:rPr>
        <w:lastRenderedPageBreak/>
        <w:t>Figure 1.</w:t>
      </w:r>
      <w:r>
        <w:rPr>
          <w:rFonts w:ascii="Arial" w:hAnsi="Arial" w:cs="Arial"/>
          <w:b/>
          <w:bCs/>
          <w:shd w:val="clear" w:color="auto" w:fill="FFFFFF"/>
          <w:lang w:val="en-US"/>
        </w:rPr>
        <w:t>1</w:t>
      </w:r>
      <w:r w:rsidRPr="00317550">
        <w:rPr>
          <w:rFonts w:ascii="Arial" w:hAnsi="Arial" w:cs="Arial"/>
          <w:b/>
          <w:bCs/>
          <w:shd w:val="clear" w:color="auto" w:fill="FFFFFF"/>
          <w:lang w:val="en-US"/>
        </w:rPr>
        <w:t xml:space="preserve"> Top ten bankruptcies to date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777"/>
        <w:gridCol w:w="1889"/>
        <w:gridCol w:w="1151"/>
        <w:gridCol w:w="1228"/>
        <w:gridCol w:w="2886"/>
        <w:gridCol w:w="1085"/>
      </w:tblGrid>
      <w:tr w:rsidR="00E6731B" w:rsidRPr="00317550" w14:paraId="4A772B21" w14:textId="77777777" w:rsidTr="001D4222">
        <w:trPr>
          <w:trHeight w:val="371"/>
        </w:trPr>
        <w:tc>
          <w:tcPr>
            <w:tcW w:w="0" w:type="auto"/>
            <w:shd w:val="clear" w:color="auto" w:fill="4472C4"/>
            <w:tcMar>
              <w:top w:w="15" w:type="dxa"/>
              <w:left w:w="108" w:type="dxa"/>
              <w:bottom w:w="0" w:type="dxa"/>
              <w:right w:w="108" w:type="dxa"/>
            </w:tcMar>
            <w:hideMark/>
          </w:tcPr>
          <w:p w14:paraId="32AEE533" w14:textId="77777777" w:rsidR="00E6731B" w:rsidRPr="00317550" w:rsidRDefault="00E6731B" w:rsidP="001D4222">
            <w:pPr>
              <w:spacing w:after="0" w:line="480" w:lineRule="auto"/>
              <w:jc w:val="both"/>
              <w:rPr>
                <w:rFonts w:ascii="Arial" w:eastAsia="Times New Roman" w:hAnsi="Arial" w:cs="Arial"/>
                <w:lang w:val="en-US"/>
              </w:rPr>
            </w:pPr>
            <w:bookmarkStart w:id="282" w:name="277"/>
            <w:bookmarkEnd w:id="281"/>
            <w:r w:rsidRPr="00317550">
              <w:rPr>
                <w:rFonts w:ascii="Arial" w:eastAsia="Times New Roman" w:hAnsi="Arial" w:cs="Arial"/>
                <w:kern w:val="24"/>
                <w:lang w:val="en-US"/>
              </w:rPr>
              <w:t>Rank</w:t>
            </w:r>
          </w:p>
        </w:tc>
        <w:tc>
          <w:tcPr>
            <w:tcW w:w="0" w:type="auto"/>
            <w:shd w:val="clear" w:color="auto" w:fill="4472C4"/>
            <w:tcMar>
              <w:top w:w="15" w:type="dxa"/>
              <w:left w:w="108" w:type="dxa"/>
              <w:bottom w:w="0" w:type="dxa"/>
              <w:right w:w="108" w:type="dxa"/>
            </w:tcMar>
            <w:hideMark/>
          </w:tcPr>
          <w:p w14:paraId="7A9B936A" w14:textId="77777777" w:rsidR="00E6731B" w:rsidRPr="00317550" w:rsidRDefault="00E6731B" w:rsidP="001D4222">
            <w:pPr>
              <w:spacing w:after="0" w:line="480" w:lineRule="auto"/>
              <w:jc w:val="both"/>
              <w:rPr>
                <w:rFonts w:ascii="Arial" w:eastAsia="Times New Roman" w:hAnsi="Arial" w:cs="Arial"/>
                <w:lang w:val="en-US"/>
              </w:rPr>
            </w:pPr>
            <w:bookmarkStart w:id="283" w:name="278"/>
            <w:bookmarkEnd w:id="282"/>
            <w:r w:rsidRPr="00317550">
              <w:rPr>
                <w:rFonts w:ascii="Arial" w:eastAsia="Times New Roman" w:hAnsi="Arial" w:cs="Arial"/>
                <w:kern w:val="24"/>
                <w:lang w:val="en-US"/>
              </w:rPr>
              <w:t>Company</w:t>
            </w:r>
          </w:p>
        </w:tc>
        <w:tc>
          <w:tcPr>
            <w:tcW w:w="0" w:type="auto"/>
            <w:shd w:val="clear" w:color="auto" w:fill="4472C4"/>
            <w:tcMar>
              <w:top w:w="15" w:type="dxa"/>
              <w:left w:w="108" w:type="dxa"/>
              <w:bottom w:w="0" w:type="dxa"/>
              <w:right w:w="108" w:type="dxa"/>
            </w:tcMar>
            <w:hideMark/>
          </w:tcPr>
          <w:p w14:paraId="3D734B0F" w14:textId="77777777" w:rsidR="00E6731B" w:rsidRPr="00317550" w:rsidRDefault="00E6731B" w:rsidP="001D4222">
            <w:pPr>
              <w:spacing w:after="0" w:line="480" w:lineRule="auto"/>
              <w:jc w:val="both"/>
              <w:rPr>
                <w:rFonts w:ascii="Arial" w:eastAsia="Times New Roman" w:hAnsi="Arial" w:cs="Arial"/>
                <w:lang w:val="en-US"/>
              </w:rPr>
            </w:pPr>
            <w:bookmarkStart w:id="284" w:name="279"/>
            <w:bookmarkEnd w:id="283"/>
            <w:r w:rsidRPr="00317550">
              <w:rPr>
                <w:rFonts w:ascii="Arial" w:eastAsia="Times New Roman" w:hAnsi="Arial" w:cs="Arial"/>
                <w:kern w:val="24"/>
                <w:lang w:val="en-US"/>
              </w:rPr>
              <w:t>Date</w:t>
            </w:r>
          </w:p>
        </w:tc>
        <w:tc>
          <w:tcPr>
            <w:tcW w:w="0" w:type="auto"/>
            <w:shd w:val="clear" w:color="auto" w:fill="4472C4"/>
            <w:tcMar>
              <w:top w:w="15" w:type="dxa"/>
              <w:left w:w="108" w:type="dxa"/>
              <w:bottom w:w="0" w:type="dxa"/>
              <w:right w:w="108" w:type="dxa"/>
            </w:tcMar>
            <w:hideMark/>
          </w:tcPr>
          <w:p w14:paraId="0B135A8A" w14:textId="77777777" w:rsidR="00E6731B" w:rsidRPr="00317550" w:rsidRDefault="00E6731B" w:rsidP="001D4222">
            <w:pPr>
              <w:spacing w:after="0" w:line="480" w:lineRule="auto"/>
              <w:jc w:val="both"/>
              <w:rPr>
                <w:rFonts w:ascii="Arial" w:eastAsia="Times New Roman" w:hAnsi="Arial" w:cs="Arial"/>
                <w:lang w:val="en-US"/>
              </w:rPr>
            </w:pPr>
            <w:bookmarkStart w:id="285" w:name="280"/>
            <w:bookmarkEnd w:id="284"/>
            <w:r w:rsidRPr="00317550">
              <w:rPr>
                <w:rFonts w:ascii="Arial" w:eastAsia="Times New Roman" w:hAnsi="Arial" w:cs="Arial"/>
                <w:kern w:val="24"/>
                <w:lang w:val="en-US"/>
              </w:rPr>
              <w:t>Country</w:t>
            </w:r>
          </w:p>
        </w:tc>
        <w:tc>
          <w:tcPr>
            <w:tcW w:w="0" w:type="auto"/>
            <w:shd w:val="clear" w:color="auto" w:fill="4472C4"/>
            <w:tcMar>
              <w:top w:w="15" w:type="dxa"/>
              <w:left w:w="108" w:type="dxa"/>
              <w:bottom w:w="0" w:type="dxa"/>
              <w:right w:w="108" w:type="dxa"/>
            </w:tcMar>
            <w:hideMark/>
          </w:tcPr>
          <w:p w14:paraId="00851CAE" w14:textId="77777777" w:rsidR="00E6731B" w:rsidRPr="00317550" w:rsidRDefault="00E6731B" w:rsidP="001D4222">
            <w:pPr>
              <w:spacing w:after="0" w:line="480" w:lineRule="auto"/>
              <w:jc w:val="both"/>
              <w:rPr>
                <w:rFonts w:ascii="Arial" w:eastAsia="Times New Roman" w:hAnsi="Arial" w:cs="Arial"/>
                <w:lang w:val="en-US"/>
              </w:rPr>
            </w:pPr>
            <w:bookmarkStart w:id="286" w:name="281"/>
            <w:bookmarkEnd w:id="285"/>
            <w:r w:rsidRPr="00317550">
              <w:rPr>
                <w:rFonts w:ascii="Arial" w:eastAsia="Times New Roman" w:hAnsi="Arial" w:cs="Arial"/>
                <w:kern w:val="24"/>
                <w:lang w:val="en-US"/>
              </w:rPr>
              <w:t>Sector</w:t>
            </w:r>
          </w:p>
        </w:tc>
        <w:tc>
          <w:tcPr>
            <w:tcW w:w="0" w:type="auto"/>
            <w:shd w:val="clear" w:color="auto" w:fill="4472C4"/>
            <w:tcMar>
              <w:top w:w="15" w:type="dxa"/>
              <w:left w:w="108" w:type="dxa"/>
              <w:bottom w:w="0" w:type="dxa"/>
              <w:right w:w="108" w:type="dxa"/>
            </w:tcMar>
            <w:hideMark/>
          </w:tcPr>
          <w:p w14:paraId="0DA9E9B3" w14:textId="77777777" w:rsidR="00E6731B" w:rsidRPr="00317550" w:rsidRDefault="00E6731B" w:rsidP="001D4222">
            <w:pPr>
              <w:spacing w:after="0" w:line="480" w:lineRule="auto"/>
              <w:jc w:val="both"/>
              <w:rPr>
                <w:rFonts w:ascii="Arial" w:eastAsia="Times New Roman" w:hAnsi="Arial" w:cs="Arial"/>
                <w:lang w:val="en-US"/>
              </w:rPr>
            </w:pPr>
            <w:bookmarkStart w:id="287" w:name="282"/>
            <w:bookmarkEnd w:id="286"/>
            <w:r w:rsidRPr="00317550">
              <w:rPr>
                <w:rFonts w:ascii="Arial" w:eastAsia="Times New Roman" w:hAnsi="Arial" w:cs="Arial"/>
                <w:kern w:val="24"/>
                <w:lang w:val="en-US"/>
              </w:rPr>
              <w:t>Assets (B$)</w:t>
            </w:r>
          </w:p>
        </w:tc>
        <w:bookmarkEnd w:id="287"/>
      </w:tr>
      <w:tr w:rsidR="00E6731B" w:rsidRPr="00317550" w14:paraId="1F7C667C" w14:textId="77777777" w:rsidTr="001D4222">
        <w:trPr>
          <w:trHeight w:val="785"/>
        </w:trPr>
        <w:tc>
          <w:tcPr>
            <w:tcW w:w="0" w:type="auto"/>
            <w:shd w:val="clear" w:color="auto" w:fill="4472C4"/>
            <w:tcMar>
              <w:top w:w="15" w:type="dxa"/>
              <w:left w:w="108" w:type="dxa"/>
              <w:bottom w:w="0" w:type="dxa"/>
              <w:right w:w="108" w:type="dxa"/>
            </w:tcMar>
            <w:hideMark/>
          </w:tcPr>
          <w:p w14:paraId="58BE71AF" w14:textId="77777777" w:rsidR="00E6731B" w:rsidRPr="00317550" w:rsidRDefault="00E6731B" w:rsidP="001D4222">
            <w:pPr>
              <w:spacing w:after="0" w:line="480" w:lineRule="auto"/>
              <w:jc w:val="both"/>
              <w:rPr>
                <w:rFonts w:ascii="Arial" w:eastAsia="Times New Roman" w:hAnsi="Arial" w:cs="Arial"/>
                <w:lang w:val="en-US"/>
              </w:rPr>
            </w:pPr>
            <w:bookmarkStart w:id="288" w:name="283"/>
            <w:r w:rsidRPr="00317550">
              <w:rPr>
                <w:rFonts w:ascii="Arial" w:eastAsia="Times New Roman" w:hAnsi="Arial" w:cs="Arial"/>
                <w:kern w:val="24"/>
                <w:lang w:val="en-US"/>
              </w:rPr>
              <w:t>1</w:t>
            </w:r>
          </w:p>
        </w:tc>
        <w:tc>
          <w:tcPr>
            <w:tcW w:w="0" w:type="auto"/>
            <w:shd w:val="clear" w:color="auto" w:fill="CFD5EA"/>
            <w:tcMar>
              <w:top w:w="15" w:type="dxa"/>
              <w:left w:w="108" w:type="dxa"/>
              <w:bottom w:w="0" w:type="dxa"/>
              <w:right w:w="108" w:type="dxa"/>
            </w:tcMar>
            <w:hideMark/>
          </w:tcPr>
          <w:p w14:paraId="1D1C1CE5" w14:textId="77777777" w:rsidR="00E6731B" w:rsidRPr="00317550" w:rsidRDefault="00E6731B" w:rsidP="001D4222">
            <w:pPr>
              <w:spacing w:after="0" w:line="480" w:lineRule="auto"/>
              <w:jc w:val="both"/>
              <w:rPr>
                <w:rFonts w:ascii="Arial" w:eastAsia="Times New Roman" w:hAnsi="Arial" w:cs="Arial"/>
                <w:lang w:val="en-US"/>
              </w:rPr>
            </w:pPr>
            <w:bookmarkStart w:id="289" w:name="284"/>
            <w:bookmarkEnd w:id="288"/>
            <w:r w:rsidRPr="00317550">
              <w:rPr>
                <w:rFonts w:ascii="Arial" w:eastAsia="Times New Roman" w:hAnsi="Arial" w:cs="Arial"/>
                <w:kern w:val="24"/>
                <w:lang w:val="en-US"/>
              </w:rPr>
              <w:t>Lehman</w:t>
            </w:r>
          </w:p>
        </w:tc>
        <w:tc>
          <w:tcPr>
            <w:tcW w:w="0" w:type="auto"/>
            <w:shd w:val="clear" w:color="auto" w:fill="CFD5EA"/>
            <w:tcMar>
              <w:top w:w="15" w:type="dxa"/>
              <w:left w:w="108" w:type="dxa"/>
              <w:bottom w:w="0" w:type="dxa"/>
              <w:right w:w="108" w:type="dxa"/>
            </w:tcMar>
            <w:hideMark/>
          </w:tcPr>
          <w:p w14:paraId="5A8D3A42" w14:textId="77777777" w:rsidR="00E6731B" w:rsidRPr="00317550" w:rsidRDefault="00E6731B" w:rsidP="001D4222">
            <w:pPr>
              <w:spacing w:after="0" w:line="480" w:lineRule="auto"/>
              <w:jc w:val="both"/>
              <w:rPr>
                <w:rFonts w:ascii="Arial" w:eastAsia="Times New Roman" w:hAnsi="Arial" w:cs="Arial"/>
                <w:lang w:val="en-US"/>
              </w:rPr>
            </w:pPr>
            <w:bookmarkStart w:id="290" w:name="285"/>
            <w:bookmarkEnd w:id="289"/>
            <w:r w:rsidRPr="00317550">
              <w:rPr>
                <w:rFonts w:ascii="Arial" w:eastAsia="Times New Roman" w:hAnsi="Arial" w:cs="Arial"/>
                <w:kern w:val="24"/>
                <w:lang w:val="en-US"/>
              </w:rPr>
              <w:t>15.09.08</w:t>
            </w:r>
          </w:p>
        </w:tc>
        <w:tc>
          <w:tcPr>
            <w:tcW w:w="0" w:type="auto"/>
            <w:shd w:val="clear" w:color="auto" w:fill="CFD5EA"/>
            <w:tcMar>
              <w:top w:w="15" w:type="dxa"/>
              <w:left w:w="108" w:type="dxa"/>
              <w:bottom w:w="0" w:type="dxa"/>
              <w:right w:w="108" w:type="dxa"/>
            </w:tcMar>
            <w:hideMark/>
          </w:tcPr>
          <w:p w14:paraId="7700D13C" w14:textId="77777777" w:rsidR="00E6731B" w:rsidRPr="00317550" w:rsidRDefault="00E6731B" w:rsidP="001D4222">
            <w:pPr>
              <w:spacing w:after="0" w:line="480" w:lineRule="auto"/>
              <w:jc w:val="both"/>
              <w:rPr>
                <w:rFonts w:ascii="Arial" w:eastAsia="Times New Roman" w:hAnsi="Arial" w:cs="Arial"/>
                <w:lang w:val="en-US"/>
              </w:rPr>
            </w:pPr>
            <w:bookmarkStart w:id="291" w:name="286"/>
            <w:bookmarkEnd w:id="290"/>
            <w:r w:rsidRPr="00317550">
              <w:rPr>
                <w:rFonts w:ascii="Arial" w:eastAsia="Times New Roman" w:hAnsi="Arial" w:cs="Arial"/>
                <w:kern w:val="24"/>
                <w:lang w:val="en-US"/>
              </w:rPr>
              <w:t>United States</w:t>
            </w:r>
          </w:p>
        </w:tc>
        <w:tc>
          <w:tcPr>
            <w:tcW w:w="0" w:type="auto"/>
            <w:shd w:val="clear" w:color="auto" w:fill="CFD5EA"/>
            <w:tcMar>
              <w:top w:w="15" w:type="dxa"/>
              <w:left w:w="108" w:type="dxa"/>
              <w:bottom w:w="0" w:type="dxa"/>
              <w:right w:w="108" w:type="dxa"/>
            </w:tcMar>
            <w:hideMark/>
          </w:tcPr>
          <w:p w14:paraId="7567F423" w14:textId="77777777" w:rsidR="00E6731B" w:rsidRPr="00317550" w:rsidRDefault="00E6731B" w:rsidP="001D4222">
            <w:pPr>
              <w:spacing w:after="0" w:line="480" w:lineRule="auto"/>
              <w:jc w:val="both"/>
              <w:rPr>
                <w:rFonts w:ascii="Arial" w:eastAsia="Times New Roman" w:hAnsi="Arial" w:cs="Arial"/>
                <w:lang w:val="en-US"/>
              </w:rPr>
            </w:pPr>
            <w:bookmarkStart w:id="292" w:name="287"/>
            <w:bookmarkEnd w:id="291"/>
            <w:r w:rsidRPr="00317550">
              <w:rPr>
                <w:rFonts w:ascii="Arial" w:eastAsia="Times New Roman" w:hAnsi="Arial" w:cs="Arial"/>
                <w:kern w:val="24"/>
                <w:lang w:val="en-US"/>
              </w:rPr>
              <w:t>Investment Bank</w:t>
            </w:r>
          </w:p>
        </w:tc>
        <w:tc>
          <w:tcPr>
            <w:tcW w:w="0" w:type="auto"/>
            <w:shd w:val="clear" w:color="auto" w:fill="CFD5EA"/>
            <w:tcMar>
              <w:top w:w="15" w:type="dxa"/>
              <w:left w:w="108" w:type="dxa"/>
              <w:bottom w:w="0" w:type="dxa"/>
              <w:right w:w="108" w:type="dxa"/>
            </w:tcMar>
            <w:hideMark/>
          </w:tcPr>
          <w:p w14:paraId="300DE0F8" w14:textId="77777777" w:rsidR="00E6731B" w:rsidRPr="00317550" w:rsidRDefault="00E6731B" w:rsidP="001D4222">
            <w:pPr>
              <w:spacing w:after="0" w:line="480" w:lineRule="auto"/>
              <w:jc w:val="both"/>
              <w:rPr>
                <w:rFonts w:ascii="Arial" w:eastAsia="Times New Roman" w:hAnsi="Arial" w:cs="Arial"/>
                <w:lang w:val="en-US"/>
              </w:rPr>
            </w:pPr>
            <w:bookmarkStart w:id="293" w:name="288"/>
            <w:bookmarkEnd w:id="292"/>
            <w:r w:rsidRPr="00317550">
              <w:rPr>
                <w:rFonts w:ascii="Arial" w:eastAsia="Times New Roman" w:hAnsi="Arial" w:cs="Arial"/>
                <w:kern w:val="24"/>
                <w:lang w:val="en-US"/>
              </w:rPr>
              <w:t>691</w:t>
            </w:r>
          </w:p>
        </w:tc>
        <w:bookmarkEnd w:id="293"/>
      </w:tr>
      <w:tr w:rsidR="00E6731B" w:rsidRPr="00317550" w14:paraId="7D1446A5" w14:textId="77777777" w:rsidTr="001D4222">
        <w:trPr>
          <w:trHeight w:val="1198"/>
        </w:trPr>
        <w:tc>
          <w:tcPr>
            <w:tcW w:w="0" w:type="auto"/>
            <w:shd w:val="clear" w:color="auto" w:fill="4472C4"/>
            <w:tcMar>
              <w:top w:w="15" w:type="dxa"/>
              <w:left w:w="108" w:type="dxa"/>
              <w:bottom w:w="0" w:type="dxa"/>
              <w:right w:w="108" w:type="dxa"/>
            </w:tcMar>
            <w:hideMark/>
          </w:tcPr>
          <w:p w14:paraId="0274551A" w14:textId="77777777" w:rsidR="00E6731B" w:rsidRPr="00317550" w:rsidRDefault="00E6731B" w:rsidP="001D4222">
            <w:pPr>
              <w:spacing w:after="0" w:line="480" w:lineRule="auto"/>
              <w:jc w:val="both"/>
              <w:rPr>
                <w:rFonts w:ascii="Arial" w:eastAsia="Times New Roman" w:hAnsi="Arial" w:cs="Arial"/>
                <w:lang w:val="en-US"/>
              </w:rPr>
            </w:pPr>
            <w:bookmarkStart w:id="294" w:name="289"/>
            <w:r w:rsidRPr="00317550">
              <w:rPr>
                <w:rFonts w:ascii="Arial" w:eastAsia="Times New Roman" w:hAnsi="Arial" w:cs="Arial"/>
                <w:kern w:val="24"/>
                <w:lang w:val="en-US"/>
              </w:rPr>
              <w:t>2</w:t>
            </w:r>
          </w:p>
        </w:tc>
        <w:tc>
          <w:tcPr>
            <w:tcW w:w="0" w:type="auto"/>
            <w:shd w:val="clear" w:color="auto" w:fill="E9EBF5"/>
            <w:tcMar>
              <w:top w:w="15" w:type="dxa"/>
              <w:left w:w="108" w:type="dxa"/>
              <w:bottom w:w="0" w:type="dxa"/>
              <w:right w:w="108" w:type="dxa"/>
            </w:tcMar>
            <w:hideMark/>
          </w:tcPr>
          <w:p w14:paraId="43F186CF" w14:textId="77777777" w:rsidR="00E6731B" w:rsidRPr="00317550" w:rsidRDefault="00E6731B" w:rsidP="001D4222">
            <w:pPr>
              <w:spacing w:after="0" w:line="480" w:lineRule="auto"/>
              <w:jc w:val="both"/>
              <w:rPr>
                <w:rFonts w:ascii="Arial" w:eastAsia="Times New Roman" w:hAnsi="Arial" w:cs="Arial"/>
                <w:lang w:val="en-US"/>
              </w:rPr>
            </w:pPr>
            <w:bookmarkStart w:id="295" w:name="290"/>
            <w:bookmarkEnd w:id="294"/>
            <w:r w:rsidRPr="00317550">
              <w:rPr>
                <w:rFonts w:ascii="Arial" w:eastAsia="Times New Roman" w:hAnsi="Arial" w:cs="Arial"/>
                <w:kern w:val="24"/>
                <w:lang w:val="en-US"/>
              </w:rPr>
              <w:t>Washington Mutual, Inc.</w:t>
            </w:r>
          </w:p>
        </w:tc>
        <w:tc>
          <w:tcPr>
            <w:tcW w:w="0" w:type="auto"/>
            <w:shd w:val="clear" w:color="auto" w:fill="E9EBF5"/>
            <w:tcMar>
              <w:top w:w="15" w:type="dxa"/>
              <w:left w:w="108" w:type="dxa"/>
              <w:bottom w:w="0" w:type="dxa"/>
              <w:right w:w="108" w:type="dxa"/>
            </w:tcMar>
            <w:hideMark/>
          </w:tcPr>
          <w:p w14:paraId="23CD8E2B" w14:textId="77777777" w:rsidR="00E6731B" w:rsidRPr="00317550" w:rsidRDefault="00E6731B" w:rsidP="001D4222">
            <w:pPr>
              <w:spacing w:after="0" w:line="480" w:lineRule="auto"/>
              <w:jc w:val="both"/>
              <w:rPr>
                <w:rFonts w:ascii="Arial" w:eastAsia="Times New Roman" w:hAnsi="Arial" w:cs="Arial"/>
                <w:lang w:val="en-US"/>
              </w:rPr>
            </w:pPr>
            <w:bookmarkStart w:id="296" w:name="291"/>
            <w:bookmarkEnd w:id="295"/>
            <w:r w:rsidRPr="00317550">
              <w:rPr>
                <w:rFonts w:ascii="Arial" w:eastAsia="Times New Roman" w:hAnsi="Arial" w:cs="Arial"/>
                <w:kern w:val="24"/>
                <w:lang w:val="en-US"/>
              </w:rPr>
              <w:t>26.08.08</w:t>
            </w:r>
          </w:p>
        </w:tc>
        <w:tc>
          <w:tcPr>
            <w:tcW w:w="0" w:type="auto"/>
            <w:shd w:val="clear" w:color="auto" w:fill="E9EBF5"/>
            <w:tcMar>
              <w:top w:w="15" w:type="dxa"/>
              <w:left w:w="108" w:type="dxa"/>
              <w:bottom w:w="0" w:type="dxa"/>
              <w:right w:w="108" w:type="dxa"/>
            </w:tcMar>
            <w:hideMark/>
          </w:tcPr>
          <w:p w14:paraId="1FD3BF5F" w14:textId="77777777" w:rsidR="00E6731B" w:rsidRPr="00317550" w:rsidRDefault="00E6731B" w:rsidP="001D4222">
            <w:pPr>
              <w:spacing w:after="0" w:line="480" w:lineRule="auto"/>
              <w:jc w:val="both"/>
              <w:rPr>
                <w:rFonts w:ascii="Arial" w:eastAsia="Times New Roman" w:hAnsi="Arial" w:cs="Arial"/>
                <w:lang w:val="en-US"/>
              </w:rPr>
            </w:pPr>
            <w:bookmarkStart w:id="297" w:name="292"/>
            <w:bookmarkEnd w:id="296"/>
            <w:r w:rsidRPr="00317550">
              <w:rPr>
                <w:rFonts w:ascii="Arial" w:eastAsia="Times New Roman" w:hAnsi="Arial" w:cs="Arial"/>
                <w:kern w:val="24"/>
                <w:lang w:val="en-US"/>
              </w:rPr>
              <w:t xml:space="preserve">United States </w:t>
            </w:r>
          </w:p>
        </w:tc>
        <w:tc>
          <w:tcPr>
            <w:tcW w:w="0" w:type="auto"/>
            <w:shd w:val="clear" w:color="auto" w:fill="E9EBF5"/>
            <w:tcMar>
              <w:top w:w="15" w:type="dxa"/>
              <w:left w:w="108" w:type="dxa"/>
              <w:bottom w:w="0" w:type="dxa"/>
              <w:right w:w="108" w:type="dxa"/>
            </w:tcMar>
            <w:hideMark/>
          </w:tcPr>
          <w:p w14:paraId="19615863" w14:textId="77777777" w:rsidR="00E6731B" w:rsidRPr="00317550" w:rsidRDefault="00E6731B" w:rsidP="001D4222">
            <w:pPr>
              <w:spacing w:after="0" w:line="480" w:lineRule="auto"/>
              <w:jc w:val="both"/>
              <w:rPr>
                <w:rFonts w:ascii="Arial" w:eastAsia="Times New Roman" w:hAnsi="Arial" w:cs="Arial"/>
                <w:lang w:val="en-US"/>
              </w:rPr>
            </w:pPr>
            <w:bookmarkStart w:id="298" w:name="293"/>
            <w:bookmarkEnd w:id="297"/>
            <w:r w:rsidRPr="00317550">
              <w:rPr>
                <w:rFonts w:ascii="Arial" w:eastAsia="Times New Roman" w:hAnsi="Arial" w:cs="Arial"/>
                <w:kern w:val="24"/>
                <w:lang w:val="en-US"/>
              </w:rPr>
              <w:t>Savings &amp; Loan Holding Co</w:t>
            </w:r>
          </w:p>
        </w:tc>
        <w:tc>
          <w:tcPr>
            <w:tcW w:w="0" w:type="auto"/>
            <w:shd w:val="clear" w:color="auto" w:fill="E9EBF5"/>
            <w:tcMar>
              <w:top w:w="15" w:type="dxa"/>
              <w:left w:w="108" w:type="dxa"/>
              <w:bottom w:w="0" w:type="dxa"/>
              <w:right w:w="108" w:type="dxa"/>
            </w:tcMar>
            <w:hideMark/>
          </w:tcPr>
          <w:p w14:paraId="46887C45" w14:textId="77777777" w:rsidR="00E6731B" w:rsidRPr="00317550" w:rsidRDefault="00E6731B" w:rsidP="001D4222">
            <w:pPr>
              <w:spacing w:after="0" w:line="480" w:lineRule="auto"/>
              <w:jc w:val="both"/>
              <w:rPr>
                <w:rFonts w:ascii="Arial" w:eastAsia="Times New Roman" w:hAnsi="Arial" w:cs="Arial"/>
                <w:lang w:val="en-US"/>
              </w:rPr>
            </w:pPr>
            <w:bookmarkStart w:id="299" w:name="294"/>
            <w:bookmarkEnd w:id="298"/>
            <w:r w:rsidRPr="00317550">
              <w:rPr>
                <w:rFonts w:ascii="Arial" w:eastAsia="Times New Roman" w:hAnsi="Arial" w:cs="Arial"/>
                <w:kern w:val="24"/>
                <w:lang w:val="en-US"/>
              </w:rPr>
              <w:t>328</w:t>
            </w:r>
          </w:p>
        </w:tc>
        <w:bookmarkEnd w:id="299"/>
      </w:tr>
      <w:tr w:rsidR="00E6731B" w:rsidRPr="00317550" w14:paraId="1BF334D9" w14:textId="77777777" w:rsidTr="001D4222">
        <w:trPr>
          <w:trHeight w:val="785"/>
        </w:trPr>
        <w:tc>
          <w:tcPr>
            <w:tcW w:w="0" w:type="auto"/>
            <w:shd w:val="clear" w:color="auto" w:fill="4472C4"/>
            <w:tcMar>
              <w:top w:w="15" w:type="dxa"/>
              <w:left w:w="108" w:type="dxa"/>
              <w:bottom w:w="0" w:type="dxa"/>
              <w:right w:w="108" w:type="dxa"/>
            </w:tcMar>
            <w:hideMark/>
          </w:tcPr>
          <w:p w14:paraId="0DE71125" w14:textId="77777777" w:rsidR="00E6731B" w:rsidRPr="00317550" w:rsidRDefault="00E6731B" w:rsidP="001D4222">
            <w:pPr>
              <w:spacing w:after="0" w:line="480" w:lineRule="auto"/>
              <w:jc w:val="both"/>
              <w:rPr>
                <w:rFonts w:ascii="Arial" w:eastAsia="Times New Roman" w:hAnsi="Arial" w:cs="Arial"/>
                <w:lang w:val="en-US"/>
              </w:rPr>
            </w:pPr>
            <w:bookmarkStart w:id="300" w:name="295"/>
            <w:r w:rsidRPr="00317550">
              <w:rPr>
                <w:rFonts w:ascii="Arial" w:eastAsia="Times New Roman" w:hAnsi="Arial" w:cs="Arial"/>
                <w:kern w:val="24"/>
                <w:lang w:val="en-US"/>
              </w:rPr>
              <w:t>3</w:t>
            </w:r>
          </w:p>
        </w:tc>
        <w:tc>
          <w:tcPr>
            <w:tcW w:w="0" w:type="auto"/>
            <w:shd w:val="clear" w:color="auto" w:fill="CFD5EA"/>
            <w:tcMar>
              <w:top w:w="15" w:type="dxa"/>
              <w:left w:w="108" w:type="dxa"/>
              <w:bottom w:w="0" w:type="dxa"/>
              <w:right w:w="108" w:type="dxa"/>
            </w:tcMar>
            <w:hideMark/>
          </w:tcPr>
          <w:p w14:paraId="74896CD0" w14:textId="77777777" w:rsidR="00E6731B" w:rsidRPr="00317550" w:rsidRDefault="00E6731B" w:rsidP="001D4222">
            <w:pPr>
              <w:spacing w:after="0" w:line="480" w:lineRule="auto"/>
              <w:jc w:val="both"/>
              <w:rPr>
                <w:rFonts w:ascii="Arial" w:eastAsia="Times New Roman" w:hAnsi="Arial" w:cs="Arial"/>
                <w:lang w:val="en-US"/>
              </w:rPr>
            </w:pPr>
            <w:bookmarkStart w:id="301" w:name="296"/>
            <w:bookmarkEnd w:id="300"/>
            <w:r w:rsidRPr="00317550">
              <w:rPr>
                <w:rFonts w:ascii="Arial" w:eastAsia="Times New Roman" w:hAnsi="Arial" w:cs="Arial"/>
                <w:kern w:val="24"/>
                <w:lang w:val="en-US"/>
              </w:rPr>
              <w:t>WorldCom, Inc.</w:t>
            </w:r>
          </w:p>
        </w:tc>
        <w:tc>
          <w:tcPr>
            <w:tcW w:w="0" w:type="auto"/>
            <w:shd w:val="clear" w:color="auto" w:fill="CFD5EA"/>
            <w:tcMar>
              <w:top w:w="15" w:type="dxa"/>
              <w:left w:w="108" w:type="dxa"/>
              <w:bottom w:w="0" w:type="dxa"/>
              <w:right w:w="108" w:type="dxa"/>
            </w:tcMar>
            <w:hideMark/>
          </w:tcPr>
          <w:p w14:paraId="5720667D" w14:textId="77777777" w:rsidR="00E6731B" w:rsidRPr="00317550" w:rsidRDefault="00E6731B" w:rsidP="001D4222">
            <w:pPr>
              <w:spacing w:after="0" w:line="480" w:lineRule="auto"/>
              <w:jc w:val="both"/>
              <w:rPr>
                <w:rFonts w:ascii="Arial" w:eastAsia="Times New Roman" w:hAnsi="Arial" w:cs="Arial"/>
                <w:lang w:val="en-US"/>
              </w:rPr>
            </w:pPr>
            <w:bookmarkStart w:id="302" w:name="297"/>
            <w:bookmarkEnd w:id="301"/>
            <w:r w:rsidRPr="00317550">
              <w:rPr>
                <w:rFonts w:ascii="Arial" w:eastAsia="Times New Roman" w:hAnsi="Arial" w:cs="Arial"/>
                <w:kern w:val="24"/>
                <w:lang w:val="en-US"/>
              </w:rPr>
              <w:t>21.07.02</w:t>
            </w:r>
          </w:p>
        </w:tc>
        <w:tc>
          <w:tcPr>
            <w:tcW w:w="0" w:type="auto"/>
            <w:shd w:val="clear" w:color="auto" w:fill="CFD5EA"/>
            <w:tcMar>
              <w:top w:w="15" w:type="dxa"/>
              <w:left w:w="108" w:type="dxa"/>
              <w:bottom w:w="0" w:type="dxa"/>
              <w:right w:w="108" w:type="dxa"/>
            </w:tcMar>
            <w:hideMark/>
          </w:tcPr>
          <w:p w14:paraId="1108BE3A" w14:textId="77777777" w:rsidR="00E6731B" w:rsidRPr="00317550" w:rsidRDefault="00E6731B" w:rsidP="001D4222">
            <w:pPr>
              <w:spacing w:after="0" w:line="480" w:lineRule="auto"/>
              <w:jc w:val="both"/>
              <w:rPr>
                <w:rFonts w:ascii="Arial" w:eastAsia="Times New Roman" w:hAnsi="Arial" w:cs="Arial"/>
                <w:lang w:val="en-US"/>
              </w:rPr>
            </w:pPr>
            <w:bookmarkStart w:id="303" w:name="298"/>
            <w:bookmarkEnd w:id="302"/>
            <w:r w:rsidRPr="00317550">
              <w:rPr>
                <w:rFonts w:ascii="Arial" w:eastAsia="Times New Roman" w:hAnsi="Arial" w:cs="Arial"/>
                <w:kern w:val="24"/>
                <w:lang w:val="en-US"/>
              </w:rPr>
              <w:t>United States</w:t>
            </w:r>
          </w:p>
        </w:tc>
        <w:tc>
          <w:tcPr>
            <w:tcW w:w="0" w:type="auto"/>
            <w:shd w:val="clear" w:color="auto" w:fill="CFD5EA"/>
            <w:tcMar>
              <w:top w:w="15" w:type="dxa"/>
              <w:left w:w="108" w:type="dxa"/>
              <w:bottom w:w="0" w:type="dxa"/>
              <w:right w:w="108" w:type="dxa"/>
            </w:tcMar>
            <w:hideMark/>
          </w:tcPr>
          <w:p w14:paraId="1776715E" w14:textId="77777777" w:rsidR="00E6731B" w:rsidRPr="00317550" w:rsidRDefault="00E6731B" w:rsidP="001D4222">
            <w:pPr>
              <w:spacing w:after="0" w:line="480" w:lineRule="auto"/>
              <w:jc w:val="both"/>
              <w:rPr>
                <w:rFonts w:ascii="Arial" w:eastAsia="Times New Roman" w:hAnsi="Arial" w:cs="Arial"/>
                <w:lang w:val="en-US"/>
              </w:rPr>
            </w:pPr>
            <w:bookmarkStart w:id="304" w:name="299"/>
            <w:bookmarkEnd w:id="303"/>
            <w:r w:rsidRPr="00317550">
              <w:rPr>
                <w:rFonts w:ascii="Arial" w:eastAsia="Times New Roman" w:hAnsi="Arial" w:cs="Arial"/>
                <w:kern w:val="24"/>
                <w:lang w:val="en-US"/>
              </w:rPr>
              <w:t>Telecommunications</w:t>
            </w:r>
          </w:p>
        </w:tc>
        <w:tc>
          <w:tcPr>
            <w:tcW w:w="0" w:type="auto"/>
            <w:shd w:val="clear" w:color="auto" w:fill="CFD5EA"/>
            <w:tcMar>
              <w:top w:w="15" w:type="dxa"/>
              <w:left w:w="108" w:type="dxa"/>
              <w:bottom w:w="0" w:type="dxa"/>
              <w:right w:w="108" w:type="dxa"/>
            </w:tcMar>
            <w:hideMark/>
          </w:tcPr>
          <w:p w14:paraId="35E7E2C3" w14:textId="77777777" w:rsidR="00E6731B" w:rsidRPr="00317550" w:rsidRDefault="00E6731B" w:rsidP="001D4222">
            <w:pPr>
              <w:spacing w:after="0" w:line="480" w:lineRule="auto"/>
              <w:jc w:val="both"/>
              <w:rPr>
                <w:rFonts w:ascii="Arial" w:eastAsia="Times New Roman" w:hAnsi="Arial" w:cs="Arial"/>
                <w:lang w:val="en-US"/>
              </w:rPr>
            </w:pPr>
            <w:bookmarkStart w:id="305" w:name="300"/>
            <w:bookmarkEnd w:id="304"/>
            <w:r w:rsidRPr="00317550">
              <w:rPr>
                <w:rFonts w:ascii="Arial" w:eastAsia="Times New Roman" w:hAnsi="Arial" w:cs="Arial"/>
                <w:kern w:val="24"/>
                <w:lang w:val="en-US"/>
              </w:rPr>
              <w:t>104</w:t>
            </w:r>
          </w:p>
        </w:tc>
        <w:bookmarkEnd w:id="305"/>
      </w:tr>
      <w:tr w:rsidR="00E6731B" w:rsidRPr="00317550" w14:paraId="5DA57A80" w14:textId="77777777" w:rsidTr="001D4222">
        <w:trPr>
          <w:trHeight w:val="785"/>
        </w:trPr>
        <w:tc>
          <w:tcPr>
            <w:tcW w:w="0" w:type="auto"/>
            <w:shd w:val="clear" w:color="auto" w:fill="4472C4"/>
            <w:tcMar>
              <w:top w:w="15" w:type="dxa"/>
              <w:left w:w="108" w:type="dxa"/>
              <w:bottom w:w="0" w:type="dxa"/>
              <w:right w:w="108" w:type="dxa"/>
            </w:tcMar>
            <w:hideMark/>
          </w:tcPr>
          <w:p w14:paraId="5C3F32C9" w14:textId="77777777" w:rsidR="00E6731B" w:rsidRPr="00317550" w:rsidRDefault="00E6731B" w:rsidP="001D4222">
            <w:pPr>
              <w:spacing w:after="0" w:line="480" w:lineRule="auto"/>
              <w:jc w:val="both"/>
              <w:rPr>
                <w:rFonts w:ascii="Arial" w:eastAsia="Times New Roman" w:hAnsi="Arial" w:cs="Arial"/>
                <w:lang w:val="en-US"/>
              </w:rPr>
            </w:pPr>
            <w:bookmarkStart w:id="306" w:name="301"/>
            <w:r w:rsidRPr="00317550">
              <w:rPr>
                <w:rFonts w:ascii="Arial" w:eastAsia="Times New Roman" w:hAnsi="Arial" w:cs="Arial"/>
                <w:kern w:val="24"/>
                <w:lang w:val="en-US"/>
              </w:rPr>
              <w:t>4</w:t>
            </w:r>
          </w:p>
        </w:tc>
        <w:tc>
          <w:tcPr>
            <w:tcW w:w="0" w:type="auto"/>
            <w:shd w:val="clear" w:color="auto" w:fill="E9EBF5"/>
            <w:tcMar>
              <w:top w:w="15" w:type="dxa"/>
              <w:left w:w="108" w:type="dxa"/>
              <w:bottom w:w="0" w:type="dxa"/>
              <w:right w:w="108" w:type="dxa"/>
            </w:tcMar>
            <w:hideMark/>
          </w:tcPr>
          <w:p w14:paraId="7F8C2D92" w14:textId="77777777" w:rsidR="00E6731B" w:rsidRPr="00317550" w:rsidRDefault="00E6731B" w:rsidP="001D4222">
            <w:pPr>
              <w:spacing w:after="0" w:line="480" w:lineRule="auto"/>
              <w:jc w:val="both"/>
              <w:rPr>
                <w:rFonts w:ascii="Arial" w:eastAsia="Times New Roman" w:hAnsi="Arial" w:cs="Arial"/>
                <w:lang w:val="en-US"/>
              </w:rPr>
            </w:pPr>
            <w:bookmarkStart w:id="307" w:name="302"/>
            <w:bookmarkEnd w:id="306"/>
            <w:r w:rsidRPr="00317550">
              <w:rPr>
                <w:rFonts w:ascii="Arial" w:eastAsia="Times New Roman" w:hAnsi="Arial" w:cs="Arial"/>
                <w:kern w:val="24"/>
                <w:lang w:val="en-US"/>
              </w:rPr>
              <w:t>General Motors</w:t>
            </w:r>
          </w:p>
        </w:tc>
        <w:tc>
          <w:tcPr>
            <w:tcW w:w="0" w:type="auto"/>
            <w:shd w:val="clear" w:color="auto" w:fill="E9EBF5"/>
            <w:tcMar>
              <w:top w:w="15" w:type="dxa"/>
              <w:left w:w="108" w:type="dxa"/>
              <w:bottom w:w="0" w:type="dxa"/>
              <w:right w:w="108" w:type="dxa"/>
            </w:tcMar>
            <w:hideMark/>
          </w:tcPr>
          <w:p w14:paraId="3FBD311A" w14:textId="77777777" w:rsidR="00E6731B" w:rsidRPr="00317550" w:rsidRDefault="00E6731B" w:rsidP="001D4222">
            <w:pPr>
              <w:spacing w:after="0" w:line="480" w:lineRule="auto"/>
              <w:jc w:val="both"/>
              <w:rPr>
                <w:rFonts w:ascii="Arial" w:eastAsia="Times New Roman" w:hAnsi="Arial" w:cs="Arial"/>
                <w:lang w:val="en-US"/>
              </w:rPr>
            </w:pPr>
            <w:bookmarkStart w:id="308" w:name="303"/>
            <w:bookmarkEnd w:id="307"/>
            <w:r w:rsidRPr="00317550">
              <w:rPr>
                <w:rFonts w:ascii="Arial" w:eastAsia="Times New Roman" w:hAnsi="Arial" w:cs="Arial"/>
                <w:kern w:val="24"/>
                <w:lang w:val="en-US"/>
              </w:rPr>
              <w:t>6.01.09</w:t>
            </w:r>
          </w:p>
        </w:tc>
        <w:tc>
          <w:tcPr>
            <w:tcW w:w="0" w:type="auto"/>
            <w:shd w:val="clear" w:color="auto" w:fill="E9EBF5"/>
            <w:tcMar>
              <w:top w:w="15" w:type="dxa"/>
              <w:left w:w="108" w:type="dxa"/>
              <w:bottom w:w="0" w:type="dxa"/>
              <w:right w:w="108" w:type="dxa"/>
            </w:tcMar>
            <w:hideMark/>
          </w:tcPr>
          <w:p w14:paraId="58117E0C" w14:textId="77777777" w:rsidR="00E6731B" w:rsidRPr="00317550" w:rsidRDefault="00E6731B" w:rsidP="001D4222">
            <w:pPr>
              <w:spacing w:after="0" w:line="480" w:lineRule="auto"/>
              <w:jc w:val="both"/>
              <w:rPr>
                <w:rFonts w:ascii="Arial" w:eastAsia="Times New Roman" w:hAnsi="Arial" w:cs="Arial"/>
                <w:lang w:val="en-US"/>
              </w:rPr>
            </w:pPr>
            <w:bookmarkStart w:id="309" w:name="304"/>
            <w:bookmarkEnd w:id="308"/>
            <w:r w:rsidRPr="00317550">
              <w:rPr>
                <w:rFonts w:ascii="Arial" w:eastAsia="Times New Roman" w:hAnsi="Arial" w:cs="Arial"/>
                <w:kern w:val="24"/>
                <w:lang w:val="en-US"/>
              </w:rPr>
              <w:t>United States</w:t>
            </w:r>
          </w:p>
        </w:tc>
        <w:tc>
          <w:tcPr>
            <w:tcW w:w="0" w:type="auto"/>
            <w:shd w:val="clear" w:color="auto" w:fill="E9EBF5"/>
            <w:tcMar>
              <w:top w:w="15" w:type="dxa"/>
              <w:left w:w="108" w:type="dxa"/>
              <w:bottom w:w="0" w:type="dxa"/>
              <w:right w:w="108" w:type="dxa"/>
            </w:tcMar>
            <w:hideMark/>
          </w:tcPr>
          <w:p w14:paraId="321D76C4" w14:textId="77777777" w:rsidR="00E6731B" w:rsidRPr="00317550" w:rsidRDefault="00E6731B" w:rsidP="001D4222">
            <w:pPr>
              <w:spacing w:after="0" w:line="480" w:lineRule="auto"/>
              <w:jc w:val="both"/>
              <w:rPr>
                <w:rFonts w:ascii="Arial" w:eastAsia="Times New Roman" w:hAnsi="Arial" w:cs="Arial"/>
                <w:lang w:val="en-US"/>
              </w:rPr>
            </w:pPr>
            <w:bookmarkStart w:id="310" w:name="305"/>
            <w:bookmarkEnd w:id="309"/>
            <w:r w:rsidRPr="00317550">
              <w:rPr>
                <w:rFonts w:ascii="Arial" w:eastAsia="Times New Roman" w:hAnsi="Arial" w:cs="Arial"/>
                <w:kern w:val="24"/>
                <w:lang w:val="en-US"/>
              </w:rPr>
              <w:t>Manufactures &amp; Sells Motor Vehicles</w:t>
            </w:r>
          </w:p>
        </w:tc>
        <w:tc>
          <w:tcPr>
            <w:tcW w:w="0" w:type="auto"/>
            <w:shd w:val="clear" w:color="auto" w:fill="E9EBF5"/>
            <w:tcMar>
              <w:top w:w="15" w:type="dxa"/>
              <w:left w:w="108" w:type="dxa"/>
              <w:bottom w:w="0" w:type="dxa"/>
              <w:right w:w="108" w:type="dxa"/>
            </w:tcMar>
            <w:hideMark/>
          </w:tcPr>
          <w:p w14:paraId="2F61FFF7" w14:textId="77777777" w:rsidR="00E6731B" w:rsidRPr="00317550" w:rsidRDefault="00E6731B" w:rsidP="001D4222">
            <w:pPr>
              <w:spacing w:after="0" w:line="480" w:lineRule="auto"/>
              <w:jc w:val="both"/>
              <w:rPr>
                <w:rFonts w:ascii="Arial" w:eastAsia="Times New Roman" w:hAnsi="Arial" w:cs="Arial"/>
                <w:lang w:val="en-US"/>
              </w:rPr>
            </w:pPr>
            <w:bookmarkStart w:id="311" w:name="306"/>
            <w:bookmarkEnd w:id="310"/>
            <w:r w:rsidRPr="00317550">
              <w:rPr>
                <w:rFonts w:ascii="Arial" w:eastAsia="Times New Roman" w:hAnsi="Arial" w:cs="Arial"/>
                <w:kern w:val="24"/>
                <w:lang w:val="en-US"/>
              </w:rPr>
              <w:t>91</w:t>
            </w:r>
          </w:p>
        </w:tc>
        <w:bookmarkEnd w:id="311"/>
      </w:tr>
      <w:tr w:rsidR="00E6731B" w:rsidRPr="00317550" w14:paraId="098760D1" w14:textId="77777777" w:rsidTr="001D4222">
        <w:trPr>
          <w:trHeight w:val="785"/>
        </w:trPr>
        <w:tc>
          <w:tcPr>
            <w:tcW w:w="0" w:type="auto"/>
            <w:shd w:val="clear" w:color="auto" w:fill="4472C4"/>
            <w:tcMar>
              <w:top w:w="15" w:type="dxa"/>
              <w:left w:w="108" w:type="dxa"/>
              <w:bottom w:w="0" w:type="dxa"/>
              <w:right w:w="108" w:type="dxa"/>
            </w:tcMar>
            <w:hideMark/>
          </w:tcPr>
          <w:p w14:paraId="30595D30" w14:textId="77777777" w:rsidR="00E6731B" w:rsidRPr="00317550" w:rsidRDefault="00E6731B" w:rsidP="001D4222">
            <w:pPr>
              <w:spacing w:after="0" w:line="480" w:lineRule="auto"/>
              <w:jc w:val="both"/>
              <w:rPr>
                <w:rFonts w:ascii="Arial" w:eastAsia="Times New Roman" w:hAnsi="Arial" w:cs="Arial"/>
                <w:lang w:val="en-US"/>
              </w:rPr>
            </w:pPr>
            <w:bookmarkStart w:id="312" w:name="307"/>
            <w:r w:rsidRPr="00317550">
              <w:rPr>
                <w:rFonts w:ascii="Arial" w:eastAsia="Times New Roman" w:hAnsi="Arial" w:cs="Arial"/>
                <w:kern w:val="24"/>
                <w:lang w:val="en-US"/>
              </w:rPr>
              <w:t>5</w:t>
            </w:r>
          </w:p>
        </w:tc>
        <w:tc>
          <w:tcPr>
            <w:tcW w:w="0" w:type="auto"/>
            <w:shd w:val="clear" w:color="auto" w:fill="CFD5EA"/>
            <w:tcMar>
              <w:top w:w="15" w:type="dxa"/>
              <w:left w:w="108" w:type="dxa"/>
              <w:bottom w:w="0" w:type="dxa"/>
              <w:right w:w="108" w:type="dxa"/>
            </w:tcMar>
            <w:hideMark/>
          </w:tcPr>
          <w:p w14:paraId="6F58C85C" w14:textId="77777777" w:rsidR="00E6731B" w:rsidRPr="00317550" w:rsidRDefault="00E6731B" w:rsidP="001D4222">
            <w:pPr>
              <w:spacing w:after="0" w:line="480" w:lineRule="auto"/>
              <w:jc w:val="both"/>
              <w:rPr>
                <w:rFonts w:ascii="Arial" w:eastAsia="Times New Roman" w:hAnsi="Arial" w:cs="Arial"/>
                <w:lang w:val="en-US"/>
              </w:rPr>
            </w:pPr>
            <w:bookmarkStart w:id="313" w:name="308"/>
            <w:bookmarkEnd w:id="312"/>
            <w:proofErr w:type="spellStart"/>
            <w:r w:rsidRPr="00317550">
              <w:rPr>
                <w:rFonts w:ascii="Arial" w:eastAsia="Times New Roman" w:hAnsi="Arial" w:cs="Arial"/>
                <w:kern w:val="24"/>
                <w:lang w:val="en-US"/>
              </w:rPr>
              <w:t>Kaupthing</w:t>
            </w:r>
            <w:proofErr w:type="spellEnd"/>
            <w:r w:rsidRPr="00317550">
              <w:rPr>
                <w:rFonts w:ascii="Arial" w:eastAsia="Times New Roman" w:hAnsi="Arial" w:cs="Arial"/>
                <w:kern w:val="24"/>
                <w:lang w:val="en-US"/>
              </w:rPr>
              <w:t xml:space="preserve"> Bank</w:t>
            </w:r>
          </w:p>
        </w:tc>
        <w:tc>
          <w:tcPr>
            <w:tcW w:w="0" w:type="auto"/>
            <w:shd w:val="clear" w:color="auto" w:fill="CFD5EA"/>
            <w:tcMar>
              <w:top w:w="15" w:type="dxa"/>
              <w:left w:w="108" w:type="dxa"/>
              <w:bottom w:w="0" w:type="dxa"/>
              <w:right w:w="108" w:type="dxa"/>
            </w:tcMar>
            <w:hideMark/>
          </w:tcPr>
          <w:p w14:paraId="3C0B6E07" w14:textId="77777777" w:rsidR="00E6731B" w:rsidRPr="00317550" w:rsidRDefault="00E6731B" w:rsidP="001D4222">
            <w:pPr>
              <w:spacing w:after="0" w:line="480" w:lineRule="auto"/>
              <w:jc w:val="both"/>
              <w:rPr>
                <w:rFonts w:ascii="Arial" w:eastAsia="Times New Roman" w:hAnsi="Arial" w:cs="Arial"/>
                <w:lang w:val="en-US"/>
              </w:rPr>
            </w:pPr>
            <w:bookmarkStart w:id="314" w:name="309"/>
            <w:bookmarkEnd w:id="313"/>
            <w:r w:rsidRPr="00317550">
              <w:rPr>
                <w:rFonts w:ascii="Arial" w:eastAsia="Times New Roman" w:hAnsi="Arial" w:cs="Arial"/>
                <w:kern w:val="24"/>
                <w:lang w:val="en-US"/>
              </w:rPr>
              <w:t>9.10.08</w:t>
            </w:r>
          </w:p>
        </w:tc>
        <w:tc>
          <w:tcPr>
            <w:tcW w:w="0" w:type="auto"/>
            <w:shd w:val="clear" w:color="auto" w:fill="CFD5EA"/>
            <w:tcMar>
              <w:top w:w="15" w:type="dxa"/>
              <w:left w:w="108" w:type="dxa"/>
              <w:bottom w:w="0" w:type="dxa"/>
              <w:right w:w="108" w:type="dxa"/>
            </w:tcMar>
            <w:hideMark/>
          </w:tcPr>
          <w:p w14:paraId="1D88DF15" w14:textId="77777777" w:rsidR="00E6731B" w:rsidRPr="00317550" w:rsidRDefault="00E6731B" w:rsidP="001D4222">
            <w:pPr>
              <w:spacing w:after="0" w:line="480" w:lineRule="auto"/>
              <w:jc w:val="both"/>
              <w:rPr>
                <w:rFonts w:ascii="Arial" w:eastAsia="Times New Roman" w:hAnsi="Arial" w:cs="Arial"/>
                <w:lang w:val="en-US"/>
              </w:rPr>
            </w:pPr>
            <w:bookmarkStart w:id="315" w:name="310"/>
            <w:bookmarkEnd w:id="314"/>
            <w:r w:rsidRPr="00317550">
              <w:rPr>
                <w:rFonts w:ascii="Arial" w:eastAsia="Times New Roman" w:hAnsi="Arial" w:cs="Arial"/>
                <w:kern w:val="24"/>
                <w:lang w:val="en-US"/>
              </w:rPr>
              <w:t>Iceland</w:t>
            </w:r>
          </w:p>
        </w:tc>
        <w:tc>
          <w:tcPr>
            <w:tcW w:w="0" w:type="auto"/>
            <w:shd w:val="clear" w:color="auto" w:fill="CFD5EA"/>
            <w:tcMar>
              <w:top w:w="15" w:type="dxa"/>
              <w:left w:w="108" w:type="dxa"/>
              <w:bottom w:w="0" w:type="dxa"/>
              <w:right w:w="108" w:type="dxa"/>
            </w:tcMar>
            <w:hideMark/>
          </w:tcPr>
          <w:p w14:paraId="26E2E89F" w14:textId="77777777" w:rsidR="00E6731B" w:rsidRPr="00317550" w:rsidRDefault="00E6731B" w:rsidP="001D4222">
            <w:pPr>
              <w:spacing w:after="0" w:line="480" w:lineRule="auto"/>
              <w:jc w:val="both"/>
              <w:rPr>
                <w:rFonts w:ascii="Arial" w:eastAsia="Times New Roman" w:hAnsi="Arial" w:cs="Arial"/>
                <w:lang w:val="en-US"/>
              </w:rPr>
            </w:pPr>
            <w:bookmarkStart w:id="316" w:name="311"/>
            <w:bookmarkEnd w:id="315"/>
            <w:r w:rsidRPr="00317550">
              <w:rPr>
                <w:rFonts w:ascii="Arial" w:eastAsia="Times New Roman" w:hAnsi="Arial" w:cs="Arial"/>
                <w:kern w:val="24"/>
                <w:lang w:val="en-US"/>
              </w:rPr>
              <w:t>Banking</w:t>
            </w:r>
          </w:p>
        </w:tc>
        <w:tc>
          <w:tcPr>
            <w:tcW w:w="0" w:type="auto"/>
            <w:shd w:val="clear" w:color="auto" w:fill="CFD5EA"/>
            <w:tcMar>
              <w:top w:w="15" w:type="dxa"/>
              <w:left w:w="108" w:type="dxa"/>
              <w:bottom w:w="0" w:type="dxa"/>
              <w:right w:w="108" w:type="dxa"/>
            </w:tcMar>
            <w:hideMark/>
          </w:tcPr>
          <w:p w14:paraId="6A02D3E1" w14:textId="77777777" w:rsidR="00E6731B" w:rsidRPr="00317550" w:rsidRDefault="00E6731B" w:rsidP="001D4222">
            <w:pPr>
              <w:spacing w:after="0" w:line="480" w:lineRule="auto"/>
              <w:jc w:val="both"/>
              <w:rPr>
                <w:rFonts w:ascii="Arial" w:eastAsia="Times New Roman" w:hAnsi="Arial" w:cs="Arial"/>
                <w:lang w:val="en-US"/>
              </w:rPr>
            </w:pPr>
            <w:bookmarkStart w:id="317" w:name="312"/>
            <w:bookmarkEnd w:id="316"/>
            <w:r w:rsidRPr="00317550">
              <w:rPr>
                <w:rFonts w:ascii="Arial" w:eastAsia="Times New Roman" w:hAnsi="Arial" w:cs="Arial"/>
                <w:kern w:val="24"/>
                <w:lang w:val="en-US"/>
              </w:rPr>
              <w:t>87</w:t>
            </w:r>
          </w:p>
        </w:tc>
        <w:bookmarkEnd w:id="317"/>
      </w:tr>
      <w:tr w:rsidR="00E6731B" w:rsidRPr="00317550" w14:paraId="4E621920" w14:textId="77777777" w:rsidTr="001D4222">
        <w:trPr>
          <w:trHeight w:val="785"/>
        </w:trPr>
        <w:tc>
          <w:tcPr>
            <w:tcW w:w="0" w:type="auto"/>
            <w:shd w:val="clear" w:color="auto" w:fill="4472C4"/>
            <w:tcMar>
              <w:top w:w="15" w:type="dxa"/>
              <w:left w:w="108" w:type="dxa"/>
              <w:bottom w:w="0" w:type="dxa"/>
              <w:right w:w="108" w:type="dxa"/>
            </w:tcMar>
            <w:hideMark/>
          </w:tcPr>
          <w:p w14:paraId="2999F1FE" w14:textId="77777777" w:rsidR="00E6731B" w:rsidRPr="00317550" w:rsidRDefault="00E6731B" w:rsidP="001D4222">
            <w:pPr>
              <w:spacing w:after="0" w:line="480" w:lineRule="auto"/>
              <w:jc w:val="both"/>
              <w:rPr>
                <w:rFonts w:ascii="Arial" w:eastAsia="Times New Roman" w:hAnsi="Arial" w:cs="Arial"/>
                <w:lang w:val="en-US"/>
              </w:rPr>
            </w:pPr>
            <w:bookmarkStart w:id="318" w:name="313"/>
            <w:r w:rsidRPr="00317550">
              <w:rPr>
                <w:rFonts w:ascii="Arial" w:eastAsia="Times New Roman" w:hAnsi="Arial" w:cs="Arial"/>
                <w:kern w:val="24"/>
                <w:lang w:val="en-US"/>
              </w:rPr>
              <w:t>6</w:t>
            </w:r>
          </w:p>
        </w:tc>
        <w:tc>
          <w:tcPr>
            <w:tcW w:w="0" w:type="auto"/>
            <w:shd w:val="clear" w:color="auto" w:fill="E9EBF5"/>
            <w:tcMar>
              <w:top w:w="15" w:type="dxa"/>
              <w:left w:w="108" w:type="dxa"/>
              <w:bottom w:w="0" w:type="dxa"/>
              <w:right w:w="108" w:type="dxa"/>
            </w:tcMar>
            <w:hideMark/>
          </w:tcPr>
          <w:p w14:paraId="11E55C5E" w14:textId="77777777" w:rsidR="00E6731B" w:rsidRPr="00317550" w:rsidRDefault="00E6731B" w:rsidP="001D4222">
            <w:pPr>
              <w:spacing w:after="0" w:line="480" w:lineRule="auto"/>
              <w:jc w:val="both"/>
              <w:rPr>
                <w:rFonts w:ascii="Arial" w:eastAsia="Times New Roman" w:hAnsi="Arial" w:cs="Arial"/>
                <w:lang w:val="en-US"/>
              </w:rPr>
            </w:pPr>
            <w:bookmarkStart w:id="319" w:name="314"/>
            <w:bookmarkEnd w:id="318"/>
            <w:r w:rsidRPr="00317550">
              <w:rPr>
                <w:rFonts w:ascii="Arial" w:eastAsia="Times New Roman" w:hAnsi="Arial" w:cs="Arial"/>
                <w:kern w:val="24"/>
                <w:lang w:val="en-US"/>
              </w:rPr>
              <w:t>CIT Group, Inc.</w:t>
            </w:r>
          </w:p>
        </w:tc>
        <w:tc>
          <w:tcPr>
            <w:tcW w:w="0" w:type="auto"/>
            <w:shd w:val="clear" w:color="auto" w:fill="E9EBF5"/>
            <w:tcMar>
              <w:top w:w="15" w:type="dxa"/>
              <w:left w:w="108" w:type="dxa"/>
              <w:bottom w:w="0" w:type="dxa"/>
              <w:right w:w="108" w:type="dxa"/>
            </w:tcMar>
            <w:hideMark/>
          </w:tcPr>
          <w:p w14:paraId="27153361" w14:textId="77777777" w:rsidR="00E6731B" w:rsidRPr="00317550" w:rsidRDefault="00E6731B" w:rsidP="001D4222">
            <w:pPr>
              <w:spacing w:after="0" w:line="480" w:lineRule="auto"/>
              <w:jc w:val="both"/>
              <w:rPr>
                <w:rFonts w:ascii="Arial" w:eastAsia="Times New Roman" w:hAnsi="Arial" w:cs="Arial"/>
                <w:lang w:val="en-US"/>
              </w:rPr>
            </w:pPr>
            <w:bookmarkStart w:id="320" w:name="315"/>
            <w:bookmarkEnd w:id="319"/>
            <w:r w:rsidRPr="00317550">
              <w:rPr>
                <w:rFonts w:ascii="Arial" w:eastAsia="Times New Roman" w:hAnsi="Arial" w:cs="Arial"/>
                <w:kern w:val="24"/>
                <w:lang w:val="en-US"/>
              </w:rPr>
              <w:t>11.01.09</w:t>
            </w:r>
          </w:p>
        </w:tc>
        <w:tc>
          <w:tcPr>
            <w:tcW w:w="0" w:type="auto"/>
            <w:shd w:val="clear" w:color="auto" w:fill="E9EBF5"/>
            <w:tcMar>
              <w:top w:w="15" w:type="dxa"/>
              <w:left w:w="108" w:type="dxa"/>
              <w:bottom w:w="0" w:type="dxa"/>
              <w:right w:w="108" w:type="dxa"/>
            </w:tcMar>
            <w:hideMark/>
          </w:tcPr>
          <w:p w14:paraId="7360D0AC" w14:textId="77777777" w:rsidR="00E6731B" w:rsidRPr="00317550" w:rsidRDefault="00E6731B" w:rsidP="001D4222">
            <w:pPr>
              <w:spacing w:after="0" w:line="480" w:lineRule="auto"/>
              <w:jc w:val="both"/>
              <w:rPr>
                <w:rFonts w:ascii="Arial" w:eastAsia="Times New Roman" w:hAnsi="Arial" w:cs="Arial"/>
                <w:lang w:val="en-US"/>
              </w:rPr>
            </w:pPr>
            <w:bookmarkStart w:id="321" w:name="316"/>
            <w:bookmarkEnd w:id="320"/>
            <w:r w:rsidRPr="00317550">
              <w:rPr>
                <w:rFonts w:ascii="Arial" w:eastAsia="Times New Roman" w:hAnsi="Arial" w:cs="Arial"/>
                <w:kern w:val="24"/>
                <w:lang w:val="en-US"/>
              </w:rPr>
              <w:t>United States</w:t>
            </w:r>
          </w:p>
        </w:tc>
        <w:tc>
          <w:tcPr>
            <w:tcW w:w="0" w:type="auto"/>
            <w:shd w:val="clear" w:color="auto" w:fill="E9EBF5"/>
            <w:tcMar>
              <w:top w:w="15" w:type="dxa"/>
              <w:left w:w="108" w:type="dxa"/>
              <w:bottom w:w="0" w:type="dxa"/>
              <w:right w:w="108" w:type="dxa"/>
            </w:tcMar>
            <w:hideMark/>
          </w:tcPr>
          <w:p w14:paraId="64325EC7" w14:textId="77777777" w:rsidR="00E6731B" w:rsidRPr="00317550" w:rsidRDefault="00E6731B" w:rsidP="001D4222">
            <w:pPr>
              <w:spacing w:after="0" w:line="480" w:lineRule="auto"/>
              <w:jc w:val="both"/>
              <w:rPr>
                <w:rFonts w:ascii="Arial" w:eastAsia="Times New Roman" w:hAnsi="Arial" w:cs="Arial"/>
                <w:lang w:val="en-US"/>
              </w:rPr>
            </w:pPr>
            <w:bookmarkStart w:id="322" w:name="317"/>
            <w:bookmarkEnd w:id="321"/>
            <w:r w:rsidRPr="00317550">
              <w:rPr>
                <w:rFonts w:ascii="Arial" w:eastAsia="Times New Roman" w:hAnsi="Arial" w:cs="Arial"/>
                <w:kern w:val="24"/>
                <w:lang w:val="en-US"/>
              </w:rPr>
              <w:t>Banking Holding Co.</w:t>
            </w:r>
          </w:p>
        </w:tc>
        <w:tc>
          <w:tcPr>
            <w:tcW w:w="0" w:type="auto"/>
            <w:shd w:val="clear" w:color="auto" w:fill="E9EBF5"/>
            <w:tcMar>
              <w:top w:w="15" w:type="dxa"/>
              <w:left w:w="108" w:type="dxa"/>
              <w:bottom w:w="0" w:type="dxa"/>
              <w:right w:w="108" w:type="dxa"/>
            </w:tcMar>
            <w:hideMark/>
          </w:tcPr>
          <w:p w14:paraId="7B6AE1B7" w14:textId="77777777" w:rsidR="00E6731B" w:rsidRPr="00317550" w:rsidRDefault="00E6731B" w:rsidP="001D4222">
            <w:pPr>
              <w:spacing w:after="0" w:line="480" w:lineRule="auto"/>
              <w:jc w:val="both"/>
              <w:rPr>
                <w:rFonts w:ascii="Arial" w:eastAsia="Times New Roman" w:hAnsi="Arial" w:cs="Arial"/>
                <w:lang w:val="en-US"/>
              </w:rPr>
            </w:pPr>
            <w:bookmarkStart w:id="323" w:name="318"/>
            <w:bookmarkEnd w:id="322"/>
            <w:r w:rsidRPr="00317550">
              <w:rPr>
                <w:rFonts w:ascii="Arial" w:eastAsia="Times New Roman" w:hAnsi="Arial" w:cs="Arial"/>
                <w:kern w:val="24"/>
                <w:lang w:val="en-US"/>
              </w:rPr>
              <w:t>80</w:t>
            </w:r>
          </w:p>
        </w:tc>
        <w:bookmarkEnd w:id="323"/>
      </w:tr>
      <w:tr w:rsidR="00E6731B" w:rsidRPr="00317550" w14:paraId="1AFBD211" w14:textId="77777777" w:rsidTr="001D4222">
        <w:trPr>
          <w:trHeight w:val="785"/>
        </w:trPr>
        <w:tc>
          <w:tcPr>
            <w:tcW w:w="0" w:type="auto"/>
            <w:shd w:val="clear" w:color="auto" w:fill="4472C4"/>
            <w:tcMar>
              <w:top w:w="15" w:type="dxa"/>
              <w:left w:w="108" w:type="dxa"/>
              <w:bottom w:w="0" w:type="dxa"/>
              <w:right w:w="108" w:type="dxa"/>
            </w:tcMar>
            <w:hideMark/>
          </w:tcPr>
          <w:p w14:paraId="246AACFB" w14:textId="77777777" w:rsidR="00E6731B" w:rsidRPr="00317550" w:rsidRDefault="00E6731B" w:rsidP="001D4222">
            <w:pPr>
              <w:spacing w:after="0" w:line="480" w:lineRule="auto"/>
              <w:jc w:val="both"/>
              <w:rPr>
                <w:rFonts w:ascii="Arial" w:eastAsia="Times New Roman" w:hAnsi="Arial" w:cs="Arial"/>
                <w:lang w:val="en-US"/>
              </w:rPr>
            </w:pPr>
            <w:bookmarkStart w:id="324" w:name="319"/>
            <w:r w:rsidRPr="00317550">
              <w:rPr>
                <w:rFonts w:ascii="Arial" w:eastAsia="Times New Roman" w:hAnsi="Arial" w:cs="Arial"/>
                <w:kern w:val="24"/>
                <w:lang w:val="en-US"/>
              </w:rPr>
              <w:t>7</w:t>
            </w:r>
          </w:p>
        </w:tc>
        <w:tc>
          <w:tcPr>
            <w:tcW w:w="0" w:type="auto"/>
            <w:shd w:val="clear" w:color="auto" w:fill="CFD5EA"/>
            <w:tcMar>
              <w:top w:w="15" w:type="dxa"/>
              <w:left w:w="108" w:type="dxa"/>
              <w:bottom w:w="0" w:type="dxa"/>
              <w:right w:w="108" w:type="dxa"/>
            </w:tcMar>
            <w:hideMark/>
          </w:tcPr>
          <w:p w14:paraId="2B7AD02F" w14:textId="77777777" w:rsidR="00E6731B" w:rsidRPr="00317550" w:rsidRDefault="00E6731B" w:rsidP="001D4222">
            <w:pPr>
              <w:spacing w:after="0" w:line="480" w:lineRule="auto"/>
              <w:jc w:val="both"/>
              <w:rPr>
                <w:rFonts w:ascii="Arial" w:eastAsia="Times New Roman" w:hAnsi="Arial" w:cs="Arial"/>
                <w:lang w:val="en-US"/>
              </w:rPr>
            </w:pPr>
            <w:bookmarkStart w:id="325" w:name="320"/>
            <w:bookmarkEnd w:id="324"/>
            <w:r w:rsidRPr="00317550">
              <w:rPr>
                <w:rFonts w:ascii="Arial" w:eastAsia="Times New Roman" w:hAnsi="Arial" w:cs="Arial"/>
                <w:kern w:val="24"/>
                <w:lang w:val="en-US"/>
              </w:rPr>
              <w:t>Enron Corp.</w:t>
            </w:r>
          </w:p>
        </w:tc>
        <w:tc>
          <w:tcPr>
            <w:tcW w:w="0" w:type="auto"/>
            <w:shd w:val="clear" w:color="auto" w:fill="CFD5EA"/>
            <w:tcMar>
              <w:top w:w="15" w:type="dxa"/>
              <w:left w:w="108" w:type="dxa"/>
              <w:bottom w:w="0" w:type="dxa"/>
              <w:right w:w="108" w:type="dxa"/>
            </w:tcMar>
            <w:hideMark/>
          </w:tcPr>
          <w:p w14:paraId="21915AFE" w14:textId="77777777" w:rsidR="00E6731B" w:rsidRPr="00317550" w:rsidRDefault="00E6731B" w:rsidP="001D4222">
            <w:pPr>
              <w:spacing w:after="0" w:line="480" w:lineRule="auto"/>
              <w:jc w:val="both"/>
              <w:rPr>
                <w:rFonts w:ascii="Arial" w:eastAsia="Times New Roman" w:hAnsi="Arial" w:cs="Arial"/>
                <w:lang w:val="en-US"/>
              </w:rPr>
            </w:pPr>
            <w:bookmarkStart w:id="326" w:name="321"/>
            <w:bookmarkEnd w:id="325"/>
            <w:r w:rsidRPr="00317550">
              <w:rPr>
                <w:rFonts w:ascii="Arial" w:eastAsia="Times New Roman" w:hAnsi="Arial" w:cs="Arial"/>
                <w:kern w:val="24"/>
                <w:lang w:val="en-US"/>
              </w:rPr>
              <w:t>12.01.01</w:t>
            </w:r>
          </w:p>
        </w:tc>
        <w:tc>
          <w:tcPr>
            <w:tcW w:w="0" w:type="auto"/>
            <w:shd w:val="clear" w:color="auto" w:fill="CFD5EA"/>
            <w:tcMar>
              <w:top w:w="15" w:type="dxa"/>
              <w:left w:w="108" w:type="dxa"/>
              <w:bottom w:w="0" w:type="dxa"/>
              <w:right w:w="108" w:type="dxa"/>
            </w:tcMar>
            <w:hideMark/>
          </w:tcPr>
          <w:p w14:paraId="605C736D" w14:textId="77777777" w:rsidR="00E6731B" w:rsidRPr="00317550" w:rsidRDefault="00E6731B" w:rsidP="001D4222">
            <w:pPr>
              <w:spacing w:after="0" w:line="480" w:lineRule="auto"/>
              <w:jc w:val="both"/>
              <w:rPr>
                <w:rFonts w:ascii="Arial" w:eastAsia="Times New Roman" w:hAnsi="Arial" w:cs="Arial"/>
                <w:lang w:val="en-US"/>
              </w:rPr>
            </w:pPr>
            <w:bookmarkStart w:id="327" w:name="322"/>
            <w:bookmarkEnd w:id="326"/>
            <w:r w:rsidRPr="00317550">
              <w:rPr>
                <w:rFonts w:ascii="Arial" w:eastAsia="Times New Roman" w:hAnsi="Arial" w:cs="Arial"/>
                <w:kern w:val="24"/>
                <w:lang w:val="en-US"/>
              </w:rPr>
              <w:t>United States</w:t>
            </w:r>
          </w:p>
        </w:tc>
        <w:tc>
          <w:tcPr>
            <w:tcW w:w="0" w:type="auto"/>
            <w:shd w:val="clear" w:color="auto" w:fill="CFD5EA"/>
            <w:tcMar>
              <w:top w:w="15" w:type="dxa"/>
              <w:left w:w="108" w:type="dxa"/>
              <w:bottom w:w="0" w:type="dxa"/>
              <w:right w:w="108" w:type="dxa"/>
            </w:tcMar>
            <w:hideMark/>
          </w:tcPr>
          <w:p w14:paraId="55C4FC6E" w14:textId="77777777" w:rsidR="00E6731B" w:rsidRPr="00317550" w:rsidRDefault="00E6731B" w:rsidP="001D4222">
            <w:pPr>
              <w:spacing w:after="0" w:line="480" w:lineRule="auto"/>
              <w:jc w:val="both"/>
              <w:rPr>
                <w:rFonts w:ascii="Arial" w:eastAsia="Times New Roman" w:hAnsi="Arial" w:cs="Arial"/>
                <w:lang w:val="en-US"/>
              </w:rPr>
            </w:pPr>
            <w:bookmarkStart w:id="328" w:name="323"/>
            <w:bookmarkEnd w:id="327"/>
            <w:r w:rsidRPr="00317550">
              <w:rPr>
                <w:rFonts w:ascii="Arial" w:eastAsia="Times New Roman" w:hAnsi="Arial" w:cs="Arial"/>
                <w:kern w:val="24"/>
                <w:lang w:val="en-US"/>
              </w:rPr>
              <w:t>Energy Trading, Natural Gas</w:t>
            </w:r>
          </w:p>
        </w:tc>
        <w:tc>
          <w:tcPr>
            <w:tcW w:w="0" w:type="auto"/>
            <w:shd w:val="clear" w:color="auto" w:fill="CFD5EA"/>
            <w:tcMar>
              <w:top w:w="15" w:type="dxa"/>
              <w:left w:w="108" w:type="dxa"/>
              <w:bottom w:w="0" w:type="dxa"/>
              <w:right w:w="108" w:type="dxa"/>
            </w:tcMar>
            <w:hideMark/>
          </w:tcPr>
          <w:p w14:paraId="0114EE04" w14:textId="77777777" w:rsidR="00E6731B" w:rsidRPr="00317550" w:rsidRDefault="00E6731B" w:rsidP="001D4222">
            <w:pPr>
              <w:spacing w:after="0" w:line="480" w:lineRule="auto"/>
              <w:jc w:val="both"/>
              <w:rPr>
                <w:rFonts w:ascii="Arial" w:eastAsia="Times New Roman" w:hAnsi="Arial" w:cs="Arial"/>
                <w:lang w:val="en-US"/>
              </w:rPr>
            </w:pPr>
            <w:bookmarkStart w:id="329" w:name="324"/>
            <w:bookmarkEnd w:id="328"/>
            <w:r w:rsidRPr="00317550">
              <w:rPr>
                <w:rFonts w:ascii="Arial" w:eastAsia="Times New Roman" w:hAnsi="Arial" w:cs="Arial"/>
                <w:kern w:val="24"/>
                <w:lang w:val="en-US"/>
              </w:rPr>
              <w:t>66</w:t>
            </w:r>
          </w:p>
        </w:tc>
        <w:bookmarkEnd w:id="329"/>
      </w:tr>
      <w:tr w:rsidR="00E6731B" w:rsidRPr="00317550" w14:paraId="72A08362" w14:textId="77777777" w:rsidTr="001D4222">
        <w:trPr>
          <w:trHeight w:val="785"/>
        </w:trPr>
        <w:tc>
          <w:tcPr>
            <w:tcW w:w="0" w:type="auto"/>
            <w:shd w:val="clear" w:color="auto" w:fill="4472C4"/>
            <w:tcMar>
              <w:top w:w="15" w:type="dxa"/>
              <w:left w:w="108" w:type="dxa"/>
              <w:bottom w:w="0" w:type="dxa"/>
              <w:right w:w="108" w:type="dxa"/>
            </w:tcMar>
            <w:hideMark/>
          </w:tcPr>
          <w:p w14:paraId="49B69C03" w14:textId="77777777" w:rsidR="00E6731B" w:rsidRPr="00317550" w:rsidRDefault="00E6731B" w:rsidP="001D4222">
            <w:pPr>
              <w:spacing w:after="0" w:line="480" w:lineRule="auto"/>
              <w:jc w:val="both"/>
              <w:rPr>
                <w:rFonts w:ascii="Arial" w:eastAsia="Times New Roman" w:hAnsi="Arial" w:cs="Arial"/>
                <w:lang w:val="en-US"/>
              </w:rPr>
            </w:pPr>
            <w:bookmarkStart w:id="330" w:name="325"/>
            <w:r w:rsidRPr="00317550">
              <w:rPr>
                <w:rFonts w:ascii="Arial" w:eastAsia="Times New Roman" w:hAnsi="Arial" w:cs="Arial"/>
                <w:kern w:val="24"/>
                <w:lang w:val="en-US"/>
              </w:rPr>
              <w:t>8</w:t>
            </w:r>
          </w:p>
        </w:tc>
        <w:tc>
          <w:tcPr>
            <w:tcW w:w="0" w:type="auto"/>
            <w:shd w:val="clear" w:color="auto" w:fill="E9EBF5"/>
            <w:tcMar>
              <w:top w:w="15" w:type="dxa"/>
              <w:left w:w="108" w:type="dxa"/>
              <w:bottom w:w="0" w:type="dxa"/>
              <w:right w:w="108" w:type="dxa"/>
            </w:tcMar>
            <w:hideMark/>
          </w:tcPr>
          <w:p w14:paraId="7D8BE927" w14:textId="77777777" w:rsidR="00E6731B" w:rsidRPr="00317550" w:rsidRDefault="00E6731B" w:rsidP="001D4222">
            <w:pPr>
              <w:spacing w:after="0" w:line="480" w:lineRule="auto"/>
              <w:jc w:val="both"/>
              <w:rPr>
                <w:rFonts w:ascii="Arial" w:eastAsia="Times New Roman" w:hAnsi="Arial" w:cs="Arial"/>
                <w:lang w:val="en-US"/>
              </w:rPr>
            </w:pPr>
            <w:bookmarkStart w:id="331" w:name="326"/>
            <w:bookmarkEnd w:id="330"/>
            <w:r w:rsidRPr="00317550">
              <w:rPr>
                <w:rFonts w:ascii="Arial" w:eastAsia="Times New Roman" w:hAnsi="Arial" w:cs="Arial"/>
                <w:kern w:val="24"/>
                <w:lang w:val="en-US"/>
              </w:rPr>
              <w:t>Conseco, Inc.</w:t>
            </w:r>
          </w:p>
        </w:tc>
        <w:tc>
          <w:tcPr>
            <w:tcW w:w="0" w:type="auto"/>
            <w:shd w:val="clear" w:color="auto" w:fill="E9EBF5"/>
            <w:tcMar>
              <w:top w:w="15" w:type="dxa"/>
              <w:left w:w="108" w:type="dxa"/>
              <w:bottom w:w="0" w:type="dxa"/>
              <w:right w:w="108" w:type="dxa"/>
            </w:tcMar>
            <w:hideMark/>
          </w:tcPr>
          <w:p w14:paraId="7B7C7F64" w14:textId="77777777" w:rsidR="00E6731B" w:rsidRPr="00317550" w:rsidRDefault="00E6731B" w:rsidP="001D4222">
            <w:pPr>
              <w:spacing w:after="0" w:line="480" w:lineRule="auto"/>
              <w:jc w:val="both"/>
              <w:rPr>
                <w:rFonts w:ascii="Arial" w:eastAsia="Times New Roman" w:hAnsi="Arial" w:cs="Arial"/>
                <w:lang w:val="en-US"/>
              </w:rPr>
            </w:pPr>
            <w:bookmarkStart w:id="332" w:name="327"/>
            <w:bookmarkEnd w:id="331"/>
            <w:r w:rsidRPr="00317550">
              <w:rPr>
                <w:rFonts w:ascii="Arial" w:eastAsia="Times New Roman" w:hAnsi="Arial" w:cs="Arial"/>
                <w:kern w:val="24"/>
                <w:lang w:val="en-US"/>
              </w:rPr>
              <w:t>17.12.02</w:t>
            </w:r>
          </w:p>
        </w:tc>
        <w:tc>
          <w:tcPr>
            <w:tcW w:w="0" w:type="auto"/>
            <w:shd w:val="clear" w:color="auto" w:fill="E9EBF5"/>
            <w:tcMar>
              <w:top w:w="15" w:type="dxa"/>
              <w:left w:w="108" w:type="dxa"/>
              <w:bottom w:w="0" w:type="dxa"/>
              <w:right w:w="108" w:type="dxa"/>
            </w:tcMar>
            <w:hideMark/>
          </w:tcPr>
          <w:p w14:paraId="723013D7" w14:textId="77777777" w:rsidR="00E6731B" w:rsidRPr="00317550" w:rsidRDefault="00E6731B" w:rsidP="001D4222">
            <w:pPr>
              <w:spacing w:after="0" w:line="480" w:lineRule="auto"/>
              <w:jc w:val="both"/>
              <w:rPr>
                <w:rFonts w:ascii="Arial" w:eastAsia="Times New Roman" w:hAnsi="Arial" w:cs="Arial"/>
                <w:lang w:val="en-US"/>
              </w:rPr>
            </w:pPr>
            <w:bookmarkStart w:id="333" w:name="328"/>
            <w:bookmarkEnd w:id="332"/>
            <w:r w:rsidRPr="00317550">
              <w:rPr>
                <w:rFonts w:ascii="Arial" w:eastAsia="Times New Roman" w:hAnsi="Arial" w:cs="Arial"/>
                <w:kern w:val="24"/>
                <w:lang w:val="en-US"/>
              </w:rPr>
              <w:t>United States</w:t>
            </w:r>
          </w:p>
        </w:tc>
        <w:tc>
          <w:tcPr>
            <w:tcW w:w="0" w:type="auto"/>
            <w:shd w:val="clear" w:color="auto" w:fill="E9EBF5"/>
            <w:tcMar>
              <w:top w:w="15" w:type="dxa"/>
              <w:left w:w="108" w:type="dxa"/>
              <w:bottom w:w="0" w:type="dxa"/>
              <w:right w:w="108" w:type="dxa"/>
            </w:tcMar>
            <w:hideMark/>
          </w:tcPr>
          <w:p w14:paraId="39760A54" w14:textId="77777777" w:rsidR="00E6731B" w:rsidRPr="00317550" w:rsidRDefault="00E6731B" w:rsidP="001D4222">
            <w:pPr>
              <w:spacing w:after="0" w:line="480" w:lineRule="auto"/>
              <w:jc w:val="both"/>
              <w:rPr>
                <w:rFonts w:ascii="Arial" w:eastAsia="Times New Roman" w:hAnsi="Arial" w:cs="Arial"/>
                <w:lang w:val="en-US"/>
              </w:rPr>
            </w:pPr>
            <w:bookmarkStart w:id="334" w:name="329"/>
            <w:bookmarkEnd w:id="333"/>
            <w:r w:rsidRPr="00317550">
              <w:rPr>
                <w:rFonts w:ascii="Arial" w:eastAsia="Times New Roman" w:hAnsi="Arial" w:cs="Arial"/>
                <w:kern w:val="24"/>
                <w:lang w:val="en-US"/>
              </w:rPr>
              <w:t>Financial Services Holding Co.</w:t>
            </w:r>
          </w:p>
        </w:tc>
        <w:tc>
          <w:tcPr>
            <w:tcW w:w="0" w:type="auto"/>
            <w:shd w:val="clear" w:color="auto" w:fill="E9EBF5"/>
            <w:tcMar>
              <w:top w:w="15" w:type="dxa"/>
              <w:left w:w="108" w:type="dxa"/>
              <w:bottom w:w="0" w:type="dxa"/>
              <w:right w:w="108" w:type="dxa"/>
            </w:tcMar>
            <w:hideMark/>
          </w:tcPr>
          <w:p w14:paraId="00770FA9" w14:textId="77777777" w:rsidR="00E6731B" w:rsidRPr="00317550" w:rsidRDefault="00E6731B" w:rsidP="001D4222">
            <w:pPr>
              <w:spacing w:after="0" w:line="480" w:lineRule="auto"/>
              <w:jc w:val="both"/>
              <w:rPr>
                <w:rFonts w:ascii="Arial" w:eastAsia="Times New Roman" w:hAnsi="Arial" w:cs="Arial"/>
                <w:lang w:val="en-US"/>
              </w:rPr>
            </w:pPr>
            <w:bookmarkStart w:id="335" w:name="330"/>
            <w:bookmarkEnd w:id="334"/>
            <w:r w:rsidRPr="00317550">
              <w:rPr>
                <w:rFonts w:ascii="Arial" w:eastAsia="Times New Roman" w:hAnsi="Arial" w:cs="Arial"/>
                <w:kern w:val="24"/>
                <w:lang w:val="en-US"/>
              </w:rPr>
              <w:t>61</w:t>
            </w:r>
          </w:p>
        </w:tc>
        <w:bookmarkEnd w:id="335"/>
      </w:tr>
      <w:tr w:rsidR="00E6731B" w:rsidRPr="00317550" w14:paraId="6E2DB352" w14:textId="77777777" w:rsidTr="001D4222">
        <w:trPr>
          <w:trHeight w:val="785"/>
        </w:trPr>
        <w:tc>
          <w:tcPr>
            <w:tcW w:w="0" w:type="auto"/>
            <w:shd w:val="clear" w:color="auto" w:fill="4472C4"/>
            <w:tcMar>
              <w:top w:w="15" w:type="dxa"/>
              <w:left w:w="108" w:type="dxa"/>
              <w:bottom w:w="0" w:type="dxa"/>
              <w:right w:w="108" w:type="dxa"/>
            </w:tcMar>
            <w:hideMark/>
          </w:tcPr>
          <w:p w14:paraId="12DD4143" w14:textId="77777777" w:rsidR="00E6731B" w:rsidRPr="00317550" w:rsidRDefault="00E6731B" w:rsidP="001D4222">
            <w:pPr>
              <w:spacing w:after="0" w:line="480" w:lineRule="auto"/>
              <w:jc w:val="both"/>
              <w:rPr>
                <w:rFonts w:ascii="Arial" w:eastAsia="Times New Roman" w:hAnsi="Arial" w:cs="Arial"/>
                <w:lang w:val="en-US"/>
              </w:rPr>
            </w:pPr>
            <w:bookmarkStart w:id="336" w:name="331"/>
            <w:r w:rsidRPr="00317550">
              <w:rPr>
                <w:rFonts w:ascii="Arial" w:eastAsia="Times New Roman" w:hAnsi="Arial" w:cs="Arial"/>
                <w:kern w:val="24"/>
                <w:lang w:val="en-US"/>
              </w:rPr>
              <w:t>9</w:t>
            </w:r>
          </w:p>
        </w:tc>
        <w:tc>
          <w:tcPr>
            <w:tcW w:w="0" w:type="auto"/>
            <w:shd w:val="clear" w:color="auto" w:fill="CFD5EA"/>
            <w:tcMar>
              <w:top w:w="15" w:type="dxa"/>
              <w:left w:w="108" w:type="dxa"/>
              <w:bottom w:w="0" w:type="dxa"/>
              <w:right w:w="108" w:type="dxa"/>
            </w:tcMar>
            <w:hideMark/>
          </w:tcPr>
          <w:p w14:paraId="4D1D73B1" w14:textId="77777777" w:rsidR="00E6731B" w:rsidRPr="00317550" w:rsidRDefault="00E6731B" w:rsidP="001D4222">
            <w:pPr>
              <w:spacing w:after="0" w:line="480" w:lineRule="auto"/>
              <w:jc w:val="both"/>
              <w:rPr>
                <w:rFonts w:ascii="Arial" w:eastAsia="Times New Roman" w:hAnsi="Arial" w:cs="Arial"/>
                <w:lang w:val="en-US"/>
              </w:rPr>
            </w:pPr>
            <w:bookmarkStart w:id="337" w:name="332"/>
            <w:bookmarkEnd w:id="336"/>
            <w:r w:rsidRPr="00317550">
              <w:rPr>
                <w:rFonts w:ascii="Arial" w:eastAsia="Times New Roman" w:hAnsi="Arial" w:cs="Arial"/>
                <w:kern w:val="24"/>
                <w:lang w:val="en-US"/>
              </w:rPr>
              <w:t>Chrysler, LLC</w:t>
            </w:r>
          </w:p>
        </w:tc>
        <w:tc>
          <w:tcPr>
            <w:tcW w:w="0" w:type="auto"/>
            <w:shd w:val="clear" w:color="auto" w:fill="CFD5EA"/>
            <w:tcMar>
              <w:top w:w="15" w:type="dxa"/>
              <w:left w:w="108" w:type="dxa"/>
              <w:bottom w:w="0" w:type="dxa"/>
              <w:right w:w="108" w:type="dxa"/>
            </w:tcMar>
            <w:hideMark/>
          </w:tcPr>
          <w:p w14:paraId="7DEC2AA8" w14:textId="77777777" w:rsidR="00E6731B" w:rsidRPr="00317550" w:rsidRDefault="00E6731B" w:rsidP="001D4222">
            <w:pPr>
              <w:spacing w:after="0" w:line="480" w:lineRule="auto"/>
              <w:jc w:val="both"/>
              <w:rPr>
                <w:rFonts w:ascii="Arial" w:eastAsia="Times New Roman" w:hAnsi="Arial" w:cs="Arial"/>
                <w:lang w:val="en-US"/>
              </w:rPr>
            </w:pPr>
            <w:bookmarkStart w:id="338" w:name="333"/>
            <w:bookmarkEnd w:id="337"/>
            <w:r w:rsidRPr="00317550">
              <w:rPr>
                <w:rFonts w:ascii="Arial" w:eastAsia="Times New Roman" w:hAnsi="Arial" w:cs="Arial"/>
                <w:kern w:val="24"/>
                <w:lang w:val="en-US"/>
              </w:rPr>
              <w:t>30.04.09</w:t>
            </w:r>
          </w:p>
        </w:tc>
        <w:tc>
          <w:tcPr>
            <w:tcW w:w="0" w:type="auto"/>
            <w:shd w:val="clear" w:color="auto" w:fill="CFD5EA"/>
            <w:tcMar>
              <w:top w:w="15" w:type="dxa"/>
              <w:left w:w="108" w:type="dxa"/>
              <w:bottom w:w="0" w:type="dxa"/>
              <w:right w:w="108" w:type="dxa"/>
            </w:tcMar>
            <w:hideMark/>
          </w:tcPr>
          <w:p w14:paraId="682D7BAB" w14:textId="77777777" w:rsidR="00E6731B" w:rsidRPr="00317550" w:rsidRDefault="00E6731B" w:rsidP="001D4222">
            <w:pPr>
              <w:spacing w:after="0" w:line="480" w:lineRule="auto"/>
              <w:jc w:val="both"/>
              <w:rPr>
                <w:rFonts w:ascii="Arial" w:eastAsia="Times New Roman" w:hAnsi="Arial" w:cs="Arial"/>
                <w:lang w:val="en-US"/>
              </w:rPr>
            </w:pPr>
            <w:bookmarkStart w:id="339" w:name="334"/>
            <w:bookmarkEnd w:id="338"/>
            <w:r w:rsidRPr="00317550">
              <w:rPr>
                <w:rFonts w:ascii="Arial" w:eastAsia="Times New Roman" w:hAnsi="Arial" w:cs="Arial"/>
                <w:kern w:val="24"/>
                <w:lang w:val="en-US"/>
              </w:rPr>
              <w:t>United States</w:t>
            </w:r>
          </w:p>
        </w:tc>
        <w:tc>
          <w:tcPr>
            <w:tcW w:w="0" w:type="auto"/>
            <w:shd w:val="clear" w:color="auto" w:fill="CFD5EA"/>
            <w:tcMar>
              <w:top w:w="15" w:type="dxa"/>
              <w:left w:w="108" w:type="dxa"/>
              <w:bottom w:w="0" w:type="dxa"/>
              <w:right w:w="108" w:type="dxa"/>
            </w:tcMar>
            <w:hideMark/>
          </w:tcPr>
          <w:p w14:paraId="33EE4D14" w14:textId="77777777" w:rsidR="00E6731B" w:rsidRPr="00317550" w:rsidRDefault="00E6731B" w:rsidP="001D4222">
            <w:pPr>
              <w:spacing w:after="0" w:line="480" w:lineRule="auto"/>
              <w:jc w:val="both"/>
              <w:rPr>
                <w:rFonts w:ascii="Arial" w:eastAsia="Times New Roman" w:hAnsi="Arial" w:cs="Arial"/>
                <w:lang w:val="en-US"/>
              </w:rPr>
            </w:pPr>
            <w:bookmarkStart w:id="340" w:name="335"/>
            <w:bookmarkEnd w:id="339"/>
            <w:r w:rsidRPr="00317550">
              <w:rPr>
                <w:rFonts w:ascii="Arial" w:eastAsia="Times New Roman" w:hAnsi="Arial" w:cs="Arial"/>
                <w:kern w:val="24"/>
                <w:lang w:val="en-US"/>
              </w:rPr>
              <w:t>Manufactures &amp; Sells Motor Vehicles</w:t>
            </w:r>
          </w:p>
        </w:tc>
        <w:tc>
          <w:tcPr>
            <w:tcW w:w="0" w:type="auto"/>
            <w:shd w:val="clear" w:color="auto" w:fill="CFD5EA"/>
            <w:tcMar>
              <w:top w:w="15" w:type="dxa"/>
              <w:left w:w="108" w:type="dxa"/>
              <w:bottom w:w="0" w:type="dxa"/>
              <w:right w:w="108" w:type="dxa"/>
            </w:tcMar>
            <w:hideMark/>
          </w:tcPr>
          <w:p w14:paraId="580FB8B4" w14:textId="77777777" w:rsidR="00E6731B" w:rsidRPr="00317550" w:rsidRDefault="00E6731B" w:rsidP="001D4222">
            <w:pPr>
              <w:spacing w:after="0" w:line="480" w:lineRule="auto"/>
              <w:jc w:val="both"/>
              <w:rPr>
                <w:rFonts w:ascii="Arial" w:eastAsia="Times New Roman" w:hAnsi="Arial" w:cs="Arial"/>
                <w:lang w:val="en-US"/>
              </w:rPr>
            </w:pPr>
            <w:bookmarkStart w:id="341" w:name="336"/>
            <w:bookmarkEnd w:id="340"/>
            <w:r w:rsidRPr="00317550">
              <w:rPr>
                <w:rFonts w:ascii="Arial" w:eastAsia="Times New Roman" w:hAnsi="Arial" w:cs="Arial"/>
                <w:kern w:val="24"/>
                <w:lang w:val="en-US"/>
              </w:rPr>
              <w:t>39</w:t>
            </w:r>
          </w:p>
        </w:tc>
        <w:bookmarkEnd w:id="341"/>
      </w:tr>
      <w:tr w:rsidR="00E6731B" w:rsidRPr="00317550" w14:paraId="3C4EF20D" w14:textId="77777777" w:rsidTr="001D4222">
        <w:trPr>
          <w:trHeight w:val="785"/>
        </w:trPr>
        <w:tc>
          <w:tcPr>
            <w:tcW w:w="0" w:type="auto"/>
            <w:shd w:val="clear" w:color="auto" w:fill="4472C4"/>
            <w:tcMar>
              <w:top w:w="15" w:type="dxa"/>
              <w:left w:w="108" w:type="dxa"/>
              <w:bottom w:w="0" w:type="dxa"/>
              <w:right w:w="108" w:type="dxa"/>
            </w:tcMar>
            <w:hideMark/>
          </w:tcPr>
          <w:p w14:paraId="6A453A23" w14:textId="77777777" w:rsidR="00E6731B" w:rsidRPr="00317550" w:rsidRDefault="00E6731B" w:rsidP="001D4222">
            <w:pPr>
              <w:spacing w:after="0" w:line="480" w:lineRule="auto"/>
              <w:jc w:val="both"/>
              <w:rPr>
                <w:rFonts w:ascii="Arial" w:eastAsia="Times New Roman" w:hAnsi="Arial" w:cs="Arial"/>
                <w:lang w:val="en-US"/>
              </w:rPr>
            </w:pPr>
            <w:bookmarkStart w:id="342" w:name="337"/>
            <w:r w:rsidRPr="00317550">
              <w:rPr>
                <w:rFonts w:ascii="Arial" w:eastAsia="Times New Roman" w:hAnsi="Arial" w:cs="Arial"/>
                <w:kern w:val="24"/>
                <w:lang w:val="en-US"/>
              </w:rPr>
              <w:t>10</w:t>
            </w:r>
          </w:p>
        </w:tc>
        <w:tc>
          <w:tcPr>
            <w:tcW w:w="0" w:type="auto"/>
            <w:shd w:val="clear" w:color="auto" w:fill="E9EBF5"/>
            <w:tcMar>
              <w:top w:w="15" w:type="dxa"/>
              <w:left w:w="108" w:type="dxa"/>
              <w:bottom w:w="0" w:type="dxa"/>
              <w:right w:w="108" w:type="dxa"/>
            </w:tcMar>
            <w:hideMark/>
          </w:tcPr>
          <w:p w14:paraId="7CD43989" w14:textId="77777777" w:rsidR="00E6731B" w:rsidRPr="00317550" w:rsidRDefault="00E6731B" w:rsidP="001D4222">
            <w:pPr>
              <w:spacing w:after="0" w:line="480" w:lineRule="auto"/>
              <w:jc w:val="both"/>
              <w:rPr>
                <w:rFonts w:ascii="Arial" w:eastAsia="Times New Roman" w:hAnsi="Arial" w:cs="Arial"/>
                <w:lang w:val="en-US"/>
              </w:rPr>
            </w:pPr>
            <w:bookmarkStart w:id="343" w:name="338"/>
            <w:bookmarkEnd w:id="342"/>
            <w:r w:rsidRPr="00317550">
              <w:rPr>
                <w:rFonts w:ascii="Arial" w:eastAsia="Times New Roman" w:hAnsi="Arial" w:cs="Arial"/>
                <w:kern w:val="24"/>
                <w:lang w:val="en-US"/>
              </w:rPr>
              <w:t>Thornburg Mortgage, Inc.</w:t>
            </w:r>
          </w:p>
        </w:tc>
        <w:tc>
          <w:tcPr>
            <w:tcW w:w="0" w:type="auto"/>
            <w:shd w:val="clear" w:color="auto" w:fill="E9EBF5"/>
            <w:tcMar>
              <w:top w:w="15" w:type="dxa"/>
              <w:left w:w="108" w:type="dxa"/>
              <w:bottom w:w="0" w:type="dxa"/>
              <w:right w:w="108" w:type="dxa"/>
            </w:tcMar>
            <w:hideMark/>
          </w:tcPr>
          <w:p w14:paraId="74B04164" w14:textId="77777777" w:rsidR="00E6731B" w:rsidRPr="00317550" w:rsidRDefault="00E6731B" w:rsidP="001D4222">
            <w:pPr>
              <w:spacing w:after="0" w:line="480" w:lineRule="auto"/>
              <w:jc w:val="both"/>
              <w:rPr>
                <w:rFonts w:ascii="Arial" w:eastAsia="Times New Roman" w:hAnsi="Arial" w:cs="Arial"/>
                <w:lang w:val="en-US"/>
              </w:rPr>
            </w:pPr>
            <w:bookmarkStart w:id="344" w:name="339"/>
            <w:bookmarkEnd w:id="343"/>
            <w:r w:rsidRPr="00317550">
              <w:rPr>
                <w:rFonts w:ascii="Arial" w:eastAsia="Times New Roman" w:hAnsi="Arial" w:cs="Arial"/>
                <w:kern w:val="24"/>
                <w:lang w:val="en-US"/>
              </w:rPr>
              <w:t>5.01.09</w:t>
            </w:r>
          </w:p>
        </w:tc>
        <w:tc>
          <w:tcPr>
            <w:tcW w:w="0" w:type="auto"/>
            <w:shd w:val="clear" w:color="auto" w:fill="E9EBF5"/>
            <w:tcMar>
              <w:top w:w="15" w:type="dxa"/>
              <w:left w:w="108" w:type="dxa"/>
              <w:bottom w:w="0" w:type="dxa"/>
              <w:right w:w="108" w:type="dxa"/>
            </w:tcMar>
            <w:hideMark/>
          </w:tcPr>
          <w:p w14:paraId="28C986A6" w14:textId="77777777" w:rsidR="00E6731B" w:rsidRPr="00317550" w:rsidRDefault="00E6731B" w:rsidP="001D4222">
            <w:pPr>
              <w:spacing w:after="0" w:line="480" w:lineRule="auto"/>
              <w:jc w:val="both"/>
              <w:rPr>
                <w:rFonts w:ascii="Arial" w:eastAsia="Times New Roman" w:hAnsi="Arial" w:cs="Arial"/>
                <w:lang w:val="en-US"/>
              </w:rPr>
            </w:pPr>
            <w:bookmarkStart w:id="345" w:name="340"/>
            <w:bookmarkEnd w:id="344"/>
            <w:r w:rsidRPr="00317550">
              <w:rPr>
                <w:rFonts w:ascii="Arial" w:eastAsia="Times New Roman" w:hAnsi="Arial" w:cs="Arial"/>
                <w:kern w:val="24"/>
                <w:lang w:val="en-US"/>
              </w:rPr>
              <w:t>United States</w:t>
            </w:r>
          </w:p>
        </w:tc>
        <w:tc>
          <w:tcPr>
            <w:tcW w:w="0" w:type="auto"/>
            <w:shd w:val="clear" w:color="auto" w:fill="E9EBF5"/>
            <w:tcMar>
              <w:top w:w="15" w:type="dxa"/>
              <w:left w:w="108" w:type="dxa"/>
              <w:bottom w:w="0" w:type="dxa"/>
              <w:right w:w="108" w:type="dxa"/>
            </w:tcMar>
            <w:hideMark/>
          </w:tcPr>
          <w:p w14:paraId="563F68BE" w14:textId="77777777" w:rsidR="00E6731B" w:rsidRPr="00317550" w:rsidRDefault="00E6731B" w:rsidP="001D4222">
            <w:pPr>
              <w:spacing w:after="0" w:line="480" w:lineRule="auto"/>
              <w:jc w:val="both"/>
              <w:rPr>
                <w:rFonts w:ascii="Arial" w:eastAsia="Times New Roman" w:hAnsi="Arial" w:cs="Arial"/>
                <w:lang w:val="en-US"/>
              </w:rPr>
            </w:pPr>
            <w:bookmarkStart w:id="346" w:name="341"/>
            <w:bookmarkEnd w:id="345"/>
            <w:r w:rsidRPr="00317550">
              <w:rPr>
                <w:rFonts w:ascii="Arial" w:eastAsia="Times New Roman" w:hAnsi="Arial" w:cs="Arial"/>
                <w:kern w:val="24"/>
                <w:lang w:val="en-US"/>
              </w:rPr>
              <w:t xml:space="preserve">Residential mortgage </w:t>
            </w:r>
          </w:p>
        </w:tc>
        <w:tc>
          <w:tcPr>
            <w:tcW w:w="0" w:type="auto"/>
            <w:shd w:val="clear" w:color="auto" w:fill="E9EBF5"/>
            <w:tcMar>
              <w:top w:w="15" w:type="dxa"/>
              <w:left w:w="108" w:type="dxa"/>
              <w:bottom w:w="0" w:type="dxa"/>
              <w:right w:w="108" w:type="dxa"/>
            </w:tcMar>
            <w:hideMark/>
          </w:tcPr>
          <w:p w14:paraId="59A22414" w14:textId="77777777" w:rsidR="00E6731B" w:rsidRPr="00317550" w:rsidRDefault="00E6731B" w:rsidP="001D4222">
            <w:pPr>
              <w:spacing w:after="0" w:line="480" w:lineRule="auto"/>
              <w:jc w:val="both"/>
              <w:rPr>
                <w:rFonts w:ascii="Arial" w:eastAsia="Times New Roman" w:hAnsi="Arial" w:cs="Arial"/>
                <w:lang w:val="en-US"/>
              </w:rPr>
            </w:pPr>
            <w:bookmarkStart w:id="347" w:name="342"/>
            <w:bookmarkEnd w:id="346"/>
            <w:r w:rsidRPr="00317550">
              <w:rPr>
                <w:rFonts w:ascii="Arial" w:eastAsia="Times New Roman" w:hAnsi="Arial" w:cs="Arial"/>
                <w:kern w:val="24"/>
                <w:lang w:val="en-US"/>
              </w:rPr>
              <w:t>37</w:t>
            </w:r>
          </w:p>
        </w:tc>
        <w:bookmarkEnd w:id="347"/>
      </w:tr>
    </w:tbl>
    <w:p w14:paraId="5125F2DB" w14:textId="77777777" w:rsidR="00E6731B" w:rsidRPr="00317550" w:rsidRDefault="00E6731B" w:rsidP="00E6731B">
      <w:pPr>
        <w:spacing w:after="200" w:line="480" w:lineRule="auto"/>
        <w:jc w:val="both"/>
        <w:rPr>
          <w:rFonts w:ascii="Arial" w:hAnsi="Arial" w:cs="Arial"/>
          <w:lang w:val="en-US"/>
        </w:rPr>
      </w:pPr>
      <w:bookmarkStart w:id="348" w:name="344"/>
      <w:r w:rsidRPr="00317550">
        <w:rPr>
          <w:rFonts w:ascii="Arial" w:hAnsi="Arial" w:cs="Arial"/>
          <w:lang w:val="en-US"/>
        </w:rPr>
        <w:lastRenderedPageBreak/>
        <w:t>This led to growing calls for reform of business practices and accounting standards for listed companies that culminated in SOX-2002 (Hochberg et al, 2014). SOX-2002 reporting lists a body of rules and regulations that are designed to align the interests of management and shareholders and reduce the risk of fraudulent activity (Chhaohharia and Grinstein, 2007)</w:t>
      </w:r>
    </w:p>
    <w:bookmarkEnd w:id="348"/>
    <w:p w14:paraId="0C814519" w14:textId="7582D0A9" w:rsidR="00E6731B" w:rsidRDefault="00E6731B" w:rsidP="00320A99">
      <w:pPr>
        <w:pStyle w:val="ListParagraph"/>
        <w:spacing w:line="480" w:lineRule="auto"/>
        <w:ind w:left="0"/>
        <w:jc w:val="both"/>
        <w:rPr>
          <w:rFonts w:ascii="Arial" w:hAnsi="Arial" w:cs="Arial"/>
          <w:lang w:val="en-US"/>
        </w:rPr>
      </w:pPr>
      <w:r w:rsidRPr="00317550">
        <w:rPr>
          <w:rFonts w:ascii="Arial" w:hAnsi="Arial" w:cs="Arial"/>
          <w:lang w:val="en-US"/>
        </w:rPr>
        <w:t xml:space="preserve">SOX-2002 was supposed to enhance corporate governance of listed companies and, crucially, the confidence of investors in U.S. capital markets. Researchers found that SOX-2002 had enhanced the quality of financial information supplied to the public and that to a large degree investor confidence in financial reporting and the capital markets had been restored. </w:t>
      </w:r>
      <w:bookmarkStart w:id="349" w:name="_Hlk42344564"/>
      <w:r w:rsidRPr="00317550">
        <w:rPr>
          <w:rFonts w:ascii="Arial" w:hAnsi="Arial" w:cs="Arial"/>
          <w:lang w:val="en-US"/>
        </w:rPr>
        <w:t>Hochberg et al. (2014</w:t>
      </w:r>
      <w:bookmarkEnd w:id="349"/>
      <w:r w:rsidRPr="00317550">
        <w:rPr>
          <w:rFonts w:ascii="Arial" w:hAnsi="Arial" w:cs="Arial"/>
          <w:lang w:val="en-US"/>
        </w:rPr>
        <w:t xml:space="preserve">:575) stated that SOX-2002 had </w:t>
      </w:r>
      <w:r>
        <w:rPr>
          <w:rFonts w:ascii="Arial" w:hAnsi="Arial" w:cs="Arial"/>
          <w:lang w:val="en-US"/>
        </w:rPr>
        <w:t>‘</w:t>
      </w:r>
      <w:r w:rsidRPr="00317550">
        <w:rPr>
          <w:rFonts w:ascii="Arial" w:hAnsi="Arial" w:cs="Arial"/>
          <w:lang w:val="en-US"/>
        </w:rPr>
        <w:t>‘improved disclosure, transparency, and corporate governance, thereby reducing misconduct and mismanagement by insiders, and that for shareholders overall, these benefits may outweigh the costs of compliance’</w:t>
      </w:r>
      <w:r>
        <w:rPr>
          <w:rFonts w:ascii="Arial" w:hAnsi="Arial" w:cs="Arial"/>
          <w:lang w:val="en-US"/>
        </w:rPr>
        <w:t>’</w:t>
      </w:r>
      <w:r w:rsidRPr="00317550">
        <w:rPr>
          <w:rFonts w:ascii="Arial" w:hAnsi="Arial" w:cs="Arial"/>
          <w:lang w:val="en-US"/>
        </w:rPr>
        <w:t>. The final point regarding costs of compliance is important as Duarte et. al (2014) note that foreign companies may be deterred from entering American capital markets in view of the excessive burden of compliance. Also, it has been observed by Kang et. al (2010) that post SOX-2002 companies are more careful with their spending.</w:t>
      </w:r>
    </w:p>
    <w:bookmarkStart w:id="350" w:name="D"/>
    <w:bookmarkStart w:id="351" w:name="D5"/>
    <w:p w14:paraId="56448AD3" w14:textId="72F5B54A" w:rsidR="00E6731B" w:rsidRPr="000504A7" w:rsidRDefault="002F726E" w:rsidP="000504A7">
      <w:pPr>
        <w:pBdr>
          <w:top w:val="single" w:sz="4" w:space="1" w:color="auto"/>
          <w:left w:val="single" w:sz="4" w:space="4" w:color="auto"/>
          <w:bottom w:val="single" w:sz="4" w:space="1" w:color="auto"/>
          <w:right w:val="single" w:sz="4" w:space="4" w:color="auto"/>
        </w:pBdr>
        <w:rPr>
          <w:rFonts w:asciiTheme="minorBidi" w:hAnsiTheme="minorBidi"/>
          <w:b/>
          <w:bCs/>
        </w:rPr>
      </w:pPr>
      <w:r>
        <w:rPr>
          <w:rFonts w:asciiTheme="minorBidi" w:hAnsiTheme="minorBidi"/>
          <w:b/>
          <w:bCs/>
        </w:rPr>
        <w:fldChar w:fldCharType="begin"/>
      </w:r>
      <w:r>
        <w:rPr>
          <w:rFonts w:asciiTheme="minorBidi" w:hAnsiTheme="minorBidi"/>
          <w:b/>
          <w:bCs/>
        </w:rPr>
        <w:instrText>HYPERLINK  \l "C5"</w:instrText>
      </w:r>
      <w:r>
        <w:rPr>
          <w:rFonts w:asciiTheme="minorBidi" w:hAnsiTheme="minorBidi"/>
          <w:b/>
          <w:bCs/>
        </w:rPr>
      </w:r>
      <w:r>
        <w:rPr>
          <w:rFonts w:asciiTheme="minorBidi" w:hAnsiTheme="minorBidi"/>
          <w:b/>
          <w:bCs/>
        </w:rPr>
        <w:fldChar w:fldCharType="separate"/>
      </w:r>
      <w:r w:rsidR="00E6731B" w:rsidRPr="002F726E">
        <w:rPr>
          <w:rStyle w:val="Hyperlink"/>
          <w:rFonts w:asciiTheme="minorBidi" w:hAnsiTheme="minorBidi"/>
          <w:b/>
          <w:bCs/>
        </w:rPr>
        <w:t>1.3 Problem Statement</w:t>
      </w:r>
      <w:r>
        <w:rPr>
          <w:rFonts w:asciiTheme="minorBidi" w:hAnsiTheme="minorBidi"/>
          <w:b/>
          <w:bCs/>
        </w:rPr>
        <w:fldChar w:fldCharType="end"/>
      </w:r>
      <w:r w:rsidR="00E6731B" w:rsidRPr="000504A7">
        <w:rPr>
          <w:rFonts w:asciiTheme="minorBidi" w:hAnsiTheme="minorBidi"/>
          <w:b/>
          <w:bCs/>
        </w:rPr>
        <w:t xml:space="preserve"> </w:t>
      </w:r>
    </w:p>
    <w:bookmarkEnd w:id="350"/>
    <w:bookmarkEnd w:id="351"/>
    <w:p w14:paraId="1E8EAA14" w14:textId="46CAB0A5" w:rsidR="00E6731B" w:rsidRDefault="00E6731B" w:rsidP="00E6731B">
      <w:pPr>
        <w:pStyle w:val="ListParagraph"/>
        <w:spacing w:line="480" w:lineRule="auto"/>
        <w:ind w:left="0"/>
        <w:jc w:val="both"/>
        <w:rPr>
          <w:rFonts w:ascii="Arial" w:hAnsi="Arial" w:cs="Arial"/>
          <w:lang w:val="en-US"/>
        </w:rPr>
      </w:pPr>
      <w:r w:rsidRPr="00982A84">
        <w:rPr>
          <w:rFonts w:asciiTheme="minorBidi" w:hAnsiTheme="minorBidi"/>
        </w:rPr>
        <w:t>Woo</w:t>
      </w:r>
      <w:r w:rsidRPr="00982A84">
        <w:rPr>
          <w:rFonts w:asciiTheme="minorBidi" w:hAnsiTheme="minorBidi"/>
          <w:lang w:val="en-US"/>
        </w:rPr>
        <w:t xml:space="preserve">dcock </w:t>
      </w:r>
      <w:r w:rsidRPr="00982A84">
        <w:rPr>
          <w:rFonts w:ascii="Arial" w:hAnsi="Arial" w:cs="Arial"/>
          <w:lang w:val="en-US"/>
        </w:rPr>
        <w:t xml:space="preserve">(2015) suggests that in spite of the Sarbanes–Oxley Act of 2002, major improvements in internal controls, “Many Eyes Are </w:t>
      </w:r>
      <w:r w:rsidR="00881293" w:rsidRPr="00982A84">
        <w:rPr>
          <w:rFonts w:ascii="Arial" w:hAnsi="Arial" w:cs="Arial"/>
          <w:lang w:val="en-US"/>
        </w:rPr>
        <w:t>on</w:t>
      </w:r>
      <w:r w:rsidRPr="00982A84">
        <w:rPr>
          <w:rFonts w:ascii="Arial" w:hAnsi="Arial" w:cs="Arial"/>
          <w:lang w:val="en-US"/>
        </w:rPr>
        <w:t xml:space="preserve"> the Lookout for Fraud” including academics; analysts; and regulators incentivi</w:t>
      </w:r>
      <w:r>
        <w:rPr>
          <w:rFonts w:ascii="Arial" w:hAnsi="Arial" w:cs="Arial"/>
          <w:lang w:val="en-US"/>
        </w:rPr>
        <w:t>s</w:t>
      </w:r>
      <w:r w:rsidRPr="00982A84">
        <w:rPr>
          <w:rFonts w:ascii="Arial" w:hAnsi="Arial" w:cs="Arial"/>
          <w:lang w:val="en-US"/>
        </w:rPr>
        <w:t xml:space="preserve">ing the reporting/whistleblowing of Accounting Fraud through the Frank–Dodds Act 2014, </w:t>
      </w:r>
      <w:r w:rsidRPr="008D5275">
        <w:rPr>
          <w:rFonts w:ascii="Arial" w:hAnsi="Arial" w:cs="Arial"/>
          <w:lang w:val="en-US"/>
        </w:rPr>
        <w:t>Accounting Fraud persists.</w:t>
      </w:r>
      <w:r w:rsidRPr="00982A84">
        <w:rPr>
          <w:rFonts w:ascii="Arial" w:hAnsi="Arial" w:cs="Arial"/>
          <w:lang w:val="en-US"/>
        </w:rPr>
        <w:t xml:space="preserve"> </w:t>
      </w:r>
      <w:r>
        <w:rPr>
          <w:rFonts w:ascii="Arial" w:hAnsi="Arial" w:cs="Arial"/>
          <w:lang w:val="en-US"/>
        </w:rPr>
        <w:t xml:space="preserve"> </w:t>
      </w:r>
    </w:p>
    <w:p w14:paraId="094CC313" w14:textId="6DE7B967" w:rsidR="008B2E3D" w:rsidRDefault="00E6731B" w:rsidP="008B2E3D">
      <w:pPr>
        <w:pStyle w:val="TX"/>
        <w:autoSpaceDE w:val="0"/>
        <w:autoSpaceDN w:val="0"/>
        <w:adjustRightInd w:val="0"/>
        <w:spacing w:after="0" w:line="480" w:lineRule="auto"/>
        <w:jc w:val="both"/>
      </w:pPr>
      <w:bookmarkStart w:id="352" w:name="61"/>
      <w:r w:rsidRPr="004A092D">
        <w:rPr>
          <w:rFonts w:ascii="Arial" w:hAnsi="Arial" w:cs="Arial"/>
          <w:sz w:val="24"/>
          <w:szCs w:val="24"/>
          <w:lang w:val="en-US"/>
        </w:rPr>
        <w:t xml:space="preserve">In recent years the study of Accounting Fraud has grown significantly, and therefore the detection of financial fraud has become an ever more demanding and important </w:t>
      </w:r>
      <w:r w:rsidRPr="004A092D">
        <w:rPr>
          <w:rFonts w:ascii="Arial" w:hAnsi="Arial" w:cs="Arial"/>
          <w:sz w:val="24"/>
          <w:szCs w:val="24"/>
          <w:lang w:val="en-US"/>
        </w:rPr>
        <w:lastRenderedPageBreak/>
        <w:t xml:space="preserve">task. Dorminey et al (2012) argue that Accounting Fraud detection requires the collective work of </w:t>
      </w:r>
      <w:r>
        <w:rPr>
          <w:rFonts w:ascii="Arial" w:hAnsi="Arial" w:cs="Arial"/>
          <w:sz w:val="24"/>
          <w:szCs w:val="24"/>
          <w:lang w:val="en-US"/>
        </w:rPr>
        <w:t>‘</w:t>
      </w:r>
      <w:r w:rsidRPr="004A092D">
        <w:rPr>
          <w:rFonts w:ascii="Arial" w:hAnsi="Arial" w:cs="Arial"/>
          <w:sz w:val="24"/>
          <w:szCs w:val="24"/>
          <w:lang w:val="en-US"/>
        </w:rPr>
        <w:t>‘corporate governance professionals’</w:t>
      </w:r>
      <w:r>
        <w:rPr>
          <w:rFonts w:ascii="Arial" w:hAnsi="Arial" w:cs="Arial"/>
          <w:sz w:val="24"/>
          <w:szCs w:val="24"/>
          <w:lang w:val="en-US"/>
        </w:rPr>
        <w:t>’</w:t>
      </w:r>
      <w:r w:rsidRPr="004A092D">
        <w:rPr>
          <w:rFonts w:ascii="Arial" w:hAnsi="Arial" w:cs="Arial"/>
          <w:sz w:val="24"/>
          <w:szCs w:val="24"/>
          <w:lang w:val="en-US"/>
        </w:rPr>
        <w:t xml:space="preserve">, namely, the board of directors, the audit committee, senior management, and internal and external auditors. It is suggested that understanding the various strands of Accounting Fraud should enable external auditors to better gauge the fraud risks </w:t>
      </w:r>
      <w:r w:rsidRPr="008B2E3D">
        <w:rPr>
          <w:rFonts w:asciiTheme="minorBidi" w:hAnsiTheme="minorBidi"/>
          <w:sz w:val="24"/>
          <w:szCs w:val="24"/>
          <w:lang w:val="en-US"/>
        </w:rPr>
        <w:t xml:space="preserve">inherent in an economic entity </w:t>
      </w:r>
      <w:r w:rsidRPr="008B2E3D">
        <w:rPr>
          <w:rFonts w:asciiTheme="minorBidi" w:hAnsiTheme="minorBidi"/>
          <w:sz w:val="24"/>
          <w:szCs w:val="24"/>
        </w:rPr>
        <w:t>(Jo-Kranacher and Stern, 2004; Wells, 2005; Lister, 2007; Carpenter,2008; Vona, 2008; Chemuturi, 2008; Jones, 2011).</w:t>
      </w:r>
      <w:r w:rsidRPr="008B2E3D">
        <w:t xml:space="preserve"> </w:t>
      </w:r>
      <w:bookmarkEnd w:id="352"/>
    </w:p>
    <w:p w14:paraId="11308841" w14:textId="77777777" w:rsidR="008B2E3D" w:rsidRPr="008B2E3D" w:rsidRDefault="008B2E3D" w:rsidP="008B2E3D">
      <w:pPr>
        <w:pStyle w:val="TX"/>
        <w:autoSpaceDE w:val="0"/>
        <w:autoSpaceDN w:val="0"/>
        <w:adjustRightInd w:val="0"/>
        <w:spacing w:after="0" w:line="480" w:lineRule="auto"/>
        <w:jc w:val="both"/>
      </w:pPr>
    </w:p>
    <w:bookmarkStart w:id="353" w:name="D6"/>
    <w:p w14:paraId="2894ECC8" w14:textId="360B6C84" w:rsidR="00E6731B" w:rsidRPr="000504A7" w:rsidRDefault="002F726E" w:rsidP="000504A7">
      <w:pPr>
        <w:pBdr>
          <w:top w:val="single" w:sz="4" w:space="1" w:color="auto"/>
          <w:left w:val="single" w:sz="4" w:space="4" w:color="auto"/>
          <w:bottom w:val="single" w:sz="4" w:space="1" w:color="auto"/>
          <w:right w:val="single" w:sz="4" w:space="4" w:color="auto"/>
        </w:pBdr>
        <w:rPr>
          <w:rStyle w:val="Hyperlink"/>
          <w:rFonts w:asciiTheme="minorBidi" w:hAnsiTheme="minorBidi"/>
          <w:b/>
          <w:bCs/>
        </w:rPr>
      </w:pPr>
      <w:r>
        <w:rPr>
          <w:rFonts w:asciiTheme="minorBidi" w:hAnsiTheme="minorBidi"/>
          <w:b/>
          <w:bCs/>
        </w:rPr>
        <w:fldChar w:fldCharType="begin"/>
      </w:r>
      <w:r>
        <w:rPr>
          <w:rFonts w:asciiTheme="minorBidi" w:hAnsiTheme="minorBidi"/>
          <w:b/>
          <w:bCs/>
        </w:rPr>
        <w:instrText>HYPERLINK  \l "C6"</w:instrText>
      </w:r>
      <w:r>
        <w:rPr>
          <w:rFonts w:asciiTheme="minorBidi" w:hAnsiTheme="minorBidi"/>
          <w:b/>
          <w:bCs/>
        </w:rPr>
      </w:r>
      <w:r>
        <w:rPr>
          <w:rFonts w:asciiTheme="minorBidi" w:hAnsiTheme="minorBidi"/>
          <w:b/>
          <w:bCs/>
        </w:rPr>
        <w:fldChar w:fldCharType="separate"/>
      </w:r>
      <w:r w:rsidR="00E6731B" w:rsidRPr="002F726E">
        <w:rPr>
          <w:rStyle w:val="Hyperlink"/>
          <w:rFonts w:asciiTheme="minorBidi" w:hAnsiTheme="minorBidi"/>
          <w:b/>
          <w:bCs/>
        </w:rPr>
        <w:t>1.3.1 Research Impact</w:t>
      </w:r>
      <w:bookmarkStart w:id="354" w:name="E"/>
      <w:bookmarkStart w:id="355" w:name="348"/>
      <w:bookmarkEnd w:id="354"/>
      <w:r>
        <w:rPr>
          <w:rFonts w:asciiTheme="minorBidi" w:hAnsiTheme="minorBidi"/>
          <w:b/>
          <w:bCs/>
        </w:rPr>
        <w:fldChar w:fldCharType="end"/>
      </w:r>
    </w:p>
    <w:bookmarkEnd w:id="353"/>
    <w:p w14:paraId="34581E51" w14:textId="6B72A79C" w:rsidR="00E6731B" w:rsidRDefault="00E6731B" w:rsidP="00E6731B">
      <w:pPr>
        <w:pStyle w:val="ListParagraph"/>
        <w:spacing w:line="480" w:lineRule="auto"/>
        <w:ind w:left="0"/>
        <w:jc w:val="both"/>
        <w:rPr>
          <w:rFonts w:ascii="Arial" w:hAnsi="Arial" w:cs="Arial"/>
          <w:lang w:val="en-US"/>
        </w:rPr>
      </w:pPr>
      <w:r w:rsidRPr="00982A84">
        <w:rPr>
          <w:rFonts w:ascii="Arial" w:hAnsi="Arial" w:cs="Arial"/>
          <w:lang w:val="en-US"/>
        </w:rPr>
        <w:t xml:space="preserve">Recent research has highlighted three nonstandard (or deviant) personality types or categories (Furnham et al, 2013; Johnson et al 2013) whose behaviors may help to explain Accounting Fraud (Epstein and Ramamoorti, 2016). These personality types have been designated narcissism, Machiavellianism, and psychopathy, i.e., the Dark Triad, see </w:t>
      </w:r>
      <w:r w:rsidRPr="00982A84">
        <w:rPr>
          <w:rFonts w:ascii="Arial" w:hAnsi="Arial" w:cs="Arial"/>
          <w:b/>
          <w:bCs/>
          <w:lang w:val="en-US"/>
        </w:rPr>
        <w:t>Fig</w:t>
      </w:r>
      <w:r>
        <w:rPr>
          <w:rFonts w:ascii="Arial" w:hAnsi="Arial" w:cs="Arial"/>
          <w:b/>
          <w:bCs/>
          <w:lang w:val="en-US"/>
        </w:rPr>
        <w:t>ure</w:t>
      </w:r>
      <w:r w:rsidRPr="00982A84">
        <w:rPr>
          <w:rFonts w:ascii="Arial" w:hAnsi="Arial" w:cs="Arial"/>
          <w:b/>
          <w:bCs/>
          <w:lang w:val="en-US"/>
        </w:rPr>
        <w:t xml:space="preserve"> 1.</w:t>
      </w:r>
      <w:r>
        <w:rPr>
          <w:rFonts w:ascii="Arial" w:hAnsi="Arial" w:cs="Arial"/>
          <w:b/>
          <w:bCs/>
          <w:lang w:val="en-US"/>
        </w:rPr>
        <w:t>2</w:t>
      </w:r>
      <w:r w:rsidRPr="00982A84">
        <w:rPr>
          <w:rFonts w:ascii="Arial" w:hAnsi="Arial" w:cs="Arial"/>
          <w:lang w:val="en-US"/>
        </w:rPr>
        <w:t xml:space="preserve"> (Schimmenti, 2017).</w:t>
      </w:r>
      <w:bookmarkEnd w:id="355"/>
      <w:r w:rsidRPr="00982A84">
        <w:rPr>
          <w:rFonts w:ascii="Arial" w:hAnsi="Arial" w:cs="Arial"/>
          <w:lang w:val="en-US"/>
        </w:rPr>
        <w:t xml:space="preserve"> </w:t>
      </w:r>
    </w:p>
    <w:p w14:paraId="433E62B8" w14:textId="4B5E0DA7" w:rsidR="003E5C81" w:rsidRPr="003E5C81" w:rsidRDefault="00E6731B" w:rsidP="003E5C81">
      <w:pPr>
        <w:spacing w:after="200" w:line="480" w:lineRule="auto"/>
        <w:jc w:val="both"/>
        <w:rPr>
          <w:rFonts w:ascii="Arial" w:hAnsi="Arial" w:cs="Arial"/>
          <w:lang w:val="en-US"/>
        </w:rPr>
      </w:pPr>
      <w:r w:rsidRPr="00982A84">
        <w:rPr>
          <w:noProof/>
        </w:rPr>
        <w:drawing>
          <wp:inline distT="0" distB="0" distL="0" distR="0" wp14:anchorId="34220CB9" wp14:editId="4986D5BD">
            <wp:extent cx="5340350" cy="3336925"/>
            <wp:effectExtent l="0" t="0" r="0" b="0"/>
            <wp:docPr id="1" name="Picture 1" descr="A blue triangle with word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ue triangle with words&#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340350" cy="3336925"/>
                    </a:xfrm>
                    <a:prstGeom prst="rect">
                      <a:avLst/>
                    </a:prstGeom>
                    <a:noFill/>
                    <a:ln>
                      <a:noFill/>
                    </a:ln>
                  </pic:spPr>
                </pic:pic>
              </a:graphicData>
            </a:graphic>
          </wp:inline>
        </w:drawing>
      </w:r>
      <w:r w:rsidR="003E5C81" w:rsidRPr="00982A84">
        <w:rPr>
          <w:rFonts w:ascii="Arial" w:hAnsi="Arial" w:cs="Arial"/>
          <w:b/>
          <w:bCs/>
          <w:lang w:val="en-US"/>
        </w:rPr>
        <w:t>Fi</w:t>
      </w:r>
      <w:r w:rsidR="003E5C81">
        <w:rPr>
          <w:rFonts w:ascii="Arial" w:hAnsi="Arial" w:cs="Arial"/>
          <w:b/>
          <w:bCs/>
          <w:lang w:val="en-US"/>
        </w:rPr>
        <w:t>gure</w:t>
      </w:r>
      <w:r w:rsidR="003E5C81" w:rsidRPr="00982A84">
        <w:rPr>
          <w:rFonts w:ascii="Arial" w:hAnsi="Arial" w:cs="Arial"/>
          <w:b/>
          <w:bCs/>
          <w:lang w:val="en-US"/>
        </w:rPr>
        <w:t xml:space="preserve"> 1.</w:t>
      </w:r>
      <w:r w:rsidR="003E5C81">
        <w:rPr>
          <w:rFonts w:ascii="Arial" w:hAnsi="Arial" w:cs="Arial"/>
          <w:b/>
          <w:bCs/>
          <w:lang w:val="en-US"/>
        </w:rPr>
        <w:t>2</w:t>
      </w:r>
      <w:r w:rsidR="003E5C81" w:rsidRPr="00982A84">
        <w:rPr>
          <w:rFonts w:ascii="Arial" w:hAnsi="Arial" w:cs="Arial"/>
          <w:b/>
          <w:bCs/>
          <w:lang w:val="en-US"/>
        </w:rPr>
        <w:t xml:space="preserve"> The Dark Triad</w:t>
      </w:r>
    </w:p>
    <w:p w14:paraId="470C3BBF" w14:textId="3A6B58E7" w:rsidR="00E6731B" w:rsidRPr="00982A84" w:rsidRDefault="00E6731B" w:rsidP="003E5C81">
      <w:pPr>
        <w:spacing w:after="200" w:line="480" w:lineRule="auto"/>
        <w:jc w:val="both"/>
        <w:rPr>
          <w:rFonts w:ascii="Arial" w:hAnsi="Arial" w:cs="Arial"/>
          <w:b/>
          <w:bCs/>
          <w:lang w:val="en-US"/>
        </w:rPr>
      </w:pPr>
      <w:r w:rsidRPr="00982A84">
        <w:rPr>
          <w:rFonts w:ascii="Arial" w:hAnsi="Arial" w:cs="Arial"/>
          <w:b/>
          <w:bCs/>
          <w:lang w:val="en-US"/>
        </w:rPr>
        <w:lastRenderedPageBreak/>
        <w:t xml:space="preserve">The Dark Triad: Source: </w:t>
      </w:r>
      <w:hyperlink r:id="rId10" w:history="1">
        <w:r w:rsidRPr="00982A84">
          <w:rPr>
            <w:rFonts w:ascii="Arial" w:hAnsi="Arial" w:cs="Arial"/>
            <w:b/>
            <w:bCs/>
            <w:lang w:val="en-US"/>
          </w:rPr>
          <w:t>The Light Triad vs. Dark Triad of Personality - Scientific American Blog Network</w:t>
        </w:r>
      </w:hyperlink>
      <w:r w:rsidRPr="00982A84">
        <w:rPr>
          <w:rFonts w:ascii="Arial" w:hAnsi="Arial" w:cs="Arial"/>
          <w:b/>
          <w:bCs/>
          <w:lang w:val="en-US"/>
        </w:rPr>
        <w:t xml:space="preserve"> </w:t>
      </w:r>
    </w:p>
    <w:p w14:paraId="3B5CF39E" w14:textId="77777777" w:rsidR="00E6731B" w:rsidRDefault="00E6731B" w:rsidP="00E6731B">
      <w:pPr>
        <w:spacing w:line="480" w:lineRule="auto"/>
        <w:jc w:val="both"/>
        <w:rPr>
          <w:rFonts w:ascii="Arial" w:hAnsi="Arial" w:cs="Arial"/>
        </w:rPr>
      </w:pPr>
      <w:r w:rsidRPr="00982A84">
        <w:rPr>
          <w:rFonts w:ascii="Arial" w:hAnsi="Arial" w:cs="Arial"/>
        </w:rPr>
        <w:t>The Dark Triad of personality theory comprises of Machiavellianism, narcissism, and psychopathy (Lyons, 2019). Narcissistic individuals are preoccupied with their own manifestation and personal success, regardless of how that impacts the organisation (Miller et al, 2021). Machiavellians are highly focussed people who are obsessively focused on outcomes regardless of the means used to reach these outcomes regardless of whether they are legal or ethical (Jay, 2021).</w:t>
      </w:r>
    </w:p>
    <w:p w14:paraId="77FAB715" w14:textId="77777777" w:rsidR="00E6731B" w:rsidRDefault="00E6731B" w:rsidP="00E6731B">
      <w:pPr>
        <w:spacing w:line="480" w:lineRule="auto"/>
        <w:jc w:val="both"/>
        <w:rPr>
          <w:rFonts w:ascii="Arial" w:hAnsi="Arial" w:cs="Arial"/>
        </w:rPr>
      </w:pPr>
      <w:r w:rsidRPr="00982A84">
        <w:rPr>
          <w:rFonts w:ascii="Arial" w:hAnsi="Arial" w:cs="Arial"/>
        </w:rPr>
        <w:t>A psychopath is someone who exhibits a lack of conscience, is egotistical, and their approach to life is merciless and characterised by personal advance at the detriment others (Patrick, 2022). It is believed that approximately 1% of individuals who display psychopathic personality behaviours; although, it may be as high as 3.5 - 4% for senior level corporate workers and, more explicitly, CEO’s (Boddy, 2011). Corporate psychopaths are people showing psychopathic tendencies who function in the corporate sector (Boddy, 2011). It is maintained that the corporate world is a magnet for psychopaths due to their drive for success and power, characteristics that often lead to high financial rewards and senior level management positions (Boddy et al, 2020). It is argued that the motive of shareholder maximisation at the sacrifice of other objectives encourages psychopathic people to ascend the mountain of success (Collier, 2019). In fact, psychopaths can and do effortlessly survive and very often perform successfully in a corporate environment, staying under the radar of corporate detection (Sheehy et al, 202</w:t>
      </w:r>
      <w:r>
        <w:rPr>
          <w:rFonts w:ascii="Arial" w:hAnsi="Arial" w:cs="Arial"/>
        </w:rPr>
        <w:t>1</w:t>
      </w:r>
      <w:r w:rsidRPr="00982A84">
        <w:rPr>
          <w:rFonts w:ascii="Arial" w:hAnsi="Arial" w:cs="Arial"/>
        </w:rPr>
        <w:t xml:space="preserve">). </w:t>
      </w:r>
    </w:p>
    <w:p w14:paraId="684E93CB" w14:textId="77777777" w:rsidR="00E6731B" w:rsidRPr="00982A84" w:rsidRDefault="00E6731B" w:rsidP="00E6731B">
      <w:pPr>
        <w:spacing w:line="480" w:lineRule="auto"/>
        <w:jc w:val="both"/>
        <w:rPr>
          <w:rFonts w:ascii="Arial" w:hAnsi="Arial" w:cs="Arial"/>
        </w:rPr>
      </w:pPr>
      <w:r w:rsidRPr="00982A84">
        <w:rPr>
          <w:rFonts w:ascii="Arial" w:hAnsi="Arial" w:cs="Arial"/>
        </w:rPr>
        <w:t xml:space="preserve">Corporate psychopaths potentially account for an excessively large proportion of damaging and immoral business practices. Studies have demonstrated correlations in </w:t>
      </w:r>
      <w:r w:rsidRPr="00982A84">
        <w:rPr>
          <w:rFonts w:ascii="Arial" w:hAnsi="Arial" w:cs="Arial"/>
        </w:rPr>
        <w:lastRenderedPageBreak/>
        <w:t>the general population highlighting individuals with psychopathic personalities who are guilty of criminal and violent behaviour (Abas Hashmi &amp; Petterson, 202</w:t>
      </w:r>
      <w:r>
        <w:rPr>
          <w:rFonts w:ascii="Arial" w:hAnsi="Arial" w:cs="Arial"/>
        </w:rPr>
        <w:t>3</w:t>
      </w:r>
      <w:r w:rsidRPr="00982A84">
        <w:rPr>
          <w:rFonts w:ascii="Arial" w:hAnsi="Arial" w:cs="Arial"/>
        </w:rPr>
        <w:t>). It is argued that corporate psychopaths possess the capacity to “wreak havoc” on businesses and negatively impact business performance including on employees (Fritzon</w:t>
      </w:r>
      <w:r>
        <w:rPr>
          <w:rFonts w:ascii="Arial" w:hAnsi="Arial" w:cs="Arial"/>
        </w:rPr>
        <w:t xml:space="preserve"> et al</w:t>
      </w:r>
      <w:r w:rsidRPr="00982A84">
        <w:rPr>
          <w:rFonts w:ascii="Arial" w:hAnsi="Arial" w:cs="Arial"/>
        </w:rPr>
        <w:t>, 20</w:t>
      </w:r>
      <w:r>
        <w:rPr>
          <w:rFonts w:ascii="Arial" w:hAnsi="Arial" w:cs="Arial"/>
        </w:rPr>
        <w:t>19</w:t>
      </w:r>
      <w:r w:rsidRPr="00982A84">
        <w:rPr>
          <w:rFonts w:ascii="Arial" w:hAnsi="Arial" w:cs="Arial"/>
        </w:rPr>
        <w:t xml:space="preserve">). </w:t>
      </w:r>
    </w:p>
    <w:p w14:paraId="2988B3A1" w14:textId="77777777" w:rsidR="00E6731B" w:rsidRPr="00982A84" w:rsidRDefault="00E6731B" w:rsidP="00E6731B">
      <w:pPr>
        <w:spacing w:line="480" w:lineRule="auto"/>
        <w:jc w:val="both"/>
        <w:rPr>
          <w:rFonts w:ascii="Arial" w:eastAsia="Times New Roman" w:hAnsi="Arial" w:cs="Arial"/>
        </w:rPr>
      </w:pPr>
      <w:r w:rsidRPr="00982A84">
        <w:rPr>
          <w:rFonts w:ascii="Arial" w:eastAsia="Times New Roman" w:hAnsi="Arial" w:cs="Arial"/>
          <w:b/>
          <w:bCs/>
        </w:rPr>
        <w:t>Blockchain Technology</w:t>
      </w:r>
      <w:r w:rsidRPr="00982A84">
        <w:rPr>
          <w:rFonts w:ascii="Arial" w:eastAsia="Times New Roman" w:hAnsi="Arial" w:cs="Arial"/>
        </w:rPr>
        <w:t xml:space="preserve"> is a decentralised digital ledger system that records transactions across multiple computers in transparent, secure, and immutable manner. It is the technology that underpins cryptocurrencies such as Bitcoin, however, its potential extends beyond digital currencies. Blockchain comprises of a chain of blocks, with each block containing a record of transactions. These blocks are connected using cryptographic hashes, creating an incorruptible record of all transactions.</w:t>
      </w:r>
    </w:p>
    <w:p w14:paraId="7C5FFC01" w14:textId="77777777" w:rsidR="00E6731B" w:rsidRPr="00982A84" w:rsidRDefault="00E6731B" w:rsidP="00E6731B">
      <w:pPr>
        <w:spacing w:line="480" w:lineRule="auto"/>
        <w:jc w:val="both"/>
        <w:rPr>
          <w:rFonts w:ascii="Arial" w:eastAsia="Times New Roman" w:hAnsi="Arial" w:cs="Arial"/>
        </w:rPr>
      </w:pPr>
      <w:r w:rsidRPr="00982A84">
        <w:rPr>
          <w:rFonts w:ascii="Arial" w:eastAsia="Times New Roman" w:hAnsi="Arial" w:cs="Arial"/>
        </w:rPr>
        <w:t xml:space="preserve">The major characteristics of blockchain that make it effective in potentially combating accounting fraud are transparency, immutability, and decentralisation. Transparency is where all transactions recorded on a blockchain are visible to all participants or actors in the network. Immutability occurs once a transaction is recorded on the blockchain, it cannot be edited or expunged. Decentralisation denotes that the blockchain network is distributed across multiple computers, making it resilient to rigging or manipulation by any single participant. </w:t>
      </w:r>
      <w:r>
        <w:rPr>
          <w:rFonts w:ascii="Arial" w:eastAsia="Times New Roman" w:hAnsi="Arial" w:cs="Arial"/>
        </w:rPr>
        <w:t>Hence</w:t>
      </w:r>
      <w:r w:rsidRPr="00982A84">
        <w:rPr>
          <w:rFonts w:ascii="Arial" w:eastAsia="Times New Roman" w:hAnsi="Arial" w:cs="Arial"/>
        </w:rPr>
        <w:t>, blockchain could prevent Accounting Fraud is by providing a transparent and incorruptible record of all transactions. As all transactions are all listed on the blockchain and cannot be modified, it becomes theoretically challenging for fraudsters to manipulate financial data without being detected. This transparency could act as a powerful prevention against fraudulent activities, as any attempt to corrupt or adversely affect the blockchain would be immediately visible to all actors in the network.</w:t>
      </w:r>
    </w:p>
    <w:p w14:paraId="0953AE60" w14:textId="77777777" w:rsidR="00E6731B" w:rsidRPr="00DA08E4" w:rsidRDefault="00E6731B" w:rsidP="00E6731B">
      <w:pPr>
        <w:spacing w:after="240" w:line="480" w:lineRule="auto"/>
        <w:jc w:val="both"/>
        <w:rPr>
          <w:rFonts w:asciiTheme="minorBidi" w:eastAsia="Times New Roman" w:hAnsiTheme="minorBidi"/>
        </w:rPr>
      </w:pPr>
      <w:r>
        <w:rPr>
          <w:rFonts w:asciiTheme="minorBidi" w:eastAsia="Times New Roman" w:hAnsiTheme="minorBidi"/>
        </w:rPr>
        <w:lastRenderedPageBreak/>
        <w:t>Consequently, t</w:t>
      </w:r>
      <w:r w:rsidRPr="008D5275">
        <w:rPr>
          <w:rFonts w:asciiTheme="minorBidi" w:eastAsia="Times New Roman" w:hAnsiTheme="minorBidi"/>
        </w:rPr>
        <w:t xml:space="preserve">he </w:t>
      </w:r>
      <w:r>
        <w:rPr>
          <w:rFonts w:asciiTheme="minorBidi" w:eastAsia="Times New Roman" w:hAnsiTheme="minorBidi"/>
        </w:rPr>
        <w:t>researcher</w:t>
      </w:r>
      <w:r w:rsidRPr="008D5275">
        <w:rPr>
          <w:rFonts w:asciiTheme="minorBidi" w:eastAsia="Times New Roman" w:hAnsiTheme="minorBidi"/>
        </w:rPr>
        <w:t xml:space="preserve"> believes that a compelling and novel subject for research is the nexus of Accounting Fraud, the Dark Triad personality trait </w:t>
      </w:r>
      <w:r>
        <w:rPr>
          <w:rFonts w:asciiTheme="minorBidi" w:eastAsia="Times New Roman" w:hAnsiTheme="minorBidi"/>
        </w:rPr>
        <w:t xml:space="preserve">of </w:t>
      </w:r>
      <w:r w:rsidRPr="008D5275">
        <w:rPr>
          <w:rFonts w:asciiTheme="minorBidi" w:eastAsia="Times New Roman" w:hAnsiTheme="minorBidi"/>
        </w:rPr>
        <w:t xml:space="preserve">psychopathy and Blockchain Technology as a potential solution. While each of these elements has been the subject of individual studies in </w:t>
      </w:r>
      <w:r w:rsidRPr="004A3D78">
        <w:rPr>
          <w:rFonts w:asciiTheme="minorBidi" w:eastAsia="Times New Roman" w:hAnsiTheme="minorBidi"/>
        </w:rPr>
        <w:t>the literature (</w:t>
      </w:r>
      <w:r w:rsidRPr="009D1F3E">
        <w:rPr>
          <w:rFonts w:asciiTheme="minorBidi" w:eastAsia="Times New Roman" w:hAnsiTheme="minorBidi"/>
          <w:kern w:val="0"/>
          <w14:ligatures w14:val="none"/>
        </w:rPr>
        <w:t>Jones &amp; Paulhus, 2014; Kirlappos &amp; Sasse, 2012; Nakamoto, 2008)</w:t>
      </w:r>
      <w:r w:rsidRPr="004A3D78">
        <w:rPr>
          <w:rFonts w:asciiTheme="minorBidi" w:eastAsia="Times New Roman" w:hAnsiTheme="minorBidi"/>
        </w:rPr>
        <w:t>,</w:t>
      </w:r>
      <w:r w:rsidRPr="008D5275">
        <w:rPr>
          <w:rFonts w:asciiTheme="minorBidi" w:eastAsia="Times New Roman" w:hAnsiTheme="minorBidi"/>
        </w:rPr>
        <w:t xml:space="preserve"> little research has been done on how they are interrelated to one another and how that can affect Accounting Fraud detection and prevention. By exploring this </w:t>
      </w:r>
      <w:r>
        <w:rPr>
          <w:rFonts w:asciiTheme="minorBidi" w:eastAsia="Times New Roman" w:hAnsiTheme="minorBidi"/>
        </w:rPr>
        <w:t xml:space="preserve">intricate </w:t>
      </w:r>
      <w:r w:rsidRPr="008D5275">
        <w:rPr>
          <w:rFonts w:asciiTheme="minorBidi" w:eastAsia="Times New Roman" w:hAnsiTheme="minorBidi"/>
        </w:rPr>
        <w:t xml:space="preserve">relationship, the researcher </w:t>
      </w:r>
      <w:r>
        <w:rPr>
          <w:rFonts w:asciiTheme="minorBidi" w:eastAsia="Times New Roman" w:hAnsiTheme="minorBidi"/>
        </w:rPr>
        <w:t>hopes</w:t>
      </w:r>
      <w:r w:rsidRPr="008D5275">
        <w:rPr>
          <w:rFonts w:asciiTheme="minorBidi" w:eastAsia="Times New Roman" w:hAnsiTheme="minorBidi"/>
        </w:rPr>
        <w:t xml:space="preserve"> to uncover new</w:t>
      </w:r>
      <w:r>
        <w:rPr>
          <w:rFonts w:asciiTheme="minorBidi" w:eastAsia="Times New Roman" w:hAnsiTheme="minorBidi"/>
        </w:rPr>
        <w:t xml:space="preserve"> theoretical</w:t>
      </w:r>
      <w:r w:rsidRPr="008D5275">
        <w:rPr>
          <w:rFonts w:asciiTheme="minorBidi" w:eastAsia="Times New Roman" w:hAnsiTheme="minorBidi"/>
        </w:rPr>
        <w:t xml:space="preserve"> insights that may inform practical solutions for mitigating the risk of Accounting Fraud and enhancing corporate governance mechanisms</w:t>
      </w:r>
      <w:r>
        <w:rPr>
          <w:rFonts w:asciiTheme="minorBidi" w:eastAsia="Times New Roman" w:hAnsiTheme="minorBidi"/>
        </w:rPr>
        <w:t xml:space="preserve"> </w:t>
      </w:r>
      <w:r w:rsidRPr="004A3D78">
        <w:rPr>
          <w:rFonts w:asciiTheme="minorBidi" w:eastAsia="Times New Roman" w:hAnsiTheme="minorBidi"/>
        </w:rPr>
        <w:t>(</w:t>
      </w:r>
      <w:r w:rsidRPr="009D1F3E">
        <w:rPr>
          <w:rFonts w:asciiTheme="minorBidi" w:eastAsia="Times New Roman" w:hAnsiTheme="minorBidi"/>
          <w:kern w:val="0"/>
          <w14:ligatures w14:val="none"/>
        </w:rPr>
        <w:t xml:space="preserve">Fleming et al., </w:t>
      </w:r>
      <w:r w:rsidRPr="00DA08E4">
        <w:rPr>
          <w:rFonts w:asciiTheme="minorBidi" w:eastAsia="Times New Roman" w:hAnsiTheme="minorBidi"/>
          <w:kern w:val="0"/>
          <w14:ligatures w14:val="none"/>
        </w:rPr>
        <w:t>2016; Pimentel et al., 2020).</w:t>
      </w:r>
    </w:p>
    <w:p w14:paraId="6A553DAA" w14:textId="77777777" w:rsidR="00E6731B" w:rsidRPr="00DA08E4" w:rsidRDefault="00E6731B" w:rsidP="00E6731B">
      <w:pPr>
        <w:spacing w:line="480" w:lineRule="auto"/>
        <w:rPr>
          <w:rFonts w:asciiTheme="minorBidi" w:hAnsiTheme="minorBidi"/>
        </w:rPr>
      </w:pPr>
      <w:r w:rsidRPr="00DA08E4">
        <w:rPr>
          <w:rFonts w:asciiTheme="minorBidi" w:hAnsiTheme="minorBidi"/>
        </w:rPr>
        <w:t xml:space="preserve">Therefore, the following research question will be the focus of the researcher. </w:t>
      </w:r>
    </w:p>
    <w:p w14:paraId="632B83B7" w14:textId="77777777" w:rsidR="00E6731B" w:rsidRPr="00A754DC" w:rsidRDefault="00E6731B" w:rsidP="003E5C81">
      <w:pPr>
        <w:pStyle w:val="QuotesAZ"/>
        <w:spacing w:line="480" w:lineRule="auto"/>
        <w:ind w:left="720" w:firstLine="0"/>
        <w:rPr>
          <w:rFonts w:asciiTheme="minorBidi" w:hAnsiTheme="minorBidi"/>
          <w:b/>
          <w:bCs/>
          <w:szCs w:val="24"/>
        </w:rPr>
      </w:pPr>
      <w:r w:rsidRPr="00A754DC">
        <w:rPr>
          <w:rFonts w:asciiTheme="minorBidi" w:hAnsiTheme="minorBidi"/>
          <w:b/>
          <w:bCs/>
          <w:szCs w:val="24"/>
        </w:rPr>
        <w:t>“To what extent can Blockchain Technology influence the</w:t>
      </w:r>
      <w:r>
        <w:rPr>
          <w:rFonts w:asciiTheme="minorBidi" w:hAnsiTheme="minorBidi"/>
          <w:b/>
          <w:bCs/>
          <w:szCs w:val="24"/>
        </w:rPr>
        <w:t xml:space="preserve"> behaviour of the </w:t>
      </w:r>
      <w:r w:rsidRPr="00A754DC">
        <w:rPr>
          <w:rFonts w:asciiTheme="minorBidi" w:hAnsiTheme="minorBidi"/>
          <w:b/>
          <w:bCs/>
          <w:szCs w:val="24"/>
        </w:rPr>
        <w:t xml:space="preserve">Corporate Psychopath and </w:t>
      </w:r>
      <w:r>
        <w:rPr>
          <w:rFonts w:asciiTheme="minorBidi" w:hAnsiTheme="minorBidi"/>
          <w:b/>
          <w:bCs/>
          <w:szCs w:val="24"/>
        </w:rPr>
        <w:t xml:space="preserve">reduce </w:t>
      </w:r>
      <w:r w:rsidRPr="00A754DC">
        <w:rPr>
          <w:rFonts w:asciiTheme="minorBidi" w:hAnsiTheme="minorBidi"/>
          <w:b/>
          <w:bCs/>
          <w:szCs w:val="24"/>
        </w:rPr>
        <w:t>Accounting Fraud”.</w:t>
      </w:r>
    </w:p>
    <w:p w14:paraId="2D3EA19E" w14:textId="26694B9F" w:rsidR="00E6731B" w:rsidRDefault="00E6731B" w:rsidP="00320A99">
      <w:pPr>
        <w:pStyle w:val="ListParagraph"/>
        <w:spacing w:line="480" w:lineRule="auto"/>
        <w:ind w:left="0"/>
        <w:jc w:val="both"/>
        <w:rPr>
          <w:rFonts w:asciiTheme="minorBidi" w:hAnsiTheme="minorBidi"/>
        </w:rPr>
      </w:pPr>
      <w:r w:rsidRPr="00A754DC">
        <w:rPr>
          <w:rFonts w:asciiTheme="minorBidi" w:hAnsiTheme="minorBidi"/>
        </w:rPr>
        <w:t>The next section will highlight the research objectives, questions and overview of the thesis chapters and layout.</w:t>
      </w:r>
    </w:p>
    <w:p w14:paraId="7633876B" w14:textId="77777777" w:rsidR="003E44A1" w:rsidRDefault="003E44A1" w:rsidP="00320A99">
      <w:pPr>
        <w:pStyle w:val="ListParagraph"/>
        <w:spacing w:line="480" w:lineRule="auto"/>
        <w:ind w:left="0"/>
        <w:jc w:val="both"/>
        <w:rPr>
          <w:rFonts w:asciiTheme="minorBidi" w:hAnsiTheme="minorBidi"/>
        </w:rPr>
      </w:pPr>
    </w:p>
    <w:bookmarkStart w:id="356" w:name="F"/>
    <w:bookmarkStart w:id="357" w:name="D7"/>
    <w:p w14:paraId="56CAF5DA" w14:textId="463A8903" w:rsidR="00E6731B" w:rsidRPr="001B2A50" w:rsidRDefault="002F726E" w:rsidP="001B2A50">
      <w:pPr>
        <w:pBdr>
          <w:top w:val="single" w:sz="4" w:space="1" w:color="auto"/>
          <w:left w:val="single" w:sz="4" w:space="4" w:color="auto"/>
          <w:bottom w:val="single" w:sz="4" w:space="1" w:color="auto"/>
          <w:right w:val="single" w:sz="4" w:space="4" w:color="auto"/>
        </w:pBdr>
        <w:rPr>
          <w:rFonts w:asciiTheme="minorBidi" w:hAnsiTheme="minorBidi"/>
          <w:b/>
          <w:bCs/>
        </w:rPr>
      </w:pPr>
      <w:r>
        <w:rPr>
          <w:rFonts w:asciiTheme="minorBidi" w:hAnsiTheme="minorBidi"/>
          <w:b/>
          <w:bCs/>
        </w:rPr>
        <w:fldChar w:fldCharType="begin"/>
      </w:r>
      <w:r>
        <w:rPr>
          <w:rFonts w:asciiTheme="minorBidi" w:hAnsiTheme="minorBidi"/>
          <w:b/>
          <w:bCs/>
        </w:rPr>
        <w:instrText>HYPERLINK  \l "C7"</w:instrText>
      </w:r>
      <w:r>
        <w:rPr>
          <w:rFonts w:asciiTheme="minorBidi" w:hAnsiTheme="minorBidi"/>
          <w:b/>
          <w:bCs/>
        </w:rPr>
      </w:r>
      <w:r>
        <w:rPr>
          <w:rFonts w:asciiTheme="minorBidi" w:hAnsiTheme="minorBidi"/>
          <w:b/>
          <w:bCs/>
        </w:rPr>
        <w:fldChar w:fldCharType="separate"/>
      </w:r>
      <w:r w:rsidR="00E6731B" w:rsidRPr="002F726E">
        <w:rPr>
          <w:rStyle w:val="Hyperlink"/>
          <w:rFonts w:asciiTheme="minorBidi" w:hAnsiTheme="minorBidi"/>
          <w:b/>
          <w:bCs/>
        </w:rPr>
        <w:t>1.4 The Research Aim</w:t>
      </w:r>
      <w:r>
        <w:rPr>
          <w:rFonts w:asciiTheme="minorBidi" w:hAnsiTheme="minorBidi"/>
          <w:b/>
          <w:bCs/>
        </w:rPr>
        <w:fldChar w:fldCharType="end"/>
      </w:r>
    </w:p>
    <w:bookmarkEnd w:id="356"/>
    <w:bookmarkEnd w:id="357"/>
    <w:p w14:paraId="434682AA" w14:textId="77777777" w:rsidR="00E6731B" w:rsidRPr="00186E1A" w:rsidRDefault="00E6731B" w:rsidP="00E6731B">
      <w:pPr>
        <w:tabs>
          <w:tab w:val="center" w:pos="4555"/>
        </w:tabs>
        <w:spacing w:line="480" w:lineRule="auto"/>
        <w:jc w:val="both"/>
        <w:rPr>
          <w:rFonts w:asciiTheme="minorBidi" w:hAnsiTheme="minorBidi"/>
          <w:b/>
          <w:bCs/>
        </w:rPr>
      </w:pPr>
      <w:r w:rsidRPr="00186E1A">
        <w:rPr>
          <w:rFonts w:asciiTheme="minorBidi" w:hAnsiTheme="minorBidi"/>
          <w:b/>
          <w:bCs/>
        </w:rPr>
        <w:t xml:space="preserve">The research aim’s to understand the extent to which Blockchain Technology can influence the behaviour of the Corporate Psychopath and reduce Accounting Fraud. </w:t>
      </w:r>
    </w:p>
    <w:p w14:paraId="47513872" w14:textId="4D2780BE" w:rsidR="00E6731B" w:rsidRDefault="00E6731B" w:rsidP="003E5C81">
      <w:pPr>
        <w:tabs>
          <w:tab w:val="center" w:pos="4555"/>
        </w:tabs>
        <w:spacing w:line="480" w:lineRule="auto"/>
        <w:jc w:val="both"/>
        <w:rPr>
          <w:rFonts w:asciiTheme="minorBidi" w:hAnsiTheme="minorBidi"/>
        </w:rPr>
      </w:pPr>
      <w:r w:rsidRPr="000D7D19">
        <w:rPr>
          <w:rFonts w:asciiTheme="minorBidi" w:hAnsiTheme="minorBidi"/>
        </w:rPr>
        <w:t xml:space="preserve">The following </w:t>
      </w:r>
      <w:r>
        <w:rPr>
          <w:rFonts w:asciiTheme="minorBidi" w:hAnsiTheme="minorBidi"/>
        </w:rPr>
        <w:t>six</w:t>
      </w:r>
      <w:r w:rsidRPr="000D7D19">
        <w:rPr>
          <w:rFonts w:asciiTheme="minorBidi" w:hAnsiTheme="minorBidi"/>
        </w:rPr>
        <w:t xml:space="preserve"> research questions underpin the research aim.</w:t>
      </w:r>
    </w:p>
    <w:p w14:paraId="2E07203E" w14:textId="77777777" w:rsidR="003E44A1" w:rsidRDefault="003E44A1" w:rsidP="003E5C81">
      <w:pPr>
        <w:tabs>
          <w:tab w:val="center" w:pos="4555"/>
        </w:tabs>
        <w:spacing w:line="480" w:lineRule="auto"/>
        <w:jc w:val="both"/>
        <w:rPr>
          <w:rFonts w:asciiTheme="minorBidi" w:hAnsiTheme="minorBidi"/>
        </w:rPr>
      </w:pPr>
    </w:p>
    <w:p w14:paraId="188F31CB" w14:textId="77777777" w:rsidR="003E44A1" w:rsidRPr="000D7D19" w:rsidRDefault="003E44A1" w:rsidP="003E5C81">
      <w:pPr>
        <w:tabs>
          <w:tab w:val="center" w:pos="4555"/>
        </w:tabs>
        <w:spacing w:line="480" w:lineRule="auto"/>
        <w:jc w:val="both"/>
        <w:rPr>
          <w:rFonts w:asciiTheme="minorBidi" w:hAnsiTheme="minorBidi"/>
        </w:rPr>
      </w:pPr>
    </w:p>
    <w:bookmarkStart w:id="358" w:name="G"/>
    <w:bookmarkStart w:id="359" w:name="D8"/>
    <w:p w14:paraId="047ED1DD" w14:textId="175D2647" w:rsidR="00E6731B" w:rsidRPr="007E59BC" w:rsidRDefault="007E59BC" w:rsidP="007E59BC">
      <w:pPr>
        <w:pBdr>
          <w:top w:val="single" w:sz="4" w:space="1" w:color="auto"/>
          <w:left w:val="single" w:sz="4" w:space="4" w:color="auto"/>
          <w:bottom w:val="single" w:sz="4" w:space="1" w:color="auto"/>
          <w:right w:val="single" w:sz="4" w:space="4" w:color="auto"/>
        </w:pBdr>
        <w:rPr>
          <w:rFonts w:asciiTheme="minorBidi" w:hAnsiTheme="minorBidi"/>
          <w:b/>
          <w:bCs/>
        </w:rPr>
      </w:pPr>
      <w:r>
        <w:rPr>
          <w:rFonts w:asciiTheme="minorBidi" w:hAnsiTheme="minorBidi"/>
          <w:b/>
          <w:bCs/>
        </w:rPr>
        <w:lastRenderedPageBreak/>
        <w:fldChar w:fldCharType="begin"/>
      </w:r>
      <w:r>
        <w:rPr>
          <w:rFonts w:asciiTheme="minorBidi" w:hAnsiTheme="minorBidi"/>
          <w:b/>
          <w:bCs/>
        </w:rPr>
        <w:instrText>HYPERLINK  \l "C8"</w:instrText>
      </w:r>
      <w:r>
        <w:rPr>
          <w:rFonts w:asciiTheme="minorBidi" w:hAnsiTheme="minorBidi"/>
          <w:b/>
          <w:bCs/>
        </w:rPr>
      </w:r>
      <w:r>
        <w:rPr>
          <w:rFonts w:asciiTheme="minorBidi" w:hAnsiTheme="minorBidi"/>
          <w:b/>
          <w:bCs/>
        </w:rPr>
        <w:fldChar w:fldCharType="separate"/>
      </w:r>
      <w:r w:rsidR="00E6731B" w:rsidRPr="007E59BC">
        <w:rPr>
          <w:rStyle w:val="Hyperlink"/>
          <w:rFonts w:asciiTheme="minorBidi" w:hAnsiTheme="minorBidi"/>
          <w:b/>
          <w:bCs/>
        </w:rPr>
        <w:t>1.4.1 Research Questions</w:t>
      </w:r>
      <w:r>
        <w:rPr>
          <w:rFonts w:asciiTheme="minorBidi" w:hAnsiTheme="minorBidi"/>
          <w:b/>
          <w:bCs/>
        </w:rPr>
        <w:fldChar w:fldCharType="end"/>
      </w:r>
    </w:p>
    <w:bookmarkEnd w:id="358"/>
    <w:bookmarkEnd w:id="359"/>
    <w:p w14:paraId="1045C8A8" w14:textId="77777777" w:rsidR="00E6731B" w:rsidRPr="00D6072C" w:rsidRDefault="00E6731B" w:rsidP="00E6731B">
      <w:pPr>
        <w:spacing w:line="480" w:lineRule="auto"/>
        <w:jc w:val="both"/>
        <w:rPr>
          <w:rFonts w:asciiTheme="minorBidi" w:hAnsiTheme="minorBidi"/>
          <w:b/>
          <w:bCs/>
          <w:i/>
          <w:iCs/>
        </w:rPr>
      </w:pPr>
      <w:r w:rsidRPr="00D6072C">
        <w:rPr>
          <w:rFonts w:asciiTheme="minorBidi" w:hAnsiTheme="minorBidi"/>
          <w:b/>
          <w:bCs/>
          <w:i/>
          <w:iCs/>
        </w:rPr>
        <w:t>1.4.1.1 What does the current literature state about Accounting Fraud?</w:t>
      </w:r>
    </w:p>
    <w:p w14:paraId="602F966F" w14:textId="77777777" w:rsidR="00E6731B" w:rsidRPr="00D6072C" w:rsidRDefault="00E6731B" w:rsidP="00E6731B">
      <w:pPr>
        <w:spacing w:line="480" w:lineRule="auto"/>
        <w:jc w:val="both"/>
        <w:rPr>
          <w:rFonts w:asciiTheme="minorBidi" w:hAnsiTheme="minorBidi"/>
          <w:b/>
          <w:bCs/>
          <w:i/>
          <w:iCs/>
        </w:rPr>
      </w:pPr>
      <w:r w:rsidRPr="00D6072C">
        <w:rPr>
          <w:rFonts w:asciiTheme="minorBidi" w:hAnsiTheme="minorBidi"/>
          <w:b/>
          <w:bCs/>
          <w:i/>
          <w:iCs/>
        </w:rPr>
        <w:t xml:space="preserve">1.4.1.2 </w:t>
      </w:r>
      <w:bookmarkStart w:id="360" w:name="_Hlk171678883"/>
      <w:r w:rsidRPr="00D6072C">
        <w:rPr>
          <w:rFonts w:asciiTheme="minorBidi" w:hAnsiTheme="minorBidi"/>
          <w:b/>
          <w:bCs/>
          <w:i/>
          <w:iCs/>
        </w:rPr>
        <w:t xml:space="preserve">What is the </w:t>
      </w:r>
      <w:bookmarkEnd w:id="360"/>
      <w:r w:rsidRPr="00D6072C">
        <w:rPr>
          <w:rFonts w:asciiTheme="minorBidi" w:hAnsiTheme="minorBidi"/>
          <w:b/>
          <w:bCs/>
          <w:i/>
          <w:iCs/>
        </w:rPr>
        <w:t>relationship between Corporate Governance and Accounting Fraud?</w:t>
      </w:r>
    </w:p>
    <w:p w14:paraId="1CAB00DF" w14:textId="77777777" w:rsidR="00E6731B" w:rsidRPr="00D6072C" w:rsidRDefault="00E6731B" w:rsidP="00E6731B">
      <w:pPr>
        <w:spacing w:line="480" w:lineRule="auto"/>
        <w:jc w:val="both"/>
        <w:rPr>
          <w:rFonts w:asciiTheme="minorBidi" w:hAnsiTheme="minorBidi"/>
          <w:b/>
          <w:bCs/>
          <w:i/>
          <w:iCs/>
        </w:rPr>
      </w:pPr>
      <w:r w:rsidRPr="00D6072C">
        <w:rPr>
          <w:rFonts w:asciiTheme="minorBidi" w:hAnsiTheme="minorBidi"/>
          <w:b/>
          <w:bCs/>
          <w:i/>
          <w:iCs/>
        </w:rPr>
        <w:t xml:space="preserve">1.4.1.3 </w:t>
      </w:r>
      <w:bookmarkStart w:id="361" w:name="_Hlk171688013"/>
      <w:r w:rsidRPr="00D6072C">
        <w:rPr>
          <w:rFonts w:asciiTheme="minorBidi" w:hAnsiTheme="minorBidi"/>
          <w:b/>
          <w:bCs/>
          <w:i/>
          <w:iCs/>
        </w:rPr>
        <w:t>What is the difference between a Psychopath and a Corporate Psychopath / Corporate Psychopath Accountant (CPA)?</w:t>
      </w:r>
      <w:bookmarkEnd w:id="361"/>
    </w:p>
    <w:p w14:paraId="674D3364" w14:textId="77777777" w:rsidR="00E6731B" w:rsidRPr="00D6072C" w:rsidRDefault="00E6731B" w:rsidP="00E6731B">
      <w:pPr>
        <w:spacing w:line="480" w:lineRule="auto"/>
        <w:jc w:val="both"/>
        <w:rPr>
          <w:rFonts w:asciiTheme="minorBidi" w:eastAsia="Times New Roman" w:hAnsiTheme="minorBidi"/>
          <w:b/>
          <w:bCs/>
          <w:i/>
          <w:iCs/>
          <w:kern w:val="0"/>
          <w14:ligatures w14:val="none"/>
        </w:rPr>
      </w:pPr>
      <w:r w:rsidRPr="00D6072C">
        <w:rPr>
          <w:rFonts w:asciiTheme="minorBidi" w:hAnsiTheme="minorBidi"/>
          <w:b/>
          <w:bCs/>
          <w:i/>
          <w:iCs/>
        </w:rPr>
        <w:t xml:space="preserve">1.4.1.4 </w:t>
      </w:r>
      <w:r w:rsidRPr="00D6072C">
        <w:rPr>
          <w:rFonts w:asciiTheme="minorBidi" w:eastAsia="Times New Roman" w:hAnsiTheme="minorBidi"/>
          <w:b/>
          <w:bCs/>
          <w:i/>
          <w:iCs/>
          <w:kern w:val="0"/>
          <w14:ligatures w14:val="none"/>
        </w:rPr>
        <w:t xml:space="preserve">What influence would Blockchain Technology have on financial transactions' transparency in organisations </w:t>
      </w:r>
      <w:r>
        <w:rPr>
          <w:rFonts w:asciiTheme="minorBidi" w:eastAsia="Times New Roman" w:hAnsiTheme="minorBidi"/>
          <w:b/>
          <w:bCs/>
          <w:i/>
          <w:iCs/>
          <w:kern w:val="0"/>
          <w14:ligatures w14:val="none"/>
        </w:rPr>
        <w:t>led</w:t>
      </w:r>
      <w:r w:rsidRPr="00D6072C">
        <w:rPr>
          <w:rFonts w:asciiTheme="minorBidi" w:eastAsia="Times New Roman" w:hAnsiTheme="minorBidi"/>
          <w:b/>
          <w:bCs/>
          <w:i/>
          <w:iCs/>
          <w:kern w:val="0"/>
          <w14:ligatures w14:val="none"/>
        </w:rPr>
        <w:t xml:space="preserve"> by CPA</w:t>
      </w:r>
      <w:r>
        <w:rPr>
          <w:rFonts w:asciiTheme="minorBidi" w:eastAsia="Times New Roman" w:hAnsiTheme="minorBidi"/>
          <w:b/>
          <w:bCs/>
          <w:i/>
          <w:iCs/>
          <w:kern w:val="0"/>
          <w14:ligatures w14:val="none"/>
        </w:rPr>
        <w:t>s</w:t>
      </w:r>
      <w:r w:rsidRPr="00D6072C">
        <w:rPr>
          <w:rFonts w:asciiTheme="minorBidi" w:eastAsia="Times New Roman" w:hAnsiTheme="minorBidi"/>
          <w:b/>
          <w:bCs/>
          <w:i/>
          <w:iCs/>
          <w:kern w:val="0"/>
          <w14:ligatures w14:val="none"/>
        </w:rPr>
        <w:t xml:space="preserve">? </w:t>
      </w:r>
    </w:p>
    <w:p w14:paraId="17B96F01" w14:textId="77777777" w:rsidR="00E6731B" w:rsidRPr="00D6072C" w:rsidRDefault="00E6731B" w:rsidP="00E6731B">
      <w:pPr>
        <w:spacing w:line="480" w:lineRule="auto"/>
        <w:jc w:val="both"/>
        <w:rPr>
          <w:rFonts w:asciiTheme="minorBidi" w:hAnsiTheme="minorBidi"/>
          <w:b/>
          <w:bCs/>
          <w:i/>
          <w:iCs/>
        </w:rPr>
      </w:pPr>
      <w:r w:rsidRPr="00D6072C">
        <w:rPr>
          <w:rFonts w:asciiTheme="minorBidi" w:hAnsiTheme="minorBidi"/>
          <w:b/>
          <w:bCs/>
          <w:i/>
          <w:iCs/>
        </w:rPr>
        <w:t>1.4.1.5 What role would Blockchain Technology play in monitoring and preventing Accounting Fraud managed by CPA</w:t>
      </w:r>
      <w:r>
        <w:rPr>
          <w:rFonts w:asciiTheme="minorBidi" w:hAnsiTheme="minorBidi"/>
          <w:b/>
          <w:bCs/>
          <w:i/>
          <w:iCs/>
        </w:rPr>
        <w:t>s</w:t>
      </w:r>
      <w:r w:rsidRPr="00D6072C">
        <w:rPr>
          <w:rFonts w:asciiTheme="minorBidi" w:hAnsiTheme="minorBidi"/>
          <w:b/>
          <w:bCs/>
          <w:i/>
          <w:iCs/>
        </w:rPr>
        <w:t>?</w:t>
      </w:r>
    </w:p>
    <w:p w14:paraId="2FB2E49D" w14:textId="3086E436" w:rsidR="00E6731B" w:rsidRPr="00320A99" w:rsidRDefault="00E6731B" w:rsidP="00320A99">
      <w:pPr>
        <w:spacing w:line="480" w:lineRule="auto"/>
        <w:jc w:val="both"/>
        <w:rPr>
          <w:rFonts w:asciiTheme="minorBidi" w:hAnsiTheme="minorBidi"/>
          <w:b/>
          <w:bCs/>
          <w:i/>
          <w:iCs/>
        </w:rPr>
      </w:pPr>
      <w:r w:rsidRPr="00D6072C">
        <w:rPr>
          <w:rFonts w:asciiTheme="minorBidi" w:hAnsiTheme="minorBidi"/>
          <w:b/>
          <w:bCs/>
          <w:i/>
          <w:iCs/>
        </w:rPr>
        <w:t xml:space="preserve">1.4.1.6 What are the alternatives to Blockchain Technology which may influence the behaviour of the </w:t>
      </w:r>
      <w:r>
        <w:rPr>
          <w:rFonts w:asciiTheme="minorBidi" w:hAnsiTheme="minorBidi"/>
          <w:b/>
          <w:bCs/>
          <w:i/>
          <w:iCs/>
        </w:rPr>
        <w:t xml:space="preserve">CPA </w:t>
      </w:r>
      <w:r w:rsidRPr="00D6072C">
        <w:rPr>
          <w:rFonts w:asciiTheme="minorBidi" w:hAnsiTheme="minorBidi"/>
          <w:b/>
          <w:bCs/>
          <w:i/>
          <w:iCs/>
        </w:rPr>
        <w:t>and lessen Accounting Fraud?</w:t>
      </w:r>
    </w:p>
    <w:bookmarkStart w:id="362" w:name="H"/>
    <w:p w14:paraId="7CF935B2" w14:textId="28EE9118" w:rsidR="00E6731B" w:rsidRPr="001854BA" w:rsidRDefault="007E59BC" w:rsidP="001854BA">
      <w:pPr>
        <w:pBdr>
          <w:top w:val="single" w:sz="4" w:space="1" w:color="auto"/>
          <w:left w:val="single" w:sz="4" w:space="4" w:color="auto"/>
          <w:bottom w:val="single" w:sz="4" w:space="1" w:color="auto"/>
          <w:right w:val="single" w:sz="4" w:space="4" w:color="auto"/>
        </w:pBdr>
        <w:rPr>
          <w:rFonts w:asciiTheme="minorBidi" w:hAnsiTheme="minorBidi"/>
          <w:b/>
          <w:bCs/>
        </w:rPr>
      </w:pPr>
      <w:r>
        <w:rPr>
          <w:rFonts w:asciiTheme="minorBidi" w:hAnsiTheme="minorBidi"/>
          <w:b/>
          <w:bCs/>
        </w:rPr>
        <w:fldChar w:fldCharType="begin"/>
      </w:r>
      <w:r>
        <w:rPr>
          <w:rFonts w:asciiTheme="minorBidi" w:hAnsiTheme="minorBidi"/>
          <w:b/>
          <w:bCs/>
        </w:rPr>
        <w:instrText>HYPERLINK  \l "C9"</w:instrText>
      </w:r>
      <w:r>
        <w:rPr>
          <w:rFonts w:asciiTheme="minorBidi" w:hAnsiTheme="minorBidi"/>
          <w:b/>
          <w:bCs/>
        </w:rPr>
      </w:r>
      <w:r>
        <w:rPr>
          <w:rFonts w:asciiTheme="minorBidi" w:hAnsiTheme="minorBidi"/>
          <w:b/>
          <w:bCs/>
        </w:rPr>
        <w:fldChar w:fldCharType="separate"/>
      </w:r>
      <w:r w:rsidR="00E6731B" w:rsidRPr="007E59BC">
        <w:rPr>
          <w:rStyle w:val="Hyperlink"/>
          <w:rFonts w:asciiTheme="minorBidi" w:hAnsiTheme="minorBidi"/>
          <w:b/>
          <w:bCs/>
        </w:rPr>
        <w:t>1.5 Research Objectives</w:t>
      </w:r>
      <w:r>
        <w:rPr>
          <w:rFonts w:asciiTheme="minorBidi" w:hAnsiTheme="minorBidi"/>
          <w:b/>
          <w:bCs/>
        </w:rPr>
        <w:fldChar w:fldCharType="end"/>
      </w:r>
    </w:p>
    <w:bookmarkEnd w:id="362"/>
    <w:p w14:paraId="7F8DE59F" w14:textId="77777777" w:rsidR="00E6731B" w:rsidRPr="009C17F5" w:rsidRDefault="00E6731B" w:rsidP="00E6731B">
      <w:pPr>
        <w:spacing w:line="480" w:lineRule="auto"/>
        <w:jc w:val="both"/>
        <w:rPr>
          <w:rFonts w:asciiTheme="minorBidi" w:hAnsiTheme="minorBidi"/>
        </w:rPr>
      </w:pPr>
      <w:r w:rsidRPr="009C17F5">
        <w:rPr>
          <w:rFonts w:asciiTheme="minorBidi" w:hAnsiTheme="minorBidi"/>
        </w:rPr>
        <w:t xml:space="preserve">The research questions </w:t>
      </w:r>
      <w:r>
        <w:rPr>
          <w:rFonts w:asciiTheme="minorBidi" w:hAnsiTheme="minorBidi"/>
        </w:rPr>
        <w:t>outlined</w:t>
      </w:r>
      <w:r w:rsidRPr="009C17F5">
        <w:rPr>
          <w:rFonts w:asciiTheme="minorBidi" w:hAnsiTheme="minorBidi"/>
        </w:rPr>
        <w:t xml:space="preserve"> section 1.4.1 will be </w:t>
      </w:r>
      <w:r>
        <w:rPr>
          <w:rFonts w:asciiTheme="minorBidi" w:hAnsiTheme="minorBidi"/>
        </w:rPr>
        <w:t>tackled</w:t>
      </w:r>
      <w:r w:rsidRPr="009C17F5">
        <w:rPr>
          <w:rFonts w:asciiTheme="minorBidi" w:hAnsiTheme="minorBidi"/>
        </w:rPr>
        <w:t xml:space="preserve"> by the following five research objectives. </w:t>
      </w:r>
    </w:p>
    <w:p w14:paraId="01AEFDA0" w14:textId="77777777" w:rsidR="00E6731B" w:rsidRPr="00B761DC" w:rsidRDefault="00E6731B" w:rsidP="00E6731B">
      <w:pPr>
        <w:spacing w:line="480" w:lineRule="auto"/>
        <w:jc w:val="both"/>
        <w:rPr>
          <w:rFonts w:asciiTheme="minorBidi" w:hAnsiTheme="minorBidi"/>
          <w:b/>
          <w:bCs/>
          <w:i/>
          <w:iCs/>
        </w:rPr>
      </w:pPr>
      <w:r w:rsidRPr="00B761DC">
        <w:rPr>
          <w:rFonts w:asciiTheme="minorBidi" w:hAnsiTheme="minorBidi"/>
          <w:b/>
          <w:bCs/>
          <w:i/>
          <w:iCs/>
        </w:rPr>
        <w:t xml:space="preserve">1.5.1.1 To undertake a broad review and synthesis of existing literature on Accounting Fraud, identifying key themes &amp; techniques, findings, and gaps in the research. </w:t>
      </w:r>
    </w:p>
    <w:p w14:paraId="31449627" w14:textId="77777777" w:rsidR="00E6731B" w:rsidRPr="00B761DC" w:rsidRDefault="00E6731B" w:rsidP="00E6731B">
      <w:pPr>
        <w:spacing w:line="480" w:lineRule="auto"/>
        <w:jc w:val="both"/>
        <w:rPr>
          <w:rFonts w:asciiTheme="minorBidi" w:hAnsiTheme="minorBidi"/>
          <w:b/>
          <w:bCs/>
          <w:i/>
          <w:iCs/>
        </w:rPr>
      </w:pPr>
      <w:r w:rsidRPr="00B761DC">
        <w:rPr>
          <w:rFonts w:asciiTheme="minorBidi" w:hAnsiTheme="minorBidi"/>
          <w:b/>
          <w:bCs/>
          <w:i/>
          <w:iCs/>
        </w:rPr>
        <w:t>1.5.1.2 To critically evaluate key features of corporate governance that influence the occurrence and prevention of Accounting Fraud within organisations including mechanisms that should moderate Accounting Fraud.</w:t>
      </w:r>
    </w:p>
    <w:p w14:paraId="2F412466" w14:textId="77777777" w:rsidR="00E6731B" w:rsidRPr="00B761DC" w:rsidRDefault="00E6731B" w:rsidP="00E6731B">
      <w:pPr>
        <w:spacing w:line="480" w:lineRule="auto"/>
        <w:jc w:val="both"/>
        <w:rPr>
          <w:rFonts w:asciiTheme="minorBidi" w:hAnsiTheme="minorBidi"/>
          <w:b/>
          <w:bCs/>
          <w:i/>
          <w:iCs/>
        </w:rPr>
      </w:pPr>
      <w:r w:rsidRPr="00B761DC">
        <w:rPr>
          <w:rFonts w:asciiTheme="minorBidi" w:hAnsiTheme="minorBidi"/>
          <w:b/>
          <w:bCs/>
          <w:i/>
          <w:iCs/>
        </w:rPr>
        <w:lastRenderedPageBreak/>
        <w:t xml:space="preserve">1.5.1.3 To explore and demarcate the distinctions between general psychopathy and corporate psychopathy, focusing on behavioural aspects, and influence on organisational settings. </w:t>
      </w:r>
    </w:p>
    <w:p w14:paraId="711E1972" w14:textId="77777777" w:rsidR="00E6731B" w:rsidRPr="00B761DC" w:rsidRDefault="00E6731B" w:rsidP="00E6731B">
      <w:pPr>
        <w:spacing w:line="480" w:lineRule="auto"/>
        <w:jc w:val="both"/>
        <w:rPr>
          <w:rFonts w:asciiTheme="minorBidi" w:eastAsia="Times New Roman" w:hAnsiTheme="minorBidi"/>
          <w:b/>
          <w:bCs/>
          <w:i/>
          <w:iCs/>
          <w:kern w:val="0"/>
          <w14:ligatures w14:val="none"/>
        </w:rPr>
      </w:pPr>
      <w:r w:rsidRPr="00B761DC">
        <w:rPr>
          <w:rFonts w:asciiTheme="minorBidi" w:hAnsiTheme="minorBidi"/>
          <w:b/>
          <w:bCs/>
          <w:i/>
          <w:iCs/>
        </w:rPr>
        <w:t xml:space="preserve">1.5.1.4 </w:t>
      </w:r>
      <w:r w:rsidRPr="00B761DC">
        <w:rPr>
          <w:rFonts w:asciiTheme="minorBidi" w:eastAsia="Times New Roman" w:hAnsiTheme="minorBidi"/>
          <w:b/>
          <w:bCs/>
          <w:i/>
          <w:iCs/>
          <w:kern w:val="0"/>
          <w14:ligatures w14:val="none"/>
        </w:rPr>
        <w:t>To appraise the effectiveness of Blockchain Technology in enhancing the transparency of financial transactions in environments controlled by a CPA.</w:t>
      </w:r>
    </w:p>
    <w:p w14:paraId="2AC313B1" w14:textId="77777777" w:rsidR="00E6731B" w:rsidRPr="00B761DC" w:rsidRDefault="00E6731B" w:rsidP="00E6731B">
      <w:pPr>
        <w:spacing w:line="480" w:lineRule="auto"/>
        <w:jc w:val="both"/>
        <w:rPr>
          <w:rFonts w:asciiTheme="minorBidi" w:eastAsia="Times New Roman" w:hAnsiTheme="minorBidi"/>
          <w:b/>
          <w:bCs/>
          <w:i/>
          <w:iCs/>
          <w:kern w:val="0"/>
          <w14:ligatures w14:val="none"/>
        </w:rPr>
      </w:pPr>
      <w:r w:rsidRPr="00B761DC">
        <w:rPr>
          <w:rFonts w:asciiTheme="minorBidi" w:hAnsiTheme="minorBidi"/>
          <w:b/>
          <w:bCs/>
          <w:i/>
          <w:iCs/>
        </w:rPr>
        <w:t xml:space="preserve">1.5.1.5 </w:t>
      </w:r>
      <w:r w:rsidRPr="00B761DC">
        <w:rPr>
          <w:rFonts w:asciiTheme="minorBidi" w:eastAsia="Times New Roman" w:hAnsiTheme="minorBidi"/>
          <w:b/>
          <w:bCs/>
          <w:i/>
          <w:iCs/>
          <w:kern w:val="0"/>
          <w14:ligatures w14:val="none"/>
        </w:rPr>
        <w:t xml:space="preserve">To investigate the mechanisms by which Blockchain Technology can monitor and constrain Accounting Fraud in organisations led by a CPA. </w:t>
      </w:r>
    </w:p>
    <w:p w14:paraId="0672BE6B" w14:textId="629D7076" w:rsidR="00320A99" w:rsidRPr="00B761DC" w:rsidRDefault="00E6731B" w:rsidP="003E44A1">
      <w:pPr>
        <w:spacing w:line="480" w:lineRule="auto"/>
        <w:jc w:val="both"/>
        <w:rPr>
          <w:rFonts w:asciiTheme="minorBidi" w:hAnsiTheme="minorBidi"/>
          <w:b/>
          <w:bCs/>
          <w:i/>
          <w:iCs/>
        </w:rPr>
      </w:pPr>
      <w:r w:rsidRPr="00B761DC">
        <w:rPr>
          <w:rFonts w:asciiTheme="minorBidi" w:hAnsiTheme="minorBidi"/>
          <w:b/>
          <w:bCs/>
          <w:i/>
          <w:iCs/>
        </w:rPr>
        <w:t>1.5.1.6 To propose a structured theoretical model, for consideration by the global accounting profession, with a view to implementation.</w:t>
      </w:r>
    </w:p>
    <w:bookmarkStart w:id="363" w:name="I"/>
    <w:bookmarkStart w:id="364" w:name="D9"/>
    <w:bookmarkStart w:id="365" w:name="D10"/>
    <w:p w14:paraId="1141F642" w14:textId="7C11C367" w:rsidR="00E6731B" w:rsidRPr="0090264C" w:rsidRDefault="007E59BC" w:rsidP="0090264C">
      <w:pPr>
        <w:pBdr>
          <w:top w:val="single" w:sz="4" w:space="1" w:color="auto"/>
          <w:left w:val="single" w:sz="4" w:space="4" w:color="auto"/>
          <w:bottom w:val="single" w:sz="4" w:space="1" w:color="auto"/>
          <w:right w:val="single" w:sz="4" w:space="4" w:color="auto"/>
        </w:pBdr>
        <w:rPr>
          <w:rFonts w:asciiTheme="minorBidi" w:hAnsiTheme="minorBidi"/>
          <w:b/>
          <w:bCs/>
        </w:rPr>
      </w:pPr>
      <w:r>
        <w:rPr>
          <w:rFonts w:asciiTheme="minorBidi" w:hAnsiTheme="minorBidi"/>
          <w:b/>
          <w:bCs/>
        </w:rPr>
        <w:fldChar w:fldCharType="begin"/>
      </w:r>
      <w:r>
        <w:rPr>
          <w:rFonts w:asciiTheme="minorBidi" w:hAnsiTheme="minorBidi"/>
          <w:b/>
          <w:bCs/>
        </w:rPr>
        <w:instrText>HYPERLINK  \l "C10"</w:instrText>
      </w:r>
      <w:r>
        <w:rPr>
          <w:rFonts w:asciiTheme="minorBidi" w:hAnsiTheme="minorBidi"/>
          <w:b/>
          <w:bCs/>
        </w:rPr>
      </w:r>
      <w:r>
        <w:rPr>
          <w:rFonts w:asciiTheme="minorBidi" w:hAnsiTheme="minorBidi"/>
          <w:b/>
          <w:bCs/>
        </w:rPr>
        <w:fldChar w:fldCharType="separate"/>
      </w:r>
      <w:r w:rsidR="00E6731B" w:rsidRPr="007E59BC">
        <w:rPr>
          <w:rStyle w:val="Hyperlink"/>
          <w:rFonts w:asciiTheme="minorBidi" w:hAnsiTheme="minorBidi"/>
          <w:b/>
          <w:bCs/>
        </w:rPr>
        <w:t>1.6 Overview of Research Aim, Objectives &amp; Questions</w:t>
      </w:r>
      <w:r>
        <w:rPr>
          <w:rFonts w:asciiTheme="minorBidi" w:hAnsiTheme="minorBidi"/>
          <w:b/>
          <w:bCs/>
        </w:rPr>
        <w:fldChar w:fldCharType="end"/>
      </w:r>
    </w:p>
    <w:bookmarkEnd w:id="363"/>
    <w:bookmarkEnd w:id="364"/>
    <w:bookmarkEnd w:id="365"/>
    <w:p w14:paraId="2A910C88" w14:textId="77777777" w:rsidR="00E6731B" w:rsidRDefault="00E6731B" w:rsidP="00E6731B">
      <w:pPr>
        <w:pStyle w:val="ListParagraph"/>
        <w:spacing w:line="480" w:lineRule="auto"/>
        <w:ind w:left="0"/>
        <w:jc w:val="both"/>
        <w:rPr>
          <w:rFonts w:asciiTheme="minorBidi" w:hAnsiTheme="minorBidi"/>
          <w:b/>
          <w:bCs/>
        </w:rPr>
      </w:pPr>
      <w:r>
        <w:rPr>
          <w:rFonts w:asciiTheme="minorBidi" w:hAnsiTheme="minorBidi"/>
          <w:b/>
          <w:bCs/>
        </w:rPr>
        <w:t xml:space="preserve">Table 1.1 </w:t>
      </w:r>
      <w:r w:rsidRPr="00A95CAB">
        <w:rPr>
          <w:rFonts w:asciiTheme="minorBidi" w:hAnsiTheme="minorBidi"/>
          <w:b/>
          <w:bCs/>
        </w:rPr>
        <w:t>Overview of Research Aim, Objectives &amp; Questions</w:t>
      </w:r>
    </w:p>
    <w:tbl>
      <w:tblPr>
        <w:tblStyle w:val="TableGrid"/>
        <w:tblW w:w="0" w:type="auto"/>
        <w:tblLook w:val="04A0" w:firstRow="1" w:lastRow="0" w:firstColumn="1" w:lastColumn="0" w:noHBand="0" w:noVBand="1"/>
      </w:tblPr>
      <w:tblGrid>
        <w:gridCol w:w="603"/>
        <w:gridCol w:w="8413"/>
      </w:tblGrid>
      <w:tr w:rsidR="00E6731B" w14:paraId="591F4F46" w14:textId="77777777" w:rsidTr="001D4222">
        <w:trPr>
          <w:trHeight w:val="1067"/>
        </w:trPr>
        <w:tc>
          <w:tcPr>
            <w:tcW w:w="9016" w:type="dxa"/>
            <w:gridSpan w:val="2"/>
            <w:shd w:val="clear" w:color="auto" w:fill="D9D9D9" w:themeFill="background1" w:themeFillShade="D9"/>
          </w:tcPr>
          <w:p w14:paraId="199A8CFC" w14:textId="77777777" w:rsidR="00E6731B" w:rsidRPr="00FC7946" w:rsidRDefault="00E6731B" w:rsidP="001D4222">
            <w:pPr>
              <w:pStyle w:val="QuotesAZ"/>
              <w:ind w:firstLine="0"/>
              <w:rPr>
                <w:rFonts w:asciiTheme="minorBidi" w:hAnsiTheme="minorBidi"/>
                <w:b/>
                <w:bCs/>
                <w:sz w:val="22"/>
              </w:rPr>
            </w:pPr>
            <w:bookmarkStart w:id="366" w:name="_Hlk172189917"/>
            <w:r w:rsidRPr="00FC7946">
              <w:rPr>
                <w:rFonts w:asciiTheme="minorBidi" w:hAnsiTheme="minorBidi"/>
                <w:b/>
                <w:bCs/>
                <w:sz w:val="22"/>
                <w:u w:val="single"/>
              </w:rPr>
              <w:t>Research Aim</w:t>
            </w:r>
            <w:r w:rsidRPr="00FC7946">
              <w:rPr>
                <w:rFonts w:asciiTheme="minorBidi" w:hAnsiTheme="minorBidi"/>
                <w:b/>
                <w:bCs/>
                <w:sz w:val="22"/>
              </w:rPr>
              <w:t>: To what extent can Blockchain Technology influence the behaviour of the Corporate Psychopath and reduce Accounting Fraud</w:t>
            </w:r>
          </w:p>
        </w:tc>
      </w:tr>
      <w:tr w:rsidR="00E6731B" w14:paraId="1DB0E095" w14:textId="77777777" w:rsidTr="001D4222">
        <w:tc>
          <w:tcPr>
            <w:tcW w:w="603" w:type="dxa"/>
          </w:tcPr>
          <w:p w14:paraId="21312552" w14:textId="77777777" w:rsidR="00E6731B" w:rsidRPr="00FC7946" w:rsidRDefault="00E6731B" w:rsidP="001D4222">
            <w:pPr>
              <w:pStyle w:val="ListParagraph"/>
              <w:spacing w:line="360" w:lineRule="auto"/>
              <w:ind w:left="0"/>
              <w:jc w:val="both"/>
              <w:rPr>
                <w:rFonts w:asciiTheme="minorBidi" w:hAnsiTheme="minorBidi"/>
                <w:b/>
                <w:bCs/>
                <w:i/>
                <w:iCs/>
                <w:sz w:val="22"/>
                <w:szCs w:val="22"/>
              </w:rPr>
            </w:pPr>
            <w:r w:rsidRPr="00FC7946">
              <w:rPr>
                <w:rFonts w:asciiTheme="minorBidi" w:hAnsiTheme="minorBidi"/>
                <w:b/>
                <w:bCs/>
                <w:i/>
                <w:iCs/>
                <w:sz w:val="22"/>
                <w:szCs w:val="22"/>
              </w:rPr>
              <w:t>No.</w:t>
            </w:r>
          </w:p>
        </w:tc>
        <w:tc>
          <w:tcPr>
            <w:tcW w:w="8413" w:type="dxa"/>
            <w:shd w:val="clear" w:color="auto" w:fill="D9D9D9" w:themeFill="background1" w:themeFillShade="D9"/>
          </w:tcPr>
          <w:p w14:paraId="75717C0C" w14:textId="77777777" w:rsidR="00E6731B" w:rsidRPr="00FC7946" w:rsidRDefault="00E6731B" w:rsidP="001D4222">
            <w:pPr>
              <w:pStyle w:val="ListParagraph"/>
              <w:spacing w:line="360" w:lineRule="auto"/>
              <w:ind w:left="0"/>
              <w:jc w:val="both"/>
              <w:rPr>
                <w:rFonts w:asciiTheme="minorBidi" w:hAnsiTheme="minorBidi"/>
                <w:b/>
                <w:bCs/>
                <w:i/>
                <w:iCs/>
                <w:sz w:val="22"/>
                <w:szCs w:val="22"/>
                <w:u w:val="single"/>
              </w:rPr>
            </w:pPr>
            <w:r w:rsidRPr="00FC7946">
              <w:rPr>
                <w:rFonts w:asciiTheme="minorBidi" w:hAnsiTheme="minorBidi"/>
                <w:b/>
                <w:bCs/>
                <w:i/>
                <w:iCs/>
                <w:sz w:val="22"/>
                <w:szCs w:val="22"/>
                <w:u w:val="single"/>
              </w:rPr>
              <w:t>Research Objectives &amp; Questions</w:t>
            </w:r>
          </w:p>
        </w:tc>
      </w:tr>
      <w:tr w:rsidR="00E6731B" w14:paraId="2AA9B126" w14:textId="77777777" w:rsidTr="001D4222">
        <w:tc>
          <w:tcPr>
            <w:tcW w:w="603" w:type="dxa"/>
          </w:tcPr>
          <w:p w14:paraId="25A4704C" w14:textId="77777777" w:rsidR="00E6731B" w:rsidRPr="00FC7946" w:rsidRDefault="00E6731B" w:rsidP="001D4222">
            <w:pPr>
              <w:pStyle w:val="ListParagraph"/>
              <w:spacing w:line="360" w:lineRule="auto"/>
              <w:ind w:left="0"/>
              <w:jc w:val="both"/>
              <w:rPr>
                <w:rFonts w:asciiTheme="minorBidi" w:hAnsiTheme="minorBidi"/>
                <w:i/>
                <w:iCs/>
                <w:sz w:val="22"/>
                <w:szCs w:val="22"/>
              </w:rPr>
            </w:pPr>
            <w:r w:rsidRPr="00FC7946">
              <w:rPr>
                <w:rFonts w:asciiTheme="minorBidi" w:hAnsiTheme="minorBidi"/>
                <w:i/>
                <w:iCs/>
                <w:sz w:val="22"/>
                <w:szCs w:val="22"/>
              </w:rPr>
              <w:t>1</w:t>
            </w:r>
          </w:p>
        </w:tc>
        <w:tc>
          <w:tcPr>
            <w:tcW w:w="8413" w:type="dxa"/>
          </w:tcPr>
          <w:p w14:paraId="3074E7FB" w14:textId="77777777" w:rsidR="00E6731B" w:rsidRPr="00FC7946" w:rsidRDefault="00E6731B" w:rsidP="001D4222">
            <w:pPr>
              <w:spacing w:line="360" w:lineRule="auto"/>
              <w:jc w:val="both"/>
              <w:rPr>
                <w:rFonts w:asciiTheme="minorBidi" w:hAnsiTheme="minorBidi"/>
                <w:sz w:val="22"/>
                <w:szCs w:val="22"/>
              </w:rPr>
            </w:pPr>
            <w:r w:rsidRPr="00FC7946">
              <w:rPr>
                <w:rFonts w:asciiTheme="minorBidi" w:hAnsiTheme="minorBidi"/>
                <w:b/>
                <w:bCs/>
                <w:sz w:val="22"/>
                <w:szCs w:val="22"/>
                <w:u w:val="single"/>
              </w:rPr>
              <w:t>Objective 1:</w:t>
            </w:r>
            <w:r w:rsidRPr="00FC7946">
              <w:rPr>
                <w:rFonts w:asciiTheme="minorBidi" w:hAnsiTheme="minorBidi"/>
                <w:sz w:val="22"/>
                <w:szCs w:val="22"/>
              </w:rPr>
              <w:t xml:space="preserve"> To undertake a broad review and synthesis of existing literature on Accounting Fraud, identifying key themes &amp; techniques, findings, and gaps in the research.</w:t>
            </w:r>
          </w:p>
          <w:p w14:paraId="0FF44FE5" w14:textId="77777777" w:rsidR="00E6731B" w:rsidRPr="00FC7946" w:rsidRDefault="00E6731B" w:rsidP="001D4222">
            <w:pPr>
              <w:spacing w:line="360" w:lineRule="auto"/>
              <w:jc w:val="both"/>
              <w:rPr>
                <w:rFonts w:asciiTheme="minorBidi" w:hAnsiTheme="minorBidi"/>
                <w:sz w:val="22"/>
                <w:szCs w:val="22"/>
              </w:rPr>
            </w:pPr>
            <w:r w:rsidRPr="00FC7946">
              <w:rPr>
                <w:rFonts w:asciiTheme="minorBidi" w:hAnsiTheme="minorBidi"/>
                <w:b/>
                <w:bCs/>
                <w:sz w:val="22"/>
                <w:szCs w:val="22"/>
                <w:u w:val="single"/>
              </w:rPr>
              <w:t>Question 1:</w:t>
            </w:r>
            <w:r w:rsidRPr="00FC7946">
              <w:rPr>
                <w:rFonts w:asciiTheme="minorBidi" w:hAnsiTheme="minorBidi"/>
                <w:sz w:val="22"/>
                <w:szCs w:val="22"/>
              </w:rPr>
              <w:t xml:space="preserve"> What does the current literature state about Accounting Fraud?</w:t>
            </w:r>
          </w:p>
        </w:tc>
      </w:tr>
      <w:tr w:rsidR="00E6731B" w14:paraId="4FFFDD33" w14:textId="77777777" w:rsidTr="001D4222">
        <w:tc>
          <w:tcPr>
            <w:tcW w:w="603" w:type="dxa"/>
          </w:tcPr>
          <w:p w14:paraId="4AFDD80B" w14:textId="77777777" w:rsidR="00E6731B" w:rsidRPr="00FC7946" w:rsidRDefault="00E6731B" w:rsidP="001D4222">
            <w:pPr>
              <w:pStyle w:val="ListParagraph"/>
              <w:spacing w:line="360" w:lineRule="auto"/>
              <w:ind w:left="0"/>
              <w:jc w:val="both"/>
              <w:rPr>
                <w:rFonts w:asciiTheme="minorBidi" w:hAnsiTheme="minorBidi"/>
                <w:i/>
                <w:iCs/>
                <w:sz w:val="22"/>
                <w:szCs w:val="22"/>
              </w:rPr>
            </w:pPr>
            <w:r w:rsidRPr="00FC7946">
              <w:rPr>
                <w:rFonts w:asciiTheme="minorBidi" w:hAnsiTheme="minorBidi"/>
                <w:i/>
                <w:iCs/>
                <w:sz w:val="22"/>
                <w:szCs w:val="22"/>
              </w:rPr>
              <w:t>2</w:t>
            </w:r>
          </w:p>
        </w:tc>
        <w:tc>
          <w:tcPr>
            <w:tcW w:w="8413" w:type="dxa"/>
          </w:tcPr>
          <w:p w14:paraId="075604A7" w14:textId="77777777" w:rsidR="00E6731B" w:rsidRPr="00FC7946" w:rsidRDefault="00E6731B" w:rsidP="001D4222">
            <w:pPr>
              <w:spacing w:line="360" w:lineRule="auto"/>
              <w:jc w:val="both"/>
              <w:rPr>
                <w:rFonts w:asciiTheme="minorBidi" w:hAnsiTheme="minorBidi"/>
                <w:sz w:val="22"/>
                <w:szCs w:val="22"/>
              </w:rPr>
            </w:pPr>
            <w:r w:rsidRPr="00FC7946">
              <w:rPr>
                <w:rFonts w:asciiTheme="minorBidi" w:hAnsiTheme="minorBidi"/>
                <w:b/>
                <w:bCs/>
                <w:sz w:val="22"/>
                <w:szCs w:val="22"/>
                <w:u w:val="single"/>
              </w:rPr>
              <w:t>Objective 2:</w:t>
            </w:r>
            <w:r w:rsidRPr="00FC7946">
              <w:rPr>
                <w:rFonts w:asciiTheme="minorBidi" w:hAnsiTheme="minorBidi"/>
                <w:sz w:val="22"/>
                <w:szCs w:val="22"/>
              </w:rPr>
              <w:t xml:space="preserve"> To critically evaluate key features of corporate governance that influence the occurrence and prevention of Accounting Fraud within organisations including mechanisms that should moderate Accounting Fraud.</w:t>
            </w:r>
          </w:p>
          <w:p w14:paraId="09FD284E" w14:textId="77777777" w:rsidR="00E6731B" w:rsidRPr="00FC7946" w:rsidRDefault="00E6731B" w:rsidP="001D4222">
            <w:pPr>
              <w:spacing w:line="360" w:lineRule="auto"/>
              <w:jc w:val="both"/>
              <w:rPr>
                <w:rFonts w:asciiTheme="minorBidi" w:hAnsiTheme="minorBidi"/>
                <w:sz w:val="22"/>
                <w:szCs w:val="22"/>
                <w:u w:val="single"/>
              </w:rPr>
            </w:pPr>
            <w:r w:rsidRPr="00FC7946">
              <w:rPr>
                <w:rFonts w:asciiTheme="minorBidi" w:hAnsiTheme="minorBidi"/>
                <w:b/>
                <w:bCs/>
                <w:sz w:val="22"/>
                <w:szCs w:val="22"/>
                <w:u w:val="single"/>
              </w:rPr>
              <w:t>Question 2:</w:t>
            </w:r>
            <w:r w:rsidRPr="00FC7946">
              <w:rPr>
                <w:rFonts w:asciiTheme="minorBidi" w:hAnsiTheme="minorBidi"/>
                <w:sz w:val="22"/>
                <w:szCs w:val="22"/>
              </w:rPr>
              <w:t xml:space="preserve"> What is the relationship between Corporate Governance and Accounting Fraud?</w:t>
            </w:r>
          </w:p>
        </w:tc>
      </w:tr>
      <w:tr w:rsidR="00E6731B" w14:paraId="3DA0768E" w14:textId="77777777" w:rsidTr="001D4222">
        <w:tc>
          <w:tcPr>
            <w:tcW w:w="603" w:type="dxa"/>
          </w:tcPr>
          <w:p w14:paraId="25D5D574" w14:textId="77777777" w:rsidR="00E6731B" w:rsidRPr="00FC7946" w:rsidRDefault="00E6731B" w:rsidP="001D4222">
            <w:pPr>
              <w:pStyle w:val="ListParagraph"/>
              <w:spacing w:line="360" w:lineRule="auto"/>
              <w:ind w:left="0"/>
              <w:jc w:val="both"/>
              <w:rPr>
                <w:rFonts w:asciiTheme="minorBidi" w:hAnsiTheme="minorBidi"/>
                <w:i/>
                <w:iCs/>
                <w:sz w:val="22"/>
                <w:szCs w:val="22"/>
              </w:rPr>
            </w:pPr>
            <w:r w:rsidRPr="00FC7946">
              <w:rPr>
                <w:rFonts w:asciiTheme="minorBidi" w:hAnsiTheme="minorBidi"/>
                <w:i/>
                <w:iCs/>
                <w:sz w:val="22"/>
                <w:szCs w:val="22"/>
              </w:rPr>
              <w:t>3</w:t>
            </w:r>
          </w:p>
        </w:tc>
        <w:tc>
          <w:tcPr>
            <w:tcW w:w="8413" w:type="dxa"/>
          </w:tcPr>
          <w:p w14:paraId="176A9A83" w14:textId="77777777" w:rsidR="00E6731B" w:rsidRPr="00FC7946" w:rsidRDefault="00E6731B" w:rsidP="001D4222">
            <w:pPr>
              <w:spacing w:line="360" w:lineRule="auto"/>
              <w:jc w:val="both"/>
              <w:rPr>
                <w:rFonts w:asciiTheme="minorBidi" w:hAnsiTheme="minorBidi"/>
                <w:sz w:val="22"/>
                <w:szCs w:val="22"/>
              </w:rPr>
            </w:pPr>
            <w:r w:rsidRPr="00FC7946">
              <w:rPr>
                <w:rFonts w:asciiTheme="minorBidi" w:hAnsiTheme="minorBidi"/>
                <w:b/>
                <w:bCs/>
                <w:sz w:val="22"/>
                <w:szCs w:val="22"/>
                <w:u w:val="single"/>
              </w:rPr>
              <w:t>Objective 3:</w:t>
            </w:r>
            <w:r w:rsidRPr="00FC7946">
              <w:rPr>
                <w:rFonts w:asciiTheme="minorBidi" w:hAnsiTheme="minorBidi"/>
                <w:sz w:val="22"/>
                <w:szCs w:val="22"/>
              </w:rPr>
              <w:t xml:space="preserve"> To explore and demarcate the distinctions between general psychopathy and corporate psychopathy, focusing on behavioural aspects, and influence on organisational settings.</w:t>
            </w:r>
          </w:p>
          <w:p w14:paraId="6FB63F1F" w14:textId="77777777" w:rsidR="00E6731B" w:rsidRPr="00FC7946" w:rsidRDefault="00E6731B" w:rsidP="001D4222">
            <w:pPr>
              <w:spacing w:line="360" w:lineRule="auto"/>
              <w:jc w:val="both"/>
              <w:rPr>
                <w:rFonts w:asciiTheme="minorBidi" w:hAnsiTheme="minorBidi"/>
                <w:sz w:val="22"/>
                <w:szCs w:val="22"/>
                <w:u w:val="single"/>
              </w:rPr>
            </w:pPr>
            <w:r w:rsidRPr="00FC7946">
              <w:rPr>
                <w:rFonts w:asciiTheme="minorBidi" w:hAnsiTheme="minorBidi"/>
                <w:b/>
                <w:bCs/>
                <w:sz w:val="22"/>
                <w:szCs w:val="22"/>
                <w:u w:val="single"/>
              </w:rPr>
              <w:t>Question 3:</w:t>
            </w:r>
            <w:r w:rsidRPr="00FC7946">
              <w:rPr>
                <w:rFonts w:asciiTheme="minorBidi" w:hAnsiTheme="minorBidi"/>
                <w:sz w:val="22"/>
                <w:szCs w:val="22"/>
              </w:rPr>
              <w:t xml:space="preserve"> What is the difference between a Psychopath and a Corporate Psychopath?</w:t>
            </w:r>
          </w:p>
        </w:tc>
      </w:tr>
      <w:tr w:rsidR="00E6731B" w14:paraId="498287BC" w14:textId="77777777" w:rsidTr="001D4222">
        <w:tc>
          <w:tcPr>
            <w:tcW w:w="603" w:type="dxa"/>
          </w:tcPr>
          <w:p w14:paraId="4FF10DCF" w14:textId="77777777" w:rsidR="00E6731B" w:rsidRPr="00FC7946" w:rsidRDefault="00E6731B" w:rsidP="001D4222">
            <w:pPr>
              <w:pStyle w:val="ListParagraph"/>
              <w:spacing w:line="360" w:lineRule="auto"/>
              <w:ind w:left="0"/>
              <w:jc w:val="both"/>
              <w:rPr>
                <w:rFonts w:asciiTheme="minorBidi" w:hAnsiTheme="minorBidi"/>
                <w:i/>
                <w:iCs/>
                <w:sz w:val="22"/>
                <w:szCs w:val="22"/>
              </w:rPr>
            </w:pPr>
            <w:r w:rsidRPr="00FC7946">
              <w:rPr>
                <w:rFonts w:asciiTheme="minorBidi" w:hAnsiTheme="minorBidi"/>
                <w:i/>
                <w:iCs/>
                <w:sz w:val="22"/>
                <w:szCs w:val="22"/>
              </w:rPr>
              <w:lastRenderedPageBreak/>
              <w:t>4</w:t>
            </w:r>
          </w:p>
        </w:tc>
        <w:tc>
          <w:tcPr>
            <w:tcW w:w="8413" w:type="dxa"/>
          </w:tcPr>
          <w:p w14:paraId="6DABB170" w14:textId="77777777" w:rsidR="00E6731B" w:rsidRPr="00FC7946" w:rsidRDefault="00E6731B" w:rsidP="001D4222">
            <w:pPr>
              <w:spacing w:line="360" w:lineRule="auto"/>
              <w:jc w:val="both"/>
              <w:rPr>
                <w:rFonts w:asciiTheme="minorBidi" w:eastAsia="Times New Roman" w:hAnsiTheme="minorBidi"/>
                <w:kern w:val="0"/>
                <w:sz w:val="22"/>
                <w:szCs w:val="22"/>
                <w14:ligatures w14:val="none"/>
              </w:rPr>
            </w:pPr>
            <w:r w:rsidRPr="00FC7946">
              <w:rPr>
                <w:rFonts w:asciiTheme="minorBidi" w:hAnsiTheme="minorBidi"/>
                <w:b/>
                <w:bCs/>
                <w:sz w:val="22"/>
                <w:szCs w:val="22"/>
                <w:u w:val="single"/>
              </w:rPr>
              <w:t>Objective 4:</w:t>
            </w:r>
            <w:r w:rsidRPr="00FC7946">
              <w:rPr>
                <w:rFonts w:asciiTheme="minorBidi" w:eastAsia="Times New Roman" w:hAnsiTheme="minorBidi"/>
                <w:kern w:val="0"/>
                <w:sz w:val="22"/>
                <w:szCs w:val="22"/>
                <w14:ligatures w14:val="none"/>
              </w:rPr>
              <w:t xml:space="preserve"> To appraise the effectiveness of Blockchain Technology in enhancing the transparency of financial transactions in environments controlled by a C</w:t>
            </w:r>
            <w:r>
              <w:rPr>
                <w:rFonts w:asciiTheme="minorBidi" w:eastAsia="Times New Roman" w:hAnsiTheme="minorBidi"/>
                <w:kern w:val="0"/>
                <w:sz w:val="22"/>
                <w:szCs w:val="22"/>
                <w14:ligatures w14:val="none"/>
              </w:rPr>
              <w:t>orporate Psychopath Accountant (PA)</w:t>
            </w:r>
            <w:r w:rsidRPr="00FC7946">
              <w:rPr>
                <w:rFonts w:asciiTheme="minorBidi" w:eastAsia="Times New Roman" w:hAnsiTheme="minorBidi"/>
                <w:kern w:val="0"/>
                <w:sz w:val="22"/>
                <w:szCs w:val="22"/>
                <w14:ligatures w14:val="none"/>
              </w:rPr>
              <w:t>.</w:t>
            </w:r>
          </w:p>
          <w:p w14:paraId="6EC2FD76" w14:textId="77777777" w:rsidR="00E6731B" w:rsidRPr="00FC7946" w:rsidRDefault="00E6731B" w:rsidP="001D4222">
            <w:pPr>
              <w:spacing w:line="360" w:lineRule="auto"/>
              <w:jc w:val="both"/>
              <w:rPr>
                <w:rFonts w:asciiTheme="minorBidi" w:hAnsiTheme="minorBidi"/>
                <w:sz w:val="22"/>
                <w:szCs w:val="22"/>
                <w:u w:val="single"/>
              </w:rPr>
            </w:pPr>
            <w:r w:rsidRPr="00FC7946">
              <w:rPr>
                <w:rFonts w:asciiTheme="minorBidi" w:hAnsiTheme="minorBidi"/>
                <w:b/>
                <w:bCs/>
                <w:sz w:val="22"/>
                <w:szCs w:val="22"/>
                <w:u w:val="single"/>
              </w:rPr>
              <w:t>Question 4:</w:t>
            </w:r>
            <w:r w:rsidRPr="00FC7946">
              <w:rPr>
                <w:rFonts w:asciiTheme="minorBidi" w:eastAsia="Times New Roman" w:hAnsiTheme="minorBidi"/>
                <w:kern w:val="0"/>
                <w:sz w:val="22"/>
                <w:szCs w:val="22"/>
                <w14:ligatures w14:val="none"/>
              </w:rPr>
              <w:t xml:space="preserve"> What influence would Blockchain Technology have on financial transactions' transparency in organisations run by psychopathic individuals?</w:t>
            </w:r>
          </w:p>
        </w:tc>
      </w:tr>
      <w:tr w:rsidR="00E6731B" w14:paraId="48B69D28" w14:textId="77777777" w:rsidTr="001D4222">
        <w:tc>
          <w:tcPr>
            <w:tcW w:w="603" w:type="dxa"/>
          </w:tcPr>
          <w:p w14:paraId="2F9E187B" w14:textId="77777777" w:rsidR="00E6731B" w:rsidRPr="00FC7946" w:rsidRDefault="00E6731B" w:rsidP="001D4222">
            <w:pPr>
              <w:pStyle w:val="ListParagraph"/>
              <w:spacing w:line="360" w:lineRule="auto"/>
              <w:ind w:left="0"/>
              <w:jc w:val="both"/>
              <w:rPr>
                <w:rFonts w:asciiTheme="minorBidi" w:hAnsiTheme="minorBidi"/>
                <w:i/>
                <w:iCs/>
                <w:sz w:val="22"/>
                <w:szCs w:val="22"/>
              </w:rPr>
            </w:pPr>
            <w:r w:rsidRPr="00FC7946">
              <w:rPr>
                <w:rFonts w:asciiTheme="minorBidi" w:hAnsiTheme="minorBidi"/>
                <w:i/>
                <w:iCs/>
                <w:sz w:val="22"/>
                <w:szCs w:val="22"/>
              </w:rPr>
              <w:t>5</w:t>
            </w:r>
          </w:p>
        </w:tc>
        <w:tc>
          <w:tcPr>
            <w:tcW w:w="8413" w:type="dxa"/>
          </w:tcPr>
          <w:p w14:paraId="5F1DF0B6" w14:textId="77777777" w:rsidR="00E6731B" w:rsidRPr="00FC7946" w:rsidRDefault="00E6731B" w:rsidP="001D4222">
            <w:pPr>
              <w:spacing w:line="360" w:lineRule="auto"/>
              <w:jc w:val="both"/>
              <w:rPr>
                <w:rFonts w:asciiTheme="minorBidi" w:eastAsia="Times New Roman" w:hAnsiTheme="minorBidi"/>
                <w:kern w:val="0"/>
                <w:sz w:val="22"/>
                <w:szCs w:val="22"/>
                <w14:ligatures w14:val="none"/>
              </w:rPr>
            </w:pPr>
            <w:r w:rsidRPr="00FC7946">
              <w:rPr>
                <w:rFonts w:asciiTheme="minorBidi" w:hAnsiTheme="minorBidi"/>
                <w:b/>
                <w:bCs/>
                <w:sz w:val="22"/>
                <w:szCs w:val="22"/>
                <w:u w:val="single"/>
              </w:rPr>
              <w:t>Objective 5:</w:t>
            </w:r>
            <w:r w:rsidRPr="00FC7946">
              <w:rPr>
                <w:rFonts w:asciiTheme="minorBidi" w:eastAsia="Times New Roman" w:hAnsiTheme="minorBidi"/>
                <w:kern w:val="0"/>
                <w:sz w:val="22"/>
                <w:szCs w:val="22"/>
                <w14:ligatures w14:val="none"/>
              </w:rPr>
              <w:t xml:space="preserve"> To investigate the mechanisms by which Blockchain Technology can monitor and constrain Accounting Fraud in organisations led by a CPA. </w:t>
            </w:r>
          </w:p>
          <w:p w14:paraId="1AA861A4" w14:textId="77777777" w:rsidR="00E6731B" w:rsidRPr="00FC7946" w:rsidRDefault="00E6731B" w:rsidP="001D4222">
            <w:pPr>
              <w:spacing w:line="360" w:lineRule="auto"/>
              <w:jc w:val="both"/>
              <w:rPr>
                <w:rFonts w:asciiTheme="minorBidi" w:hAnsiTheme="minorBidi"/>
                <w:sz w:val="22"/>
                <w:szCs w:val="22"/>
                <w:u w:val="single"/>
              </w:rPr>
            </w:pPr>
            <w:r w:rsidRPr="00FC7946">
              <w:rPr>
                <w:rFonts w:asciiTheme="minorBidi" w:hAnsiTheme="minorBidi"/>
                <w:b/>
                <w:bCs/>
                <w:sz w:val="22"/>
                <w:szCs w:val="22"/>
                <w:u w:val="single"/>
              </w:rPr>
              <w:t>Question 5:</w:t>
            </w:r>
            <w:r w:rsidRPr="00FC7946">
              <w:rPr>
                <w:rFonts w:asciiTheme="minorBidi" w:eastAsia="Times New Roman" w:hAnsiTheme="minorBidi"/>
                <w:kern w:val="0"/>
                <w:sz w:val="22"/>
                <w:szCs w:val="22"/>
                <w14:ligatures w14:val="none"/>
              </w:rPr>
              <w:t xml:space="preserve"> W</w:t>
            </w:r>
            <w:r w:rsidRPr="00FC7946">
              <w:rPr>
                <w:rFonts w:asciiTheme="minorBidi" w:hAnsiTheme="minorBidi"/>
                <w:sz w:val="22"/>
                <w:szCs w:val="22"/>
              </w:rPr>
              <w:t>hat role would Blockchain Technology play in monitoring and preventing Accounting Fraud managed by psychopathic leaders?</w:t>
            </w:r>
          </w:p>
        </w:tc>
      </w:tr>
      <w:tr w:rsidR="00E6731B" w14:paraId="71B194BD" w14:textId="77777777" w:rsidTr="001D4222">
        <w:tc>
          <w:tcPr>
            <w:tcW w:w="603" w:type="dxa"/>
          </w:tcPr>
          <w:p w14:paraId="20B7D370" w14:textId="77777777" w:rsidR="00E6731B" w:rsidRPr="00FC7946" w:rsidRDefault="00E6731B" w:rsidP="001D4222">
            <w:pPr>
              <w:pStyle w:val="ListParagraph"/>
              <w:spacing w:line="360" w:lineRule="auto"/>
              <w:ind w:left="0"/>
              <w:jc w:val="both"/>
              <w:rPr>
                <w:rFonts w:asciiTheme="minorBidi" w:hAnsiTheme="minorBidi"/>
                <w:i/>
                <w:iCs/>
                <w:sz w:val="22"/>
                <w:szCs w:val="22"/>
              </w:rPr>
            </w:pPr>
            <w:r w:rsidRPr="00FC7946">
              <w:rPr>
                <w:rFonts w:asciiTheme="minorBidi" w:hAnsiTheme="minorBidi"/>
                <w:i/>
                <w:iCs/>
                <w:sz w:val="22"/>
                <w:szCs w:val="22"/>
              </w:rPr>
              <w:t>6</w:t>
            </w:r>
          </w:p>
        </w:tc>
        <w:tc>
          <w:tcPr>
            <w:tcW w:w="8413" w:type="dxa"/>
          </w:tcPr>
          <w:p w14:paraId="4737233D" w14:textId="77777777" w:rsidR="00E6731B" w:rsidRPr="00FC7946" w:rsidRDefault="00E6731B" w:rsidP="001D4222">
            <w:pPr>
              <w:spacing w:line="360" w:lineRule="auto"/>
              <w:jc w:val="both"/>
              <w:rPr>
                <w:rFonts w:asciiTheme="minorBidi" w:eastAsia="Times New Roman" w:hAnsiTheme="minorBidi"/>
                <w:kern w:val="0"/>
                <w:sz w:val="22"/>
                <w:szCs w:val="22"/>
                <w14:ligatures w14:val="none"/>
              </w:rPr>
            </w:pPr>
            <w:r w:rsidRPr="00FC7946">
              <w:rPr>
                <w:rFonts w:asciiTheme="minorBidi" w:hAnsiTheme="minorBidi"/>
                <w:b/>
                <w:bCs/>
                <w:sz w:val="22"/>
                <w:szCs w:val="22"/>
                <w:u w:val="single"/>
              </w:rPr>
              <w:t>Objective 6</w:t>
            </w:r>
            <w:r w:rsidRPr="00FC7946">
              <w:rPr>
                <w:rFonts w:asciiTheme="minorBidi" w:hAnsiTheme="minorBidi"/>
                <w:sz w:val="22"/>
                <w:szCs w:val="22"/>
                <w:u w:val="single"/>
              </w:rPr>
              <w:t>:</w:t>
            </w:r>
            <w:r w:rsidRPr="00FC7946">
              <w:rPr>
                <w:rFonts w:asciiTheme="minorBidi" w:eastAsia="Times New Roman" w:hAnsiTheme="minorBidi"/>
                <w:kern w:val="0"/>
                <w:sz w:val="22"/>
                <w:szCs w:val="22"/>
                <w14:ligatures w14:val="none"/>
              </w:rPr>
              <w:t xml:space="preserve"> </w:t>
            </w:r>
            <w:r w:rsidRPr="00FC7946">
              <w:rPr>
                <w:rFonts w:asciiTheme="minorBidi" w:hAnsiTheme="minorBidi"/>
                <w:sz w:val="22"/>
                <w:szCs w:val="22"/>
              </w:rPr>
              <w:t>To propose a structured theoretical model, for consideration by the global accounting profession, with a view to implementation.</w:t>
            </w:r>
          </w:p>
          <w:p w14:paraId="294FB3CD" w14:textId="77777777" w:rsidR="00E6731B" w:rsidRPr="00FC7946" w:rsidRDefault="00E6731B" w:rsidP="001D4222">
            <w:pPr>
              <w:spacing w:line="360" w:lineRule="auto"/>
              <w:jc w:val="both"/>
              <w:rPr>
                <w:rFonts w:asciiTheme="minorBidi" w:hAnsiTheme="minorBidi"/>
                <w:sz w:val="22"/>
                <w:szCs w:val="22"/>
                <w:u w:val="single"/>
              </w:rPr>
            </w:pPr>
            <w:r w:rsidRPr="00FC7946">
              <w:rPr>
                <w:rFonts w:asciiTheme="minorBidi" w:hAnsiTheme="minorBidi"/>
                <w:b/>
                <w:bCs/>
                <w:sz w:val="22"/>
                <w:szCs w:val="22"/>
                <w:u w:val="single"/>
              </w:rPr>
              <w:t>Question 6:</w:t>
            </w:r>
            <w:r w:rsidRPr="00FC7946">
              <w:rPr>
                <w:rFonts w:asciiTheme="minorBidi" w:eastAsia="Times New Roman" w:hAnsiTheme="minorBidi"/>
                <w:kern w:val="0"/>
                <w:sz w:val="22"/>
                <w:szCs w:val="22"/>
                <w14:ligatures w14:val="none"/>
              </w:rPr>
              <w:t xml:space="preserve"> </w:t>
            </w:r>
            <w:r w:rsidRPr="00FC7946">
              <w:rPr>
                <w:rFonts w:asciiTheme="minorBidi" w:hAnsiTheme="minorBidi"/>
                <w:sz w:val="22"/>
                <w:szCs w:val="22"/>
              </w:rPr>
              <w:t>What are the alternatives to Blockchain Technology which may influence the behaviour of the CPA and lessen Accounting Fraud?</w:t>
            </w:r>
          </w:p>
        </w:tc>
      </w:tr>
      <w:bookmarkEnd w:id="366"/>
    </w:tbl>
    <w:p w14:paraId="645EC16E" w14:textId="77777777" w:rsidR="00E6731B" w:rsidRDefault="00E6731B" w:rsidP="00E6731B">
      <w:pPr>
        <w:pStyle w:val="ListParagraph"/>
        <w:spacing w:line="480" w:lineRule="auto"/>
        <w:ind w:left="0"/>
        <w:jc w:val="both"/>
        <w:rPr>
          <w:rFonts w:asciiTheme="minorBidi" w:hAnsiTheme="minorBidi"/>
          <w:b/>
          <w:bCs/>
        </w:rPr>
      </w:pPr>
    </w:p>
    <w:p w14:paraId="36ED273A" w14:textId="77777777" w:rsidR="003E44A1" w:rsidRDefault="003E44A1" w:rsidP="00E6731B">
      <w:pPr>
        <w:pStyle w:val="ListParagraph"/>
        <w:spacing w:line="480" w:lineRule="auto"/>
        <w:ind w:left="0"/>
        <w:jc w:val="both"/>
        <w:rPr>
          <w:rFonts w:asciiTheme="minorBidi" w:hAnsiTheme="minorBidi"/>
          <w:b/>
          <w:bCs/>
        </w:rPr>
      </w:pPr>
    </w:p>
    <w:p w14:paraId="3BC5649F" w14:textId="77777777" w:rsidR="003E44A1" w:rsidRDefault="003E44A1" w:rsidP="00E6731B">
      <w:pPr>
        <w:pStyle w:val="ListParagraph"/>
        <w:spacing w:line="480" w:lineRule="auto"/>
        <w:ind w:left="0"/>
        <w:jc w:val="both"/>
        <w:rPr>
          <w:rFonts w:asciiTheme="minorBidi" w:hAnsiTheme="minorBidi"/>
          <w:b/>
          <w:bCs/>
        </w:rPr>
      </w:pPr>
    </w:p>
    <w:p w14:paraId="6DD40DCF" w14:textId="77777777" w:rsidR="003E44A1" w:rsidRDefault="003E44A1" w:rsidP="00E6731B">
      <w:pPr>
        <w:pStyle w:val="ListParagraph"/>
        <w:spacing w:line="480" w:lineRule="auto"/>
        <w:ind w:left="0"/>
        <w:jc w:val="both"/>
        <w:rPr>
          <w:rFonts w:asciiTheme="minorBidi" w:hAnsiTheme="minorBidi"/>
          <w:b/>
          <w:bCs/>
        </w:rPr>
      </w:pPr>
    </w:p>
    <w:p w14:paraId="174B6550" w14:textId="77777777" w:rsidR="003E44A1" w:rsidRDefault="003E44A1" w:rsidP="00E6731B">
      <w:pPr>
        <w:pStyle w:val="ListParagraph"/>
        <w:spacing w:line="480" w:lineRule="auto"/>
        <w:ind w:left="0"/>
        <w:jc w:val="both"/>
        <w:rPr>
          <w:rFonts w:asciiTheme="minorBidi" w:hAnsiTheme="minorBidi"/>
          <w:b/>
          <w:bCs/>
        </w:rPr>
      </w:pPr>
    </w:p>
    <w:p w14:paraId="2F278814" w14:textId="77777777" w:rsidR="003E44A1" w:rsidRDefault="003E44A1" w:rsidP="00E6731B">
      <w:pPr>
        <w:pStyle w:val="ListParagraph"/>
        <w:spacing w:line="480" w:lineRule="auto"/>
        <w:ind w:left="0"/>
        <w:jc w:val="both"/>
        <w:rPr>
          <w:rFonts w:asciiTheme="minorBidi" w:hAnsiTheme="minorBidi"/>
          <w:b/>
          <w:bCs/>
        </w:rPr>
      </w:pPr>
    </w:p>
    <w:p w14:paraId="0447F84D" w14:textId="77777777" w:rsidR="003E44A1" w:rsidRDefault="003E44A1" w:rsidP="00E6731B">
      <w:pPr>
        <w:pStyle w:val="ListParagraph"/>
        <w:spacing w:line="480" w:lineRule="auto"/>
        <w:ind w:left="0"/>
        <w:jc w:val="both"/>
        <w:rPr>
          <w:rFonts w:asciiTheme="minorBidi" w:hAnsiTheme="minorBidi"/>
          <w:b/>
          <w:bCs/>
        </w:rPr>
      </w:pPr>
    </w:p>
    <w:p w14:paraId="150929F8" w14:textId="77777777" w:rsidR="003E44A1" w:rsidRDefault="003E44A1" w:rsidP="00E6731B">
      <w:pPr>
        <w:pStyle w:val="ListParagraph"/>
        <w:spacing w:line="480" w:lineRule="auto"/>
        <w:ind w:left="0"/>
        <w:jc w:val="both"/>
        <w:rPr>
          <w:rFonts w:asciiTheme="minorBidi" w:hAnsiTheme="minorBidi"/>
          <w:b/>
          <w:bCs/>
        </w:rPr>
      </w:pPr>
    </w:p>
    <w:p w14:paraId="41BA4F56" w14:textId="77777777" w:rsidR="003E44A1" w:rsidRDefault="003E44A1" w:rsidP="00E6731B">
      <w:pPr>
        <w:pStyle w:val="ListParagraph"/>
        <w:spacing w:line="480" w:lineRule="auto"/>
        <w:ind w:left="0"/>
        <w:jc w:val="both"/>
        <w:rPr>
          <w:rFonts w:asciiTheme="minorBidi" w:hAnsiTheme="minorBidi"/>
          <w:b/>
          <w:bCs/>
        </w:rPr>
      </w:pPr>
    </w:p>
    <w:p w14:paraId="03F7B0C6" w14:textId="77777777" w:rsidR="003E44A1" w:rsidRDefault="003E44A1" w:rsidP="00E6731B">
      <w:pPr>
        <w:pStyle w:val="ListParagraph"/>
        <w:spacing w:line="480" w:lineRule="auto"/>
        <w:ind w:left="0"/>
        <w:jc w:val="both"/>
        <w:rPr>
          <w:rFonts w:asciiTheme="minorBidi" w:hAnsiTheme="minorBidi"/>
          <w:b/>
          <w:bCs/>
        </w:rPr>
      </w:pPr>
    </w:p>
    <w:p w14:paraId="1C007FF9" w14:textId="77777777" w:rsidR="003E44A1" w:rsidRDefault="003E44A1" w:rsidP="00E6731B">
      <w:pPr>
        <w:pStyle w:val="ListParagraph"/>
        <w:spacing w:line="480" w:lineRule="auto"/>
        <w:ind w:left="0"/>
        <w:jc w:val="both"/>
        <w:rPr>
          <w:rFonts w:asciiTheme="minorBidi" w:hAnsiTheme="minorBidi"/>
          <w:b/>
          <w:bCs/>
        </w:rPr>
      </w:pPr>
    </w:p>
    <w:p w14:paraId="1F822167" w14:textId="77777777" w:rsidR="003E44A1" w:rsidRDefault="003E44A1" w:rsidP="00E6731B">
      <w:pPr>
        <w:pStyle w:val="ListParagraph"/>
        <w:spacing w:line="480" w:lineRule="auto"/>
        <w:ind w:left="0"/>
        <w:jc w:val="both"/>
        <w:rPr>
          <w:rFonts w:asciiTheme="minorBidi" w:hAnsiTheme="minorBidi"/>
          <w:b/>
          <w:bCs/>
        </w:rPr>
      </w:pPr>
    </w:p>
    <w:p w14:paraId="4AD64B9D" w14:textId="77777777" w:rsidR="003E44A1" w:rsidRDefault="003E44A1" w:rsidP="00E6731B">
      <w:pPr>
        <w:pStyle w:val="ListParagraph"/>
        <w:spacing w:line="480" w:lineRule="auto"/>
        <w:ind w:left="0"/>
        <w:jc w:val="both"/>
        <w:rPr>
          <w:rFonts w:asciiTheme="minorBidi" w:hAnsiTheme="minorBidi"/>
          <w:b/>
          <w:bCs/>
        </w:rPr>
      </w:pPr>
    </w:p>
    <w:p w14:paraId="36EDECD8" w14:textId="77777777" w:rsidR="003E44A1" w:rsidRDefault="003E44A1" w:rsidP="00E6731B">
      <w:pPr>
        <w:pStyle w:val="ListParagraph"/>
        <w:spacing w:line="480" w:lineRule="auto"/>
        <w:ind w:left="0"/>
        <w:jc w:val="both"/>
        <w:rPr>
          <w:rFonts w:asciiTheme="minorBidi" w:hAnsiTheme="minorBidi"/>
          <w:b/>
          <w:bCs/>
        </w:rPr>
      </w:pPr>
    </w:p>
    <w:p w14:paraId="02D41112" w14:textId="77777777" w:rsidR="003E44A1" w:rsidRDefault="003E44A1" w:rsidP="00E6731B">
      <w:pPr>
        <w:pStyle w:val="ListParagraph"/>
        <w:spacing w:line="480" w:lineRule="auto"/>
        <w:ind w:left="0"/>
        <w:jc w:val="both"/>
        <w:rPr>
          <w:rFonts w:asciiTheme="minorBidi" w:hAnsiTheme="minorBidi"/>
          <w:b/>
          <w:bCs/>
        </w:rPr>
      </w:pPr>
    </w:p>
    <w:p w14:paraId="13704F5C" w14:textId="77777777" w:rsidR="003E44A1" w:rsidRDefault="003E44A1" w:rsidP="00E6731B">
      <w:pPr>
        <w:pStyle w:val="ListParagraph"/>
        <w:spacing w:line="480" w:lineRule="auto"/>
        <w:ind w:left="0"/>
        <w:jc w:val="both"/>
        <w:rPr>
          <w:rFonts w:asciiTheme="minorBidi" w:hAnsiTheme="minorBidi"/>
          <w:b/>
          <w:bCs/>
        </w:rPr>
      </w:pPr>
    </w:p>
    <w:bookmarkStart w:id="367" w:name="J"/>
    <w:bookmarkStart w:id="368" w:name="D11"/>
    <w:p w14:paraId="222F7DAB" w14:textId="57521BFF" w:rsidR="00E6731B" w:rsidRPr="004519F1" w:rsidRDefault="007E59BC" w:rsidP="004519F1">
      <w:pPr>
        <w:pBdr>
          <w:top w:val="single" w:sz="4" w:space="1" w:color="auto"/>
          <w:left w:val="single" w:sz="4" w:space="4" w:color="auto"/>
          <w:bottom w:val="single" w:sz="4" w:space="1" w:color="auto"/>
          <w:right w:val="single" w:sz="4" w:space="4" w:color="auto"/>
        </w:pBdr>
        <w:rPr>
          <w:rFonts w:asciiTheme="minorBidi" w:hAnsiTheme="minorBidi"/>
          <w:b/>
          <w:bCs/>
        </w:rPr>
      </w:pPr>
      <w:r>
        <w:rPr>
          <w:rFonts w:asciiTheme="minorBidi" w:hAnsiTheme="minorBidi"/>
          <w:b/>
          <w:bCs/>
        </w:rPr>
        <w:lastRenderedPageBreak/>
        <w:fldChar w:fldCharType="begin"/>
      </w:r>
      <w:r>
        <w:rPr>
          <w:rFonts w:asciiTheme="minorBidi" w:hAnsiTheme="minorBidi"/>
          <w:b/>
          <w:bCs/>
        </w:rPr>
        <w:instrText>HYPERLINK  \l "C11"</w:instrText>
      </w:r>
      <w:r>
        <w:rPr>
          <w:rFonts w:asciiTheme="minorBidi" w:hAnsiTheme="minorBidi"/>
          <w:b/>
          <w:bCs/>
        </w:rPr>
      </w:r>
      <w:r>
        <w:rPr>
          <w:rFonts w:asciiTheme="minorBidi" w:hAnsiTheme="minorBidi"/>
          <w:b/>
          <w:bCs/>
        </w:rPr>
        <w:fldChar w:fldCharType="separate"/>
      </w:r>
      <w:r w:rsidR="00E6731B" w:rsidRPr="007E59BC">
        <w:rPr>
          <w:rStyle w:val="Hyperlink"/>
          <w:rFonts w:asciiTheme="minorBidi" w:hAnsiTheme="minorBidi"/>
          <w:b/>
          <w:bCs/>
        </w:rPr>
        <w:t>1.6.1 Thesis Chapter Organisation</w:t>
      </w:r>
      <w:r>
        <w:rPr>
          <w:rFonts w:asciiTheme="minorBidi" w:hAnsiTheme="minorBidi"/>
          <w:b/>
          <w:bCs/>
        </w:rPr>
        <w:fldChar w:fldCharType="end"/>
      </w:r>
    </w:p>
    <w:bookmarkEnd w:id="367"/>
    <w:bookmarkEnd w:id="368"/>
    <w:p w14:paraId="12F4C165" w14:textId="77777777" w:rsidR="00E6731B" w:rsidRDefault="00E6731B" w:rsidP="00E6731B">
      <w:pPr>
        <w:pStyle w:val="ListParagraph"/>
        <w:spacing w:line="480" w:lineRule="auto"/>
        <w:ind w:left="0"/>
        <w:jc w:val="both"/>
        <w:rPr>
          <w:rFonts w:asciiTheme="minorBidi" w:hAnsiTheme="minorBidi"/>
          <w:b/>
          <w:bCs/>
        </w:rPr>
      </w:pPr>
      <w:r>
        <w:rPr>
          <w:rFonts w:asciiTheme="minorBidi" w:hAnsiTheme="minorBidi"/>
          <w:b/>
          <w:bCs/>
        </w:rPr>
        <w:t>Figure 1.3 Thesis Chapter Organisation</w:t>
      </w:r>
    </w:p>
    <w:tbl>
      <w:tblPr>
        <w:tblStyle w:val="TableGrid"/>
        <w:tblW w:w="0" w:type="auto"/>
        <w:tblLook w:val="04A0" w:firstRow="1" w:lastRow="0" w:firstColumn="1" w:lastColumn="0" w:noHBand="0" w:noVBand="1"/>
      </w:tblPr>
      <w:tblGrid>
        <w:gridCol w:w="4896"/>
        <w:gridCol w:w="4120"/>
      </w:tblGrid>
      <w:tr w:rsidR="00E6731B" w14:paraId="2BFB0F02" w14:textId="77777777" w:rsidTr="001D4222">
        <w:tc>
          <w:tcPr>
            <w:tcW w:w="9016" w:type="dxa"/>
            <w:gridSpan w:val="2"/>
            <w:shd w:val="clear" w:color="auto" w:fill="D9D9D9" w:themeFill="background1" w:themeFillShade="D9"/>
          </w:tcPr>
          <w:p w14:paraId="52AC02FA" w14:textId="77777777" w:rsidR="00E6731B" w:rsidRDefault="00E6731B" w:rsidP="001D4222">
            <w:pPr>
              <w:pStyle w:val="ListParagraph"/>
              <w:spacing w:line="480" w:lineRule="auto"/>
              <w:ind w:left="0"/>
              <w:jc w:val="center"/>
              <w:rPr>
                <w:rFonts w:asciiTheme="minorBidi" w:hAnsiTheme="minorBidi"/>
                <w:b/>
                <w:bCs/>
              </w:rPr>
            </w:pPr>
            <w:r>
              <w:rPr>
                <w:rFonts w:asciiTheme="minorBidi" w:hAnsiTheme="minorBidi"/>
                <w:b/>
                <w:bCs/>
              </w:rPr>
              <w:t>Chapter One: Introduction and Background of Research</w:t>
            </w:r>
          </w:p>
        </w:tc>
      </w:tr>
      <w:tr w:rsidR="00E6731B" w14:paraId="71D9AE39" w14:textId="77777777" w:rsidTr="001D4222">
        <w:tc>
          <w:tcPr>
            <w:tcW w:w="9016" w:type="dxa"/>
            <w:gridSpan w:val="2"/>
          </w:tcPr>
          <w:p w14:paraId="597B7F90" w14:textId="77777777" w:rsidR="00E6731B" w:rsidRDefault="00E6731B" w:rsidP="001D4222">
            <w:pPr>
              <w:pStyle w:val="ListParagraph"/>
              <w:spacing w:line="480" w:lineRule="auto"/>
              <w:ind w:left="0"/>
              <w:jc w:val="center"/>
              <w:rPr>
                <w:rFonts w:asciiTheme="minorBidi" w:hAnsiTheme="minorBidi"/>
                <w:b/>
                <w:bCs/>
              </w:rPr>
            </w:pPr>
            <w:r>
              <w:rPr>
                <w:rFonts w:asciiTheme="minorBidi" w:hAnsiTheme="minorBidi"/>
                <w:b/>
                <w:bCs/>
                <w:noProof/>
              </w:rPr>
              <mc:AlternateContent>
                <mc:Choice Requires="wps">
                  <w:drawing>
                    <wp:anchor distT="0" distB="0" distL="114300" distR="114300" simplePos="0" relativeHeight="251659264" behindDoc="0" locked="0" layoutInCell="1" allowOverlap="1" wp14:anchorId="0027BFB9" wp14:editId="0C2ADCA0">
                      <wp:simplePos x="0" y="0"/>
                      <wp:positionH relativeFrom="column">
                        <wp:posOffset>2425065</wp:posOffset>
                      </wp:positionH>
                      <wp:positionV relativeFrom="paragraph">
                        <wp:posOffset>-12700</wp:posOffset>
                      </wp:positionV>
                      <wp:extent cx="768350" cy="342900"/>
                      <wp:effectExtent l="38100" t="0" r="0" b="38100"/>
                      <wp:wrapNone/>
                      <wp:docPr id="1181250526" name="Arrow: Down 1"/>
                      <wp:cNvGraphicFramePr/>
                      <a:graphic xmlns:a="http://schemas.openxmlformats.org/drawingml/2006/main">
                        <a:graphicData uri="http://schemas.microsoft.com/office/word/2010/wordprocessingShape">
                          <wps:wsp>
                            <wps:cNvSpPr/>
                            <wps:spPr>
                              <a:xfrm>
                                <a:off x="0" y="0"/>
                                <a:ext cx="768350" cy="34290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43ED6F1"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1" o:spid="_x0000_s1026" type="#_x0000_t67" style="position:absolute;margin-left:190.95pt;margin-top:-1pt;width:60.5pt;height: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" adj="10800" fillcolor="#156082" strokecolor="#042433" strokeweight="1pt"/>
                  </w:pict>
                </mc:Fallback>
              </mc:AlternateContent>
            </w:r>
          </w:p>
        </w:tc>
      </w:tr>
      <w:tr w:rsidR="00E6731B" w14:paraId="0BA2CD3A" w14:textId="77777777" w:rsidTr="001D4222">
        <w:tc>
          <w:tcPr>
            <w:tcW w:w="9016" w:type="dxa"/>
            <w:gridSpan w:val="2"/>
            <w:shd w:val="clear" w:color="auto" w:fill="D9D9D9" w:themeFill="background1" w:themeFillShade="D9"/>
          </w:tcPr>
          <w:p w14:paraId="46FDA4A9" w14:textId="77777777" w:rsidR="00E6731B" w:rsidRDefault="00E6731B" w:rsidP="001D4222">
            <w:pPr>
              <w:pStyle w:val="ListParagraph"/>
              <w:spacing w:line="480" w:lineRule="auto"/>
              <w:ind w:left="0"/>
              <w:jc w:val="center"/>
              <w:rPr>
                <w:rFonts w:asciiTheme="minorBidi" w:hAnsiTheme="minorBidi"/>
                <w:b/>
                <w:bCs/>
              </w:rPr>
            </w:pPr>
            <w:r>
              <w:rPr>
                <w:rFonts w:asciiTheme="minorBidi" w:hAnsiTheme="minorBidi"/>
                <w:b/>
                <w:bCs/>
              </w:rPr>
              <w:t>Chapter Two: Literature Review</w:t>
            </w:r>
          </w:p>
        </w:tc>
      </w:tr>
      <w:tr w:rsidR="00E6731B" w14:paraId="5B78024A" w14:textId="77777777" w:rsidTr="001D4222">
        <w:tc>
          <w:tcPr>
            <w:tcW w:w="4896" w:type="dxa"/>
            <w:shd w:val="clear" w:color="auto" w:fill="D9D9D9" w:themeFill="background1" w:themeFillShade="D9"/>
          </w:tcPr>
          <w:p w14:paraId="7FA7D7C6" w14:textId="77777777" w:rsidR="00E6731B" w:rsidRDefault="00E6731B" w:rsidP="001D4222">
            <w:pPr>
              <w:pStyle w:val="ListParagraph"/>
              <w:spacing w:line="480" w:lineRule="auto"/>
              <w:ind w:left="0"/>
              <w:jc w:val="center"/>
              <w:rPr>
                <w:rFonts w:asciiTheme="minorBidi" w:hAnsiTheme="minorBidi"/>
                <w:b/>
                <w:bCs/>
              </w:rPr>
            </w:pPr>
            <w:r>
              <w:rPr>
                <w:rFonts w:asciiTheme="minorBidi" w:hAnsiTheme="minorBidi"/>
                <w:b/>
                <w:bCs/>
              </w:rPr>
              <w:t>Part One: Accounting Fraud</w:t>
            </w:r>
          </w:p>
        </w:tc>
        <w:tc>
          <w:tcPr>
            <w:tcW w:w="4120" w:type="dxa"/>
            <w:shd w:val="clear" w:color="auto" w:fill="D9D9D9" w:themeFill="background1" w:themeFillShade="D9"/>
          </w:tcPr>
          <w:p w14:paraId="650DBF7D" w14:textId="77777777" w:rsidR="00E6731B" w:rsidRDefault="00E6731B" w:rsidP="001D4222">
            <w:pPr>
              <w:pStyle w:val="ListParagraph"/>
              <w:spacing w:line="480" w:lineRule="auto"/>
              <w:ind w:left="0"/>
              <w:jc w:val="center"/>
              <w:rPr>
                <w:rFonts w:asciiTheme="minorBidi" w:hAnsiTheme="minorBidi"/>
                <w:b/>
                <w:bCs/>
              </w:rPr>
            </w:pPr>
            <w:r>
              <w:rPr>
                <w:rFonts w:asciiTheme="minorBidi" w:hAnsiTheme="minorBidi"/>
                <w:b/>
                <w:bCs/>
              </w:rPr>
              <w:t>Part Two: Blockchain Technology</w:t>
            </w:r>
          </w:p>
        </w:tc>
      </w:tr>
      <w:tr w:rsidR="00E6731B" w14:paraId="69E92478" w14:textId="77777777" w:rsidTr="001D4222">
        <w:tc>
          <w:tcPr>
            <w:tcW w:w="9016" w:type="dxa"/>
            <w:gridSpan w:val="2"/>
          </w:tcPr>
          <w:p w14:paraId="25FCAF98" w14:textId="77777777" w:rsidR="00E6731B" w:rsidRDefault="00E6731B" w:rsidP="001D4222">
            <w:pPr>
              <w:pStyle w:val="ListParagraph"/>
              <w:spacing w:line="480" w:lineRule="auto"/>
              <w:ind w:left="0"/>
              <w:jc w:val="center"/>
              <w:rPr>
                <w:rFonts w:asciiTheme="minorBidi" w:hAnsiTheme="minorBidi"/>
                <w:b/>
                <w:bCs/>
              </w:rPr>
            </w:pPr>
            <w:r>
              <w:rPr>
                <w:rFonts w:asciiTheme="minorBidi" w:hAnsiTheme="minorBidi"/>
                <w:b/>
                <w:bCs/>
                <w:noProof/>
              </w:rPr>
              <mc:AlternateContent>
                <mc:Choice Requires="wps">
                  <w:drawing>
                    <wp:anchor distT="0" distB="0" distL="114300" distR="114300" simplePos="0" relativeHeight="251660288" behindDoc="0" locked="0" layoutInCell="1" allowOverlap="1" wp14:anchorId="6FC02DA2" wp14:editId="54F0BEEE">
                      <wp:simplePos x="0" y="0"/>
                      <wp:positionH relativeFrom="column">
                        <wp:posOffset>2437765</wp:posOffset>
                      </wp:positionH>
                      <wp:positionV relativeFrom="paragraph">
                        <wp:posOffset>1270</wp:posOffset>
                      </wp:positionV>
                      <wp:extent cx="800100" cy="349250"/>
                      <wp:effectExtent l="38100" t="0" r="0" b="31750"/>
                      <wp:wrapNone/>
                      <wp:docPr id="1736406661" name="Arrow: Down 1"/>
                      <wp:cNvGraphicFramePr/>
                      <a:graphic xmlns:a="http://schemas.openxmlformats.org/drawingml/2006/main">
                        <a:graphicData uri="http://schemas.microsoft.com/office/word/2010/wordprocessingShape">
                          <wps:wsp>
                            <wps:cNvSpPr/>
                            <wps:spPr>
                              <a:xfrm>
                                <a:off x="0" y="0"/>
                                <a:ext cx="800100" cy="349250"/>
                              </a:xfrm>
                              <a:prstGeom prst="downArrow">
                                <a:avLst>
                                  <a:gd name="adj1" fmla="val 50000"/>
                                  <a:gd name="adj2" fmla="val 47917"/>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B0A0A8" id="Arrow: Down 1" o:spid="_x0000_s1026" type="#_x0000_t67" style="position:absolute;margin-left:191.95pt;margin-top:.1pt;width:63pt;height:2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" adj="11250" fillcolor="#156082" strokecolor="#042433" strokeweight="1pt"/>
                  </w:pict>
                </mc:Fallback>
              </mc:AlternateContent>
            </w:r>
          </w:p>
        </w:tc>
      </w:tr>
      <w:tr w:rsidR="00E6731B" w14:paraId="32587665" w14:textId="77777777" w:rsidTr="001D4222">
        <w:tc>
          <w:tcPr>
            <w:tcW w:w="9016" w:type="dxa"/>
            <w:gridSpan w:val="2"/>
            <w:shd w:val="clear" w:color="auto" w:fill="D9D9D9" w:themeFill="background1" w:themeFillShade="D9"/>
          </w:tcPr>
          <w:p w14:paraId="30291006" w14:textId="77777777" w:rsidR="00E6731B" w:rsidRDefault="00E6731B" w:rsidP="001D4222">
            <w:pPr>
              <w:pStyle w:val="ListParagraph"/>
              <w:spacing w:line="480" w:lineRule="auto"/>
              <w:ind w:left="0"/>
              <w:jc w:val="center"/>
              <w:rPr>
                <w:rFonts w:asciiTheme="minorBidi" w:hAnsiTheme="minorBidi"/>
                <w:b/>
                <w:bCs/>
              </w:rPr>
            </w:pPr>
            <w:r>
              <w:rPr>
                <w:rFonts w:asciiTheme="minorBidi" w:hAnsiTheme="minorBidi"/>
                <w:b/>
                <w:bCs/>
              </w:rPr>
              <w:t>Chapter Three: Research Methodology</w:t>
            </w:r>
          </w:p>
        </w:tc>
      </w:tr>
      <w:tr w:rsidR="00E6731B" w14:paraId="7A5ADB31" w14:textId="77777777" w:rsidTr="001D4222">
        <w:tc>
          <w:tcPr>
            <w:tcW w:w="9016" w:type="dxa"/>
            <w:gridSpan w:val="2"/>
          </w:tcPr>
          <w:p w14:paraId="06C2CDB9" w14:textId="77777777" w:rsidR="00E6731B" w:rsidRDefault="00E6731B" w:rsidP="001D4222">
            <w:pPr>
              <w:pStyle w:val="ListParagraph"/>
              <w:spacing w:line="480" w:lineRule="auto"/>
              <w:ind w:left="0"/>
              <w:rPr>
                <w:rFonts w:asciiTheme="minorBidi" w:hAnsiTheme="minorBidi"/>
                <w:b/>
                <w:bCs/>
              </w:rPr>
            </w:pPr>
            <w:r>
              <w:rPr>
                <w:rFonts w:asciiTheme="minorBidi" w:hAnsiTheme="minorBidi"/>
                <w:b/>
                <w:bCs/>
                <w:noProof/>
              </w:rPr>
              <mc:AlternateContent>
                <mc:Choice Requires="wps">
                  <w:drawing>
                    <wp:anchor distT="0" distB="0" distL="114300" distR="114300" simplePos="0" relativeHeight="251661312" behindDoc="0" locked="0" layoutInCell="1" allowOverlap="1" wp14:anchorId="3316E92F" wp14:editId="10FC9109">
                      <wp:simplePos x="0" y="0"/>
                      <wp:positionH relativeFrom="column">
                        <wp:posOffset>2430145</wp:posOffset>
                      </wp:positionH>
                      <wp:positionV relativeFrom="paragraph">
                        <wp:posOffset>3810</wp:posOffset>
                      </wp:positionV>
                      <wp:extent cx="787400" cy="355600"/>
                      <wp:effectExtent l="38100" t="0" r="0" b="44450"/>
                      <wp:wrapNone/>
                      <wp:docPr id="1820963557" name="Arrow: Down 1"/>
                      <wp:cNvGraphicFramePr/>
                      <a:graphic xmlns:a="http://schemas.openxmlformats.org/drawingml/2006/main">
                        <a:graphicData uri="http://schemas.microsoft.com/office/word/2010/wordprocessingShape">
                          <wps:wsp>
                            <wps:cNvSpPr/>
                            <wps:spPr>
                              <a:xfrm>
                                <a:off x="0" y="0"/>
                                <a:ext cx="787400" cy="355600"/>
                              </a:xfrm>
                              <a:prstGeom prst="downArrow">
                                <a:avLst>
                                  <a:gd name="adj1" fmla="val 50000"/>
                                  <a:gd name="adj2" fmla="val 47917"/>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B2CD5E" id="Arrow: Down 1" o:spid="_x0000_s1026" type="#_x0000_t67" style="position:absolute;margin-left:191.35pt;margin-top:.3pt;width:62pt;height:2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" adj="11250" fillcolor="#156082" strokecolor="#042433" strokeweight="1pt"/>
                  </w:pict>
                </mc:Fallback>
              </mc:AlternateContent>
            </w:r>
          </w:p>
        </w:tc>
      </w:tr>
      <w:tr w:rsidR="00E6731B" w14:paraId="7CD42DBB" w14:textId="77777777" w:rsidTr="001D4222">
        <w:tc>
          <w:tcPr>
            <w:tcW w:w="9016" w:type="dxa"/>
            <w:gridSpan w:val="2"/>
            <w:shd w:val="clear" w:color="auto" w:fill="D9D9D9" w:themeFill="background1" w:themeFillShade="D9"/>
          </w:tcPr>
          <w:p w14:paraId="0A97CE5B" w14:textId="77777777" w:rsidR="00E6731B" w:rsidRDefault="00E6731B" w:rsidP="001D4222">
            <w:pPr>
              <w:pStyle w:val="ListParagraph"/>
              <w:spacing w:line="480" w:lineRule="auto"/>
              <w:ind w:left="0"/>
              <w:jc w:val="center"/>
              <w:rPr>
                <w:rFonts w:asciiTheme="minorBidi" w:hAnsiTheme="minorBidi"/>
                <w:b/>
                <w:bCs/>
              </w:rPr>
            </w:pPr>
            <w:r>
              <w:rPr>
                <w:rFonts w:asciiTheme="minorBidi" w:hAnsiTheme="minorBidi"/>
                <w:b/>
                <w:bCs/>
              </w:rPr>
              <w:t>Chapter Four: Results and Discussion</w:t>
            </w:r>
          </w:p>
        </w:tc>
      </w:tr>
      <w:tr w:rsidR="00E6731B" w14:paraId="48EA47D7" w14:textId="77777777" w:rsidTr="001D4222">
        <w:tc>
          <w:tcPr>
            <w:tcW w:w="9016" w:type="dxa"/>
            <w:gridSpan w:val="2"/>
          </w:tcPr>
          <w:p w14:paraId="72EB535F" w14:textId="77777777" w:rsidR="00E6731B" w:rsidRDefault="00E6731B" w:rsidP="001D4222">
            <w:pPr>
              <w:pStyle w:val="ListParagraph"/>
              <w:spacing w:line="480" w:lineRule="auto"/>
              <w:ind w:left="0"/>
              <w:jc w:val="center"/>
              <w:rPr>
                <w:rFonts w:asciiTheme="minorBidi" w:hAnsiTheme="minorBidi"/>
                <w:b/>
                <w:bCs/>
              </w:rPr>
            </w:pPr>
            <w:r>
              <w:rPr>
                <w:rFonts w:asciiTheme="minorBidi" w:hAnsiTheme="minorBidi"/>
                <w:b/>
                <w:bCs/>
                <w:noProof/>
              </w:rPr>
              <mc:AlternateContent>
                <mc:Choice Requires="wps">
                  <w:drawing>
                    <wp:anchor distT="0" distB="0" distL="114300" distR="114300" simplePos="0" relativeHeight="251662336" behindDoc="0" locked="0" layoutInCell="1" allowOverlap="1" wp14:anchorId="4454BB65" wp14:editId="5D8100A3">
                      <wp:simplePos x="0" y="0"/>
                      <wp:positionH relativeFrom="column">
                        <wp:posOffset>2406015</wp:posOffset>
                      </wp:positionH>
                      <wp:positionV relativeFrom="paragraph">
                        <wp:posOffset>-15875</wp:posOffset>
                      </wp:positionV>
                      <wp:extent cx="863600" cy="381000"/>
                      <wp:effectExtent l="38100" t="0" r="0" b="38100"/>
                      <wp:wrapNone/>
                      <wp:docPr id="683888259" name="Arrow: Down 1"/>
                      <wp:cNvGraphicFramePr/>
                      <a:graphic xmlns:a="http://schemas.openxmlformats.org/drawingml/2006/main">
                        <a:graphicData uri="http://schemas.microsoft.com/office/word/2010/wordprocessingShape">
                          <wps:wsp>
                            <wps:cNvSpPr/>
                            <wps:spPr>
                              <a:xfrm>
                                <a:off x="0" y="0"/>
                                <a:ext cx="863600" cy="381000"/>
                              </a:xfrm>
                              <a:prstGeom prst="downArrow">
                                <a:avLst>
                                  <a:gd name="adj1" fmla="val 50000"/>
                                  <a:gd name="adj2" fmla="val 47917"/>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2BC4A4" id="Arrow: Down 1" o:spid="_x0000_s1026" type="#_x0000_t67" style="position:absolute;margin-left:189.45pt;margin-top:-1.25pt;width:68pt;height:30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" adj="11250" fillcolor="#156082" strokecolor="#042433" strokeweight="1pt"/>
                  </w:pict>
                </mc:Fallback>
              </mc:AlternateContent>
            </w:r>
          </w:p>
        </w:tc>
      </w:tr>
      <w:tr w:rsidR="00E6731B" w14:paraId="5BB4F31A" w14:textId="77777777" w:rsidTr="001D4222">
        <w:tc>
          <w:tcPr>
            <w:tcW w:w="9016" w:type="dxa"/>
            <w:gridSpan w:val="2"/>
            <w:shd w:val="clear" w:color="auto" w:fill="D9D9D9" w:themeFill="background1" w:themeFillShade="D9"/>
          </w:tcPr>
          <w:p w14:paraId="5ED2E556" w14:textId="77777777" w:rsidR="00E6731B" w:rsidRDefault="00E6731B" w:rsidP="001D4222">
            <w:pPr>
              <w:pStyle w:val="ListParagraph"/>
              <w:spacing w:line="480" w:lineRule="auto"/>
              <w:ind w:left="0"/>
              <w:jc w:val="center"/>
              <w:rPr>
                <w:rFonts w:asciiTheme="minorBidi" w:hAnsiTheme="minorBidi"/>
                <w:b/>
                <w:bCs/>
              </w:rPr>
            </w:pPr>
            <w:r>
              <w:rPr>
                <w:rFonts w:asciiTheme="minorBidi" w:hAnsiTheme="minorBidi"/>
                <w:b/>
                <w:bCs/>
              </w:rPr>
              <w:t>Chapter Five: Conclusion, Contributions, Research Limitations &amp; Recommendations</w:t>
            </w:r>
          </w:p>
        </w:tc>
      </w:tr>
      <w:tr w:rsidR="00E6731B" w14:paraId="51C1B309" w14:textId="77777777" w:rsidTr="001D4222">
        <w:tc>
          <w:tcPr>
            <w:tcW w:w="9016" w:type="dxa"/>
            <w:gridSpan w:val="2"/>
          </w:tcPr>
          <w:p w14:paraId="47DF04A3" w14:textId="77777777" w:rsidR="00E6731B" w:rsidRDefault="00E6731B" w:rsidP="001D4222">
            <w:pPr>
              <w:pStyle w:val="ListParagraph"/>
              <w:spacing w:line="480" w:lineRule="auto"/>
              <w:ind w:left="0"/>
              <w:jc w:val="center"/>
              <w:rPr>
                <w:rFonts w:asciiTheme="minorBidi" w:hAnsiTheme="minorBidi"/>
                <w:b/>
                <w:bCs/>
              </w:rPr>
            </w:pPr>
            <w:r>
              <w:rPr>
                <w:rFonts w:asciiTheme="minorBidi" w:hAnsiTheme="minorBidi"/>
                <w:b/>
                <w:bCs/>
                <w:noProof/>
              </w:rPr>
              <mc:AlternateContent>
                <mc:Choice Requires="wps">
                  <w:drawing>
                    <wp:anchor distT="0" distB="0" distL="114300" distR="114300" simplePos="0" relativeHeight="251663360" behindDoc="0" locked="0" layoutInCell="1" allowOverlap="1" wp14:anchorId="540A806F" wp14:editId="28224946">
                      <wp:simplePos x="0" y="0"/>
                      <wp:positionH relativeFrom="column">
                        <wp:posOffset>2304415</wp:posOffset>
                      </wp:positionH>
                      <wp:positionV relativeFrom="paragraph">
                        <wp:posOffset>-13335</wp:posOffset>
                      </wp:positionV>
                      <wp:extent cx="1041400" cy="361950"/>
                      <wp:effectExtent l="38100" t="0" r="0" b="38100"/>
                      <wp:wrapNone/>
                      <wp:docPr id="210487710" name="Arrow: Down 1"/>
                      <wp:cNvGraphicFramePr/>
                      <a:graphic xmlns:a="http://schemas.openxmlformats.org/drawingml/2006/main">
                        <a:graphicData uri="http://schemas.microsoft.com/office/word/2010/wordprocessingShape">
                          <wps:wsp>
                            <wps:cNvSpPr/>
                            <wps:spPr>
                              <a:xfrm>
                                <a:off x="0" y="0"/>
                                <a:ext cx="1041400" cy="361950"/>
                              </a:xfrm>
                              <a:prstGeom prst="downArrow">
                                <a:avLst>
                                  <a:gd name="adj1" fmla="val 50000"/>
                                  <a:gd name="adj2" fmla="val 47917"/>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3847AA" id="Arrow: Down 1" o:spid="_x0000_s1026" type="#_x0000_t67" style="position:absolute;margin-left:181.45pt;margin-top:-1.05pt;width:82pt;height:2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" adj="11250" fillcolor="#156082" strokecolor="#042433" strokeweight="1pt"/>
                  </w:pict>
                </mc:Fallback>
              </mc:AlternateContent>
            </w:r>
          </w:p>
        </w:tc>
      </w:tr>
      <w:tr w:rsidR="00E6731B" w14:paraId="4C0D7E91" w14:textId="77777777" w:rsidTr="001D4222">
        <w:tc>
          <w:tcPr>
            <w:tcW w:w="9016" w:type="dxa"/>
            <w:gridSpan w:val="2"/>
            <w:shd w:val="clear" w:color="auto" w:fill="D9D9D9" w:themeFill="background1" w:themeFillShade="D9"/>
          </w:tcPr>
          <w:p w14:paraId="0EFE4799" w14:textId="77777777" w:rsidR="00E6731B" w:rsidRDefault="00E6731B" w:rsidP="001D4222">
            <w:pPr>
              <w:pStyle w:val="ListParagraph"/>
              <w:spacing w:line="480" w:lineRule="auto"/>
              <w:ind w:left="0"/>
              <w:jc w:val="center"/>
              <w:rPr>
                <w:rFonts w:asciiTheme="minorBidi" w:hAnsiTheme="minorBidi"/>
                <w:b/>
                <w:bCs/>
              </w:rPr>
            </w:pPr>
            <w:r>
              <w:rPr>
                <w:rFonts w:asciiTheme="minorBidi" w:hAnsiTheme="minorBidi"/>
                <w:b/>
                <w:bCs/>
              </w:rPr>
              <w:t>References, Tables &amp; Appendices</w:t>
            </w:r>
          </w:p>
        </w:tc>
      </w:tr>
    </w:tbl>
    <w:p w14:paraId="06CA91E1" w14:textId="77777777" w:rsidR="00E6731B" w:rsidRDefault="00E6731B" w:rsidP="00E6731B">
      <w:pPr>
        <w:pStyle w:val="ListParagraph"/>
        <w:spacing w:line="480" w:lineRule="auto"/>
        <w:ind w:left="0"/>
        <w:jc w:val="both"/>
        <w:rPr>
          <w:rFonts w:asciiTheme="minorBidi" w:hAnsiTheme="minorBidi"/>
          <w:b/>
          <w:bCs/>
        </w:rPr>
      </w:pPr>
    </w:p>
    <w:bookmarkStart w:id="369" w:name="K"/>
    <w:bookmarkStart w:id="370" w:name="D12"/>
    <w:p w14:paraId="244B16DE" w14:textId="4784AABF" w:rsidR="00E6731B" w:rsidRPr="004519F1" w:rsidRDefault="007E59BC" w:rsidP="004519F1">
      <w:pPr>
        <w:pBdr>
          <w:top w:val="single" w:sz="4" w:space="1" w:color="auto"/>
          <w:left w:val="single" w:sz="4" w:space="4" w:color="auto"/>
          <w:bottom w:val="single" w:sz="4" w:space="1" w:color="auto"/>
          <w:right w:val="single" w:sz="4" w:space="4" w:color="auto"/>
        </w:pBdr>
        <w:rPr>
          <w:b/>
          <w:bCs/>
        </w:rPr>
      </w:pPr>
      <w:r>
        <w:rPr>
          <w:b/>
          <w:bCs/>
        </w:rPr>
        <w:fldChar w:fldCharType="begin"/>
      </w:r>
      <w:r>
        <w:rPr>
          <w:b/>
          <w:bCs/>
        </w:rPr>
        <w:instrText>HYPERLINK  \l "C12"</w:instrText>
      </w:r>
      <w:r>
        <w:rPr>
          <w:b/>
          <w:bCs/>
        </w:rPr>
      </w:r>
      <w:r>
        <w:rPr>
          <w:b/>
          <w:bCs/>
        </w:rPr>
        <w:fldChar w:fldCharType="separate"/>
      </w:r>
      <w:r w:rsidR="00E6731B" w:rsidRPr="007E59BC">
        <w:rPr>
          <w:rStyle w:val="Hyperlink"/>
          <w:b/>
          <w:bCs/>
        </w:rPr>
        <w:t>1.6.2 Chapter Summary</w:t>
      </w:r>
      <w:r>
        <w:rPr>
          <w:b/>
          <w:bCs/>
        </w:rPr>
        <w:fldChar w:fldCharType="end"/>
      </w:r>
    </w:p>
    <w:bookmarkEnd w:id="369"/>
    <w:bookmarkEnd w:id="370"/>
    <w:p w14:paraId="6FB909FA" w14:textId="77777777" w:rsidR="00E6731B" w:rsidRPr="001C6E03" w:rsidRDefault="00E6731B" w:rsidP="00E6731B">
      <w:pPr>
        <w:spacing w:after="240" w:line="480" w:lineRule="auto"/>
        <w:jc w:val="both"/>
        <w:rPr>
          <w:rFonts w:asciiTheme="minorBidi" w:eastAsia="Times New Roman" w:hAnsiTheme="minorBidi"/>
          <w:kern w:val="0"/>
          <w14:ligatures w14:val="none"/>
        </w:rPr>
      </w:pPr>
      <w:r w:rsidRPr="00403A1E">
        <w:rPr>
          <w:rFonts w:asciiTheme="minorBidi" w:eastAsia="Times New Roman" w:hAnsiTheme="minorBidi"/>
          <w:kern w:val="0"/>
          <w14:ligatures w14:val="none"/>
        </w:rPr>
        <w:t>The next section provides a brief summary of the thesis chapters, as shown in section 1.6.1 Figure 1-</w:t>
      </w:r>
      <w:r w:rsidRPr="001C6E03">
        <w:rPr>
          <w:rFonts w:asciiTheme="minorBidi" w:eastAsia="Times New Roman" w:hAnsiTheme="minorBidi"/>
          <w:kern w:val="0"/>
          <w14:ligatures w14:val="none"/>
        </w:rPr>
        <w:t>3</w:t>
      </w:r>
      <w:r w:rsidRPr="00403A1E">
        <w:rPr>
          <w:rFonts w:asciiTheme="minorBidi" w:eastAsia="Times New Roman" w:hAnsiTheme="minorBidi"/>
          <w:kern w:val="0"/>
          <w14:ligatures w14:val="none"/>
        </w:rPr>
        <w:t>.</w:t>
      </w:r>
    </w:p>
    <w:p w14:paraId="28C0B907" w14:textId="77777777" w:rsidR="00E6731B" w:rsidRPr="001C6E03" w:rsidRDefault="00E6731B" w:rsidP="00E6731B">
      <w:pPr>
        <w:spacing w:after="240" w:line="480" w:lineRule="auto"/>
        <w:jc w:val="both"/>
        <w:rPr>
          <w:rFonts w:asciiTheme="minorBidi" w:eastAsia="Times New Roman" w:hAnsiTheme="minorBidi"/>
          <w:kern w:val="0"/>
          <w14:ligatures w14:val="none"/>
        </w:rPr>
      </w:pPr>
      <w:r w:rsidRPr="00403A1E">
        <w:rPr>
          <w:rFonts w:asciiTheme="minorBidi" w:eastAsia="Times New Roman" w:hAnsiTheme="minorBidi"/>
          <w:kern w:val="0"/>
          <w14:ligatures w14:val="none"/>
        </w:rPr>
        <w:t xml:space="preserve">By stating the research background in section 1.2, the research problem statement in section 1.3, the research impact in section 1.3.1, and finally the research aim, questions, and objectives in sections 1.4, 1.4.1, and 1.5, respectively, the first chapter clearly introduces the topic and context of this </w:t>
      </w:r>
      <w:r w:rsidRPr="001C6E03">
        <w:rPr>
          <w:rFonts w:asciiTheme="minorBidi" w:eastAsia="Times New Roman" w:hAnsiTheme="minorBidi"/>
          <w:kern w:val="0"/>
          <w14:ligatures w14:val="none"/>
        </w:rPr>
        <w:t xml:space="preserve">doctoral </w:t>
      </w:r>
      <w:r w:rsidRPr="00403A1E">
        <w:rPr>
          <w:rFonts w:asciiTheme="minorBidi" w:eastAsia="Times New Roman" w:hAnsiTheme="minorBidi"/>
          <w:kern w:val="0"/>
          <w14:ligatures w14:val="none"/>
        </w:rPr>
        <w:t xml:space="preserve">study. </w:t>
      </w:r>
    </w:p>
    <w:p w14:paraId="0487091A" w14:textId="2CA30B61" w:rsidR="00E6731B" w:rsidRPr="00403A1E" w:rsidRDefault="00E6731B" w:rsidP="00E6731B">
      <w:pPr>
        <w:spacing w:after="240" w:line="480" w:lineRule="auto"/>
        <w:jc w:val="both"/>
        <w:rPr>
          <w:rFonts w:asciiTheme="minorBidi" w:eastAsia="Times New Roman" w:hAnsiTheme="minorBidi"/>
          <w:kern w:val="0"/>
          <w14:ligatures w14:val="none"/>
        </w:rPr>
      </w:pPr>
      <w:r w:rsidRPr="00EA2FBC">
        <w:rPr>
          <w:rFonts w:asciiTheme="minorBidi" w:eastAsia="Times New Roman" w:hAnsiTheme="minorBidi"/>
          <w:b/>
          <w:bCs/>
          <w:kern w:val="0"/>
          <w14:ligatures w14:val="none"/>
        </w:rPr>
        <w:lastRenderedPageBreak/>
        <w:t>Chapter two</w:t>
      </w:r>
      <w:r w:rsidRPr="001C6E03">
        <w:rPr>
          <w:rFonts w:asciiTheme="minorBidi" w:eastAsia="Times New Roman" w:hAnsiTheme="minorBidi"/>
          <w:kern w:val="0"/>
          <w14:ligatures w14:val="none"/>
        </w:rPr>
        <w:t xml:space="preserve"> is an extensive literature review and is divided into two distinct sections. Part, one reviews the Accounting Fraud literature</w:t>
      </w:r>
      <w:r>
        <w:rPr>
          <w:rFonts w:asciiTheme="minorBidi" w:eastAsia="Times New Roman" w:hAnsiTheme="minorBidi"/>
          <w:kern w:val="0"/>
          <w14:ligatures w14:val="none"/>
        </w:rPr>
        <w:t xml:space="preserve"> including an evaluation and redefinition of the Fraud Triangle and extension of another prominent model (C R I M E)</w:t>
      </w:r>
      <w:r w:rsidRPr="001C6E03">
        <w:rPr>
          <w:rFonts w:asciiTheme="minorBidi" w:eastAsia="Times New Roman" w:hAnsiTheme="minorBidi"/>
          <w:kern w:val="0"/>
          <w14:ligatures w14:val="none"/>
        </w:rPr>
        <w:t>,</w:t>
      </w:r>
      <w:r>
        <w:rPr>
          <w:rFonts w:asciiTheme="minorBidi" w:eastAsia="Times New Roman" w:hAnsiTheme="minorBidi"/>
          <w:kern w:val="0"/>
          <w14:ligatures w14:val="none"/>
        </w:rPr>
        <w:t xml:space="preserve"> including a thorough assessment of the psychopathy literature, and ending with sub research questions.</w:t>
      </w:r>
      <w:r w:rsidRPr="001C6E03">
        <w:rPr>
          <w:rFonts w:asciiTheme="minorBidi" w:eastAsia="Times New Roman" w:hAnsiTheme="minorBidi"/>
          <w:kern w:val="0"/>
          <w14:ligatures w14:val="none"/>
        </w:rPr>
        <w:t xml:space="preserve"> </w:t>
      </w:r>
      <w:r>
        <w:rPr>
          <w:rFonts w:asciiTheme="minorBidi" w:eastAsia="Times New Roman" w:hAnsiTheme="minorBidi"/>
          <w:kern w:val="0"/>
          <w14:ligatures w14:val="none"/>
        </w:rPr>
        <w:t>P</w:t>
      </w:r>
      <w:r w:rsidRPr="001C6E03">
        <w:rPr>
          <w:rFonts w:asciiTheme="minorBidi" w:eastAsia="Times New Roman" w:hAnsiTheme="minorBidi"/>
          <w:kern w:val="0"/>
          <w14:ligatures w14:val="none"/>
        </w:rPr>
        <w:t xml:space="preserve">art two discusses the Blockchain Literature, </w:t>
      </w:r>
      <w:r>
        <w:rPr>
          <w:rFonts w:asciiTheme="minorBidi" w:eastAsia="Times New Roman" w:hAnsiTheme="minorBidi"/>
          <w:kern w:val="0"/>
          <w14:ligatures w14:val="none"/>
        </w:rPr>
        <w:t xml:space="preserve">identifying </w:t>
      </w:r>
      <w:r w:rsidR="004519F1">
        <w:rPr>
          <w:rFonts w:asciiTheme="minorBidi" w:eastAsia="Times New Roman" w:hAnsiTheme="minorBidi"/>
          <w:kern w:val="0"/>
          <w14:ligatures w14:val="none"/>
        </w:rPr>
        <w:t>s</w:t>
      </w:r>
      <w:r w:rsidR="004519F1" w:rsidRPr="001C6E03">
        <w:rPr>
          <w:rFonts w:asciiTheme="minorBidi" w:eastAsia="Times New Roman" w:hAnsiTheme="minorBidi"/>
          <w:kern w:val="0"/>
          <w14:ligatures w14:val="none"/>
        </w:rPr>
        <w:t>ub–Research</w:t>
      </w:r>
      <w:r w:rsidRPr="001C6E03">
        <w:rPr>
          <w:rFonts w:asciiTheme="minorBidi" w:eastAsia="Times New Roman" w:hAnsiTheme="minorBidi"/>
          <w:kern w:val="0"/>
          <w14:ligatures w14:val="none"/>
        </w:rPr>
        <w:t xml:space="preserve"> Questions and </w:t>
      </w:r>
      <w:r>
        <w:rPr>
          <w:rFonts w:asciiTheme="minorBidi" w:eastAsia="Times New Roman" w:hAnsiTheme="minorBidi"/>
          <w:kern w:val="0"/>
          <w14:ligatures w14:val="none"/>
        </w:rPr>
        <w:t xml:space="preserve">closes </w:t>
      </w:r>
      <w:r w:rsidRPr="001C6E03">
        <w:rPr>
          <w:rFonts w:asciiTheme="minorBidi" w:eastAsia="Times New Roman" w:hAnsiTheme="minorBidi"/>
          <w:kern w:val="0"/>
          <w14:ligatures w14:val="none"/>
        </w:rPr>
        <w:t xml:space="preserve">with a section on hypotheses. </w:t>
      </w:r>
    </w:p>
    <w:p w14:paraId="4B74EFD4" w14:textId="77777777" w:rsidR="00E6731B" w:rsidRPr="001C6E03" w:rsidRDefault="00E6731B" w:rsidP="00E6731B">
      <w:pPr>
        <w:spacing w:line="480" w:lineRule="auto"/>
        <w:jc w:val="both"/>
        <w:rPr>
          <w:rFonts w:asciiTheme="minorBidi" w:hAnsiTheme="minorBidi"/>
        </w:rPr>
      </w:pPr>
      <w:r w:rsidRPr="00EA2FBC">
        <w:rPr>
          <w:rFonts w:asciiTheme="minorBidi" w:hAnsiTheme="minorBidi"/>
          <w:b/>
          <w:bCs/>
        </w:rPr>
        <w:t>Chapter three</w:t>
      </w:r>
      <w:r w:rsidRPr="001C6E03">
        <w:rPr>
          <w:rFonts w:asciiTheme="minorBidi" w:hAnsiTheme="minorBidi"/>
        </w:rPr>
        <w:t xml:space="preserve"> discusses the research methodology supporting the methodological approach within the context of this research to scrutinise the research objectives and questions supplying solutions to the research questions.</w:t>
      </w:r>
    </w:p>
    <w:p w14:paraId="6021797F" w14:textId="77777777" w:rsidR="00E6731B" w:rsidRPr="001C6E03" w:rsidRDefault="00E6731B" w:rsidP="00E6731B">
      <w:pPr>
        <w:spacing w:line="480" w:lineRule="auto"/>
        <w:jc w:val="both"/>
        <w:rPr>
          <w:rFonts w:asciiTheme="minorBidi" w:hAnsiTheme="minorBidi"/>
        </w:rPr>
      </w:pPr>
      <w:r w:rsidRPr="00EA2FBC">
        <w:rPr>
          <w:rFonts w:asciiTheme="minorBidi" w:hAnsiTheme="minorBidi"/>
          <w:b/>
          <w:bCs/>
        </w:rPr>
        <w:t>Chapter four</w:t>
      </w:r>
      <w:r w:rsidRPr="001C6E03">
        <w:rPr>
          <w:rFonts w:asciiTheme="minorBidi" w:hAnsiTheme="minorBidi"/>
        </w:rPr>
        <w:t xml:space="preserve"> describes the research findings, analysis, and discussion of quantitative results from the practitioner and student samples and qualitative results from semi-structured interviews conducted with auditors and subject matter experts. These results are triangulated, and a final part expands on automation</w:t>
      </w:r>
      <w:r>
        <w:rPr>
          <w:rFonts w:asciiTheme="minorBidi" w:hAnsiTheme="minorBidi"/>
        </w:rPr>
        <w:t xml:space="preserve"> and ‘’people-centric’’ approaches</w:t>
      </w:r>
      <w:r w:rsidRPr="001C6E03">
        <w:rPr>
          <w:rFonts w:asciiTheme="minorBidi" w:hAnsiTheme="minorBidi"/>
        </w:rPr>
        <w:t xml:space="preserve"> which </w:t>
      </w:r>
      <w:r>
        <w:rPr>
          <w:rFonts w:asciiTheme="minorBidi" w:hAnsiTheme="minorBidi"/>
        </w:rPr>
        <w:t>are</w:t>
      </w:r>
      <w:r w:rsidRPr="001C6E03">
        <w:rPr>
          <w:rFonts w:asciiTheme="minorBidi" w:hAnsiTheme="minorBidi"/>
        </w:rPr>
        <w:t xml:space="preserve"> seen as precursor or preparation </w:t>
      </w:r>
      <w:r>
        <w:rPr>
          <w:rFonts w:asciiTheme="minorBidi" w:hAnsiTheme="minorBidi"/>
        </w:rPr>
        <w:t xml:space="preserve">until </w:t>
      </w:r>
      <w:r w:rsidRPr="001C6E03">
        <w:rPr>
          <w:rFonts w:asciiTheme="minorBidi" w:hAnsiTheme="minorBidi"/>
        </w:rPr>
        <w:t xml:space="preserve">Blockchain Technology becomes ubiquitous. </w:t>
      </w:r>
    </w:p>
    <w:p w14:paraId="7F3EE309" w14:textId="77777777" w:rsidR="00E6731B" w:rsidRDefault="00E6731B" w:rsidP="00E6731B">
      <w:pPr>
        <w:spacing w:after="0" w:line="480" w:lineRule="auto"/>
        <w:jc w:val="both"/>
        <w:rPr>
          <w:rFonts w:asciiTheme="minorBidi" w:eastAsia="Times New Roman" w:hAnsiTheme="minorBidi"/>
          <w:kern w:val="0"/>
          <w14:ligatures w14:val="none"/>
        </w:rPr>
      </w:pPr>
      <w:r w:rsidRPr="00393B7A">
        <w:rPr>
          <w:rFonts w:asciiTheme="minorBidi" w:eastAsia="Times New Roman" w:hAnsiTheme="minorBidi"/>
          <w:b/>
          <w:bCs/>
          <w:kern w:val="0"/>
          <w14:ligatures w14:val="none"/>
        </w:rPr>
        <w:t>Chapter five</w:t>
      </w:r>
      <w:r>
        <w:rPr>
          <w:rFonts w:asciiTheme="minorBidi" w:eastAsia="Times New Roman" w:hAnsiTheme="minorBidi"/>
          <w:kern w:val="0"/>
          <w14:ligatures w14:val="none"/>
        </w:rPr>
        <w:t xml:space="preserve"> covers t</w:t>
      </w:r>
      <w:r w:rsidRPr="00F45D89">
        <w:rPr>
          <w:rFonts w:asciiTheme="minorBidi" w:eastAsia="Times New Roman" w:hAnsiTheme="minorBidi"/>
          <w:kern w:val="0"/>
          <w14:ligatures w14:val="none"/>
        </w:rPr>
        <w:t>he research cycle the</w:t>
      </w:r>
      <w:r>
        <w:rPr>
          <w:rFonts w:asciiTheme="minorBidi" w:eastAsia="Times New Roman" w:hAnsiTheme="minorBidi"/>
          <w:kern w:val="0"/>
          <w14:ligatures w14:val="none"/>
        </w:rPr>
        <w:t xml:space="preserve"> extent to how far the</w:t>
      </w:r>
      <w:r w:rsidRPr="00F45D89">
        <w:rPr>
          <w:rFonts w:asciiTheme="minorBidi" w:eastAsia="Times New Roman" w:hAnsiTheme="minorBidi"/>
          <w:kern w:val="0"/>
          <w14:ligatures w14:val="none"/>
        </w:rPr>
        <w:t xml:space="preserve"> research objectives have addressed the research question</w:t>
      </w:r>
      <w:r>
        <w:rPr>
          <w:rFonts w:asciiTheme="minorBidi" w:eastAsia="Times New Roman" w:hAnsiTheme="minorBidi"/>
          <w:kern w:val="0"/>
          <w14:ligatures w14:val="none"/>
        </w:rPr>
        <w:t>s</w:t>
      </w:r>
      <w:r w:rsidRPr="00F45D89">
        <w:rPr>
          <w:rFonts w:asciiTheme="minorBidi" w:eastAsia="Times New Roman" w:hAnsiTheme="minorBidi"/>
          <w:kern w:val="0"/>
          <w14:ligatures w14:val="none"/>
        </w:rPr>
        <w:t>. After that, the research's major contributions are emphasi</w:t>
      </w:r>
      <w:r>
        <w:rPr>
          <w:rFonts w:asciiTheme="minorBidi" w:eastAsia="Times New Roman" w:hAnsiTheme="minorBidi"/>
          <w:kern w:val="0"/>
          <w14:ligatures w14:val="none"/>
        </w:rPr>
        <w:t>s</w:t>
      </w:r>
      <w:r w:rsidRPr="00F45D89">
        <w:rPr>
          <w:rFonts w:asciiTheme="minorBidi" w:eastAsia="Times New Roman" w:hAnsiTheme="minorBidi"/>
          <w:kern w:val="0"/>
          <w14:ligatures w14:val="none"/>
        </w:rPr>
        <w:t>ed and examined in relation to earlier studies. Lastly, the research implications, restrictions, and suggestions for the future are</w:t>
      </w:r>
      <w:r>
        <w:rPr>
          <w:rFonts w:asciiTheme="minorBidi" w:eastAsia="Times New Roman" w:hAnsiTheme="minorBidi"/>
          <w:kern w:val="0"/>
          <w14:ligatures w14:val="none"/>
        </w:rPr>
        <w:t xml:space="preserve"> outlined including a structured ‘’people-centric’’ model.</w:t>
      </w:r>
    </w:p>
    <w:p w14:paraId="2A98D1AC" w14:textId="77777777" w:rsidR="00E6731B" w:rsidRDefault="00E6731B" w:rsidP="00E6731B">
      <w:pPr>
        <w:spacing w:after="0" w:line="480" w:lineRule="auto"/>
        <w:jc w:val="both"/>
        <w:rPr>
          <w:rFonts w:asciiTheme="minorBidi" w:eastAsia="Times New Roman" w:hAnsiTheme="minorBidi"/>
          <w:kern w:val="0"/>
          <w14:ligatures w14:val="none"/>
        </w:rPr>
      </w:pPr>
    </w:p>
    <w:p w14:paraId="6F999167" w14:textId="77777777" w:rsidR="003E44A1" w:rsidRDefault="003E44A1" w:rsidP="00E6731B">
      <w:pPr>
        <w:spacing w:after="0" w:line="480" w:lineRule="auto"/>
        <w:jc w:val="both"/>
        <w:rPr>
          <w:rFonts w:asciiTheme="minorBidi" w:eastAsia="Times New Roman" w:hAnsiTheme="minorBidi"/>
          <w:kern w:val="0"/>
          <w14:ligatures w14:val="none"/>
        </w:rPr>
      </w:pPr>
    </w:p>
    <w:p w14:paraId="6E29050D" w14:textId="77777777" w:rsidR="003E44A1" w:rsidRDefault="003E44A1" w:rsidP="00E6731B">
      <w:pPr>
        <w:spacing w:after="0" w:line="480" w:lineRule="auto"/>
        <w:jc w:val="both"/>
        <w:rPr>
          <w:rFonts w:asciiTheme="minorBidi" w:eastAsia="Times New Roman" w:hAnsiTheme="minorBidi"/>
          <w:kern w:val="0"/>
          <w14:ligatures w14:val="none"/>
        </w:rPr>
      </w:pPr>
    </w:p>
    <w:p w14:paraId="64BD68D9" w14:textId="77777777" w:rsidR="003E44A1" w:rsidRDefault="003E44A1" w:rsidP="00E6731B">
      <w:pPr>
        <w:spacing w:after="0" w:line="480" w:lineRule="auto"/>
        <w:jc w:val="both"/>
        <w:rPr>
          <w:rFonts w:asciiTheme="minorBidi" w:eastAsia="Times New Roman" w:hAnsiTheme="minorBidi"/>
          <w:kern w:val="0"/>
          <w14:ligatures w14:val="none"/>
        </w:rPr>
      </w:pPr>
    </w:p>
    <w:bookmarkStart w:id="371" w:name="L"/>
    <w:bookmarkStart w:id="372" w:name="D13"/>
    <w:p w14:paraId="43B081A2" w14:textId="1B78D518" w:rsidR="00E6731B" w:rsidRPr="004519F1" w:rsidRDefault="007E59BC" w:rsidP="004519F1">
      <w:pPr>
        <w:pBdr>
          <w:top w:val="single" w:sz="4" w:space="1" w:color="auto"/>
          <w:left w:val="single" w:sz="4" w:space="4" w:color="auto"/>
          <w:bottom w:val="single" w:sz="4" w:space="1" w:color="auto"/>
          <w:right w:val="single" w:sz="4" w:space="4" w:color="auto"/>
        </w:pBdr>
        <w:rPr>
          <w:rFonts w:asciiTheme="minorBidi" w:hAnsiTheme="minorBidi"/>
          <w:b/>
          <w:bCs/>
        </w:rPr>
      </w:pPr>
      <w:r>
        <w:rPr>
          <w:rFonts w:asciiTheme="minorBidi" w:hAnsiTheme="minorBidi"/>
          <w:b/>
          <w:bCs/>
        </w:rPr>
        <w:lastRenderedPageBreak/>
        <w:fldChar w:fldCharType="begin"/>
      </w:r>
      <w:r>
        <w:rPr>
          <w:rFonts w:asciiTheme="minorBidi" w:hAnsiTheme="minorBidi"/>
          <w:b/>
          <w:bCs/>
        </w:rPr>
        <w:instrText>HYPERLINK  \l "C13"</w:instrText>
      </w:r>
      <w:r>
        <w:rPr>
          <w:rFonts w:asciiTheme="minorBidi" w:hAnsiTheme="minorBidi"/>
          <w:b/>
          <w:bCs/>
        </w:rPr>
      </w:r>
      <w:r>
        <w:rPr>
          <w:rFonts w:asciiTheme="minorBidi" w:hAnsiTheme="minorBidi"/>
          <w:b/>
          <w:bCs/>
        </w:rPr>
        <w:fldChar w:fldCharType="separate"/>
      </w:r>
      <w:r w:rsidR="00E6731B" w:rsidRPr="007E59BC">
        <w:rPr>
          <w:rStyle w:val="Hyperlink"/>
          <w:rFonts w:asciiTheme="minorBidi" w:hAnsiTheme="minorBidi"/>
          <w:b/>
          <w:bCs/>
        </w:rPr>
        <w:t>1.6.3 Thesis Framework</w:t>
      </w:r>
      <w:r>
        <w:rPr>
          <w:rFonts w:asciiTheme="minorBidi" w:hAnsiTheme="minorBidi"/>
          <w:b/>
          <w:bCs/>
        </w:rPr>
        <w:fldChar w:fldCharType="end"/>
      </w:r>
    </w:p>
    <w:bookmarkEnd w:id="371"/>
    <w:bookmarkEnd w:id="372"/>
    <w:p w14:paraId="1E50F51E" w14:textId="43DF4967" w:rsidR="00371A03" w:rsidRDefault="00E6731B" w:rsidP="00371A03">
      <w:pPr>
        <w:spacing w:line="480" w:lineRule="auto"/>
        <w:jc w:val="both"/>
        <w:rPr>
          <w:rFonts w:asciiTheme="minorBidi" w:hAnsiTheme="minorBidi"/>
        </w:rPr>
      </w:pPr>
      <w:r w:rsidRPr="00E254A0">
        <w:rPr>
          <w:rFonts w:asciiTheme="minorBidi" w:hAnsiTheme="minorBidi"/>
        </w:rPr>
        <w:t>Figure 1.4 summarises the thesis framework highlighting the relationship between research objectives, thesis chapters and research questions.</w:t>
      </w:r>
    </w:p>
    <w:tbl>
      <w:tblPr>
        <w:tblStyle w:val="TableGrid"/>
        <w:tblW w:w="0" w:type="auto"/>
        <w:tblLook w:val="04A0" w:firstRow="1" w:lastRow="0" w:firstColumn="1" w:lastColumn="0" w:noHBand="0" w:noVBand="1"/>
      </w:tblPr>
      <w:tblGrid>
        <w:gridCol w:w="2689"/>
        <w:gridCol w:w="425"/>
        <w:gridCol w:w="3204"/>
        <w:gridCol w:w="340"/>
        <w:gridCol w:w="2358"/>
      </w:tblGrid>
      <w:tr w:rsidR="00371A03" w:rsidRPr="00E479C5" w14:paraId="3E596174" w14:textId="77777777" w:rsidTr="009B5B08">
        <w:tc>
          <w:tcPr>
            <w:tcW w:w="9016" w:type="dxa"/>
            <w:gridSpan w:val="5"/>
            <w:tcBorders>
              <w:top w:val="nil"/>
              <w:left w:val="nil"/>
              <w:bottom w:val="nil"/>
              <w:right w:val="nil"/>
            </w:tcBorders>
            <w:shd w:val="clear" w:color="auto" w:fill="D9D9D9" w:themeFill="background1" w:themeFillShade="D9"/>
          </w:tcPr>
          <w:p w14:paraId="46FEF713"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r w:rsidRPr="00E479C5">
              <w:rPr>
                <w:rFonts w:asciiTheme="minorBidi" w:eastAsia="Times New Roman" w:hAnsiTheme="minorBidi"/>
                <w:b/>
                <w:bCs/>
                <w:kern w:val="0"/>
                <w:sz w:val="20"/>
                <w:szCs w:val="20"/>
                <w14:ligatures w14:val="none"/>
              </w:rPr>
              <w:t>Thesis Framework</w:t>
            </w:r>
          </w:p>
        </w:tc>
      </w:tr>
      <w:tr w:rsidR="00371A03" w:rsidRPr="00E479C5" w14:paraId="41B726FC" w14:textId="77777777" w:rsidTr="009B5B08">
        <w:tc>
          <w:tcPr>
            <w:tcW w:w="9016" w:type="dxa"/>
            <w:gridSpan w:val="5"/>
            <w:tcBorders>
              <w:top w:val="nil"/>
              <w:left w:val="nil"/>
              <w:bottom w:val="nil"/>
              <w:right w:val="nil"/>
            </w:tcBorders>
          </w:tcPr>
          <w:p w14:paraId="05FC78E9"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p>
        </w:tc>
      </w:tr>
      <w:tr w:rsidR="00371A03" w:rsidRPr="00E479C5" w14:paraId="13CCBC7C" w14:textId="77777777" w:rsidTr="009B5B08">
        <w:tc>
          <w:tcPr>
            <w:tcW w:w="2689" w:type="dxa"/>
            <w:tcBorders>
              <w:top w:val="nil"/>
              <w:left w:val="nil"/>
              <w:bottom w:val="nil"/>
              <w:right w:val="nil"/>
            </w:tcBorders>
            <w:shd w:val="clear" w:color="auto" w:fill="D9D9D9" w:themeFill="background1" w:themeFillShade="D9"/>
          </w:tcPr>
          <w:p w14:paraId="2A5F6F0F"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r w:rsidRPr="00E479C5">
              <w:rPr>
                <w:rFonts w:asciiTheme="minorBidi" w:eastAsia="Times New Roman" w:hAnsiTheme="minorBidi"/>
                <w:b/>
                <w:bCs/>
                <w:kern w:val="0"/>
                <w:sz w:val="20"/>
                <w:szCs w:val="20"/>
                <w14:ligatures w14:val="none"/>
              </w:rPr>
              <w:t>Research</w:t>
            </w:r>
          </w:p>
          <w:p w14:paraId="2A34604D"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r w:rsidRPr="00E479C5">
              <w:rPr>
                <w:rFonts w:asciiTheme="minorBidi" w:eastAsia="Times New Roman" w:hAnsiTheme="minorBidi"/>
                <w:b/>
                <w:bCs/>
                <w:kern w:val="0"/>
                <w:sz w:val="20"/>
                <w:szCs w:val="20"/>
                <w14:ligatures w14:val="none"/>
              </w:rPr>
              <w:t>Objectives (RO)</w:t>
            </w:r>
          </w:p>
        </w:tc>
        <w:tc>
          <w:tcPr>
            <w:tcW w:w="425" w:type="dxa"/>
            <w:tcBorders>
              <w:top w:val="nil"/>
              <w:left w:val="nil"/>
              <w:bottom w:val="nil"/>
              <w:right w:val="nil"/>
            </w:tcBorders>
            <w:shd w:val="clear" w:color="auto" w:fill="auto"/>
          </w:tcPr>
          <w:p w14:paraId="365F393F"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p>
        </w:tc>
        <w:tc>
          <w:tcPr>
            <w:tcW w:w="3204" w:type="dxa"/>
            <w:tcBorders>
              <w:top w:val="nil"/>
              <w:left w:val="nil"/>
              <w:bottom w:val="nil"/>
              <w:right w:val="nil"/>
            </w:tcBorders>
            <w:shd w:val="clear" w:color="auto" w:fill="D9D9D9" w:themeFill="background1" w:themeFillShade="D9"/>
          </w:tcPr>
          <w:p w14:paraId="7E240677" w14:textId="77777777" w:rsidR="00371A03" w:rsidRPr="00E479C5" w:rsidRDefault="00371A03" w:rsidP="009B5B08">
            <w:pPr>
              <w:spacing w:line="480" w:lineRule="auto"/>
              <w:ind w:left="-253"/>
              <w:jc w:val="center"/>
              <w:rPr>
                <w:rFonts w:asciiTheme="minorBidi" w:eastAsia="Times New Roman" w:hAnsiTheme="minorBidi"/>
                <w:b/>
                <w:bCs/>
                <w:kern w:val="0"/>
                <w:sz w:val="20"/>
                <w:szCs w:val="20"/>
                <w14:ligatures w14:val="none"/>
              </w:rPr>
            </w:pPr>
            <w:r w:rsidRPr="00E479C5">
              <w:rPr>
                <w:rFonts w:asciiTheme="minorBidi" w:eastAsia="Times New Roman" w:hAnsiTheme="minorBidi"/>
                <w:b/>
                <w:bCs/>
                <w:kern w:val="0"/>
                <w:sz w:val="20"/>
                <w:szCs w:val="20"/>
                <w14:ligatures w14:val="none"/>
              </w:rPr>
              <w:t>Thesis Chapters</w:t>
            </w:r>
          </w:p>
        </w:tc>
        <w:tc>
          <w:tcPr>
            <w:tcW w:w="340" w:type="dxa"/>
            <w:tcBorders>
              <w:top w:val="nil"/>
              <w:left w:val="nil"/>
              <w:bottom w:val="nil"/>
              <w:right w:val="nil"/>
            </w:tcBorders>
            <w:shd w:val="clear" w:color="auto" w:fill="auto"/>
          </w:tcPr>
          <w:p w14:paraId="4719089A"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p>
        </w:tc>
        <w:tc>
          <w:tcPr>
            <w:tcW w:w="2358" w:type="dxa"/>
            <w:tcBorders>
              <w:top w:val="nil"/>
              <w:left w:val="nil"/>
              <w:bottom w:val="nil"/>
              <w:right w:val="nil"/>
            </w:tcBorders>
            <w:shd w:val="clear" w:color="auto" w:fill="D9D9D9" w:themeFill="background1" w:themeFillShade="D9"/>
          </w:tcPr>
          <w:p w14:paraId="266BE213"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r w:rsidRPr="00E479C5">
              <w:rPr>
                <w:rFonts w:asciiTheme="minorBidi" w:eastAsia="Times New Roman" w:hAnsiTheme="minorBidi"/>
                <w:b/>
                <w:bCs/>
                <w:kern w:val="0"/>
                <w:sz w:val="20"/>
                <w:szCs w:val="20"/>
                <w14:ligatures w14:val="none"/>
              </w:rPr>
              <w:t>Research Questions (RQ)</w:t>
            </w:r>
          </w:p>
        </w:tc>
      </w:tr>
      <w:tr w:rsidR="00371A03" w:rsidRPr="00E479C5" w14:paraId="12DBD1C8" w14:textId="77777777" w:rsidTr="009B5B08">
        <w:tc>
          <w:tcPr>
            <w:tcW w:w="9016" w:type="dxa"/>
            <w:gridSpan w:val="5"/>
            <w:tcBorders>
              <w:top w:val="nil"/>
              <w:left w:val="nil"/>
              <w:bottom w:val="nil"/>
              <w:right w:val="nil"/>
            </w:tcBorders>
          </w:tcPr>
          <w:p w14:paraId="3067A2C3"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p>
        </w:tc>
      </w:tr>
      <w:tr w:rsidR="00371A03" w:rsidRPr="00E479C5" w14:paraId="595158BE" w14:textId="77777777" w:rsidTr="009B5B08">
        <w:tc>
          <w:tcPr>
            <w:tcW w:w="9016" w:type="dxa"/>
            <w:gridSpan w:val="5"/>
            <w:tcBorders>
              <w:top w:val="nil"/>
              <w:left w:val="nil"/>
              <w:bottom w:val="nil"/>
              <w:right w:val="nil"/>
            </w:tcBorders>
            <w:shd w:val="clear" w:color="auto" w:fill="D9D9D9" w:themeFill="background1" w:themeFillShade="D9"/>
          </w:tcPr>
          <w:p w14:paraId="160BAF50" w14:textId="77777777" w:rsidR="00371A03" w:rsidRPr="00E479C5" w:rsidRDefault="00371A03" w:rsidP="009B5B08">
            <w:pPr>
              <w:spacing w:line="480" w:lineRule="auto"/>
              <w:ind w:left="316"/>
              <w:jc w:val="center"/>
              <w:rPr>
                <w:rFonts w:asciiTheme="minorBidi" w:eastAsia="Times New Roman" w:hAnsiTheme="minorBidi"/>
                <w:b/>
                <w:bCs/>
                <w:kern w:val="0"/>
                <w:sz w:val="20"/>
                <w:szCs w:val="20"/>
                <w14:ligatures w14:val="none"/>
              </w:rPr>
            </w:pPr>
            <w:r w:rsidRPr="00E479C5">
              <w:rPr>
                <w:rFonts w:asciiTheme="minorBidi" w:eastAsia="Times New Roman" w:hAnsiTheme="minorBidi"/>
                <w:b/>
                <w:bCs/>
                <w:kern w:val="0"/>
                <w:sz w:val="20"/>
                <w:szCs w:val="20"/>
                <w14:ligatures w14:val="none"/>
              </w:rPr>
              <w:t>Chapter 1</w:t>
            </w:r>
          </w:p>
        </w:tc>
      </w:tr>
      <w:tr w:rsidR="00371A03" w:rsidRPr="00E479C5" w14:paraId="734C8548" w14:textId="77777777" w:rsidTr="009B5B08">
        <w:tc>
          <w:tcPr>
            <w:tcW w:w="9016" w:type="dxa"/>
            <w:gridSpan w:val="5"/>
            <w:tcBorders>
              <w:top w:val="nil"/>
              <w:left w:val="nil"/>
              <w:bottom w:val="nil"/>
              <w:right w:val="nil"/>
            </w:tcBorders>
          </w:tcPr>
          <w:p w14:paraId="20C65235"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r w:rsidRPr="00E479C5">
              <w:rPr>
                <w:rFonts w:asciiTheme="minorBidi" w:eastAsia="Times New Roman" w:hAnsiTheme="minorBidi"/>
                <w:b/>
                <w:bCs/>
                <w:noProof/>
                <w:kern w:val="0"/>
                <w:sz w:val="20"/>
                <w:szCs w:val="20"/>
              </w:rPr>
              <mc:AlternateContent>
                <mc:Choice Requires="wps">
                  <w:drawing>
                    <wp:anchor distT="0" distB="0" distL="114300" distR="114300" simplePos="0" relativeHeight="251751424" behindDoc="0" locked="0" layoutInCell="1" allowOverlap="1" wp14:anchorId="596F287E" wp14:editId="1871488F">
                      <wp:simplePos x="0" y="0"/>
                      <wp:positionH relativeFrom="column">
                        <wp:posOffset>2350770</wp:posOffset>
                      </wp:positionH>
                      <wp:positionV relativeFrom="paragraph">
                        <wp:posOffset>24130</wp:posOffset>
                      </wp:positionV>
                      <wp:extent cx="909955" cy="539750"/>
                      <wp:effectExtent l="38100" t="0" r="23495" b="31750"/>
                      <wp:wrapNone/>
                      <wp:docPr id="856941846" name="Arrow: Down 6"/>
                      <wp:cNvGraphicFramePr/>
                      <a:graphic xmlns:a="http://schemas.openxmlformats.org/drawingml/2006/main">
                        <a:graphicData uri="http://schemas.microsoft.com/office/word/2010/wordprocessingShape">
                          <wps:wsp>
                            <wps:cNvSpPr/>
                            <wps:spPr>
                              <a:xfrm>
                                <a:off x="0" y="0"/>
                                <a:ext cx="909955" cy="53975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7AAF4CD"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6" o:spid="_x0000_s1026" type="#_x0000_t67" style="position:absolute;margin-left:185.1pt;margin-top:1.9pt;width:71.65pt;height:42.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" adj="10800" fillcolor="#156082" strokecolor="#042433" strokeweight="1pt"/>
                  </w:pict>
                </mc:Fallback>
              </mc:AlternateContent>
            </w:r>
          </w:p>
        </w:tc>
      </w:tr>
      <w:tr w:rsidR="00371A03" w:rsidRPr="00E479C5" w14:paraId="37E70DDD" w14:textId="77777777" w:rsidTr="009B5B08">
        <w:tc>
          <w:tcPr>
            <w:tcW w:w="9016" w:type="dxa"/>
            <w:gridSpan w:val="5"/>
            <w:tcBorders>
              <w:top w:val="nil"/>
              <w:left w:val="nil"/>
              <w:bottom w:val="nil"/>
              <w:right w:val="nil"/>
            </w:tcBorders>
          </w:tcPr>
          <w:p w14:paraId="59A206AD"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p>
        </w:tc>
      </w:tr>
      <w:tr w:rsidR="00371A03" w:rsidRPr="00E479C5" w14:paraId="32DC2155" w14:textId="77777777" w:rsidTr="009B5B08">
        <w:tc>
          <w:tcPr>
            <w:tcW w:w="2689" w:type="dxa"/>
            <w:tcBorders>
              <w:top w:val="nil"/>
              <w:left w:val="nil"/>
              <w:bottom w:val="nil"/>
              <w:right w:val="nil"/>
            </w:tcBorders>
            <w:shd w:val="clear" w:color="auto" w:fill="D9D9D9" w:themeFill="background1" w:themeFillShade="D9"/>
          </w:tcPr>
          <w:p w14:paraId="360BAA28"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r w:rsidRPr="00E479C5">
              <w:rPr>
                <w:rFonts w:asciiTheme="minorBidi" w:eastAsia="Times New Roman" w:hAnsiTheme="minorBidi"/>
                <w:b/>
                <w:bCs/>
                <w:kern w:val="0"/>
                <w:sz w:val="20"/>
                <w:szCs w:val="20"/>
                <w14:ligatures w14:val="none"/>
              </w:rPr>
              <w:t>RO 1 - 4</w:t>
            </w:r>
          </w:p>
        </w:tc>
        <w:tc>
          <w:tcPr>
            <w:tcW w:w="425" w:type="dxa"/>
            <w:tcBorders>
              <w:top w:val="nil"/>
              <w:left w:val="nil"/>
              <w:bottom w:val="nil"/>
              <w:right w:val="nil"/>
            </w:tcBorders>
          </w:tcPr>
          <w:p w14:paraId="788B9652"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p>
        </w:tc>
        <w:tc>
          <w:tcPr>
            <w:tcW w:w="3204" w:type="dxa"/>
            <w:tcBorders>
              <w:top w:val="nil"/>
              <w:left w:val="nil"/>
              <w:bottom w:val="nil"/>
              <w:right w:val="nil"/>
            </w:tcBorders>
            <w:shd w:val="clear" w:color="auto" w:fill="D9D9D9" w:themeFill="background1" w:themeFillShade="D9"/>
          </w:tcPr>
          <w:p w14:paraId="1E12C72B"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r w:rsidRPr="00E479C5">
              <w:rPr>
                <w:rFonts w:asciiTheme="minorBidi" w:eastAsia="Times New Roman" w:hAnsiTheme="minorBidi"/>
                <w:b/>
                <w:bCs/>
                <w:noProof/>
                <w:kern w:val="0"/>
                <w:sz w:val="20"/>
                <w:szCs w:val="20"/>
              </w:rPr>
              <mc:AlternateContent>
                <mc:Choice Requires="wps">
                  <w:drawing>
                    <wp:anchor distT="0" distB="0" distL="114300" distR="114300" simplePos="0" relativeHeight="251745280" behindDoc="0" locked="0" layoutInCell="1" allowOverlap="1" wp14:anchorId="4CF9672C" wp14:editId="16F7D8EE">
                      <wp:simplePos x="0" y="0"/>
                      <wp:positionH relativeFrom="column">
                        <wp:posOffset>1617980</wp:posOffset>
                      </wp:positionH>
                      <wp:positionV relativeFrom="paragraph">
                        <wp:posOffset>290830</wp:posOffset>
                      </wp:positionV>
                      <wp:extent cx="838200" cy="577850"/>
                      <wp:effectExtent l="0" t="19050" r="38100" b="31750"/>
                      <wp:wrapNone/>
                      <wp:docPr id="1376497939" name="Arrow: Right 3"/>
                      <wp:cNvGraphicFramePr/>
                      <a:graphic xmlns:a="http://schemas.openxmlformats.org/drawingml/2006/main">
                        <a:graphicData uri="http://schemas.microsoft.com/office/word/2010/wordprocessingShape">
                          <wps:wsp>
                            <wps:cNvSpPr/>
                            <wps:spPr>
                              <a:xfrm>
                                <a:off x="0" y="0"/>
                                <a:ext cx="838200" cy="577850"/>
                              </a:xfrm>
                              <a:prstGeom prst="rightArrow">
                                <a:avLst>
                                  <a:gd name="adj1" fmla="val 50000"/>
                                  <a:gd name="adj2" fmla="val 45349"/>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4A0C326"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3" o:spid="_x0000_s1026" type="#_x0000_t13" style="position:absolute;margin-left:127.4pt;margin-top:22.9pt;width:66pt;height:45.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" adj="14847" fillcolor="#156082" strokecolor="#042433" strokeweight="1pt"/>
                  </w:pict>
                </mc:Fallback>
              </mc:AlternateContent>
            </w:r>
            <w:r w:rsidRPr="00E479C5">
              <w:rPr>
                <w:rFonts w:asciiTheme="minorBidi" w:eastAsia="Times New Roman" w:hAnsiTheme="minorBidi"/>
                <w:b/>
                <w:bCs/>
                <w:kern w:val="0"/>
                <w:sz w:val="20"/>
                <w:szCs w:val="20"/>
                <w14:ligatures w14:val="none"/>
              </w:rPr>
              <w:t>Chapter 2</w:t>
            </w:r>
          </w:p>
        </w:tc>
        <w:tc>
          <w:tcPr>
            <w:tcW w:w="340" w:type="dxa"/>
            <w:tcBorders>
              <w:top w:val="nil"/>
              <w:left w:val="nil"/>
              <w:bottom w:val="nil"/>
              <w:right w:val="nil"/>
            </w:tcBorders>
          </w:tcPr>
          <w:p w14:paraId="516F8E5E"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p>
        </w:tc>
        <w:tc>
          <w:tcPr>
            <w:tcW w:w="2358" w:type="dxa"/>
            <w:tcBorders>
              <w:top w:val="nil"/>
              <w:left w:val="nil"/>
              <w:bottom w:val="nil"/>
              <w:right w:val="nil"/>
            </w:tcBorders>
            <w:shd w:val="clear" w:color="auto" w:fill="D9D9D9" w:themeFill="background1" w:themeFillShade="D9"/>
          </w:tcPr>
          <w:p w14:paraId="3FB58C82"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r w:rsidRPr="00E479C5">
              <w:rPr>
                <w:rFonts w:asciiTheme="minorBidi" w:eastAsia="Times New Roman" w:hAnsiTheme="minorBidi"/>
                <w:b/>
                <w:bCs/>
                <w:kern w:val="0"/>
                <w:sz w:val="20"/>
                <w:szCs w:val="20"/>
                <w14:ligatures w14:val="none"/>
              </w:rPr>
              <w:t>RQ 1 - 4</w:t>
            </w:r>
          </w:p>
        </w:tc>
      </w:tr>
      <w:tr w:rsidR="00371A03" w:rsidRPr="00E479C5" w14:paraId="4FDCC32E" w14:textId="77777777" w:rsidTr="009B5B08">
        <w:tc>
          <w:tcPr>
            <w:tcW w:w="9016" w:type="dxa"/>
            <w:gridSpan w:val="5"/>
            <w:tcBorders>
              <w:top w:val="nil"/>
              <w:left w:val="nil"/>
              <w:bottom w:val="nil"/>
              <w:right w:val="nil"/>
            </w:tcBorders>
          </w:tcPr>
          <w:p w14:paraId="41F78602" w14:textId="77777777" w:rsidR="00371A03" w:rsidRPr="00E479C5" w:rsidRDefault="00371A03" w:rsidP="009B5B08">
            <w:pPr>
              <w:spacing w:line="480" w:lineRule="auto"/>
              <w:jc w:val="center"/>
              <w:rPr>
                <w:rFonts w:asciiTheme="minorBidi" w:eastAsia="Times New Roman" w:hAnsiTheme="minorBidi"/>
                <w:b/>
                <w:bCs/>
                <w:noProof/>
                <w:kern w:val="0"/>
                <w:sz w:val="20"/>
                <w:szCs w:val="20"/>
              </w:rPr>
            </w:pPr>
            <w:r w:rsidRPr="00E479C5">
              <w:rPr>
                <w:rFonts w:asciiTheme="minorBidi" w:eastAsia="Times New Roman" w:hAnsiTheme="minorBidi"/>
                <w:b/>
                <w:bCs/>
                <w:noProof/>
                <w:kern w:val="0"/>
                <w:sz w:val="20"/>
                <w:szCs w:val="20"/>
              </w:rPr>
              <mc:AlternateContent>
                <mc:Choice Requires="wps">
                  <w:drawing>
                    <wp:anchor distT="0" distB="0" distL="114300" distR="114300" simplePos="0" relativeHeight="251746304" behindDoc="0" locked="0" layoutInCell="1" allowOverlap="1" wp14:anchorId="3D49E30D" wp14:editId="5698333A">
                      <wp:simplePos x="0" y="0"/>
                      <wp:positionH relativeFrom="column">
                        <wp:posOffset>1366520</wp:posOffset>
                      </wp:positionH>
                      <wp:positionV relativeFrom="paragraph">
                        <wp:posOffset>24130</wp:posOffset>
                      </wp:positionV>
                      <wp:extent cx="800100" cy="520700"/>
                      <wp:effectExtent l="19050" t="19050" r="19050" b="31750"/>
                      <wp:wrapNone/>
                      <wp:docPr id="85803875" name="Arrow: Left 4"/>
                      <wp:cNvGraphicFramePr/>
                      <a:graphic xmlns:a="http://schemas.openxmlformats.org/drawingml/2006/main">
                        <a:graphicData uri="http://schemas.microsoft.com/office/word/2010/wordprocessingShape">
                          <wps:wsp>
                            <wps:cNvSpPr/>
                            <wps:spPr>
                              <a:xfrm>
                                <a:off x="0" y="0"/>
                                <a:ext cx="800100" cy="520700"/>
                              </a:xfrm>
                              <a:prstGeom prst="left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FBC8CCD"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rrow: Left 4" o:spid="_x0000_s1026" type="#_x0000_t66" style="position:absolute;margin-left:107.6pt;margin-top:1.9pt;width:63pt;height:41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" adj="7029" fillcolor="#156082" strokecolor="#042433" strokeweight="1pt"/>
                  </w:pict>
                </mc:Fallback>
              </mc:AlternateContent>
            </w:r>
          </w:p>
        </w:tc>
      </w:tr>
      <w:tr w:rsidR="00371A03" w:rsidRPr="00E479C5" w14:paraId="10858917" w14:textId="77777777" w:rsidTr="009B5B08">
        <w:tc>
          <w:tcPr>
            <w:tcW w:w="9016" w:type="dxa"/>
            <w:gridSpan w:val="5"/>
            <w:tcBorders>
              <w:top w:val="nil"/>
              <w:left w:val="nil"/>
              <w:bottom w:val="nil"/>
              <w:right w:val="nil"/>
            </w:tcBorders>
          </w:tcPr>
          <w:p w14:paraId="6338AE59"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r w:rsidRPr="00E479C5">
              <w:rPr>
                <w:rFonts w:asciiTheme="minorBidi" w:eastAsia="Times New Roman" w:hAnsiTheme="minorBidi"/>
                <w:b/>
                <w:bCs/>
                <w:noProof/>
                <w:kern w:val="0"/>
                <w:sz w:val="20"/>
                <w:szCs w:val="20"/>
              </w:rPr>
              <mc:AlternateContent>
                <mc:Choice Requires="wps">
                  <w:drawing>
                    <wp:anchor distT="0" distB="0" distL="114300" distR="114300" simplePos="0" relativeHeight="251752448" behindDoc="0" locked="0" layoutInCell="1" allowOverlap="1" wp14:anchorId="27F2192E" wp14:editId="5F9D0A9E">
                      <wp:simplePos x="0" y="0"/>
                      <wp:positionH relativeFrom="column">
                        <wp:posOffset>2332990</wp:posOffset>
                      </wp:positionH>
                      <wp:positionV relativeFrom="paragraph">
                        <wp:posOffset>-240665</wp:posOffset>
                      </wp:positionV>
                      <wp:extent cx="967105" cy="774700"/>
                      <wp:effectExtent l="19050" t="0" r="23495" b="44450"/>
                      <wp:wrapNone/>
                      <wp:docPr id="2073773960" name="Arrow: Down 6"/>
                      <wp:cNvGraphicFramePr/>
                      <a:graphic xmlns:a="http://schemas.openxmlformats.org/drawingml/2006/main">
                        <a:graphicData uri="http://schemas.microsoft.com/office/word/2010/wordprocessingShape">
                          <wps:wsp>
                            <wps:cNvSpPr/>
                            <wps:spPr>
                              <a:xfrm>
                                <a:off x="0" y="0"/>
                                <a:ext cx="967105" cy="77470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2F10A7" id="Arrow: Down 6" o:spid="_x0000_s1026" type="#_x0000_t67" style="position:absolute;margin-left:183.7pt;margin-top:-18.95pt;width:76.15pt;height:61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" adj="10800" fillcolor="#156082" strokecolor="#042433" strokeweight="1pt"/>
                  </w:pict>
                </mc:Fallback>
              </mc:AlternateContent>
            </w:r>
          </w:p>
        </w:tc>
      </w:tr>
      <w:tr w:rsidR="00371A03" w:rsidRPr="00E479C5" w14:paraId="1E010279" w14:textId="77777777" w:rsidTr="009B5B08">
        <w:tc>
          <w:tcPr>
            <w:tcW w:w="9016" w:type="dxa"/>
            <w:gridSpan w:val="5"/>
            <w:tcBorders>
              <w:top w:val="nil"/>
              <w:left w:val="nil"/>
              <w:bottom w:val="nil"/>
              <w:right w:val="nil"/>
            </w:tcBorders>
          </w:tcPr>
          <w:p w14:paraId="6DE8FB63" w14:textId="77777777" w:rsidR="00371A03" w:rsidRPr="00E479C5" w:rsidRDefault="00371A03" w:rsidP="009B5B08">
            <w:pPr>
              <w:spacing w:line="480" w:lineRule="auto"/>
              <w:jc w:val="center"/>
              <w:rPr>
                <w:rFonts w:asciiTheme="minorBidi" w:eastAsia="Times New Roman" w:hAnsiTheme="minorBidi"/>
                <w:b/>
                <w:bCs/>
                <w:noProof/>
                <w:kern w:val="0"/>
                <w:sz w:val="20"/>
                <w:szCs w:val="20"/>
              </w:rPr>
            </w:pPr>
            <w:r w:rsidRPr="00E479C5">
              <w:rPr>
                <w:rFonts w:asciiTheme="minorBidi" w:eastAsia="Times New Roman" w:hAnsiTheme="minorBidi"/>
                <w:b/>
                <w:bCs/>
                <w:noProof/>
                <w:kern w:val="0"/>
                <w:sz w:val="20"/>
                <w:szCs w:val="20"/>
              </w:rPr>
              <mc:AlternateContent>
                <mc:Choice Requires="wps">
                  <w:drawing>
                    <wp:anchor distT="0" distB="0" distL="114300" distR="114300" simplePos="0" relativeHeight="251756544" behindDoc="0" locked="0" layoutInCell="1" allowOverlap="1" wp14:anchorId="1CA2C136" wp14:editId="2ADB00D2">
                      <wp:simplePos x="0" y="0"/>
                      <wp:positionH relativeFrom="column">
                        <wp:posOffset>134620</wp:posOffset>
                      </wp:positionH>
                      <wp:positionV relativeFrom="paragraph">
                        <wp:posOffset>-521970</wp:posOffset>
                      </wp:positionV>
                      <wp:extent cx="819150" cy="1581150"/>
                      <wp:effectExtent l="19050" t="0" r="38100" b="38100"/>
                      <wp:wrapNone/>
                      <wp:docPr id="2017393007" name="Arrow: Down 6"/>
                      <wp:cNvGraphicFramePr/>
                      <a:graphic xmlns:a="http://schemas.openxmlformats.org/drawingml/2006/main">
                        <a:graphicData uri="http://schemas.microsoft.com/office/word/2010/wordprocessingShape">
                          <wps:wsp>
                            <wps:cNvSpPr/>
                            <wps:spPr>
                              <a:xfrm>
                                <a:off x="0" y="0"/>
                                <a:ext cx="819150" cy="158115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2C9A82" id="Arrow: Down 6" o:spid="_x0000_s1026" type="#_x0000_t67" style="position:absolute;margin-left:10.6pt;margin-top:-41.1pt;width:64.5pt;height:124.5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" adj="16005" fillcolor="#156082" strokecolor="#042433" strokeweight="1pt"/>
                  </w:pict>
                </mc:Fallback>
              </mc:AlternateContent>
            </w:r>
          </w:p>
        </w:tc>
      </w:tr>
      <w:tr w:rsidR="00371A03" w:rsidRPr="00E479C5" w14:paraId="5FCBDAB8" w14:textId="77777777" w:rsidTr="009B5B08">
        <w:tc>
          <w:tcPr>
            <w:tcW w:w="3114" w:type="dxa"/>
            <w:gridSpan w:val="2"/>
            <w:tcBorders>
              <w:top w:val="nil"/>
              <w:left w:val="nil"/>
              <w:bottom w:val="nil"/>
              <w:right w:val="nil"/>
            </w:tcBorders>
          </w:tcPr>
          <w:p w14:paraId="27C89907"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p>
        </w:tc>
        <w:tc>
          <w:tcPr>
            <w:tcW w:w="3204" w:type="dxa"/>
            <w:tcBorders>
              <w:top w:val="nil"/>
              <w:left w:val="nil"/>
              <w:bottom w:val="nil"/>
              <w:right w:val="nil"/>
            </w:tcBorders>
            <w:shd w:val="clear" w:color="auto" w:fill="D9D9D9" w:themeFill="background1" w:themeFillShade="D9"/>
          </w:tcPr>
          <w:p w14:paraId="55A35671"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r w:rsidRPr="00E479C5">
              <w:rPr>
                <w:rFonts w:asciiTheme="minorBidi" w:eastAsia="Times New Roman" w:hAnsiTheme="minorBidi"/>
                <w:b/>
                <w:bCs/>
                <w:kern w:val="0"/>
                <w:sz w:val="20"/>
                <w:szCs w:val="20"/>
                <w14:ligatures w14:val="none"/>
              </w:rPr>
              <w:t>Chapter 3</w:t>
            </w:r>
          </w:p>
        </w:tc>
        <w:tc>
          <w:tcPr>
            <w:tcW w:w="2698" w:type="dxa"/>
            <w:gridSpan w:val="2"/>
            <w:tcBorders>
              <w:top w:val="nil"/>
              <w:left w:val="nil"/>
              <w:bottom w:val="nil"/>
              <w:right w:val="nil"/>
            </w:tcBorders>
          </w:tcPr>
          <w:p w14:paraId="76381007"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p>
        </w:tc>
      </w:tr>
      <w:tr w:rsidR="00371A03" w:rsidRPr="00E479C5" w14:paraId="5AF1B6CA" w14:textId="77777777" w:rsidTr="009B5B08">
        <w:tc>
          <w:tcPr>
            <w:tcW w:w="9016" w:type="dxa"/>
            <w:gridSpan w:val="5"/>
            <w:tcBorders>
              <w:top w:val="nil"/>
              <w:left w:val="nil"/>
              <w:bottom w:val="nil"/>
              <w:right w:val="nil"/>
            </w:tcBorders>
          </w:tcPr>
          <w:p w14:paraId="2A92C08D" w14:textId="77777777" w:rsidR="00371A03" w:rsidRPr="00E479C5" w:rsidRDefault="00371A03" w:rsidP="009B5B08">
            <w:pPr>
              <w:spacing w:line="480" w:lineRule="auto"/>
              <w:jc w:val="center"/>
              <w:rPr>
                <w:rFonts w:asciiTheme="minorBidi" w:eastAsia="Times New Roman" w:hAnsiTheme="minorBidi"/>
                <w:b/>
                <w:bCs/>
                <w:noProof/>
                <w:kern w:val="0"/>
                <w:sz w:val="20"/>
                <w:szCs w:val="20"/>
              </w:rPr>
            </w:pPr>
            <w:r w:rsidRPr="00E479C5">
              <w:rPr>
                <w:rFonts w:asciiTheme="minorBidi" w:eastAsia="Times New Roman" w:hAnsiTheme="minorBidi"/>
                <w:b/>
                <w:bCs/>
                <w:noProof/>
                <w:kern w:val="0"/>
                <w:sz w:val="20"/>
                <w:szCs w:val="20"/>
              </w:rPr>
              <mc:AlternateContent>
                <mc:Choice Requires="wps">
                  <w:drawing>
                    <wp:anchor distT="0" distB="0" distL="114300" distR="114300" simplePos="0" relativeHeight="251753472" behindDoc="0" locked="0" layoutInCell="1" allowOverlap="1" wp14:anchorId="2EBB47B7" wp14:editId="131C84BD">
                      <wp:simplePos x="0" y="0"/>
                      <wp:positionH relativeFrom="column">
                        <wp:posOffset>2193290</wp:posOffset>
                      </wp:positionH>
                      <wp:positionV relativeFrom="paragraph">
                        <wp:posOffset>38735</wp:posOffset>
                      </wp:positionV>
                      <wp:extent cx="1289050" cy="501650"/>
                      <wp:effectExtent l="38100" t="0" r="25400" b="31750"/>
                      <wp:wrapNone/>
                      <wp:docPr id="173510382" name="Arrow: Down 6"/>
                      <wp:cNvGraphicFramePr/>
                      <a:graphic xmlns:a="http://schemas.openxmlformats.org/drawingml/2006/main">
                        <a:graphicData uri="http://schemas.microsoft.com/office/word/2010/wordprocessingShape">
                          <wps:wsp>
                            <wps:cNvSpPr/>
                            <wps:spPr>
                              <a:xfrm>
                                <a:off x="0" y="0"/>
                                <a:ext cx="1289050" cy="50165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554865" id="Arrow: Down 6" o:spid="_x0000_s1026" type="#_x0000_t67" style="position:absolute;margin-left:172.7pt;margin-top:3.05pt;width:101.5pt;height:39.5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" adj="10800" fillcolor="#156082" strokecolor="#042433" strokeweight="1pt"/>
                  </w:pict>
                </mc:Fallback>
              </mc:AlternateContent>
            </w:r>
          </w:p>
        </w:tc>
      </w:tr>
      <w:tr w:rsidR="00371A03" w:rsidRPr="00E479C5" w14:paraId="07FDA8AC" w14:textId="77777777" w:rsidTr="009B5B08">
        <w:tc>
          <w:tcPr>
            <w:tcW w:w="9016" w:type="dxa"/>
            <w:gridSpan w:val="5"/>
            <w:tcBorders>
              <w:top w:val="nil"/>
              <w:left w:val="nil"/>
              <w:bottom w:val="nil"/>
              <w:right w:val="nil"/>
            </w:tcBorders>
          </w:tcPr>
          <w:p w14:paraId="05FE4DDC"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p>
        </w:tc>
      </w:tr>
      <w:tr w:rsidR="00371A03" w:rsidRPr="00E479C5" w14:paraId="21C7BF16" w14:textId="77777777" w:rsidTr="009B5B08">
        <w:tc>
          <w:tcPr>
            <w:tcW w:w="2689" w:type="dxa"/>
            <w:tcBorders>
              <w:top w:val="nil"/>
              <w:left w:val="nil"/>
              <w:bottom w:val="nil"/>
              <w:right w:val="nil"/>
            </w:tcBorders>
            <w:shd w:val="clear" w:color="auto" w:fill="D9D9D9" w:themeFill="background1" w:themeFillShade="D9"/>
          </w:tcPr>
          <w:p w14:paraId="293C875B"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r w:rsidRPr="00E479C5">
              <w:rPr>
                <w:rFonts w:asciiTheme="minorBidi" w:eastAsia="Times New Roman" w:hAnsiTheme="minorBidi"/>
                <w:b/>
                <w:bCs/>
                <w:kern w:val="0"/>
                <w:sz w:val="20"/>
                <w:szCs w:val="20"/>
                <w14:ligatures w14:val="none"/>
              </w:rPr>
              <w:t>RO 5</w:t>
            </w:r>
          </w:p>
        </w:tc>
        <w:tc>
          <w:tcPr>
            <w:tcW w:w="425" w:type="dxa"/>
            <w:tcBorders>
              <w:top w:val="nil"/>
              <w:left w:val="nil"/>
              <w:bottom w:val="nil"/>
              <w:right w:val="nil"/>
            </w:tcBorders>
          </w:tcPr>
          <w:p w14:paraId="122182BB"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p>
        </w:tc>
        <w:tc>
          <w:tcPr>
            <w:tcW w:w="3204" w:type="dxa"/>
            <w:tcBorders>
              <w:top w:val="nil"/>
              <w:left w:val="nil"/>
              <w:bottom w:val="nil"/>
              <w:right w:val="nil"/>
            </w:tcBorders>
            <w:shd w:val="clear" w:color="auto" w:fill="D9D9D9" w:themeFill="background1" w:themeFillShade="D9"/>
          </w:tcPr>
          <w:p w14:paraId="2AA0FD27"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r w:rsidRPr="00E479C5">
              <w:rPr>
                <w:rFonts w:asciiTheme="minorBidi" w:eastAsia="Times New Roman" w:hAnsiTheme="minorBidi"/>
                <w:b/>
                <w:bCs/>
                <w:kern w:val="0"/>
                <w:sz w:val="20"/>
                <w:szCs w:val="20"/>
                <w14:ligatures w14:val="none"/>
              </w:rPr>
              <w:t>Chapter 4</w:t>
            </w:r>
          </w:p>
        </w:tc>
        <w:tc>
          <w:tcPr>
            <w:tcW w:w="340" w:type="dxa"/>
            <w:tcBorders>
              <w:top w:val="nil"/>
              <w:left w:val="nil"/>
              <w:bottom w:val="nil"/>
              <w:right w:val="nil"/>
            </w:tcBorders>
          </w:tcPr>
          <w:p w14:paraId="7D1C8400"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p>
        </w:tc>
        <w:tc>
          <w:tcPr>
            <w:tcW w:w="2358" w:type="dxa"/>
            <w:tcBorders>
              <w:top w:val="nil"/>
              <w:left w:val="nil"/>
              <w:bottom w:val="nil"/>
              <w:right w:val="nil"/>
            </w:tcBorders>
            <w:shd w:val="clear" w:color="auto" w:fill="D9D9D9" w:themeFill="background1" w:themeFillShade="D9"/>
          </w:tcPr>
          <w:p w14:paraId="4A00F51A"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r w:rsidRPr="00E479C5">
              <w:rPr>
                <w:rFonts w:asciiTheme="minorBidi" w:eastAsia="Times New Roman" w:hAnsiTheme="minorBidi"/>
                <w:b/>
                <w:bCs/>
                <w:kern w:val="0"/>
                <w:sz w:val="20"/>
                <w:szCs w:val="20"/>
                <w14:ligatures w14:val="none"/>
              </w:rPr>
              <w:t>RQ 5</w:t>
            </w:r>
          </w:p>
        </w:tc>
      </w:tr>
      <w:tr w:rsidR="00371A03" w:rsidRPr="00E479C5" w14:paraId="53B0CCF0" w14:textId="77777777" w:rsidTr="009B5B08">
        <w:tc>
          <w:tcPr>
            <w:tcW w:w="9016" w:type="dxa"/>
            <w:gridSpan w:val="5"/>
            <w:tcBorders>
              <w:top w:val="nil"/>
              <w:left w:val="nil"/>
              <w:bottom w:val="nil"/>
              <w:right w:val="nil"/>
            </w:tcBorders>
          </w:tcPr>
          <w:p w14:paraId="06FA8444" w14:textId="77777777" w:rsidR="00371A03" w:rsidRPr="00E479C5" w:rsidRDefault="00371A03" w:rsidP="009B5B08">
            <w:pPr>
              <w:spacing w:line="480" w:lineRule="auto"/>
              <w:jc w:val="center"/>
              <w:rPr>
                <w:rFonts w:asciiTheme="minorBidi" w:eastAsia="Times New Roman" w:hAnsiTheme="minorBidi"/>
                <w:b/>
                <w:bCs/>
                <w:noProof/>
                <w:kern w:val="0"/>
                <w:sz w:val="20"/>
                <w:szCs w:val="20"/>
              </w:rPr>
            </w:pPr>
            <w:r w:rsidRPr="00E479C5">
              <w:rPr>
                <w:rFonts w:asciiTheme="minorBidi" w:eastAsia="Times New Roman" w:hAnsiTheme="minorBidi"/>
                <w:b/>
                <w:bCs/>
                <w:noProof/>
                <w:kern w:val="0"/>
                <w:sz w:val="20"/>
                <w:szCs w:val="20"/>
              </w:rPr>
              <mc:AlternateContent>
                <mc:Choice Requires="wps">
                  <w:drawing>
                    <wp:anchor distT="0" distB="0" distL="114300" distR="114300" simplePos="0" relativeHeight="251754496" behindDoc="0" locked="0" layoutInCell="1" allowOverlap="1" wp14:anchorId="5DEDE6FB" wp14:editId="0AC31210">
                      <wp:simplePos x="0" y="0"/>
                      <wp:positionH relativeFrom="column">
                        <wp:posOffset>2293620</wp:posOffset>
                      </wp:positionH>
                      <wp:positionV relativeFrom="paragraph">
                        <wp:posOffset>43815</wp:posOffset>
                      </wp:positionV>
                      <wp:extent cx="1155700" cy="806450"/>
                      <wp:effectExtent l="38100" t="0" r="6350" b="31750"/>
                      <wp:wrapNone/>
                      <wp:docPr id="420368350" name="Arrow: Down 6"/>
                      <wp:cNvGraphicFramePr/>
                      <a:graphic xmlns:a="http://schemas.openxmlformats.org/drawingml/2006/main">
                        <a:graphicData uri="http://schemas.microsoft.com/office/word/2010/wordprocessingShape">
                          <wps:wsp>
                            <wps:cNvSpPr/>
                            <wps:spPr>
                              <a:xfrm>
                                <a:off x="0" y="0"/>
                                <a:ext cx="1155700" cy="80645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CC008B" id="Arrow: Down 6" o:spid="_x0000_s1026" type="#_x0000_t67" style="position:absolute;margin-left:180.6pt;margin-top:3.45pt;width:91pt;height:63.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" adj="10800" fillcolor="#156082" strokecolor="#042433" strokeweight="1pt"/>
                  </w:pict>
                </mc:Fallback>
              </mc:AlternateContent>
            </w:r>
          </w:p>
        </w:tc>
      </w:tr>
      <w:tr w:rsidR="00371A03" w:rsidRPr="00E479C5" w14:paraId="2E583365" w14:textId="77777777" w:rsidTr="009B5B08">
        <w:tc>
          <w:tcPr>
            <w:tcW w:w="9016" w:type="dxa"/>
            <w:gridSpan w:val="5"/>
            <w:tcBorders>
              <w:top w:val="nil"/>
              <w:left w:val="nil"/>
              <w:bottom w:val="nil"/>
              <w:right w:val="nil"/>
            </w:tcBorders>
          </w:tcPr>
          <w:p w14:paraId="40B301C8"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r w:rsidRPr="00E479C5">
              <w:rPr>
                <w:rFonts w:asciiTheme="minorBidi" w:eastAsia="Times New Roman" w:hAnsiTheme="minorBidi"/>
                <w:b/>
                <w:bCs/>
                <w:noProof/>
                <w:kern w:val="0"/>
                <w:sz w:val="20"/>
                <w:szCs w:val="20"/>
              </w:rPr>
              <mc:AlternateContent>
                <mc:Choice Requires="wps">
                  <w:drawing>
                    <wp:anchor distT="0" distB="0" distL="114300" distR="114300" simplePos="0" relativeHeight="251748352" behindDoc="0" locked="0" layoutInCell="1" allowOverlap="1" wp14:anchorId="7898B258" wp14:editId="14FEE590">
                      <wp:simplePos x="0" y="0"/>
                      <wp:positionH relativeFrom="column">
                        <wp:posOffset>1297940</wp:posOffset>
                      </wp:positionH>
                      <wp:positionV relativeFrom="paragraph">
                        <wp:posOffset>-266700</wp:posOffset>
                      </wp:positionV>
                      <wp:extent cx="863600" cy="654050"/>
                      <wp:effectExtent l="19050" t="19050" r="12700" b="31750"/>
                      <wp:wrapNone/>
                      <wp:docPr id="306535959" name="Arrow: Left 4"/>
                      <wp:cNvGraphicFramePr/>
                      <a:graphic xmlns:a="http://schemas.openxmlformats.org/drawingml/2006/main">
                        <a:graphicData uri="http://schemas.microsoft.com/office/word/2010/wordprocessingShape">
                          <wps:wsp>
                            <wps:cNvSpPr/>
                            <wps:spPr>
                              <a:xfrm>
                                <a:off x="0" y="0"/>
                                <a:ext cx="863600" cy="654050"/>
                              </a:xfrm>
                              <a:prstGeom prst="left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015890" id="Arrow: Left 4" o:spid="_x0000_s1026" type="#_x0000_t66" style="position:absolute;margin-left:102.2pt;margin-top:-21pt;width:68pt;height:51.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" adj="8179" fillcolor="#156082" strokecolor="#042433" strokeweight="1pt"/>
                  </w:pict>
                </mc:Fallback>
              </mc:AlternateContent>
            </w:r>
            <w:r w:rsidRPr="00E479C5">
              <w:rPr>
                <w:rFonts w:asciiTheme="minorBidi" w:eastAsia="Times New Roman" w:hAnsiTheme="minorBidi"/>
                <w:b/>
                <w:bCs/>
                <w:noProof/>
                <w:kern w:val="0"/>
                <w:sz w:val="20"/>
                <w:szCs w:val="20"/>
              </w:rPr>
              <mc:AlternateContent>
                <mc:Choice Requires="wps">
                  <w:drawing>
                    <wp:anchor distT="0" distB="0" distL="114300" distR="114300" simplePos="0" relativeHeight="251747328" behindDoc="0" locked="0" layoutInCell="1" allowOverlap="1" wp14:anchorId="11B98814" wp14:editId="15A614AD">
                      <wp:simplePos x="0" y="0"/>
                      <wp:positionH relativeFrom="column">
                        <wp:posOffset>3647440</wp:posOffset>
                      </wp:positionH>
                      <wp:positionV relativeFrom="paragraph">
                        <wp:posOffset>-260350</wp:posOffset>
                      </wp:positionV>
                      <wp:extent cx="869950" cy="698500"/>
                      <wp:effectExtent l="0" t="19050" r="44450" b="44450"/>
                      <wp:wrapNone/>
                      <wp:docPr id="1984648463" name="Arrow: Right 3"/>
                      <wp:cNvGraphicFramePr/>
                      <a:graphic xmlns:a="http://schemas.openxmlformats.org/drawingml/2006/main">
                        <a:graphicData uri="http://schemas.microsoft.com/office/word/2010/wordprocessingShape">
                          <wps:wsp>
                            <wps:cNvSpPr/>
                            <wps:spPr>
                              <a:xfrm>
                                <a:off x="0" y="0"/>
                                <a:ext cx="869950" cy="698500"/>
                              </a:xfrm>
                              <a:prstGeom prst="right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5D2083" id="Arrow: Right 3" o:spid="_x0000_s1026" type="#_x0000_t13" style="position:absolute;margin-left:287.2pt;margin-top:-20.5pt;width:68.5pt;height:5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" adj="12928" fillcolor="#156082" strokecolor="#042433" strokeweight="1pt"/>
                  </w:pict>
                </mc:Fallback>
              </mc:AlternateContent>
            </w:r>
            <w:r w:rsidRPr="00E479C5">
              <w:rPr>
                <w:rFonts w:asciiTheme="minorBidi" w:eastAsia="Times New Roman" w:hAnsiTheme="minorBidi"/>
                <w:b/>
                <w:bCs/>
                <w:noProof/>
                <w:kern w:val="0"/>
                <w:sz w:val="20"/>
                <w:szCs w:val="20"/>
              </w:rPr>
              <mc:AlternateContent>
                <mc:Choice Requires="wps">
                  <w:drawing>
                    <wp:anchor distT="0" distB="0" distL="114300" distR="114300" simplePos="0" relativeHeight="251757568" behindDoc="0" locked="0" layoutInCell="1" allowOverlap="1" wp14:anchorId="1F73E72C" wp14:editId="3C7850E9">
                      <wp:simplePos x="0" y="0"/>
                      <wp:positionH relativeFrom="column">
                        <wp:posOffset>1270</wp:posOffset>
                      </wp:positionH>
                      <wp:positionV relativeFrom="paragraph">
                        <wp:posOffset>-203835</wp:posOffset>
                      </wp:positionV>
                      <wp:extent cx="1155700" cy="704850"/>
                      <wp:effectExtent l="38100" t="0" r="6350" b="38100"/>
                      <wp:wrapNone/>
                      <wp:docPr id="51136245" name="Arrow: Down 6"/>
                      <wp:cNvGraphicFramePr/>
                      <a:graphic xmlns:a="http://schemas.openxmlformats.org/drawingml/2006/main">
                        <a:graphicData uri="http://schemas.microsoft.com/office/word/2010/wordprocessingShape">
                          <wps:wsp>
                            <wps:cNvSpPr/>
                            <wps:spPr>
                              <a:xfrm>
                                <a:off x="0" y="0"/>
                                <a:ext cx="1155700" cy="70485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880F61" id="Arrow: Down 6" o:spid="_x0000_s1026" type="#_x0000_t67" style="position:absolute;margin-left:.1pt;margin-top:-16.05pt;width:91pt;height:55.5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" adj="10800" fillcolor="#156082" strokecolor="#042433" strokeweight="1pt"/>
                  </w:pict>
                </mc:Fallback>
              </mc:AlternateContent>
            </w:r>
          </w:p>
        </w:tc>
      </w:tr>
      <w:tr w:rsidR="00371A03" w:rsidRPr="00E479C5" w14:paraId="25311CE8" w14:textId="77777777" w:rsidTr="009B5B08">
        <w:tc>
          <w:tcPr>
            <w:tcW w:w="9016" w:type="dxa"/>
            <w:gridSpan w:val="5"/>
            <w:tcBorders>
              <w:top w:val="nil"/>
              <w:left w:val="nil"/>
              <w:bottom w:val="nil"/>
              <w:right w:val="nil"/>
            </w:tcBorders>
          </w:tcPr>
          <w:p w14:paraId="08B86616" w14:textId="77777777" w:rsidR="00371A03" w:rsidRPr="00E479C5" w:rsidRDefault="00371A03" w:rsidP="009B5B08">
            <w:pPr>
              <w:spacing w:line="480" w:lineRule="auto"/>
              <w:jc w:val="center"/>
              <w:rPr>
                <w:rFonts w:asciiTheme="minorBidi" w:eastAsia="Times New Roman" w:hAnsiTheme="minorBidi"/>
                <w:b/>
                <w:bCs/>
                <w:noProof/>
                <w:kern w:val="0"/>
                <w:sz w:val="20"/>
                <w:szCs w:val="20"/>
              </w:rPr>
            </w:pPr>
          </w:p>
        </w:tc>
      </w:tr>
      <w:tr w:rsidR="00371A03" w:rsidRPr="00E479C5" w14:paraId="529978C8" w14:textId="77777777" w:rsidTr="009B5B08">
        <w:tc>
          <w:tcPr>
            <w:tcW w:w="2689" w:type="dxa"/>
            <w:tcBorders>
              <w:top w:val="nil"/>
              <w:left w:val="nil"/>
              <w:bottom w:val="nil"/>
              <w:right w:val="nil"/>
            </w:tcBorders>
            <w:shd w:val="clear" w:color="auto" w:fill="D9D9D9" w:themeFill="background1" w:themeFillShade="D9"/>
          </w:tcPr>
          <w:p w14:paraId="682EAB9F"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r w:rsidRPr="00E479C5">
              <w:rPr>
                <w:rFonts w:asciiTheme="minorBidi" w:eastAsia="Times New Roman" w:hAnsiTheme="minorBidi"/>
                <w:b/>
                <w:bCs/>
                <w:kern w:val="0"/>
                <w:sz w:val="20"/>
                <w:szCs w:val="20"/>
                <w14:ligatures w14:val="none"/>
              </w:rPr>
              <w:t>RO 6</w:t>
            </w:r>
          </w:p>
        </w:tc>
        <w:tc>
          <w:tcPr>
            <w:tcW w:w="425" w:type="dxa"/>
            <w:tcBorders>
              <w:top w:val="nil"/>
              <w:left w:val="nil"/>
              <w:bottom w:val="nil"/>
              <w:right w:val="nil"/>
            </w:tcBorders>
          </w:tcPr>
          <w:p w14:paraId="617AED91"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p>
        </w:tc>
        <w:tc>
          <w:tcPr>
            <w:tcW w:w="3204" w:type="dxa"/>
            <w:tcBorders>
              <w:top w:val="nil"/>
              <w:left w:val="nil"/>
              <w:bottom w:val="nil"/>
              <w:right w:val="nil"/>
            </w:tcBorders>
            <w:shd w:val="clear" w:color="auto" w:fill="D9D9D9" w:themeFill="background1" w:themeFillShade="D9"/>
          </w:tcPr>
          <w:p w14:paraId="43F8C8B7"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r w:rsidRPr="00E479C5">
              <w:rPr>
                <w:rFonts w:asciiTheme="minorBidi" w:eastAsia="Times New Roman" w:hAnsiTheme="minorBidi"/>
                <w:b/>
                <w:bCs/>
                <w:kern w:val="0"/>
                <w:sz w:val="20"/>
                <w:szCs w:val="20"/>
                <w14:ligatures w14:val="none"/>
              </w:rPr>
              <w:t>Chapter 5</w:t>
            </w:r>
          </w:p>
        </w:tc>
        <w:tc>
          <w:tcPr>
            <w:tcW w:w="340" w:type="dxa"/>
            <w:tcBorders>
              <w:top w:val="nil"/>
              <w:left w:val="nil"/>
              <w:bottom w:val="nil"/>
              <w:right w:val="nil"/>
            </w:tcBorders>
          </w:tcPr>
          <w:p w14:paraId="3A38E3AE"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p>
        </w:tc>
        <w:tc>
          <w:tcPr>
            <w:tcW w:w="2358" w:type="dxa"/>
            <w:tcBorders>
              <w:top w:val="nil"/>
              <w:left w:val="nil"/>
              <w:bottom w:val="nil"/>
              <w:right w:val="nil"/>
            </w:tcBorders>
            <w:shd w:val="clear" w:color="auto" w:fill="D9D9D9" w:themeFill="background1" w:themeFillShade="D9"/>
          </w:tcPr>
          <w:p w14:paraId="338363D4"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r w:rsidRPr="00E479C5">
              <w:rPr>
                <w:rFonts w:asciiTheme="minorBidi" w:eastAsia="Times New Roman" w:hAnsiTheme="minorBidi"/>
                <w:b/>
                <w:bCs/>
                <w:kern w:val="0"/>
                <w:sz w:val="20"/>
                <w:szCs w:val="20"/>
                <w14:ligatures w14:val="none"/>
              </w:rPr>
              <w:t>RQ 6</w:t>
            </w:r>
          </w:p>
        </w:tc>
      </w:tr>
      <w:tr w:rsidR="00371A03" w:rsidRPr="00E479C5" w14:paraId="06BA6740" w14:textId="77777777" w:rsidTr="009B5B08">
        <w:tc>
          <w:tcPr>
            <w:tcW w:w="9016" w:type="dxa"/>
            <w:gridSpan w:val="5"/>
            <w:tcBorders>
              <w:top w:val="nil"/>
              <w:left w:val="nil"/>
              <w:bottom w:val="nil"/>
              <w:right w:val="nil"/>
            </w:tcBorders>
          </w:tcPr>
          <w:p w14:paraId="64BB7668" w14:textId="77777777" w:rsidR="00371A03" w:rsidRPr="00E479C5" w:rsidRDefault="00371A03" w:rsidP="009B5B08">
            <w:pPr>
              <w:spacing w:line="480" w:lineRule="auto"/>
              <w:jc w:val="center"/>
              <w:rPr>
                <w:rFonts w:asciiTheme="minorBidi" w:eastAsia="Times New Roman" w:hAnsiTheme="minorBidi"/>
                <w:b/>
                <w:bCs/>
                <w:noProof/>
                <w:kern w:val="0"/>
                <w:sz w:val="20"/>
                <w:szCs w:val="20"/>
              </w:rPr>
            </w:pPr>
          </w:p>
        </w:tc>
      </w:tr>
      <w:tr w:rsidR="00371A03" w:rsidRPr="00E479C5" w14:paraId="001C5853" w14:textId="77777777" w:rsidTr="009B5B08">
        <w:tc>
          <w:tcPr>
            <w:tcW w:w="9016" w:type="dxa"/>
            <w:gridSpan w:val="5"/>
            <w:tcBorders>
              <w:top w:val="nil"/>
              <w:left w:val="nil"/>
              <w:bottom w:val="nil"/>
              <w:right w:val="nil"/>
            </w:tcBorders>
          </w:tcPr>
          <w:p w14:paraId="3817B234"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r w:rsidRPr="00E479C5">
              <w:rPr>
                <w:rFonts w:asciiTheme="minorBidi" w:eastAsia="Times New Roman" w:hAnsiTheme="minorBidi"/>
                <w:b/>
                <w:bCs/>
                <w:noProof/>
                <w:kern w:val="0"/>
                <w:sz w:val="20"/>
                <w:szCs w:val="20"/>
              </w:rPr>
              <mc:AlternateContent>
                <mc:Choice Requires="wps">
                  <w:drawing>
                    <wp:anchor distT="0" distB="0" distL="114300" distR="114300" simplePos="0" relativeHeight="251755520" behindDoc="0" locked="0" layoutInCell="1" allowOverlap="1" wp14:anchorId="6EC4D0E2" wp14:editId="1B5D15DB">
                      <wp:simplePos x="0" y="0"/>
                      <wp:positionH relativeFrom="column">
                        <wp:posOffset>2256790</wp:posOffset>
                      </wp:positionH>
                      <wp:positionV relativeFrom="paragraph">
                        <wp:posOffset>13335</wp:posOffset>
                      </wp:positionV>
                      <wp:extent cx="1174750" cy="806450"/>
                      <wp:effectExtent l="38100" t="0" r="6350" b="31750"/>
                      <wp:wrapNone/>
                      <wp:docPr id="770800298" name="Arrow: Down 6"/>
                      <wp:cNvGraphicFramePr/>
                      <a:graphic xmlns:a="http://schemas.openxmlformats.org/drawingml/2006/main">
                        <a:graphicData uri="http://schemas.microsoft.com/office/word/2010/wordprocessingShape">
                          <wps:wsp>
                            <wps:cNvSpPr/>
                            <wps:spPr>
                              <a:xfrm>
                                <a:off x="0" y="0"/>
                                <a:ext cx="1174750" cy="80645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042187" id="Arrow: Down 6" o:spid="_x0000_s1026" type="#_x0000_t67" style="position:absolute;margin-left:177.7pt;margin-top:1.05pt;width:92.5pt;height:63.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" adj="10800" fillcolor="#156082" strokecolor="#042433" strokeweight="1pt"/>
                  </w:pict>
                </mc:Fallback>
              </mc:AlternateContent>
            </w:r>
            <w:r w:rsidRPr="00E479C5">
              <w:rPr>
                <w:rFonts w:asciiTheme="minorBidi" w:eastAsia="Times New Roman" w:hAnsiTheme="minorBidi"/>
                <w:b/>
                <w:bCs/>
                <w:noProof/>
                <w:kern w:val="0"/>
                <w:sz w:val="20"/>
                <w:szCs w:val="20"/>
              </w:rPr>
              <mc:AlternateContent>
                <mc:Choice Requires="wps">
                  <w:drawing>
                    <wp:anchor distT="0" distB="0" distL="114300" distR="114300" simplePos="0" relativeHeight="251750400" behindDoc="0" locked="0" layoutInCell="1" allowOverlap="1" wp14:anchorId="668F13A1" wp14:editId="19F0F809">
                      <wp:simplePos x="0" y="0"/>
                      <wp:positionH relativeFrom="column">
                        <wp:posOffset>3493770</wp:posOffset>
                      </wp:positionH>
                      <wp:positionV relativeFrom="paragraph">
                        <wp:posOffset>-216535</wp:posOffset>
                      </wp:positionV>
                      <wp:extent cx="984250" cy="673100"/>
                      <wp:effectExtent l="0" t="19050" r="44450" b="31750"/>
                      <wp:wrapNone/>
                      <wp:docPr id="475273971" name="Arrow: Right 3"/>
                      <wp:cNvGraphicFramePr/>
                      <a:graphic xmlns:a="http://schemas.openxmlformats.org/drawingml/2006/main">
                        <a:graphicData uri="http://schemas.microsoft.com/office/word/2010/wordprocessingShape">
                          <wps:wsp>
                            <wps:cNvSpPr/>
                            <wps:spPr>
                              <a:xfrm>
                                <a:off x="0" y="0"/>
                                <a:ext cx="984250" cy="673100"/>
                              </a:xfrm>
                              <a:prstGeom prst="right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B733CB" id="Arrow: Right 3" o:spid="_x0000_s1026" type="#_x0000_t13" style="position:absolute;margin-left:275.1pt;margin-top:-17.05pt;width:77.5pt;height:53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" adj="14214" fillcolor="#156082" strokecolor="#042433" strokeweight="1pt"/>
                  </w:pict>
                </mc:Fallback>
              </mc:AlternateContent>
            </w:r>
            <w:r w:rsidRPr="00E479C5">
              <w:rPr>
                <w:rFonts w:asciiTheme="minorBidi" w:eastAsia="Times New Roman" w:hAnsiTheme="minorBidi"/>
                <w:b/>
                <w:bCs/>
                <w:noProof/>
                <w:kern w:val="0"/>
                <w:sz w:val="20"/>
                <w:szCs w:val="20"/>
              </w:rPr>
              <mc:AlternateContent>
                <mc:Choice Requires="wps">
                  <w:drawing>
                    <wp:anchor distT="0" distB="0" distL="114300" distR="114300" simplePos="0" relativeHeight="251758592" behindDoc="0" locked="0" layoutInCell="1" allowOverlap="1" wp14:anchorId="4C681E00" wp14:editId="5153D0B2">
                      <wp:simplePos x="0" y="0"/>
                      <wp:positionH relativeFrom="column">
                        <wp:posOffset>1270</wp:posOffset>
                      </wp:positionH>
                      <wp:positionV relativeFrom="paragraph">
                        <wp:posOffset>-229235</wp:posOffset>
                      </wp:positionV>
                      <wp:extent cx="1155700" cy="1035050"/>
                      <wp:effectExtent l="19050" t="0" r="44450" b="31750"/>
                      <wp:wrapNone/>
                      <wp:docPr id="684799936" name="Arrow: Down 6"/>
                      <wp:cNvGraphicFramePr/>
                      <a:graphic xmlns:a="http://schemas.openxmlformats.org/drawingml/2006/main">
                        <a:graphicData uri="http://schemas.microsoft.com/office/word/2010/wordprocessingShape">
                          <wps:wsp>
                            <wps:cNvSpPr/>
                            <wps:spPr>
                              <a:xfrm>
                                <a:off x="0" y="0"/>
                                <a:ext cx="1155700" cy="103505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408D0C" id="Arrow: Down 6" o:spid="_x0000_s1026" type="#_x0000_t67" style="position:absolute;margin-left:.1pt;margin-top:-18.05pt;width:91pt;height:81.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" adj="10800" fillcolor="#156082" strokecolor="#042433" strokeweight="1pt"/>
                  </w:pict>
                </mc:Fallback>
              </mc:AlternateContent>
            </w:r>
            <w:r w:rsidRPr="00E479C5">
              <w:rPr>
                <w:rFonts w:asciiTheme="minorBidi" w:eastAsia="Times New Roman" w:hAnsiTheme="minorBidi"/>
                <w:b/>
                <w:bCs/>
                <w:noProof/>
                <w:kern w:val="0"/>
                <w:sz w:val="20"/>
                <w:szCs w:val="20"/>
              </w:rPr>
              <mc:AlternateContent>
                <mc:Choice Requires="wps">
                  <w:drawing>
                    <wp:anchor distT="0" distB="0" distL="114300" distR="114300" simplePos="0" relativeHeight="251749376" behindDoc="0" locked="0" layoutInCell="1" allowOverlap="1" wp14:anchorId="177A2FAF" wp14:editId="4583F915">
                      <wp:simplePos x="0" y="0"/>
                      <wp:positionH relativeFrom="column">
                        <wp:posOffset>1283970</wp:posOffset>
                      </wp:positionH>
                      <wp:positionV relativeFrom="paragraph">
                        <wp:posOffset>-191135</wp:posOffset>
                      </wp:positionV>
                      <wp:extent cx="939800" cy="673100"/>
                      <wp:effectExtent l="19050" t="19050" r="12700" b="31750"/>
                      <wp:wrapNone/>
                      <wp:docPr id="1820416143" name="Arrow: Left 4"/>
                      <wp:cNvGraphicFramePr/>
                      <a:graphic xmlns:a="http://schemas.openxmlformats.org/drawingml/2006/main">
                        <a:graphicData uri="http://schemas.microsoft.com/office/word/2010/wordprocessingShape">
                          <wps:wsp>
                            <wps:cNvSpPr/>
                            <wps:spPr>
                              <a:xfrm>
                                <a:off x="0" y="0"/>
                                <a:ext cx="939800" cy="673100"/>
                              </a:xfrm>
                              <a:prstGeom prst="left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5002E4" id="Arrow: Left 4" o:spid="_x0000_s1026" type="#_x0000_t66" style="position:absolute;margin-left:101.1pt;margin-top:-15.05pt;width:74pt;height:53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" adj="7735" fillcolor="#156082" strokecolor="#042433" strokeweight="1pt"/>
                  </w:pict>
                </mc:Fallback>
              </mc:AlternateContent>
            </w:r>
          </w:p>
        </w:tc>
      </w:tr>
      <w:tr w:rsidR="00371A03" w:rsidRPr="00E479C5" w14:paraId="59E85EB4" w14:textId="77777777" w:rsidTr="009B5B08">
        <w:tc>
          <w:tcPr>
            <w:tcW w:w="9016" w:type="dxa"/>
            <w:gridSpan w:val="5"/>
            <w:tcBorders>
              <w:top w:val="nil"/>
              <w:left w:val="nil"/>
              <w:bottom w:val="nil"/>
              <w:right w:val="nil"/>
            </w:tcBorders>
          </w:tcPr>
          <w:p w14:paraId="5A751D0D" w14:textId="77777777" w:rsidR="00371A03" w:rsidRPr="00E479C5" w:rsidRDefault="00371A03" w:rsidP="009B5B08">
            <w:pPr>
              <w:spacing w:line="480" w:lineRule="auto"/>
              <w:jc w:val="center"/>
              <w:rPr>
                <w:rFonts w:asciiTheme="minorBidi" w:eastAsia="Times New Roman" w:hAnsiTheme="minorBidi"/>
                <w:b/>
                <w:bCs/>
                <w:noProof/>
                <w:kern w:val="0"/>
                <w:sz w:val="20"/>
                <w:szCs w:val="20"/>
              </w:rPr>
            </w:pPr>
          </w:p>
        </w:tc>
      </w:tr>
      <w:tr w:rsidR="00371A03" w:rsidRPr="00E479C5" w14:paraId="2A9168C5" w14:textId="77777777" w:rsidTr="009B5B08">
        <w:tc>
          <w:tcPr>
            <w:tcW w:w="9016" w:type="dxa"/>
            <w:gridSpan w:val="5"/>
            <w:tcBorders>
              <w:top w:val="nil"/>
              <w:left w:val="nil"/>
              <w:bottom w:val="nil"/>
              <w:right w:val="nil"/>
            </w:tcBorders>
          </w:tcPr>
          <w:p w14:paraId="42860598" w14:textId="77777777" w:rsidR="00371A03" w:rsidRPr="00E479C5" w:rsidRDefault="00371A03" w:rsidP="009B5B08">
            <w:pPr>
              <w:spacing w:line="480" w:lineRule="auto"/>
              <w:jc w:val="center"/>
              <w:rPr>
                <w:rFonts w:asciiTheme="minorBidi" w:eastAsia="Times New Roman" w:hAnsiTheme="minorBidi"/>
                <w:b/>
                <w:bCs/>
                <w:noProof/>
                <w:kern w:val="0"/>
                <w:sz w:val="20"/>
                <w:szCs w:val="20"/>
              </w:rPr>
            </w:pPr>
          </w:p>
        </w:tc>
      </w:tr>
      <w:tr w:rsidR="00371A03" w:rsidRPr="00E479C5" w14:paraId="1D51E336" w14:textId="77777777" w:rsidTr="009B5B08">
        <w:tc>
          <w:tcPr>
            <w:tcW w:w="9016" w:type="dxa"/>
            <w:gridSpan w:val="5"/>
            <w:tcBorders>
              <w:top w:val="nil"/>
              <w:left w:val="nil"/>
              <w:bottom w:val="nil"/>
              <w:right w:val="nil"/>
            </w:tcBorders>
            <w:shd w:val="clear" w:color="auto" w:fill="D9D9D9" w:themeFill="background1" w:themeFillShade="D9"/>
          </w:tcPr>
          <w:p w14:paraId="276D0B29" w14:textId="77777777" w:rsidR="00371A03" w:rsidRPr="00E479C5" w:rsidRDefault="00371A03" w:rsidP="009B5B08">
            <w:pPr>
              <w:spacing w:line="480" w:lineRule="auto"/>
              <w:jc w:val="center"/>
              <w:rPr>
                <w:rFonts w:asciiTheme="minorBidi" w:eastAsia="Times New Roman" w:hAnsiTheme="minorBidi"/>
                <w:b/>
                <w:bCs/>
                <w:kern w:val="0"/>
                <w:sz w:val="20"/>
                <w:szCs w:val="20"/>
                <w14:ligatures w14:val="none"/>
              </w:rPr>
            </w:pPr>
            <w:r w:rsidRPr="00E479C5">
              <w:rPr>
                <w:rFonts w:asciiTheme="minorBidi" w:eastAsia="Times New Roman" w:hAnsiTheme="minorBidi"/>
                <w:b/>
                <w:bCs/>
                <w:kern w:val="0"/>
                <w:sz w:val="20"/>
                <w:szCs w:val="20"/>
                <w14:ligatures w14:val="none"/>
              </w:rPr>
              <w:t>Research Aim</w:t>
            </w:r>
          </w:p>
        </w:tc>
      </w:tr>
    </w:tbl>
    <w:p w14:paraId="698654BF" w14:textId="5D1C3F49" w:rsidR="00371A03" w:rsidRPr="000E0E3D" w:rsidRDefault="00371A03" w:rsidP="00371A03">
      <w:pPr>
        <w:spacing w:after="0" w:line="480" w:lineRule="auto"/>
        <w:jc w:val="both"/>
        <w:rPr>
          <w:rFonts w:asciiTheme="minorBidi" w:eastAsia="Times New Roman" w:hAnsiTheme="minorBidi"/>
          <w:b/>
          <w:bCs/>
          <w:kern w:val="0"/>
          <w14:ligatures w14:val="none"/>
        </w:rPr>
      </w:pPr>
      <w:r>
        <w:rPr>
          <w:rFonts w:asciiTheme="minorBidi" w:eastAsia="Times New Roman" w:hAnsiTheme="minorBidi"/>
          <w:b/>
          <w:bCs/>
          <w:kern w:val="0"/>
          <w14:ligatures w14:val="none"/>
        </w:rPr>
        <w:t>Figure 1.4 Thesis Framework</w:t>
      </w:r>
    </w:p>
    <w:p w14:paraId="656A0EFF" w14:textId="77777777" w:rsidR="00371A03" w:rsidRPr="00E254A0" w:rsidRDefault="00371A03" w:rsidP="00E6731B">
      <w:pPr>
        <w:spacing w:line="480" w:lineRule="auto"/>
        <w:jc w:val="both"/>
        <w:rPr>
          <w:rFonts w:asciiTheme="minorBidi" w:hAnsiTheme="minorBidi"/>
        </w:rPr>
        <w:sectPr w:rsidR="00371A03" w:rsidRPr="00E254A0" w:rsidSect="003E44A1">
          <w:pgSz w:w="11906" w:h="16838" w:code="9"/>
          <w:pgMar w:top="1440" w:right="1440" w:bottom="1440" w:left="1440" w:header="709" w:footer="709" w:gutter="0"/>
          <w:cols w:space="708"/>
          <w:titlePg/>
          <w:docGrid w:linePitch="360"/>
        </w:sectPr>
      </w:pPr>
    </w:p>
    <w:bookmarkStart w:id="373" w:name="DH2"/>
    <w:p w14:paraId="568C2904" w14:textId="2130C0DE" w:rsidR="00891F5D" w:rsidRDefault="00897894" w:rsidP="00891F5D">
      <w:pPr>
        <w:pBdr>
          <w:top w:val="single" w:sz="4" w:space="1" w:color="auto"/>
          <w:left w:val="single" w:sz="4" w:space="4" w:color="auto"/>
          <w:bottom w:val="single" w:sz="4" w:space="1" w:color="auto"/>
          <w:right w:val="single" w:sz="4" w:space="4" w:color="auto"/>
        </w:pBdr>
        <w:rPr>
          <w:rFonts w:asciiTheme="minorBidi" w:hAnsiTheme="minorBidi"/>
          <w:b/>
          <w:bCs/>
          <w:lang w:val="en-US" w:eastAsia="en-US"/>
        </w:rPr>
      </w:pPr>
      <w:r>
        <w:rPr>
          <w:rFonts w:asciiTheme="minorBidi" w:hAnsiTheme="minorBidi"/>
          <w:b/>
          <w:bCs/>
          <w:lang w:val="en-US" w:eastAsia="en-US"/>
        </w:rPr>
        <w:lastRenderedPageBreak/>
        <w:fldChar w:fldCharType="begin"/>
      </w:r>
      <w:r>
        <w:rPr>
          <w:rFonts w:asciiTheme="minorBidi" w:hAnsiTheme="minorBidi"/>
          <w:b/>
          <w:bCs/>
          <w:lang w:val="en-US" w:eastAsia="en-US"/>
        </w:rPr>
        <w:instrText>HYPERLINK  \l "CH2"</w:instrText>
      </w:r>
      <w:r>
        <w:rPr>
          <w:rFonts w:asciiTheme="minorBidi" w:hAnsiTheme="minorBidi"/>
          <w:b/>
          <w:bCs/>
          <w:lang w:val="en-US" w:eastAsia="en-US"/>
        </w:rPr>
      </w:r>
      <w:r>
        <w:rPr>
          <w:rFonts w:asciiTheme="minorBidi" w:hAnsiTheme="minorBidi"/>
          <w:b/>
          <w:bCs/>
          <w:lang w:val="en-US" w:eastAsia="en-US"/>
        </w:rPr>
        <w:fldChar w:fldCharType="separate"/>
      </w:r>
      <w:r w:rsidR="00891F5D" w:rsidRPr="00897894">
        <w:rPr>
          <w:rStyle w:val="Hyperlink"/>
          <w:rFonts w:asciiTheme="minorBidi" w:hAnsiTheme="minorBidi"/>
          <w:b/>
          <w:bCs/>
          <w:lang w:val="en-US" w:eastAsia="en-US"/>
        </w:rPr>
        <w:t>Chapter Two</w:t>
      </w:r>
      <w:r w:rsidRPr="00897894">
        <w:rPr>
          <w:rStyle w:val="Hyperlink"/>
          <w:rFonts w:asciiTheme="minorBidi" w:hAnsiTheme="minorBidi"/>
          <w:b/>
          <w:bCs/>
          <w:lang w:val="en-US" w:eastAsia="en-US"/>
        </w:rPr>
        <w:t>: Literature Review</w:t>
      </w:r>
      <w:r>
        <w:rPr>
          <w:rFonts w:asciiTheme="minorBidi" w:hAnsiTheme="minorBidi"/>
          <w:b/>
          <w:bCs/>
          <w:lang w:val="en-US" w:eastAsia="en-US"/>
        </w:rPr>
        <w:fldChar w:fldCharType="end"/>
      </w:r>
    </w:p>
    <w:bookmarkEnd w:id="373"/>
    <w:p w14:paraId="125C05A6" w14:textId="77777777" w:rsidR="00891F5D" w:rsidRPr="00891F5D" w:rsidRDefault="00891F5D" w:rsidP="00891F5D">
      <w:pPr>
        <w:rPr>
          <w:rFonts w:asciiTheme="minorBidi" w:hAnsiTheme="minorBidi"/>
          <w:b/>
          <w:bCs/>
          <w:lang w:val="en-US" w:eastAsia="en-US"/>
        </w:rPr>
      </w:pPr>
    </w:p>
    <w:bookmarkStart w:id="374" w:name="D14"/>
    <w:p w14:paraId="5A0E6481" w14:textId="4C92EF30" w:rsidR="00891F5D" w:rsidRPr="00891F5D" w:rsidRDefault="00C03DE8" w:rsidP="00140050">
      <w:pPr>
        <w:pBdr>
          <w:top w:val="single" w:sz="4" w:space="1" w:color="auto"/>
          <w:left w:val="single" w:sz="4" w:space="4" w:color="auto"/>
          <w:bottom w:val="single" w:sz="4" w:space="1" w:color="auto"/>
          <w:right w:val="single" w:sz="4" w:space="4" w:color="auto"/>
        </w:pBdr>
        <w:spacing w:after="200" w:line="240" w:lineRule="auto"/>
        <w:jc w:val="both"/>
        <w:rPr>
          <w:rFonts w:asciiTheme="minorBidi" w:eastAsiaTheme="minorHAnsi" w:hAnsiTheme="minorBidi"/>
          <w:b/>
          <w:bCs/>
          <w:kern w:val="0"/>
          <w:lang w:val="en-US" w:eastAsia="en-US"/>
          <w14:ligatures w14:val="none"/>
        </w:rPr>
      </w:pPr>
      <w:r>
        <w:rPr>
          <w:rFonts w:asciiTheme="minorBidi" w:eastAsiaTheme="minorHAnsi" w:hAnsiTheme="minorBidi"/>
          <w:b/>
          <w:bCs/>
          <w:kern w:val="0"/>
          <w:lang w:val="en-US" w:eastAsia="en-US"/>
          <w14:ligatures w14:val="none"/>
        </w:rPr>
        <w:fldChar w:fldCharType="begin"/>
      </w:r>
      <w:r>
        <w:rPr>
          <w:rFonts w:asciiTheme="minorBidi" w:eastAsiaTheme="minorHAnsi" w:hAnsiTheme="minorBidi"/>
          <w:b/>
          <w:bCs/>
          <w:kern w:val="0"/>
          <w:lang w:val="en-US" w:eastAsia="en-US"/>
          <w14:ligatures w14:val="none"/>
        </w:rPr>
        <w:instrText>HYPERLINK  \l "C14"</w:instrText>
      </w:r>
      <w:r>
        <w:rPr>
          <w:rFonts w:asciiTheme="minorBidi" w:eastAsiaTheme="minorHAnsi" w:hAnsiTheme="minorBidi"/>
          <w:b/>
          <w:bCs/>
          <w:kern w:val="0"/>
          <w:lang w:val="en-US" w:eastAsia="en-US"/>
          <w14:ligatures w14:val="none"/>
        </w:rPr>
      </w:r>
      <w:r>
        <w:rPr>
          <w:rFonts w:asciiTheme="minorBidi" w:eastAsiaTheme="minorHAnsi" w:hAnsiTheme="minorBidi"/>
          <w:b/>
          <w:bCs/>
          <w:kern w:val="0"/>
          <w:lang w:val="en-US" w:eastAsia="en-US"/>
          <w14:ligatures w14:val="none"/>
        </w:rPr>
        <w:fldChar w:fldCharType="separate"/>
      </w:r>
      <w:r w:rsidR="00891F5D" w:rsidRPr="00C03DE8">
        <w:rPr>
          <w:rStyle w:val="Hyperlink"/>
          <w:rFonts w:asciiTheme="minorBidi" w:eastAsiaTheme="minorHAnsi" w:hAnsiTheme="minorBidi"/>
          <w:b/>
          <w:bCs/>
          <w:kern w:val="0"/>
          <w:lang w:val="en-US" w:eastAsia="en-US"/>
          <w14:ligatures w14:val="none"/>
        </w:rPr>
        <w:t>2.0 Introduction</w:t>
      </w:r>
      <w:r>
        <w:rPr>
          <w:rFonts w:asciiTheme="minorBidi" w:eastAsiaTheme="minorHAnsi" w:hAnsiTheme="minorBidi"/>
          <w:b/>
          <w:bCs/>
          <w:kern w:val="0"/>
          <w:lang w:val="en-US" w:eastAsia="en-US"/>
          <w14:ligatures w14:val="none"/>
        </w:rPr>
        <w:fldChar w:fldCharType="end"/>
      </w:r>
      <w:r w:rsidR="00891F5D" w:rsidRPr="00891F5D">
        <w:rPr>
          <w:rFonts w:asciiTheme="minorBidi" w:eastAsiaTheme="minorHAnsi" w:hAnsiTheme="minorBidi"/>
          <w:b/>
          <w:bCs/>
          <w:kern w:val="0"/>
          <w:lang w:val="en-US" w:eastAsia="en-US"/>
          <w14:ligatures w14:val="none"/>
        </w:rPr>
        <w:t xml:space="preserve"> </w:t>
      </w:r>
    </w:p>
    <w:bookmarkEnd w:id="374"/>
    <w:p w14:paraId="753291D6" w14:textId="77777777" w:rsidR="00891F5D" w:rsidRPr="00891F5D" w:rsidRDefault="00891F5D" w:rsidP="00891F5D">
      <w:pPr>
        <w:spacing w:line="480" w:lineRule="auto"/>
        <w:jc w:val="both"/>
        <w:rPr>
          <w:rFonts w:asciiTheme="minorBidi" w:eastAsiaTheme="minorHAnsi" w:hAnsiTheme="minorBidi"/>
          <w:kern w:val="0"/>
          <w:lang w:val="en-US" w:eastAsia="en-US"/>
          <w14:ligatures w14:val="none"/>
        </w:rPr>
      </w:pPr>
      <w:r w:rsidRPr="00891F5D">
        <w:rPr>
          <w:rFonts w:asciiTheme="minorBidi" w:hAnsiTheme="minorBidi"/>
        </w:rPr>
        <w:t xml:space="preserve">As shown in Figure 2.1, the literature review </w:t>
      </w:r>
      <w:r w:rsidRPr="00891F5D">
        <w:rPr>
          <w:rFonts w:asciiTheme="minorBidi" w:hAnsiTheme="minorBidi"/>
          <w:noProof/>
        </w:rPr>
        <w:t>is divided</w:t>
      </w:r>
      <w:r w:rsidRPr="00891F5D">
        <w:rPr>
          <w:rFonts w:asciiTheme="minorBidi" w:hAnsiTheme="minorBidi"/>
        </w:rPr>
        <w:t xml:space="preserve"> </w:t>
      </w:r>
      <w:r w:rsidRPr="00891F5D">
        <w:rPr>
          <w:rFonts w:asciiTheme="minorBidi" w:hAnsiTheme="minorBidi"/>
          <w:noProof/>
        </w:rPr>
        <w:t>into</w:t>
      </w:r>
      <w:r w:rsidRPr="00891F5D">
        <w:rPr>
          <w:rFonts w:asciiTheme="minorBidi" w:hAnsiTheme="minorBidi"/>
        </w:rPr>
        <w:t xml:space="preserve"> two parts, part one will focus on </w:t>
      </w:r>
      <w:r w:rsidRPr="00891F5D">
        <w:rPr>
          <w:rFonts w:asciiTheme="minorBidi" w:eastAsiaTheme="minorHAnsi" w:hAnsiTheme="minorBidi"/>
          <w:kern w:val="0"/>
          <w:lang w:val="en-US" w:eastAsia="en-US"/>
          <w14:ligatures w14:val="none"/>
        </w:rPr>
        <w:t>Accounting Fraud literature and the following themes which enable a coherent and structured approach to addressing Research Objectives and Questions 1 – 3 (See Table 2.1):</w:t>
      </w:r>
    </w:p>
    <w:p w14:paraId="3011AAF1" w14:textId="77777777" w:rsidR="00891F5D" w:rsidRPr="00891F5D" w:rsidRDefault="00891F5D" w:rsidP="00891F5D">
      <w:pPr>
        <w:numPr>
          <w:ilvl w:val="0"/>
          <w:numId w:val="1"/>
        </w:numPr>
        <w:spacing w:line="480" w:lineRule="auto"/>
        <w:contextualSpacing/>
        <w:jc w:val="both"/>
        <w:rPr>
          <w:rFonts w:asciiTheme="minorBidi" w:eastAsiaTheme="minorHAnsi" w:hAnsiTheme="minorBidi"/>
          <w:kern w:val="0"/>
          <w:lang w:val="en-US" w:eastAsia="en-US"/>
          <w14:ligatures w14:val="none"/>
        </w:rPr>
      </w:pPr>
      <w:r w:rsidRPr="00891F5D">
        <w:rPr>
          <w:rFonts w:asciiTheme="minorBidi" w:eastAsiaTheme="minorHAnsi" w:hAnsiTheme="minorBidi"/>
          <w:kern w:val="0"/>
          <w:lang w:val="en-US" w:eastAsia="en-US"/>
          <w14:ligatures w14:val="none"/>
        </w:rPr>
        <w:t>Types of Accounting Fraud with applications to recent accounting scandals</w:t>
      </w:r>
    </w:p>
    <w:p w14:paraId="30D79E1E" w14:textId="77777777" w:rsidR="00891F5D" w:rsidRPr="00891F5D" w:rsidRDefault="00891F5D" w:rsidP="00891F5D">
      <w:pPr>
        <w:numPr>
          <w:ilvl w:val="0"/>
          <w:numId w:val="1"/>
        </w:numPr>
        <w:spacing w:line="480" w:lineRule="auto"/>
        <w:contextualSpacing/>
        <w:jc w:val="both"/>
        <w:rPr>
          <w:rFonts w:asciiTheme="minorBidi" w:eastAsiaTheme="minorHAnsi" w:hAnsiTheme="minorBidi"/>
          <w:kern w:val="0"/>
          <w:lang w:val="en-US" w:eastAsia="en-US"/>
          <w14:ligatures w14:val="none"/>
        </w:rPr>
      </w:pPr>
      <w:r w:rsidRPr="00891F5D">
        <w:rPr>
          <w:rFonts w:asciiTheme="minorBidi" w:eastAsiaTheme="minorHAnsi" w:hAnsiTheme="minorBidi"/>
          <w:kern w:val="0"/>
          <w:lang w:val="en-US" w:eastAsia="en-US"/>
          <w14:ligatures w14:val="none"/>
        </w:rPr>
        <w:t>The Motivations for committing Accounting Fraud</w:t>
      </w:r>
    </w:p>
    <w:p w14:paraId="5AD9B213" w14:textId="77777777" w:rsidR="00891F5D" w:rsidRPr="00891F5D" w:rsidRDefault="00891F5D" w:rsidP="00891F5D">
      <w:pPr>
        <w:numPr>
          <w:ilvl w:val="0"/>
          <w:numId w:val="1"/>
        </w:numPr>
        <w:spacing w:line="480" w:lineRule="auto"/>
        <w:contextualSpacing/>
        <w:jc w:val="both"/>
        <w:rPr>
          <w:rFonts w:asciiTheme="minorBidi" w:eastAsiaTheme="minorHAnsi" w:hAnsiTheme="minorBidi"/>
          <w:kern w:val="0"/>
          <w:lang w:val="en-US" w:eastAsia="en-US"/>
          <w14:ligatures w14:val="none"/>
        </w:rPr>
      </w:pPr>
      <w:r w:rsidRPr="00891F5D">
        <w:rPr>
          <w:rFonts w:asciiTheme="minorBidi" w:eastAsiaTheme="minorHAnsi" w:hAnsiTheme="minorBidi"/>
          <w:kern w:val="0"/>
          <w:lang w:val="en-US" w:eastAsia="en-US"/>
          <w14:ligatures w14:val="none"/>
        </w:rPr>
        <w:t>The Relationship between Accounting Fraud and Corporate Governance</w:t>
      </w:r>
    </w:p>
    <w:p w14:paraId="6C916030" w14:textId="77777777" w:rsidR="00891F5D" w:rsidRPr="00891F5D" w:rsidRDefault="00891F5D" w:rsidP="00891F5D">
      <w:pPr>
        <w:numPr>
          <w:ilvl w:val="0"/>
          <w:numId w:val="1"/>
        </w:numPr>
        <w:spacing w:line="480" w:lineRule="auto"/>
        <w:contextualSpacing/>
        <w:jc w:val="both"/>
        <w:rPr>
          <w:rFonts w:asciiTheme="minorBidi" w:eastAsiaTheme="minorHAnsi" w:hAnsiTheme="minorBidi"/>
          <w:kern w:val="0"/>
          <w:lang w:val="en-US" w:eastAsia="en-US"/>
          <w14:ligatures w14:val="none"/>
        </w:rPr>
      </w:pPr>
      <w:r w:rsidRPr="00891F5D">
        <w:rPr>
          <w:rFonts w:asciiTheme="minorBidi" w:eastAsiaTheme="minorHAnsi" w:hAnsiTheme="minorBidi"/>
          <w:kern w:val="0"/>
          <w:lang w:val="en-US" w:eastAsia="en-US"/>
          <w14:ligatures w14:val="none"/>
        </w:rPr>
        <w:t>The Socio-Economic and Psychological pressures causing Accounting Fraud</w:t>
      </w:r>
    </w:p>
    <w:p w14:paraId="2023F0C0" w14:textId="77777777" w:rsidR="00891F5D" w:rsidRPr="00891F5D" w:rsidRDefault="00891F5D" w:rsidP="00891F5D">
      <w:pPr>
        <w:numPr>
          <w:ilvl w:val="0"/>
          <w:numId w:val="1"/>
        </w:numPr>
        <w:spacing w:line="480" w:lineRule="auto"/>
        <w:contextualSpacing/>
        <w:jc w:val="both"/>
        <w:rPr>
          <w:rFonts w:asciiTheme="minorBidi" w:eastAsiaTheme="minorHAnsi" w:hAnsiTheme="minorBidi"/>
          <w:kern w:val="0"/>
          <w:lang w:val="en-US" w:eastAsia="en-US"/>
          <w14:ligatures w14:val="none"/>
        </w:rPr>
      </w:pPr>
      <w:r w:rsidRPr="00891F5D">
        <w:rPr>
          <w:rFonts w:asciiTheme="minorBidi" w:eastAsiaTheme="minorHAnsi" w:hAnsiTheme="minorBidi"/>
          <w:kern w:val="0"/>
          <w:lang w:val="en-US" w:eastAsia="en-US"/>
          <w14:ligatures w14:val="none"/>
        </w:rPr>
        <w:t>Emergence of the Corporate Psychopath Accountant</w:t>
      </w:r>
    </w:p>
    <w:p w14:paraId="1DD7AB07" w14:textId="77777777" w:rsidR="00891F5D" w:rsidRPr="00891F5D" w:rsidRDefault="00891F5D" w:rsidP="00891F5D">
      <w:pPr>
        <w:spacing w:line="480" w:lineRule="auto"/>
        <w:jc w:val="both"/>
        <w:rPr>
          <w:rFonts w:asciiTheme="minorBidi" w:eastAsiaTheme="minorHAnsi" w:hAnsiTheme="minorBidi"/>
          <w:kern w:val="0"/>
          <w:lang w:val="en-US" w:eastAsia="en-US"/>
          <w14:ligatures w14:val="none"/>
        </w:rPr>
      </w:pPr>
      <w:r w:rsidRPr="00891F5D">
        <w:rPr>
          <w:rFonts w:asciiTheme="minorBidi" w:eastAsiaTheme="minorHAnsi" w:hAnsiTheme="minorBidi"/>
          <w:kern w:val="0"/>
          <w:lang w:val="en-US" w:eastAsia="en-US"/>
          <w14:ligatures w14:val="none"/>
        </w:rPr>
        <w:t>Theme five will be underpinned by the Fraud Triangle Theory (Cressey, 1950, 1953) and Dark Triad Theory (Jones &amp; Paulus, 2017), this will lead to the literature gap and further sub research questions.</w:t>
      </w:r>
    </w:p>
    <w:p w14:paraId="5C0DCD43" w14:textId="68AF151E" w:rsidR="00140050" w:rsidRDefault="00891F5D" w:rsidP="003E44A1">
      <w:pPr>
        <w:spacing w:line="480" w:lineRule="auto"/>
        <w:jc w:val="both"/>
        <w:rPr>
          <w:rFonts w:asciiTheme="minorBidi" w:eastAsiaTheme="minorHAnsi" w:hAnsiTheme="minorBidi"/>
          <w:kern w:val="0"/>
          <w:lang w:val="en-US" w:eastAsia="en-US"/>
          <w14:ligatures w14:val="none"/>
        </w:rPr>
      </w:pPr>
      <w:r w:rsidRPr="00891F5D">
        <w:rPr>
          <w:rFonts w:asciiTheme="minorBidi" w:eastAsiaTheme="minorHAnsi" w:hAnsiTheme="minorBidi"/>
          <w:kern w:val="0"/>
          <w:lang w:val="en-US" w:eastAsia="en-US"/>
          <w14:ligatures w14:val="none"/>
        </w:rPr>
        <w:t>Part two will focus on the Blockchain and Blockchain Technology, additional sub research questions and end with a list of hypotheses and they will be tested.</w:t>
      </w:r>
    </w:p>
    <w:p w14:paraId="698E5EAC" w14:textId="7A8D7551" w:rsidR="00891F5D" w:rsidRPr="00891F5D" w:rsidRDefault="00891F5D" w:rsidP="00891F5D">
      <w:pPr>
        <w:spacing w:line="256" w:lineRule="auto"/>
        <w:rPr>
          <w:rFonts w:ascii="Arial" w:eastAsiaTheme="minorHAnsi" w:hAnsi="Arial" w:cs="Arial"/>
          <w:b/>
          <w:bCs/>
          <w:kern w:val="0"/>
          <w:sz w:val="22"/>
          <w:szCs w:val="22"/>
          <w:lang w:val="en-US" w:eastAsia="en-US"/>
          <w14:ligatures w14:val="none"/>
        </w:rPr>
      </w:pPr>
      <w:r w:rsidRPr="00891F5D">
        <w:rPr>
          <w:rFonts w:ascii="Arial" w:eastAsiaTheme="minorHAnsi" w:hAnsi="Arial" w:cs="Arial"/>
          <w:b/>
          <w:bCs/>
          <w:kern w:val="0"/>
          <w:sz w:val="22"/>
          <w:szCs w:val="22"/>
          <w:lang w:val="en-US" w:eastAsia="en-US"/>
          <w14:ligatures w14:val="none"/>
        </w:rPr>
        <w:t>Figure 2.1 Literature Review Chapter Break Down</w:t>
      </w:r>
    </w:p>
    <w:tbl>
      <w:tblPr>
        <w:tblStyle w:val="TableGrid"/>
        <w:tblW w:w="0" w:type="auto"/>
        <w:tblLook w:val="04A0" w:firstRow="1" w:lastRow="0" w:firstColumn="1" w:lastColumn="0" w:noHBand="0" w:noVBand="1"/>
      </w:tblPr>
      <w:tblGrid>
        <w:gridCol w:w="3397"/>
        <w:gridCol w:w="1111"/>
        <w:gridCol w:w="1441"/>
        <w:gridCol w:w="3067"/>
      </w:tblGrid>
      <w:tr w:rsidR="00891F5D" w:rsidRPr="00891F5D" w14:paraId="50F302B0" w14:textId="77777777" w:rsidTr="001D4222">
        <w:tc>
          <w:tcPr>
            <w:tcW w:w="9016" w:type="dxa"/>
            <w:gridSpan w:val="4"/>
            <w:tcBorders>
              <w:bottom w:val="single" w:sz="4" w:space="0" w:color="auto"/>
            </w:tcBorders>
          </w:tcPr>
          <w:p w14:paraId="15D2DDC7" w14:textId="77777777" w:rsidR="00891F5D" w:rsidRPr="00891F5D" w:rsidRDefault="00891F5D" w:rsidP="00891F5D">
            <w:pPr>
              <w:spacing w:line="256" w:lineRule="auto"/>
              <w:rPr>
                <w:rFonts w:ascii="Arial" w:eastAsiaTheme="minorHAnsi" w:hAnsi="Arial" w:cs="Arial"/>
                <w:b/>
                <w:bCs/>
                <w:kern w:val="0"/>
                <w:lang w:val="en-US" w:eastAsia="en-US"/>
                <w14:ligatures w14:val="none"/>
              </w:rPr>
            </w:pPr>
          </w:p>
          <w:p w14:paraId="5592E758" w14:textId="77777777" w:rsidR="00891F5D" w:rsidRPr="00891F5D" w:rsidRDefault="00891F5D" w:rsidP="00891F5D">
            <w:pPr>
              <w:spacing w:line="256" w:lineRule="auto"/>
              <w:jc w:val="center"/>
              <w:rPr>
                <w:rFonts w:ascii="Arial" w:eastAsiaTheme="minorHAnsi" w:hAnsi="Arial" w:cs="Arial"/>
                <w:b/>
                <w:bCs/>
                <w:kern w:val="0"/>
                <w:lang w:val="en-US" w:eastAsia="en-US"/>
                <w14:ligatures w14:val="none"/>
              </w:rPr>
            </w:pPr>
            <w:r w:rsidRPr="00891F5D">
              <w:rPr>
                <w:rFonts w:ascii="Arial" w:eastAsiaTheme="minorHAnsi" w:hAnsi="Arial" w:cs="Arial"/>
                <w:b/>
                <w:bCs/>
                <w:kern w:val="0"/>
                <w:lang w:val="en-US" w:eastAsia="en-US"/>
                <w14:ligatures w14:val="none"/>
              </w:rPr>
              <w:t>Literature Review Chapter Break Down</w:t>
            </w:r>
          </w:p>
          <w:p w14:paraId="7FC202D1" w14:textId="77777777" w:rsidR="00891F5D" w:rsidRPr="00891F5D" w:rsidRDefault="00891F5D" w:rsidP="00891F5D">
            <w:pPr>
              <w:spacing w:line="256" w:lineRule="auto"/>
              <w:jc w:val="center"/>
              <w:rPr>
                <w:rFonts w:ascii="Arial" w:eastAsiaTheme="minorHAnsi" w:hAnsi="Arial" w:cs="Arial"/>
                <w:kern w:val="0"/>
                <w:lang w:val="en-US" w:eastAsia="en-US"/>
                <w14:ligatures w14:val="none"/>
              </w:rPr>
            </w:pPr>
          </w:p>
        </w:tc>
      </w:tr>
      <w:tr w:rsidR="00891F5D" w:rsidRPr="00891F5D" w14:paraId="4F0054B6" w14:textId="77777777" w:rsidTr="001D4222">
        <w:tc>
          <w:tcPr>
            <w:tcW w:w="3397" w:type="dxa"/>
            <w:tcBorders>
              <w:top w:val="single" w:sz="4" w:space="0" w:color="auto"/>
              <w:left w:val="nil"/>
              <w:bottom w:val="nil"/>
              <w:right w:val="nil"/>
            </w:tcBorders>
          </w:tcPr>
          <w:p w14:paraId="15BAF008" w14:textId="77777777" w:rsidR="00891F5D" w:rsidRPr="00891F5D" w:rsidRDefault="00891F5D" w:rsidP="00891F5D">
            <w:pPr>
              <w:spacing w:line="256" w:lineRule="auto"/>
              <w:rPr>
                <w:rFonts w:ascii="Arial" w:eastAsiaTheme="minorHAnsi" w:hAnsi="Arial" w:cs="Arial"/>
                <w:kern w:val="0"/>
                <w:lang w:val="en-US" w:eastAsia="en-US"/>
                <w14:ligatures w14:val="none"/>
              </w:rPr>
            </w:pPr>
          </w:p>
        </w:tc>
        <w:tc>
          <w:tcPr>
            <w:tcW w:w="1111" w:type="dxa"/>
            <w:tcBorders>
              <w:top w:val="single" w:sz="4" w:space="0" w:color="auto"/>
              <w:left w:val="nil"/>
              <w:bottom w:val="nil"/>
              <w:right w:val="nil"/>
            </w:tcBorders>
          </w:tcPr>
          <w:p w14:paraId="3F97316E" w14:textId="77777777" w:rsidR="00891F5D" w:rsidRPr="00891F5D" w:rsidRDefault="00891F5D" w:rsidP="00891F5D">
            <w:pPr>
              <w:spacing w:line="256" w:lineRule="auto"/>
              <w:rPr>
                <w:rFonts w:ascii="Arial" w:eastAsiaTheme="minorHAnsi" w:hAnsi="Arial" w:cs="Arial"/>
                <w:kern w:val="0"/>
                <w:lang w:val="en-US" w:eastAsia="en-US"/>
                <w14:ligatures w14:val="none"/>
              </w:rPr>
            </w:pPr>
          </w:p>
        </w:tc>
        <w:tc>
          <w:tcPr>
            <w:tcW w:w="1441" w:type="dxa"/>
            <w:tcBorders>
              <w:top w:val="single" w:sz="4" w:space="0" w:color="auto"/>
              <w:left w:val="nil"/>
              <w:bottom w:val="nil"/>
              <w:right w:val="nil"/>
            </w:tcBorders>
          </w:tcPr>
          <w:p w14:paraId="26503097" w14:textId="77777777" w:rsidR="00891F5D" w:rsidRPr="00891F5D" w:rsidRDefault="00891F5D" w:rsidP="00891F5D">
            <w:pPr>
              <w:spacing w:line="256" w:lineRule="auto"/>
              <w:rPr>
                <w:rFonts w:ascii="Arial" w:eastAsiaTheme="minorHAnsi" w:hAnsi="Arial" w:cs="Arial"/>
                <w:kern w:val="0"/>
                <w:lang w:val="en-US" w:eastAsia="en-US"/>
                <w14:ligatures w14:val="none"/>
              </w:rPr>
            </w:pPr>
          </w:p>
        </w:tc>
        <w:tc>
          <w:tcPr>
            <w:tcW w:w="3067" w:type="dxa"/>
            <w:tcBorders>
              <w:top w:val="single" w:sz="4" w:space="0" w:color="auto"/>
              <w:left w:val="nil"/>
              <w:bottom w:val="nil"/>
              <w:right w:val="nil"/>
            </w:tcBorders>
          </w:tcPr>
          <w:p w14:paraId="6D64CC59" w14:textId="77777777" w:rsidR="00891F5D" w:rsidRPr="00891F5D" w:rsidRDefault="00891F5D" w:rsidP="00891F5D">
            <w:pPr>
              <w:spacing w:line="256" w:lineRule="auto"/>
              <w:rPr>
                <w:rFonts w:ascii="Arial" w:eastAsiaTheme="minorHAnsi" w:hAnsi="Arial" w:cs="Arial"/>
                <w:kern w:val="0"/>
                <w:lang w:val="en-US" w:eastAsia="en-US"/>
                <w14:ligatures w14:val="none"/>
              </w:rPr>
            </w:pPr>
          </w:p>
        </w:tc>
      </w:tr>
      <w:tr w:rsidR="00891F5D" w:rsidRPr="00891F5D" w14:paraId="6EA56C71" w14:textId="77777777" w:rsidTr="001D4222">
        <w:tc>
          <w:tcPr>
            <w:tcW w:w="3397" w:type="dxa"/>
            <w:tcBorders>
              <w:top w:val="nil"/>
              <w:left w:val="nil"/>
              <w:bottom w:val="nil"/>
              <w:right w:val="nil"/>
            </w:tcBorders>
          </w:tcPr>
          <w:p w14:paraId="5ABEB6FD" w14:textId="77777777" w:rsidR="00891F5D" w:rsidRPr="00891F5D" w:rsidRDefault="00891F5D" w:rsidP="00891F5D">
            <w:pPr>
              <w:spacing w:line="256" w:lineRule="auto"/>
              <w:rPr>
                <w:rFonts w:ascii="Arial" w:eastAsiaTheme="minorHAnsi" w:hAnsi="Arial" w:cs="Arial"/>
                <w:kern w:val="0"/>
                <w:lang w:val="en-US" w:eastAsia="en-US"/>
                <w14:ligatures w14:val="none"/>
              </w:rPr>
            </w:pPr>
          </w:p>
        </w:tc>
        <w:tc>
          <w:tcPr>
            <w:tcW w:w="1111" w:type="dxa"/>
            <w:tcBorders>
              <w:top w:val="nil"/>
              <w:left w:val="nil"/>
              <w:bottom w:val="nil"/>
              <w:right w:val="nil"/>
            </w:tcBorders>
          </w:tcPr>
          <w:p w14:paraId="617EDED3" w14:textId="77777777" w:rsidR="00891F5D" w:rsidRPr="00891F5D" w:rsidRDefault="00891F5D" w:rsidP="00891F5D">
            <w:pPr>
              <w:spacing w:line="256" w:lineRule="auto"/>
              <w:rPr>
                <w:rFonts w:ascii="Arial" w:eastAsiaTheme="minorHAnsi" w:hAnsi="Arial" w:cs="Arial"/>
                <w:kern w:val="0"/>
                <w:lang w:val="en-US" w:eastAsia="en-US"/>
                <w14:ligatures w14:val="none"/>
              </w:rPr>
            </w:pPr>
          </w:p>
        </w:tc>
        <w:tc>
          <w:tcPr>
            <w:tcW w:w="1441" w:type="dxa"/>
            <w:tcBorders>
              <w:top w:val="nil"/>
              <w:left w:val="nil"/>
              <w:bottom w:val="nil"/>
              <w:right w:val="nil"/>
            </w:tcBorders>
          </w:tcPr>
          <w:p w14:paraId="5B373977" w14:textId="77777777" w:rsidR="00891F5D" w:rsidRPr="00891F5D" w:rsidRDefault="00891F5D" w:rsidP="00891F5D">
            <w:pPr>
              <w:spacing w:line="256" w:lineRule="auto"/>
              <w:rPr>
                <w:rFonts w:ascii="Arial" w:eastAsiaTheme="minorHAnsi" w:hAnsi="Arial" w:cs="Arial"/>
                <w:kern w:val="0"/>
                <w:lang w:val="en-US" w:eastAsia="en-US"/>
                <w14:ligatures w14:val="none"/>
              </w:rPr>
            </w:pPr>
          </w:p>
        </w:tc>
        <w:tc>
          <w:tcPr>
            <w:tcW w:w="3067" w:type="dxa"/>
            <w:tcBorders>
              <w:top w:val="nil"/>
              <w:left w:val="nil"/>
              <w:bottom w:val="nil"/>
              <w:right w:val="nil"/>
            </w:tcBorders>
          </w:tcPr>
          <w:p w14:paraId="70A46AE3" w14:textId="77777777" w:rsidR="00891F5D" w:rsidRPr="00891F5D" w:rsidRDefault="00891F5D" w:rsidP="00891F5D">
            <w:pPr>
              <w:spacing w:line="256" w:lineRule="auto"/>
              <w:rPr>
                <w:rFonts w:ascii="Arial" w:eastAsiaTheme="minorHAnsi" w:hAnsi="Arial" w:cs="Arial"/>
                <w:kern w:val="0"/>
                <w:lang w:val="en-US" w:eastAsia="en-US"/>
                <w14:ligatures w14:val="none"/>
              </w:rPr>
            </w:pPr>
          </w:p>
        </w:tc>
      </w:tr>
      <w:tr w:rsidR="00891F5D" w:rsidRPr="00891F5D" w14:paraId="5CD6E3A1" w14:textId="77777777" w:rsidTr="001D4222">
        <w:tc>
          <w:tcPr>
            <w:tcW w:w="3397" w:type="dxa"/>
            <w:tcBorders>
              <w:top w:val="nil"/>
              <w:left w:val="nil"/>
              <w:bottom w:val="single" w:sz="4" w:space="0" w:color="auto"/>
              <w:right w:val="nil"/>
            </w:tcBorders>
          </w:tcPr>
          <w:p w14:paraId="5B3E0D21" w14:textId="77777777" w:rsidR="00891F5D" w:rsidRPr="00891F5D" w:rsidRDefault="00891F5D" w:rsidP="00891F5D">
            <w:pPr>
              <w:spacing w:line="256" w:lineRule="auto"/>
              <w:rPr>
                <w:rFonts w:ascii="Arial" w:eastAsiaTheme="minorHAnsi" w:hAnsi="Arial" w:cs="Arial"/>
                <w:kern w:val="0"/>
                <w:lang w:val="en-US" w:eastAsia="en-US"/>
                <w14:ligatures w14:val="none"/>
              </w:rPr>
            </w:pPr>
            <w:r w:rsidRPr="00891F5D">
              <w:rPr>
                <w:rFonts w:ascii="Arial" w:eastAsiaTheme="minorHAnsi" w:hAnsi="Arial" w:cs="Arial"/>
                <w:noProof/>
                <w:kern w:val="0"/>
                <w:lang w:val="en-US" w:eastAsia="en-US"/>
              </w:rPr>
              <mc:AlternateContent>
                <mc:Choice Requires="wps">
                  <w:drawing>
                    <wp:anchor distT="0" distB="0" distL="114300" distR="114300" simplePos="0" relativeHeight="251680768" behindDoc="0" locked="0" layoutInCell="1" allowOverlap="1" wp14:anchorId="55A32F0B" wp14:editId="705091DC">
                      <wp:simplePos x="0" y="0"/>
                      <wp:positionH relativeFrom="column">
                        <wp:posOffset>1001395</wp:posOffset>
                      </wp:positionH>
                      <wp:positionV relativeFrom="paragraph">
                        <wp:posOffset>-354965</wp:posOffset>
                      </wp:positionV>
                      <wp:extent cx="431800" cy="539750"/>
                      <wp:effectExtent l="38100" t="0" r="25400" b="50800"/>
                      <wp:wrapNone/>
                      <wp:docPr id="142879971" name="Straight Arrow Connector 1"/>
                      <wp:cNvGraphicFramePr/>
                      <a:graphic xmlns:a="http://schemas.openxmlformats.org/drawingml/2006/main">
                        <a:graphicData uri="http://schemas.microsoft.com/office/word/2010/wordprocessingShape">
                          <wps:wsp>
                            <wps:cNvCnPr/>
                            <wps:spPr>
                              <a:xfrm flipH="1">
                                <a:off x="0" y="0"/>
                                <a:ext cx="431800" cy="539750"/>
                              </a:xfrm>
                              <a:prstGeom prst="straightConnector1">
                                <a:avLst/>
                              </a:prstGeom>
                              <a:noFill/>
                              <a:ln w="6350" cap="flat" cmpd="sng" algn="ctr">
                                <a:solidFill>
                                  <a:srgbClr val="156082"/>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type w14:anchorId="5F190CC6" id="_x0000_t32" coordsize="21600,21600" o:spt="32" o:oned="t" path="m,l21600,21600e" filled="f">
                      <v:path arrowok="t" fillok="f" o:connecttype="none"/>
                      <o:lock v:ext="edit" shapetype="t"/>
                    </v:shapetype>
                    <v:shape id="Straight Arrow Connector 1" o:spid="_x0000_s1026" type="#_x0000_t32" style="position:absolute;margin-left:78.85pt;margin-top:-27.95pt;width:34pt;height:42.5pt;flip:x;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" strokecolor="#156082" strokeweight=".5pt">
                      <v:stroke endarrow="block" joinstyle="miter"/>
                    </v:shape>
                  </w:pict>
                </mc:Fallback>
              </mc:AlternateContent>
            </w:r>
          </w:p>
        </w:tc>
        <w:tc>
          <w:tcPr>
            <w:tcW w:w="1111" w:type="dxa"/>
            <w:tcBorders>
              <w:top w:val="nil"/>
              <w:left w:val="nil"/>
              <w:bottom w:val="nil"/>
              <w:right w:val="nil"/>
            </w:tcBorders>
          </w:tcPr>
          <w:p w14:paraId="768AA259" w14:textId="77777777" w:rsidR="00891F5D" w:rsidRPr="00891F5D" w:rsidRDefault="00891F5D" w:rsidP="00891F5D">
            <w:pPr>
              <w:spacing w:line="256" w:lineRule="auto"/>
              <w:rPr>
                <w:rFonts w:ascii="Arial" w:eastAsiaTheme="minorHAnsi" w:hAnsi="Arial" w:cs="Arial"/>
                <w:kern w:val="0"/>
                <w:lang w:val="en-US" w:eastAsia="en-US"/>
                <w14:ligatures w14:val="none"/>
              </w:rPr>
            </w:pPr>
          </w:p>
        </w:tc>
        <w:tc>
          <w:tcPr>
            <w:tcW w:w="1441" w:type="dxa"/>
            <w:tcBorders>
              <w:top w:val="nil"/>
              <w:left w:val="nil"/>
              <w:bottom w:val="nil"/>
              <w:right w:val="nil"/>
            </w:tcBorders>
          </w:tcPr>
          <w:p w14:paraId="3F8317BC" w14:textId="77777777" w:rsidR="00891F5D" w:rsidRPr="00891F5D" w:rsidRDefault="00891F5D" w:rsidP="00891F5D">
            <w:pPr>
              <w:spacing w:line="256" w:lineRule="auto"/>
              <w:rPr>
                <w:rFonts w:ascii="Arial" w:eastAsiaTheme="minorHAnsi" w:hAnsi="Arial" w:cs="Arial"/>
                <w:kern w:val="0"/>
                <w:lang w:val="en-US" w:eastAsia="en-US"/>
                <w14:ligatures w14:val="none"/>
              </w:rPr>
            </w:pPr>
          </w:p>
        </w:tc>
        <w:tc>
          <w:tcPr>
            <w:tcW w:w="3067" w:type="dxa"/>
            <w:tcBorders>
              <w:top w:val="nil"/>
              <w:left w:val="nil"/>
              <w:bottom w:val="single" w:sz="4" w:space="0" w:color="auto"/>
              <w:right w:val="nil"/>
            </w:tcBorders>
          </w:tcPr>
          <w:p w14:paraId="23325440" w14:textId="77777777" w:rsidR="00891F5D" w:rsidRPr="00891F5D" w:rsidRDefault="00891F5D" w:rsidP="00891F5D">
            <w:pPr>
              <w:spacing w:line="256" w:lineRule="auto"/>
              <w:rPr>
                <w:rFonts w:ascii="Arial" w:eastAsiaTheme="minorHAnsi" w:hAnsi="Arial" w:cs="Arial"/>
                <w:kern w:val="0"/>
                <w:lang w:val="en-US" w:eastAsia="en-US"/>
                <w14:ligatures w14:val="none"/>
              </w:rPr>
            </w:pPr>
            <w:r w:rsidRPr="00891F5D">
              <w:rPr>
                <w:rFonts w:ascii="Arial" w:eastAsiaTheme="minorHAnsi" w:hAnsi="Arial" w:cs="Arial"/>
                <w:noProof/>
                <w:kern w:val="0"/>
                <w:lang w:val="en-US" w:eastAsia="en-US"/>
              </w:rPr>
              <mc:AlternateContent>
                <mc:Choice Requires="wps">
                  <w:drawing>
                    <wp:anchor distT="0" distB="0" distL="114300" distR="114300" simplePos="0" relativeHeight="251679744" behindDoc="0" locked="0" layoutInCell="1" allowOverlap="1" wp14:anchorId="5DF88F18" wp14:editId="23967465">
                      <wp:simplePos x="0" y="0"/>
                      <wp:positionH relativeFrom="column">
                        <wp:posOffset>455930</wp:posOffset>
                      </wp:positionH>
                      <wp:positionV relativeFrom="paragraph">
                        <wp:posOffset>-361315</wp:posOffset>
                      </wp:positionV>
                      <wp:extent cx="355600" cy="552450"/>
                      <wp:effectExtent l="0" t="0" r="63500" b="57150"/>
                      <wp:wrapNone/>
                      <wp:docPr id="1257023130" name="Straight Arrow Connector 1"/>
                      <wp:cNvGraphicFramePr/>
                      <a:graphic xmlns:a="http://schemas.openxmlformats.org/drawingml/2006/main">
                        <a:graphicData uri="http://schemas.microsoft.com/office/word/2010/wordprocessingShape">
                          <wps:wsp>
                            <wps:cNvCnPr/>
                            <wps:spPr>
                              <a:xfrm>
                                <a:off x="0" y="0"/>
                                <a:ext cx="355600" cy="552450"/>
                              </a:xfrm>
                              <a:prstGeom prst="straightConnector1">
                                <a:avLst/>
                              </a:prstGeom>
                              <a:noFill/>
                              <a:ln w="6350" cap="flat" cmpd="sng" algn="ctr">
                                <a:solidFill>
                                  <a:srgbClr val="156082"/>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2CE6989B" id="Straight Arrow Connector 1" o:spid="_x0000_s1026" type="#_x0000_t32" style="position:absolute;margin-left:35.9pt;margin-top:-28.45pt;width:28pt;height:43.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" strokecolor="#156082" strokeweight=".5pt">
                      <v:stroke endarrow="block" joinstyle="miter"/>
                    </v:shape>
                  </w:pict>
                </mc:Fallback>
              </mc:AlternateContent>
            </w:r>
          </w:p>
        </w:tc>
      </w:tr>
      <w:tr w:rsidR="00891F5D" w:rsidRPr="00891F5D" w14:paraId="7DC04D49" w14:textId="77777777" w:rsidTr="001D4222">
        <w:tc>
          <w:tcPr>
            <w:tcW w:w="3397" w:type="dxa"/>
            <w:vMerge w:val="restart"/>
            <w:tcBorders>
              <w:top w:val="single" w:sz="4" w:space="0" w:color="auto"/>
              <w:right w:val="single" w:sz="4" w:space="0" w:color="auto"/>
            </w:tcBorders>
          </w:tcPr>
          <w:p w14:paraId="3AE78329" w14:textId="77777777" w:rsidR="00891F5D" w:rsidRPr="00891F5D" w:rsidRDefault="00891F5D" w:rsidP="00891F5D">
            <w:pPr>
              <w:spacing w:line="256" w:lineRule="auto"/>
              <w:rPr>
                <w:rFonts w:ascii="Arial" w:eastAsiaTheme="minorHAnsi" w:hAnsi="Arial" w:cs="Arial"/>
                <w:b/>
                <w:bCs/>
                <w:kern w:val="0"/>
                <w:lang w:val="en-US" w:eastAsia="en-US"/>
                <w14:ligatures w14:val="none"/>
              </w:rPr>
            </w:pPr>
            <w:r w:rsidRPr="00891F5D">
              <w:rPr>
                <w:rFonts w:ascii="Arial" w:eastAsiaTheme="minorHAnsi" w:hAnsi="Arial" w:cs="Arial"/>
                <w:b/>
                <w:bCs/>
                <w:kern w:val="0"/>
                <w:lang w:val="en-US" w:eastAsia="en-US"/>
                <w14:ligatures w14:val="none"/>
              </w:rPr>
              <w:t>Part One:</w:t>
            </w:r>
          </w:p>
          <w:p w14:paraId="5E9F9668" w14:textId="77777777" w:rsidR="00891F5D" w:rsidRPr="00891F5D" w:rsidRDefault="00891F5D" w:rsidP="00891F5D">
            <w:pPr>
              <w:spacing w:line="256" w:lineRule="auto"/>
              <w:rPr>
                <w:rFonts w:ascii="Arial" w:eastAsiaTheme="minorHAnsi" w:hAnsi="Arial" w:cs="Arial"/>
                <w:b/>
                <w:bCs/>
                <w:kern w:val="0"/>
                <w:lang w:val="en-US" w:eastAsia="en-US"/>
                <w14:ligatures w14:val="none"/>
              </w:rPr>
            </w:pPr>
          </w:p>
          <w:p w14:paraId="2B59FDCE" w14:textId="6512E23B" w:rsidR="00891F5D" w:rsidRPr="00891F5D" w:rsidRDefault="00891F5D" w:rsidP="00891F5D">
            <w:pPr>
              <w:spacing w:line="256" w:lineRule="auto"/>
              <w:rPr>
                <w:rFonts w:ascii="Arial" w:eastAsiaTheme="minorHAnsi" w:hAnsi="Arial" w:cs="Arial"/>
                <w:kern w:val="0"/>
                <w:lang w:val="en-US" w:eastAsia="en-US"/>
                <w14:ligatures w14:val="none"/>
              </w:rPr>
            </w:pPr>
            <w:r w:rsidRPr="00891F5D">
              <w:rPr>
                <w:rFonts w:ascii="Arial" w:eastAsiaTheme="minorHAnsi" w:hAnsi="Arial" w:cs="Arial"/>
                <w:b/>
                <w:bCs/>
                <w:kern w:val="0"/>
                <w:lang w:val="en-US" w:eastAsia="en-US"/>
                <w14:ligatures w14:val="none"/>
              </w:rPr>
              <w:t>Accounting Fraud Literature</w:t>
            </w:r>
            <w:r w:rsidRPr="00891F5D">
              <w:rPr>
                <w:rFonts w:ascii="Arial" w:eastAsiaTheme="minorHAnsi" w:hAnsi="Arial" w:cs="Arial"/>
                <w:kern w:val="0"/>
                <w:lang w:val="en-US" w:eastAsia="en-US"/>
                <w14:ligatures w14:val="none"/>
              </w:rPr>
              <w:t xml:space="preserve"> </w:t>
            </w:r>
          </w:p>
        </w:tc>
        <w:tc>
          <w:tcPr>
            <w:tcW w:w="1111" w:type="dxa"/>
            <w:tcBorders>
              <w:top w:val="nil"/>
              <w:left w:val="single" w:sz="4" w:space="0" w:color="auto"/>
              <w:bottom w:val="nil"/>
              <w:right w:val="nil"/>
            </w:tcBorders>
          </w:tcPr>
          <w:p w14:paraId="366AA280" w14:textId="77777777" w:rsidR="00891F5D" w:rsidRPr="00891F5D" w:rsidRDefault="00891F5D" w:rsidP="00891F5D">
            <w:pPr>
              <w:spacing w:line="256" w:lineRule="auto"/>
              <w:rPr>
                <w:rFonts w:ascii="Arial" w:eastAsiaTheme="minorHAnsi" w:hAnsi="Arial" w:cs="Arial"/>
                <w:kern w:val="0"/>
                <w:lang w:val="en-US" w:eastAsia="en-US"/>
                <w14:ligatures w14:val="none"/>
              </w:rPr>
            </w:pPr>
          </w:p>
        </w:tc>
        <w:tc>
          <w:tcPr>
            <w:tcW w:w="1441" w:type="dxa"/>
            <w:tcBorders>
              <w:top w:val="nil"/>
              <w:left w:val="nil"/>
              <w:bottom w:val="nil"/>
              <w:right w:val="single" w:sz="4" w:space="0" w:color="auto"/>
            </w:tcBorders>
          </w:tcPr>
          <w:p w14:paraId="33E8DA19" w14:textId="77777777" w:rsidR="00891F5D" w:rsidRPr="00891F5D" w:rsidRDefault="00891F5D" w:rsidP="00891F5D">
            <w:pPr>
              <w:spacing w:line="256" w:lineRule="auto"/>
              <w:rPr>
                <w:rFonts w:ascii="Arial" w:eastAsiaTheme="minorHAnsi" w:hAnsi="Arial" w:cs="Arial"/>
                <w:kern w:val="0"/>
                <w:lang w:val="en-US" w:eastAsia="en-US"/>
                <w14:ligatures w14:val="none"/>
              </w:rPr>
            </w:pPr>
          </w:p>
        </w:tc>
        <w:tc>
          <w:tcPr>
            <w:tcW w:w="3067" w:type="dxa"/>
            <w:vMerge w:val="restart"/>
            <w:tcBorders>
              <w:top w:val="single" w:sz="4" w:space="0" w:color="auto"/>
              <w:left w:val="single" w:sz="4" w:space="0" w:color="auto"/>
            </w:tcBorders>
          </w:tcPr>
          <w:p w14:paraId="0703C382" w14:textId="77777777" w:rsidR="00891F5D" w:rsidRPr="00891F5D" w:rsidRDefault="00891F5D" w:rsidP="00891F5D">
            <w:pPr>
              <w:spacing w:line="256" w:lineRule="auto"/>
              <w:rPr>
                <w:rFonts w:ascii="Arial" w:eastAsiaTheme="minorHAnsi" w:hAnsi="Arial" w:cs="Arial"/>
                <w:b/>
                <w:bCs/>
                <w:kern w:val="0"/>
                <w:lang w:val="en-US" w:eastAsia="en-US"/>
                <w14:ligatures w14:val="none"/>
              </w:rPr>
            </w:pPr>
            <w:r w:rsidRPr="00891F5D">
              <w:rPr>
                <w:rFonts w:ascii="Arial" w:eastAsiaTheme="minorHAnsi" w:hAnsi="Arial" w:cs="Arial"/>
                <w:b/>
                <w:bCs/>
                <w:kern w:val="0"/>
                <w:lang w:val="en-US" w:eastAsia="en-US"/>
                <w14:ligatures w14:val="none"/>
              </w:rPr>
              <w:t>Part Two:</w:t>
            </w:r>
          </w:p>
          <w:p w14:paraId="366FFE36" w14:textId="77777777" w:rsidR="00891F5D" w:rsidRPr="00891F5D" w:rsidRDefault="00891F5D" w:rsidP="00891F5D">
            <w:pPr>
              <w:spacing w:line="256" w:lineRule="auto"/>
              <w:rPr>
                <w:rFonts w:ascii="Arial" w:eastAsiaTheme="minorHAnsi" w:hAnsi="Arial" w:cs="Arial"/>
                <w:b/>
                <w:bCs/>
                <w:kern w:val="0"/>
                <w:lang w:val="en-US" w:eastAsia="en-US"/>
                <w14:ligatures w14:val="none"/>
              </w:rPr>
            </w:pPr>
          </w:p>
          <w:p w14:paraId="01782900" w14:textId="77777777" w:rsidR="00891F5D" w:rsidRPr="00891F5D" w:rsidRDefault="00891F5D" w:rsidP="00891F5D">
            <w:pPr>
              <w:spacing w:line="256" w:lineRule="auto"/>
              <w:rPr>
                <w:rFonts w:ascii="Arial" w:eastAsiaTheme="minorHAnsi" w:hAnsi="Arial" w:cs="Arial"/>
                <w:b/>
                <w:bCs/>
                <w:kern w:val="0"/>
                <w:lang w:val="en-US" w:eastAsia="en-US"/>
                <w14:ligatures w14:val="none"/>
              </w:rPr>
            </w:pPr>
            <w:r w:rsidRPr="00891F5D">
              <w:rPr>
                <w:rFonts w:ascii="Arial" w:eastAsiaTheme="minorHAnsi" w:hAnsi="Arial" w:cs="Arial"/>
                <w:b/>
                <w:bCs/>
                <w:kern w:val="0"/>
                <w:lang w:val="en-US" w:eastAsia="en-US"/>
                <w14:ligatures w14:val="none"/>
              </w:rPr>
              <w:t>Blockchain Technology</w:t>
            </w:r>
          </w:p>
          <w:p w14:paraId="79C98E22" w14:textId="77777777" w:rsidR="00891F5D" w:rsidRPr="00891F5D" w:rsidRDefault="00891F5D" w:rsidP="00891F5D">
            <w:pPr>
              <w:spacing w:line="256" w:lineRule="auto"/>
              <w:rPr>
                <w:rFonts w:ascii="Arial" w:eastAsiaTheme="minorHAnsi" w:hAnsi="Arial" w:cs="Arial"/>
                <w:b/>
                <w:bCs/>
                <w:kern w:val="0"/>
                <w:lang w:val="en-US" w:eastAsia="en-US"/>
                <w14:ligatures w14:val="none"/>
              </w:rPr>
            </w:pPr>
            <w:r w:rsidRPr="00891F5D">
              <w:rPr>
                <w:rFonts w:ascii="Arial" w:eastAsiaTheme="minorHAnsi" w:hAnsi="Arial" w:cs="Arial"/>
                <w:b/>
                <w:bCs/>
                <w:kern w:val="0"/>
                <w:lang w:val="en-US" w:eastAsia="en-US"/>
                <w14:ligatures w14:val="none"/>
              </w:rPr>
              <w:t>Literature</w:t>
            </w:r>
          </w:p>
          <w:p w14:paraId="445EA3D7" w14:textId="77777777" w:rsidR="00891F5D" w:rsidRPr="00891F5D" w:rsidRDefault="00891F5D" w:rsidP="00891F5D">
            <w:pPr>
              <w:spacing w:line="256" w:lineRule="auto"/>
              <w:rPr>
                <w:rFonts w:ascii="Arial" w:eastAsiaTheme="minorHAnsi" w:hAnsi="Arial" w:cs="Arial"/>
                <w:kern w:val="0"/>
                <w:lang w:val="en-US" w:eastAsia="en-US"/>
                <w14:ligatures w14:val="none"/>
              </w:rPr>
            </w:pPr>
          </w:p>
        </w:tc>
      </w:tr>
      <w:tr w:rsidR="00891F5D" w:rsidRPr="00891F5D" w14:paraId="6B985D9D" w14:textId="77777777" w:rsidTr="001D4222">
        <w:tc>
          <w:tcPr>
            <w:tcW w:w="3397" w:type="dxa"/>
            <w:vMerge/>
            <w:tcBorders>
              <w:top w:val="single" w:sz="4" w:space="0" w:color="auto"/>
              <w:right w:val="single" w:sz="4" w:space="0" w:color="auto"/>
            </w:tcBorders>
          </w:tcPr>
          <w:p w14:paraId="5561F616" w14:textId="77777777" w:rsidR="00891F5D" w:rsidRPr="00891F5D" w:rsidRDefault="00891F5D" w:rsidP="00891F5D">
            <w:pPr>
              <w:spacing w:line="256" w:lineRule="auto"/>
              <w:rPr>
                <w:rFonts w:ascii="Arial" w:eastAsiaTheme="minorHAnsi" w:hAnsi="Arial" w:cs="Arial"/>
                <w:kern w:val="0"/>
                <w:lang w:val="en-US" w:eastAsia="en-US"/>
                <w14:ligatures w14:val="none"/>
              </w:rPr>
            </w:pPr>
          </w:p>
        </w:tc>
        <w:tc>
          <w:tcPr>
            <w:tcW w:w="1111" w:type="dxa"/>
            <w:tcBorders>
              <w:top w:val="nil"/>
              <w:left w:val="single" w:sz="4" w:space="0" w:color="auto"/>
              <w:bottom w:val="nil"/>
              <w:right w:val="nil"/>
            </w:tcBorders>
          </w:tcPr>
          <w:p w14:paraId="2A2A7A8B" w14:textId="77777777" w:rsidR="00891F5D" w:rsidRPr="00891F5D" w:rsidRDefault="00891F5D" w:rsidP="00891F5D">
            <w:pPr>
              <w:spacing w:line="256" w:lineRule="auto"/>
              <w:rPr>
                <w:rFonts w:ascii="Arial" w:eastAsiaTheme="minorHAnsi" w:hAnsi="Arial" w:cs="Arial"/>
                <w:kern w:val="0"/>
                <w:lang w:val="en-US" w:eastAsia="en-US"/>
                <w14:ligatures w14:val="none"/>
              </w:rPr>
            </w:pPr>
          </w:p>
        </w:tc>
        <w:tc>
          <w:tcPr>
            <w:tcW w:w="1441" w:type="dxa"/>
            <w:tcBorders>
              <w:top w:val="nil"/>
              <w:left w:val="nil"/>
              <w:bottom w:val="nil"/>
              <w:right w:val="single" w:sz="4" w:space="0" w:color="auto"/>
            </w:tcBorders>
          </w:tcPr>
          <w:p w14:paraId="3AABE416" w14:textId="77777777" w:rsidR="00891F5D" w:rsidRPr="00891F5D" w:rsidRDefault="00891F5D" w:rsidP="00891F5D">
            <w:pPr>
              <w:spacing w:line="256" w:lineRule="auto"/>
              <w:rPr>
                <w:rFonts w:ascii="Arial" w:eastAsiaTheme="minorHAnsi" w:hAnsi="Arial" w:cs="Arial"/>
                <w:kern w:val="0"/>
                <w:lang w:val="en-US" w:eastAsia="en-US"/>
                <w14:ligatures w14:val="none"/>
              </w:rPr>
            </w:pPr>
          </w:p>
        </w:tc>
        <w:tc>
          <w:tcPr>
            <w:tcW w:w="3067" w:type="dxa"/>
            <w:vMerge/>
            <w:tcBorders>
              <w:top w:val="single" w:sz="4" w:space="0" w:color="auto"/>
              <w:left w:val="single" w:sz="4" w:space="0" w:color="auto"/>
            </w:tcBorders>
          </w:tcPr>
          <w:p w14:paraId="6F5A05AB" w14:textId="77777777" w:rsidR="00891F5D" w:rsidRPr="00891F5D" w:rsidRDefault="00891F5D" w:rsidP="00891F5D">
            <w:pPr>
              <w:spacing w:line="256" w:lineRule="auto"/>
              <w:rPr>
                <w:rFonts w:ascii="Arial" w:eastAsiaTheme="minorHAnsi" w:hAnsi="Arial" w:cs="Arial"/>
                <w:kern w:val="0"/>
                <w:lang w:val="en-US" w:eastAsia="en-US"/>
                <w14:ligatures w14:val="none"/>
              </w:rPr>
            </w:pPr>
          </w:p>
        </w:tc>
      </w:tr>
      <w:tr w:rsidR="00891F5D" w:rsidRPr="00891F5D" w14:paraId="285D66BB" w14:textId="77777777" w:rsidTr="001D4222">
        <w:tc>
          <w:tcPr>
            <w:tcW w:w="3397" w:type="dxa"/>
            <w:vMerge/>
            <w:tcBorders>
              <w:right w:val="single" w:sz="4" w:space="0" w:color="auto"/>
            </w:tcBorders>
          </w:tcPr>
          <w:p w14:paraId="4F4C50D6" w14:textId="77777777" w:rsidR="00891F5D" w:rsidRPr="00891F5D" w:rsidRDefault="00891F5D" w:rsidP="00891F5D">
            <w:pPr>
              <w:spacing w:line="256" w:lineRule="auto"/>
              <w:rPr>
                <w:rFonts w:ascii="Arial" w:eastAsiaTheme="minorHAnsi" w:hAnsi="Arial" w:cs="Arial"/>
                <w:kern w:val="0"/>
                <w:lang w:val="en-US" w:eastAsia="en-US"/>
                <w14:ligatures w14:val="none"/>
              </w:rPr>
            </w:pPr>
          </w:p>
        </w:tc>
        <w:tc>
          <w:tcPr>
            <w:tcW w:w="1111" w:type="dxa"/>
            <w:tcBorders>
              <w:top w:val="nil"/>
              <w:left w:val="single" w:sz="4" w:space="0" w:color="auto"/>
              <w:bottom w:val="nil"/>
              <w:right w:val="nil"/>
            </w:tcBorders>
          </w:tcPr>
          <w:p w14:paraId="3DC604DF" w14:textId="77777777" w:rsidR="00891F5D" w:rsidRPr="00891F5D" w:rsidRDefault="00891F5D" w:rsidP="00891F5D">
            <w:pPr>
              <w:spacing w:line="256" w:lineRule="auto"/>
              <w:rPr>
                <w:rFonts w:ascii="Arial" w:eastAsiaTheme="minorHAnsi" w:hAnsi="Arial" w:cs="Arial"/>
                <w:kern w:val="0"/>
                <w:lang w:val="en-US" w:eastAsia="en-US"/>
                <w14:ligatures w14:val="none"/>
              </w:rPr>
            </w:pPr>
          </w:p>
        </w:tc>
        <w:tc>
          <w:tcPr>
            <w:tcW w:w="1441" w:type="dxa"/>
            <w:tcBorders>
              <w:top w:val="nil"/>
              <w:left w:val="nil"/>
              <w:bottom w:val="nil"/>
              <w:right w:val="single" w:sz="4" w:space="0" w:color="auto"/>
            </w:tcBorders>
          </w:tcPr>
          <w:p w14:paraId="70B5C4C3" w14:textId="77777777" w:rsidR="00891F5D" w:rsidRPr="00891F5D" w:rsidRDefault="00891F5D" w:rsidP="00891F5D">
            <w:pPr>
              <w:spacing w:line="256" w:lineRule="auto"/>
              <w:rPr>
                <w:rFonts w:ascii="Arial" w:eastAsiaTheme="minorHAnsi" w:hAnsi="Arial" w:cs="Arial"/>
                <w:kern w:val="0"/>
                <w:lang w:val="en-US" w:eastAsia="en-US"/>
                <w14:ligatures w14:val="none"/>
              </w:rPr>
            </w:pPr>
          </w:p>
        </w:tc>
        <w:tc>
          <w:tcPr>
            <w:tcW w:w="3067" w:type="dxa"/>
            <w:vMerge/>
            <w:tcBorders>
              <w:left w:val="single" w:sz="4" w:space="0" w:color="auto"/>
            </w:tcBorders>
          </w:tcPr>
          <w:p w14:paraId="084A604F" w14:textId="77777777" w:rsidR="00891F5D" w:rsidRPr="00891F5D" w:rsidRDefault="00891F5D" w:rsidP="00891F5D">
            <w:pPr>
              <w:spacing w:line="256" w:lineRule="auto"/>
              <w:rPr>
                <w:rFonts w:ascii="Arial" w:eastAsiaTheme="minorHAnsi" w:hAnsi="Arial" w:cs="Arial"/>
                <w:kern w:val="0"/>
                <w:lang w:val="en-US" w:eastAsia="en-US"/>
                <w14:ligatures w14:val="none"/>
              </w:rPr>
            </w:pPr>
          </w:p>
        </w:tc>
      </w:tr>
      <w:tr w:rsidR="00891F5D" w:rsidRPr="00891F5D" w14:paraId="6B0646F7" w14:textId="77777777" w:rsidTr="001D4222">
        <w:tc>
          <w:tcPr>
            <w:tcW w:w="3397" w:type="dxa"/>
            <w:vMerge/>
            <w:tcBorders>
              <w:bottom w:val="single" w:sz="4" w:space="0" w:color="auto"/>
              <w:right w:val="single" w:sz="4" w:space="0" w:color="auto"/>
            </w:tcBorders>
          </w:tcPr>
          <w:p w14:paraId="223AD7F8" w14:textId="77777777" w:rsidR="00891F5D" w:rsidRPr="00891F5D" w:rsidRDefault="00891F5D" w:rsidP="00891F5D">
            <w:pPr>
              <w:spacing w:line="256" w:lineRule="auto"/>
              <w:rPr>
                <w:rFonts w:ascii="Arial" w:eastAsiaTheme="minorHAnsi" w:hAnsi="Arial" w:cs="Arial"/>
                <w:kern w:val="0"/>
                <w:lang w:val="en-US" w:eastAsia="en-US"/>
                <w14:ligatures w14:val="none"/>
              </w:rPr>
            </w:pPr>
          </w:p>
        </w:tc>
        <w:tc>
          <w:tcPr>
            <w:tcW w:w="1111" w:type="dxa"/>
            <w:tcBorders>
              <w:top w:val="nil"/>
              <w:left w:val="single" w:sz="4" w:space="0" w:color="auto"/>
              <w:bottom w:val="nil"/>
              <w:right w:val="nil"/>
            </w:tcBorders>
          </w:tcPr>
          <w:p w14:paraId="467C1C3C" w14:textId="62648F56" w:rsidR="00891F5D" w:rsidRPr="00891F5D" w:rsidRDefault="00891F5D" w:rsidP="00891F5D">
            <w:pPr>
              <w:spacing w:line="256" w:lineRule="auto"/>
              <w:rPr>
                <w:rFonts w:ascii="Arial" w:eastAsiaTheme="minorHAnsi" w:hAnsi="Arial" w:cs="Arial"/>
                <w:kern w:val="0"/>
                <w:lang w:val="en-US" w:eastAsia="en-US"/>
                <w14:ligatures w14:val="none"/>
              </w:rPr>
            </w:pPr>
          </w:p>
        </w:tc>
        <w:tc>
          <w:tcPr>
            <w:tcW w:w="1441" w:type="dxa"/>
            <w:tcBorders>
              <w:top w:val="nil"/>
              <w:left w:val="nil"/>
              <w:bottom w:val="nil"/>
              <w:right w:val="single" w:sz="4" w:space="0" w:color="auto"/>
            </w:tcBorders>
          </w:tcPr>
          <w:p w14:paraId="22540D27" w14:textId="46DBCD01" w:rsidR="00891F5D" w:rsidRPr="00891F5D" w:rsidRDefault="003E44A1" w:rsidP="00891F5D">
            <w:pPr>
              <w:spacing w:line="256" w:lineRule="auto"/>
              <w:rPr>
                <w:rFonts w:ascii="Arial" w:eastAsiaTheme="minorHAnsi" w:hAnsi="Arial" w:cs="Arial"/>
                <w:kern w:val="0"/>
                <w:lang w:val="en-US" w:eastAsia="en-US"/>
                <w14:ligatures w14:val="none"/>
              </w:rPr>
            </w:pPr>
            <w:r w:rsidRPr="00891F5D">
              <w:rPr>
                <w:rFonts w:ascii="Arial" w:eastAsiaTheme="minorHAnsi" w:hAnsi="Arial" w:cs="Arial"/>
                <w:b/>
                <w:bCs/>
                <w:noProof/>
                <w:kern w:val="0"/>
                <w:lang w:val="en-US" w:eastAsia="en-US"/>
              </w:rPr>
              <mc:AlternateContent>
                <mc:Choice Requires="wps">
                  <w:drawing>
                    <wp:anchor distT="0" distB="0" distL="114300" distR="114300" simplePos="0" relativeHeight="251681792" behindDoc="0" locked="0" layoutInCell="1" allowOverlap="1" wp14:anchorId="5DFC1703" wp14:editId="0121E9AF">
                      <wp:simplePos x="0" y="0"/>
                      <wp:positionH relativeFrom="column">
                        <wp:posOffset>-725805</wp:posOffset>
                      </wp:positionH>
                      <wp:positionV relativeFrom="paragraph">
                        <wp:posOffset>102235</wp:posOffset>
                      </wp:positionV>
                      <wp:extent cx="1606550" cy="0"/>
                      <wp:effectExtent l="0" t="76200" r="12700" b="95250"/>
                      <wp:wrapNone/>
                      <wp:docPr id="1569311232" name="Straight Arrow Connector 2"/>
                      <wp:cNvGraphicFramePr/>
                      <a:graphic xmlns:a="http://schemas.openxmlformats.org/drawingml/2006/main">
                        <a:graphicData uri="http://schemas.microsoft.com/office/word/2010/wordprocessingShape">
                          <wps:wsp>
                            <wps:cNvCnPr/>
                            <wps:spPr>
                              <a:xfrm>
                                <a:off x="0" y="0"/>
                                <a:ext cx="1606550" cy="0"/>
                              </a:xfrm>
                              <a:prstGeom prst="straightConnector1">
                                <a:avLst/>
                              </a:prstGeom>
                              <a:noFill/>
                              <a:ln w="6350" cap="flat" cmpd="sng" algn="ctr">
                                <a:solidFill>
                                  <a:srgbClr val="156082"/>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type w14:anchorId="09D116C9" id="_x0000_t32" coordsize="21600,21600" o:spt="32" o:oned="t" path="m,l21600,21600e" filled="f">
                      <v:path arrowok="t" fillok="f" o:connecttype="none"/>
                      <o:lock v:ext="edit" shapetype="t"/>
                    </v:shapetype>
                    <v:shape id="Straight Arrow Connector 2" o:spid="_x0000_s1026" type="#_x0000_t32" style="position:absolute;margin-left:-57.15pt;margin-top:8.05pt;width:126.5pt;height:0;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" strokecolor="#156082" strokeweight=".5pt">
                      <v:stroke endarrow="block" joinstyle="miter"/>
                    </v:shape>
                  </w:pict>
                </mc:Fallback>
              </mc:AlternateContent>
            </w:r>
          </w:p>
        </w:tc>
        <w:tc>
          <w:tcPr>
            <w:tcW w:w="3067" w:type="dxa"/>
            <w:vMerge/>
            <w:tcBorders>
              <w:left w:val="single" w:sz="4" w:space="0" w:color="auto"/>
              <w:bottom w:val="single" w:sz="4" w:space="0" w:color="auto"/>
            </w:tcBorders>
          </w:tcPr>
          <w:p w14:paraId="0D896577" w14:textId="77777777" w:rsidR="00891F5D" w:rsidRPr="00891F5D" w:rsidRDefault="00891F5D" w:rsidP="00891F5D">
            <w:pPr>
              <w:spacing w:line="256" w:lineRule="auto"/>
              <w:rPr>
                <w:rFonts w:ascii="Arial" w:eastAsiaTheme="minorHAnsi" w:hAnsi="Arial" w:cs="Arial"/>
                <w:kern w:val="0"/>
                <w:lang w:val="en-US" w:eastAsia="en-US"/>
                <w14:ligatures w14:val="none"/>
              </w:rPr>
            </w:pPr>
          </w:p>
        </w:tc>
      </w:tr>
    </w:tbl>
    <w:p w14:paraId="6ADD6F88" w14:textId="77777777" w:rsidR="00891F5D" w:rsidRPr="00891F5D" w:rsidRDefault="00891F5D" w:rsidP="00891F5D">
      <w:pPr>
        <w:spacing w:line="256" w:lineRule="auto"/>
        <w:rPr>
          <w:sz w:val="22"/>
          <w:szCs w:val="22"/>
        </w:rPr>
      </w:pPr>
    </w:p>
    <w:bookmarkStart w:id="375" w:name="D15"/>
    <w:p w14:paraId="4C0CB3B6" w14:textId="2EBEADDF" w:rsidR="00891F5D" w:rsidRPr="00891F5D" w:rsidRDefault="00C03DE8" w:rsidP="00140050">
      <w:pPr>
        <w:pBdr>
          <w:top w:val="single" w:sz="4" w:space="1" w:color="auto"/>
          <w:left w:val="single" w:sz="4" w:space="4" w:color="auto"/>
          <w:bottom w:val="single" w:sz="4" w:space="1" w:color="auto"/>
          <w:right w:val="single" w:sz="4" w:space="4" w:color="auto"/>
        </w:pBdr>
        <w:spacing w:after="0" w:line="240" w:lineRule="auto"/>
        <w:jc w:val="both"/>
        <w:rPr>
          <w:rFonts w:asciiTheme="minorBidi" w:hAnsiTheme="minorBidi"/>
          <w:b/>
          <w:bCs/>
        </w:rPr>
      </w:pPr>
      <w:r>
        <w:rPr>
          <w:rFonts w:asciiTheme="minorBidi" w:hAnsiTheme="minorBidi"/>
          <w:b/>
          <w:bCs/>
        </w:rPr>
        <w:lastRenderedPageBreak/>
        <w:fldChar w:fldCharType="begin"/>
      </w:r>
      <w:r>
        <w:rPr>
          <w:rFonts w:asciiTheme="minorBidi" w:hAnsiTheme="minorBidi"/>
          <w:b/>
          <w:bCs/>
        </w:rPr>
        <w:instrText>HYPERLINK  \l "C15"</w:instrText>
      </w:r>
      <w:r>
        <w:rPr>
          <w:rFonts w:asciiTheme="minorBidi" w:hAnsiTheme="minorBidi"/>
          <w:b/>
          <w:bCs/>
        </w:rPr>
      </w:r>
      <w:r>
        <w:rPr>
          <w:rFonts w:asciiTheme="minorBidi" w:hAnsiTheme="minorBidi"/>
          <w:b/>
          <w:bCs/>
        </w:rPr>
        <w:fldChar w:fldCharType="separate"/>
      </w:r>
      <w:r w:rsidR="00891F5D" w:rsidRPr="00C03DE8">
        <w:rPr>
          <w:rStyle w:val="Hyperlink"/>
          <w:rFonts w:asciiTheme="minorBidi" w:hAnsiTheme="minorBidi"/>
          <w:b/>
          <w:bCs/>
        </w:rPr>
        <w:t>2.1 Chapter Two Overview</w:t>
      </w:r>
      <w:r>
        <w:rPr>
          <w:rFonts w:asciiTheme="minorBidi" w:hAnsiTheme="minorBidi"/>
          <w:b/>
          <w:bCs/>
        </w:rPr>
        <w:fldChar w:fldCharType="end"/>
      </w:r>
    </w:p>
    <w:bookmarkEnd w:id="375"/>
    <w:p w14:paraId="5EA325F4" w14:textId="77777777" w:rsidR="00140050" w:rsidRDefault="00140050" w:rsidP="00140050">
      <w:pPr>
        <w:spacing w:after="0" w:line="240" w:lineRule="auto"/>
        <w:jc w:val="both"/>
        <w:rPr>
          <w:rFonts w:asciiTheme="minorBidi" w:hAnsiTheme="minorBidi"/>
        </w:rPr>
      </w:pPr>
    </w:p>
    <w:p w14:paraId="0E3F708B" w14:textId="369A75BA" w:rsidR="00891F5D" w:rsidRPr="00891F5D" w:rsidRDefault="00891F5D" w:rsidP="00891F5D">
      <w:pPr>
        <w:spacing w:after="0" w:line="480" w:lineRule="auto"/>
        <w:jc w:val="both"/>
        <w:rPr>
          <w:rFonts w:asciiTheme="minorBidi" w:hAnsiTheme="minorBidi"/>
        </w:rPr>
      </w:pPr>
      <w:r w:rsidRPr="00891F5D">
        <w:rPr>
          <w:rFonts w:asciiTheme="minorBidi" w:hAnsiTheme="minorBidi"/>
        </w:rPr>
        <w:t>This chapter will be broken into two parts and part one will critically evaluate the Accounting Fraud literature and according to Table 2.1. focus on the first three research questions and objectives. Part two will centre on the fourth research question and corresponding objective.</w:t>
      </w:r>
    </w:p>
    <w:p w14:paraId="32CD4A1B" w14:textId="77777777" w:rsidR="00891F5D" w:rsidRPr="00891F5D" w:rsidRDefault="00891F5D" w:rsidP="00891F5D">
      <w:pPr>
        <w:spacing w:after="0" w:line="480" w:lineRule="auto"/>
        <w:jc w:val="both"/>
        <w:rPr>
          <w:rFonts w:asciiTheme="minorBidi" w:hAnsiTheme="minorBidi"/>
        </w:rPr>
      </w:pPr>
    </w:p>
    <w:p w14:paraId="199F6DEC" w14:textId="6ADF7BC0" w:rsidR="00891F5D" w:rsidRPr="00140050" w:rsidRDefault="00891F5D" w:rsidP="00140050">
      <w:pPr>
        <w:spacing w:after="0" w:line="480" w:lineRule="auto"/>
        <w:jc w:val="both"/>
        <w:rPr>
          <w:rFonts w:asciiTheme="minorBidi" w:hAnsiTheme="minorBidi"/>
        </w:rPr>
      </w:pPr>
      <w:r w:rsidRPr="00891F5D">
        <w:rPr>
          <w:rFonts w:asciiTheme="minorBidi" w:hAnsiTheme="minorBidi"/>
          <w:b/>
          <w:bCs/>
        </w:rPr>
        <w:t xml:space="preserve">Table </w:t>
      </w:r>
      <w:r w:rsidRPr="00891F5D">
        <w:rPr>
          <w:rFonts w:asciiTheme="minorBidi" w:hAnsiTheme="minorBidi"/>
          <w:b/>
          <w:bCs/>
        </w:rPr>
        <w:fldChar w:fldCharType="begin"/>
      </w:r>
      <w:r w:rsidRPr="00891F5D">
        <w:rPr>
          <w:rFonts w:asciiTheme="minorBidi" w:hAnsiTheme="minorBidi"/>
          <w:b/>
          <w:bCs/>
        </w:rPr>
        <w:instrText xml:space="preserve"> STYLEREF 1 \s </w:instrText>
      </w:r>
      <w:r w:rsidRPr="00891F5D">
        <w:rPr>
          <w:rFonts w:asciiTheme="minorBidi" w:hAnsiTheme="minorBidi"/>
          <w:b/>
          <w:bCs/>
        </w:rPr>
        <w:fldChar w:fldCharType="separate"/>
      </w:r>
      <w:r w:rsidRPr="00891F5D">
        <w:rPr>
          <w:rFonts w:asciiTheme="minorBidi" w:hAnsiTheme="minorBidi"/>
          <w:b/>
          <w:bCs/>
          <w:noProof/>
          <w:cs/>
        </w:rPr>
        <w:t>‎</w:t>
      </w:r>
      <w:r w:rsidRPr="00891F5D">
        <w:rPr>
          <w:rFonts w:asciiTheme="minorBidi" w:hAnsiTheme="minorBidi"/>
          <w:b/>
          <w:bCs/>
          <w:noProof/>
        </w:rPr>
        <w:t>2</w:t>
      </w:r>
      <w:r w:rsidRPr="00891F5D">
        <w:rPr>
          <w:rFonts w:asciiTheme="minorBidi" w:hAnsiTheme="minorBidi"/>
          <w:b/>
          <w:bCs/>
        </w:rPr>
        <w:fldChar w:fldCharType="end"/>
      </w:r>
      <w:r w:rsidRPr="00891F5D">
        <w:rPr>
          <w:rFonts w:asciiTheme="minorBidi" w:hAnsiTheme="minorBidi"/>
          <w:b/>
          <w:bCs/>
        </w:rPr>
        <w:t xml:space="preserve">.1 Chapter Two Research Objectives 1 - 4 and Research Questions 1 – 4. </w:t>
      </w:r>
    </w:p>
    <w:tbl>
      <w:tblPr>
        <w:tblStyle w:val="TableGrid"/>
        <w:tblW w:w="0" w:type="auto"/>
        <w:tblLook w:val="04A0" w:firstRow="1" w:lastRow="0" w:firstColumn="1" w:lastColumn="0" w:noHBand="0" w:noVBand="1"/>
      </w:tblPr>
      <w:tblGrid>
        <w:gridCol w:w="603"/>
        <w:gridCol w:w="8413"/>
      </w:tblGrid>
      <w:tr w:rsidR="00891F5D" w:rsidRPr="00891F5D" w14:paraId="4F5CE1E2" w14:textId="77777777" w:rsidTr="001D4222">
        <w:tc>
          <w:tcPr>
            <w:tcW w:w="603" w:type="dxa"/>
          </w:tcPr>
          <w:p w14:paraId="1448AC89" w14:textId="77777777" w:rsidR="00891F5D" w:rsidRPr="00891F5D" w:rsidRDefault="00891F5D" w:rsidP="00891F5D">
            <w:pPr>
              <w:spacing w:line="480" w:lineRule="auto"/>
              <w:jc w:val="both"/>
              <w:rPr>
                <w:rFonts w:asciiTheme="minorBidi" w:hAnsiTheme="minorBidi"/>
                <w:b/>
                <w:bCs/>
                <w:i/>
                <w:iCs/>
              </w:rPr>
            </w:pPr>
            <w:r w:rsidRPr="00891F5D">
              <w:rPr>
                <w:rFonts w:asciiTheme="minorBidi" w:hAnsiTheme="minorBidi"/>
                <w:b/>
                <w:bCs/>
                <w:i/>
                <w:iCs/>
              </w:rPr>
              <w:t>No.</w:t>
            </w:r>
          </w:p>
        </w:tc>
        <w:tc>
          <w:tcPr>
            <w:tcW w:w="8413" w:type="dxa"/>
            <w:shd w:val="clear" w:color="auto" w:fill="D9D9D9" w:themeFill="background1" w:themeFillShade="D9"/>
          </w:tcPr>
          <w:p w14:paraId="430FC748" w14:textId="77777777" w:rsidR="00891F5D" w:rsidRPr="00891F5D" w:rsidRDefault="00891F5D" w:rsidP="00891F5D">
            <w:pPr>
              <w:spacing w:line="480" w:lineRule="auto"/>
              <w:jc w:val="both"/>
              <w:rPr>
                <w:rFonts w:asciiTheme="minorBidi" w:hAnsiTheme="minorBidi"/>
                <w:b/>
                <w:bCs/>
                <w:i/>
                <w:iCs/>
                <w:u w:val="single"/>
              </w:rPr>
            </w:pPr>
            <w:r w:rsidRPr="00891F5D">
              <w:rPr>
                <w:rFonts w:asciiTheme="minorBidi" w:hAnsiTheme="minorBidi"/>
                <w:b/>
                <w:bCs/>
                <w:i/>
                <w:iCs/>
                <w:u w:val="single"/>
              </w:rPr>
              <w:t>Research Objectives &amp; Questions</w:t>
            </w:r>
          </w:p>
        </w:tc>
      </w:tr>
      <w:tr w:rsidR="00891F5D" w:rsidRPr="00891F5D" w14:paraId="0EC8CC4F" w14:textId="77777777" w:rsidTr="001D4222">
        <w:tc>
          <w:tcPr>
            <w:tcW w:w="603" w:type="dxa"/>
          </w:tcPr>
          <w:p w14:paraId="395274F1" w14:textId="77777777" w:rsidR="00891F5D" w:rsidRPr="00891F5D" w:rsidRDefault="00891F5D" w:rsidP="00891F5D">
            <w:pPr>
              <w:spacing w:line="480" w:lineRule="auto"/>
              <w:jc w:val="both"/>
              <w:rPr>
                <w:rFonts w:asciiTheme="minorBidi" w:hAnsiTheme="minorBidi"/>
                <w:i/>
                <w:iCs/>
              </w:rPr>
            </w:pPr>
            <w:r w:rsidRPr="00891F5D">
              <w:rPr>
                <w:rFonts w:asciiTheme="minorBidi" w:hAnsiTheme="minorBidi"/>
                <w:i/>
                <w:iCs/>
              </w:rPr>
              <w:t>1</w:t>
            </w:r>
          </w:p>
        </w:tc>
        <w:tc>
          <w:tcPr>
            <w:tcW w:w="8413" w:type="dxa"/>
          </w:tcPr>
          <w:p w14:paraId="2B5D1339" w14:textId="77777777" w:rsidR="00891F5D" w:rsidRPr="00891F5D" w:rsidRDefault="00891F5D" w:rsidP="00891F5D">
            <w:pPr>
              <w:spacing w:line="480" w:lineRule="auto"/>
              <w:jc w:val="both"/>
              <w:rPr>
                <w:rFonts w:asciiTheme="minorBidi" w:hAnsiTheme="minorBidi"/>
              </w:rPr>
            </w:pPr>
            <w:r w:rsidRPr="00891F5D">
              <w:rPr>
                <w:rFonts w:asciiTheme="minorBidi" w:hAnsiTheme="minorBidi"/>
                <w:b/>
                <w:bCs/>
                <w:u w:val="single"/>
              </w:rPr>
              <w:t>Objective 1:</w:t>
            </w:r>
            <w:r w:rsidRPr="00891F5D">
              <w:rPr>
                <w:rFonts w:asciiTheme="minorBidi" w:hAnsiTheme="minorBidi"/>
              </w:rPr>
              <w:t xml:space="preserve"> To undertake a broad review and synthesis of existing literature on Accounting Fraud, identifying key themes &amp; techniques, findings, and gaps in the research.</w:t>
            </w:r>
          </w:p>
          <w:p w14:paraId="2CB74B19" w14:textId="77777777" w:rsidR="00891F5D" w:rsidRPr="00891F5D" w:rsidRDefault="00891F5D" w:rsidP="00891F5D">
            <w:pPr>
              <w:spacing w:line="480" w:lineRule="auto"/>
              <w:jc w:val="both"/>
              <w:rPr>
                <w:rFonts w:asciiTheme="minorBidi" w:hAnsiTheme="minorBidi"/>
              </w:rPr>
            </w:pPr>
            <w:r w:rsidRPr="00891F5D">
              <w:rPr>
                <w:rFonts w:asciiTheme="minorBidi" w:hAnsiTheme="minorBidi"/>
                <w:b/>
                <w:bCs/>
                <w:u w:val="single"/>
              </w:rPr>
              <w:t>Question 1</w:t>
            </w:r>
            <w:r w:rsidRPr="00891F5D">
              <w:rPr>
                <w:rFonts w:asciiTheme="minorBidi" w:hAnsiTheme="minorBidi"/>
                <w:u w:val="single"/>
              </w:rPr>
              <w:t>:</w:t>
            </w:r>
            <w:r w:rsidRPr="00891F5D">
              <w:rPr>
                <w:rFonts w:asciiTheme="minorBidi" w:hAnsiTheme="minorBidi"/>
              </w:rPr>
              <w:t xml:space="preserve"> What does the current literature state about Accounting Fraud?</w:t>
            </w:r>
          </w:p>
        </w:tc>
      </w:tr>
      <w:tr w:rsidR="00891F5D" w:rsidRPr="00891F5D" w14:paraId="114A242E" w14:textId="77777777" w:rsidTr="001D4222">
        <w:tc>
          <w:tcPr>
            <w:tcW w:w="603" w:type="dxa"/>
          </w:tcPr>
          <w:p w14:paraId="4852BE74" w14:textId="77777777" w:rsidR="00891F5D" w:rsidRPr="00891F5D" w:rsidRDefault="00891F5D" w:rsidP="00891F5D">
            <w:pPr>
              <w:spacing w:line="480" w:lineRule="auto"/>
              <w:jc w:val="both"/>
              <w:rPr>
                <w:rFonts w:asciiTheme="minorBidi" w:hAnsiTheme="minorBidi"/>
                <w:i/>
                <w:iCs/>
              </w:rPr>
            </w:pPr>
            <w:r w:rsidRPr="00891F5D">
              <w:rPr>
                <w:rFonts w:asciiTheme="minorBidi" w:hAnsiTheme="minorBidi"/>
                <w:i/>
                <w:iCs/>
              </w:rPr>
              <w:t>2</w:t>
            </w:r>
          </w:p>
        </w:tc>
        <w:tc>
          <w:tcPr>
            <w:tcW w:w="8413" w:type="dxa"/>
          </w:tcPr>
          <w:p w14:paraId="2961341F" w14:textId="77777777" w:rsidR="00891F5D" w:rsidRPr="00891F5D" w:rsidRDefault="00891F5D" w:rsidP="00891F5D">
            <w:pPr>
              <w:spacing w:line="480" w:lineRule="auto"/>
              <w:jc w:val="both"/>
              <w:rPr>
                <w:rFonts w:asciiTheme="minorBidi" w:hAnsiTheme="minorBidi"/>
              </w:rPr>
            </w:pPr>
            <w:r w:rsidRPr="00891F5D">
              <w:rPr>
                <w:rFonts w:asciiTheme="minorBidi" w:hAnsiTheme="minorBidi"/>
                <w:b/>
                <w:bCs/>
                <w:u w:val="single"/>
              </w:rPr>
              <w:t>Objective 2:</w:t>
            </w:r>
            <w:r w:rsidRPr="00891F5D">
              <w:rPr>
                <w:rFonts w:asciiTheme="minorBidi" w:hAnsiTheme="minorBidi"/>
              </w:rPr>
              <w:t xml:space="preserve"> To critically evaluate key features of corporate governance that influence the occurrence and prevention of Accounting Fraud within organisations including mechanisms that should moderate Accounting Fraud.</w:t>
            </w:r>
          </w:p>
          <w:p w14:paraId="111943C9" w14:textId="77777777" w:rsidR="00891F5D" w:rsidRPr="00891F5D" w:rsidRDefault="00891F5D" w:rsidP="00891F5D">
            <w:pPr>
              <w:spacing w:line="480" w:lineRule="auto"/>
              <w:jc w:val="both"/>
              <w:rPr>
                <w:rFonts w:asciiTheme="minorBidi" w:hAnsiTheme="minorBidi"/>
                <w:u w:val="single"/>
              </w:rPr>
            </w:pPr>
            <w:r w:rsidRPr="00891F5D">
              <w:rPr>
                <w:rFonts w:asciiTheme="minorBidi" w:hAnsiTheme="minorBidi"/>
                <w:b/>
                <w:bCs/>
                <w:u w:val="single"/>
              </w:rPr>
              <w:t>Question 2</w:t>
            </w:r>
            <w:r w:rsidRPr="00891F5D">
              <w:rPr>
                <w:rFonts w:asciiTheme="minorBidi" w:hAnsiTheme="minorBidi"/>
                <w:u w:val="single"/>
              </w:rPr>
              <w:t>:</w:t>
            </w:r>
            <w:r w:rsidRPr="00891F5D">
              <w:rPr>
                <w:rFonts w:asciiTheme="minorBidi" w:hAnsiTheme="minorBidi"/>
              </w:rPr>
              <w:t xml:space="preserve"> What is the relationship between Corporate Governance and Accounting Fraud?</w:t>
            </w:r>
          </w:p>
        </w:tc>
      </w:tr>
      <w:tr w:rsidR="00891F5D" w:rsidRPr="00891F5D" w14:paraId="15568D30" w14:textId="77777777" w:rsidTr="001D4222">
        <w:tc>
          <w:tcPr>
            <w:tcW w:w="603" w:type="dxa"/>
          </w:tcPr>
          <w:p w14:paraId="645AA7FD" w14:textId="77777777" w:rsidR="00891F5D" w:rsidRPr="00891F5D" w:rsidRDefault="00891F5D" w:rsidP="00891F5D">
            <w:pPr>
              <w:spacing w:line="480" w:lineRule="auto"/>
              <w:jc w:val="both"/>
              <w:rPr>
                <w:rFonts w:asciiTheme="minorBidi" w:hAnsiTheme="minorBidi"/>
                <w:i/>
                <w:iCs/>
              </w:rPr>
            </w:pPr>
            <w:r w:rsidRPr="00891F5D">
              <w:rPr>
                <w:rFonts w:asciiTheme="minorBidi" w:hAnsiTheme="minorBidi"/>
                <w:i/>
                <w:iCs/>
              </w:rPr>
              <w:t>3</w:t>
            </w:r>
          </w:p>
        </w:tc>
        <w:tc>
          <w:tcPr>
            <w:tcW w:w="8413" w:type="dxa"/>
          </w:tcPr>
          <w:p w14:paraId="04EB865B" w14:textId="77777777" w:rsidR="00891F5D" w:rsidRPr="00891F5D" w:rsidRDefault="00891F5D" w:rsidP="00891F5D">
            <w:pPr>
              <w:spacing w:line="480" w:lineRule="auto"/>
              <w:jc w:val="both"/>
              <w:rPr>
                <w:rFonts w:asciiTheme="minorBidi" w:hAnsiTheme="minorBidi"/>
              </w:rPr>
            </w:pPr>
            <w:r w:rsidRPr="00891F5D">
              <w:rPr>
                <w:rFonts w:asciiTheme="minorBidi" w:hAnsiTheme="minorBidi"/>
                <w:b/>
                <w:bCs/>
                <w:u w:val="single"/>
              </w:rPr>
              <w:t>Objective 3:</w:t>
            </w:r>
            <w:r w:rsidRPr="00891F5D">
              <w:rPr>
                <w:rFonts w:asciiTheme="minorBidi" w:hAnsiTheme="minorBidi"/>
              </w:rPr>
              <w:t xml:space="preserve"> To explore and demarcate the distinctions between general psychopathy and corporate psychopathy, focusing on behavioural aspects, and influence on organisational settings.</w:t>
            </w:r>
          </w:p>
          <w:p w14:paraId="5A8E04AF" w14:textId="77777777" w:rsidR="00891F5D" w:rsidRPr="00891F5D" w:rsidRDefault="00891F5D" w:rsidP="00891F5D">
            <w:pPr>
              <w:spacing w:line="480" w:lineRule="auto"/>
              <w:jc w:val="both"/>
              <w:rPr>
                <w:rFonts w:asciiTheme="minorBidi" w:hAnsiTheme="minorBidi"/>
                <w:u w:val="single"/>
              </w:rPr>
            </w:pPr>
            <w:r w:rsidRPr="00891F5D">
              <w:rPr>
                <w:rFonts w:asciiTheme="minorBidi" w:hAnsiTheme="minorBidi"/>
                <w:b/>
                <w:bCs/>
                <w:u w:val="single"/>
              </w:rPr>
              <w:t>Question 3</w:t>
            </w:r>
            <w:r w:rsidRPr="00891F5D">
              <w:rPr>
                <w:rFonts w:asciiTheme="minorBidi" w:hAnsiTheme="minorBidi"/>
                <w:u w:val="single"/>
              </w:rPr>
              <w:t>:</w:t>
            </w:r>
            <w:r w:rsidRPr="00891F5D">
              <w:rPr>
                <w:rFonts w:asciiTheme="minorBidi" w:hAnsiTheme="minorBidi"/>
              </w:rPr>
              <w:t xml:space="preserve"> What is the difference between a Psychopath and a Corporate Psychopath?</w:t>
            </w:r>
          </w:p>
        </w:tc>
      </w:tr>
      <w:tr w:rsidR="00891F5D" w:rsidRPr="00891F5D" w14:paraId="6D1549A6" w14:textId="77777777" w:rsidTr="001D4222">
        <w:tc>
          <w:tcPr>
            <w:tcW w:w="603" w:type="dxa"/>
          </w:tcPr>
          <w:p w14:paraId="34731539" w14:textId="77777777" w:rsidR="00891F5D" w:rsidRPr="00891F5D" w:rsidRDefault="00891F5D" w:rsidP="00891F5D">
            <w:pPr>
              <w:spacing w:line="480" w:lineRule="auto"/>
              <w:jc w:val="both"/>
              <w:rPr>
                <w:rFonts w:asciiTheme="minorBidi" w:hAnsiTheme="minorBidi"/>
                <w:i/>
                <w:iCs/>
              </w:rPr>
            </w:pPr>
            <w:r w:rsidRPr="00891F5D">
              <w:rPr>
                <w:rFonts w:asciiTheme="minorBidi" w:hAnsiTheme="minorBidi"/>
                <w:i/>
                <w:iCs/>
              </w:rPr>
              <w:t>4</w:t>
            </w:r>
          </w:p>
        </w:tc>
        <w:tc>
          <w:tcPr>
            <w:tcW w:w="8413" w:type="dxa"/>
          </w:tcPr>
          <w:p w14:paraId="3E01FAAF" w14:textId="77777777" w:rsidR="00891F5D" w:rsidRPr="00891F5D" w:rsidRDefault="00891F5D" w:rsidP="00891F5D">
            <w:pPr>
              <w:spacing w:line="480" w:lineRule="auto"/>
              <w:jc w:val="both"/>
              <w:rPr>
                <w:rFonts w:asciiTheme="minorBidi" w:eastAsia="Times New Roman" w:hAnsiTheme="minorBidi"/>
                <w:kern w:val="0"/>
                <w14:ligatures w14:val="none"/>
              </w:rPr>
            </w:pPr>
            <w:r w:rsidRPr="00891F5D">
              <w:rPr>
                <w:rFonts w:asciiTheme="minorBidi" w:hAnsiTheme="minorBidi"/>
                <w:b/>
                <w:bCs/>
                <w:u w:val="single"/>
              </w:rPr>
              <w:t>Objective 4:</w:t>
            </w:r>
            <w:r w:rsidRPr="00891F5D">
              <w:rPr>
                <w:rFonts w:asciiTheme="minorBidi" w:eastAsia="Times New Roman" w:hAnsiTheme="minorBidi"/>
                <w:kern w:val="0"/>
                <w14:ligatures w14:val="none"/>
              </w:rPr>
              <w:t xml:space="preserve"> To appraise the effectiveness of Blockchain Technology in enhancing the transparency of financial transactions in environments controlled by a CPA.</w:t>
            </w:r>
          </w:p>
          <w:p w14:paraId="6CFAD048" w14:textId="77777777" w:rsidR="00891F5D" w:rsidRPr="00891F5D" w:rsidRDefault="00891F5D" w:rsidP="00891F5D">
            <w:pPr>
              <w:spacing w:line="480" w:lineRule="auto"/>
              <w:jc w:val="both"/>
              <w:rPr>
                <w:rFonts w:asciiTheme="minorBidi" w:hAnsiTheme="minorBidi"/>
                <w:u w:val="single"/>
              </w:rPr>
            </w:pPr>
            <w:r w:rsidRPr="00891F5D">
              <w:rPr>
                <w:rFonts w:asciiTheme="minorBidi" w:hAnsiTheme="minorBidi"/>
                <w:b/>
                <w:bCs/>
                <w:u w:val="single"/>
              </w:rPr>
              <w:lastRenderedPageBreak/>
              <w:t>Question 4</w:t>
            </w:r>
            <w:r w:rsidRPr="00891F5D">
              <w:rPr>
                <w:rFonts w:asciiTheme="minorBidi" w:hAnsiTheme="minorBidi"/>
                <w:u w:val="single"/>
              </w:rPr>
              <w:t>:</w:t>
            </w:r>
            <w:r w:rsidRPr="00891F5D">
              <w:rPr>
                <w:rFonts w:asciiTheme="minorBidi" w:eastAsia="Times New Roman" w:hAnsiTheme="minorBidi"/>
                <w:kern w:val="0"/>
                <w14:ligatures w14:val="none"/>
              </w:rPr>
              <w:t xml:space="preserve"> What influence would Blockchain Technology have on financial transactions' transparency in organisations run by psychopathic individuals?</w:t>
            </w:r>
          </w:p>
        </w:tc>
      </w:tr>
    </w:tbl>
    <w:p w14:paraId="64B749EE" w14:textId="77777777" w:rsidR="00891F5D" w:rsidRPr="00891F5D" w:rsidRDefault="00891F5D" w:rsidP="00891F5D">
      <w:pPr>
        <w:spacing w:after="0" w:line="480" w:lineRule="auto"/>
        <w:jc w:val="both"/>
        <w:rPr>
          <w:rFonts w:asciiTheme="minorBidi" w:hAnsiTheme="minorBidi"/>
        </w:rPr>
      </w:pPr>
    </w:p>
    <w:p w14:paraId="669C2D90" w14:textId="3C329CA0" w:rsidR="00891F5D" w:rsidRPr="00891F5D" w:rsidRDefault="00891F5D" w:rsidP="00891F5D">
      <w:pPr>
        <w:spacing w:after="0" w:line="480" w:lineRule="auto"/>
        <w:jc w:val="both"/>
        <w:rPr>
          <w:rFonts w:asciiTheme="minorBidi" w:eastAsia="Times New Roman" w:hAnsiTheme="minorBidi"/>
          <w:kern w:val="0"/>
          <w:lang w:eastAsia="en-GB"/>
          <w14:ligatures w14:val="none"/>
        </w:rPr>
      </w:pPr>
      <w:r w:rsidRPr="00891F5D">
        <w:rPr>
          <w:rFonts w:asciiTheme="minorBidi" w:eastAsiaTheme="minorHAnsi" w:hAnsiTheme="minorBidi"/>
          <w:kern w:val="0"/>
          <w:lang w:val="en-US" w:eastAsia="en-US"/>
          <w14:ligatures w14:val="none"/>
        </w:rPr>
        <w:t xml:space="preserve">We initially explore the Accounting Fraud literature including how it is conducted with examples of salient accounting scandals and the principal motivations. Part one of the theoretical background explores how </w:t>
      </w:r>
      <w:r w:rsidRPr="00891F5D">
        <w:rPr>
          <w:rFonts w:asciiTheme="minorBidi" w:hAnsiTheme="minorBidi"/>
        </w:rPr>
        <w:t xml:space="preserve">‘Differential Association Theory’ underpins the Fraud Triangle (Pressure, Opportunity., Rationalisation) </w:t>
      </w:r>
      <w:r w:rsidRPr="00891F5D">
        <w:rPr>
          <w:rFonts w:asciiTheme="minorBidi" w:eastAsiaTheme="minorHAnsi" w:hAnsiTheme="minorBidi"/>
          <w:kern w:val="0"/>
          <w:lang w:val="en-US" w:eastAsia="en-US"/>
          <w14:ligatures w14:val="none"/>
        </w:rPr>
        <w:t xml:space="preserve">which is the major conceptual model that can be used to explain the phenomenon of Accounting Fraud. This is followed by an evaluation of the Fraud Triangle and the </w:t>
      </w:r>
      <w:r w:rsidR="007951D3">
        <w:rPr>
          <w:rFonts w:asciiTheme="minorBidi" w:eastAsiaTheme="minorHAnsi" w:hAnsiTheme="minorBidi"/>
          <w:kern w:val="0"/>
          <w:lang w:val="en-US" w:eastAsia="en-US"/>
          <w14:ligatures w14:val="none"/>
        </w:rPr>
        <w:t xml:space="preserve">researcher </w:t>
      </w:r>
      <w:r w:rsidRPr="00891F5D">
        <w:rPr>
          <w:rFonts w:asciiTheme="minorBidi" w:eastAsiaTheme="minorHAnsi" w:hAnsiTheme="minorBidi"/>
          <w:kern w:val="0"/>
          <w:lang w:val="en-US" w:eastAsia="en-US"/>
          <w14:ligatures w14:val="none"/>
        </w:rPr>
        <w:t xml:space="preserve">will argue that the Fraud Triangle collapses into a single dimension namely </w:t>
      </w:r>
      <w:r w:rsidRPr="00891F5D">
        <w:rPr>
          <w:rFonts w:asciiTheme="minorBidi" w:eastAsiaTheme="minorHAnsi" w:hAnsiTheme="minorBidi"/>
          <w:i/>
          <w:iCs/>
          <w:kern w:val="0"/>
          <w:lang w:val="en-US" w:eastAsia="en-US"/>
          <w14:ligatures w14:val="none"/>
        </w:rPr>
        <w:t>rationalisation</w:t>
      </w:r>
      <w:r w:rsidRPr="00891F5D">
        <w:rPr>
          <w:rFonts w:asciiTheme="minorBidi" w:eastAsiaTheme="minorHAnsi" w:hAnsiTheme="minorBidi"/>
          <w:kern w:val="0"/>
          <w:lang w:val="en-US" w:eastAsia="en-US"/>
          <w14:ligatures w14:val="none"/>
        </w:rPr>
        <w:t xml:space="preserve"> and posit an element of The Dark Triad (Psychopathy, Narcissism, Machiavelli) that will result a better explanation of Accounting Fraud namely the </w:t>
      </w:r>
      <w:r w:rsidRPr="00891F5D">
        <w:rPr>
          <w:rFonts w:asciiTheme="minorBidi" w:eastAsia="Times New Roman" w:hAnsiTheme="minorBidi"/>
          <w:kern w:val="0"/>
          <w:lang w:eastAsia="en-GB"/>
          <w14:ligatures w14:val="none"/>
        </w:rPr>
        <w:t>‘CORPORATE PSYCOPATH ACCOUNTANT EQUATION’ (CPA EQUATION) which potentially suggests that Accounting Fraud may persist due to rationalisation of the act / fraud caused by psychopathy:</w:t>
      </w:r>
    </w:p>
    <w:p w14:paraId="108CE20E" w14:textId="77777777" w:rsidR="00891F5D" w:rsidRPr="00891F5D" w:rsidRDefault="00891F5D" w:rsidP="00891F5D">
      <w:pPr>
        <w:spacing w:after="0" w:line="480" w:lineRule="auto"/>
        <w:jc w:val="center"/>
        <w:rPr>
          <w:rFonts w:asciiTheme="minorBidi" w:eastAsia="Times New Roman" w:hAnsiTheme="minorBidi"/>
          <w:kern w:val="0"/>
          <w:lang w:eastAsia="en-GB"/>
          <w14:ligatures w14:val="none"/>
        </w:rPr>
      </w:pPr>
      <w:r w:rsidRPr="00891F5D">
        <w:rPr>
          <w:rFonts w:asciiTheme="minorBidi" w:eastAsia="Times New Roman" w:hAnsiTheme="minorBidi"/>
          <w:kern w:val="0"/>
          <w:lang w:eastAsia="en-GB"/>
          <w14:ligatures w14:val="none"/>
        </w:rPr>
        <w:t>Rationalisation = Corporate Accountant Psychopathy = Accounting Fraud</w:t>
      </w:r>
    </w:p>
    <w:p w14:paraId="07C8E66A" w14:textId="2755ABA6" w:rsidR="00891F5D" w:rsidRPr="00891F5D" w:rsidRDefault="00891F5D" w:rsidP="00891F5D">
      <w:pPr>
        <w:spacing w:after="0" w:line="480" w:lineRule="auto"/>
        <w:jc w:val="both"/>
        <w:rPr>
          <w:rFonts w:asciiTheme="minorBidi" w:eastAsiaTheme="minorHAnsi" w:hAnsiTheme="minorBidi"/>
          <w:kern w:val="0"/>
          <w:lang w:val="en-US" w:eastAsia="en-US"/>
          <w14:ligatures w14:val="none"/>
        </w:rPr>
      </w:pPr>
      <w:r w:rsidRPr="00891F5D">
        <w:rPr>
          <w:rFonts w:asciiTheme="minorBidi" w:eastAsiaTheme="minorHAnsi" w:hAnsiTheme="minorBidi"/>
          <w:kern w:val="0"/>
          <w:lang w:val="en-US" w:eastAsia="en-US"/>
          <w14:ligatures w14:val="none"/>
        </w:rPr>
        <w:t xml:space="preserve">The literature gap will be clearly highlighted, and the first set of sub-research questions will be outlined. A key Accounting Fraud model entitled Cooks Recipe Incentives Monitoring End Results (C R I M E) (Rezaee, 2005) is extended to C R I M E L (Learning) and applied to 33 international case studies which highlights corporate psychopathy as potentially important determinant of Accounting Fraud and supports the </w:t>
      </w:r>
      <w:r w:rsidR="007951D3">
        <w:rPr>
          <w:rFonts w:asciiTheme="minorBidi" w:eastAsiaTheme="minorHAnsi" w:hAnsiTheme="minorBidi"/>
          <w:kern w:val="0"/>
          <w:lang w:val="en-US" w:eastAsia="en-US"/>
          <w14:ligatures w14:val="none"/>
        </w:rPr>
        <w:t xml:space="preserve">researchers </w:t>
      </w:r>
      <w:r w:rsidRPr="00891F5D">
        <w:rPr>
          <w:rFonts w:asciiTheme="minorBidi" w:eastAsiaTheme="minorHAnsi" w:hAnsiTheme="minorBidi"/>
          <w:kern w:val="0"/>
          <w:lang w:val="en-US" w:eastAsia="en-US"/>
          <w14:ligatures w14:val="none"/>
        </w:rPr>
        <w:t xml:space="preserve">proposition for the Corporate Psychopath Accountant. </w:t>
      </w:r>
    </w:p>
    <w:p w14:paraId="3DAD1028" w14:textId="1A9B6046" w:rsidR="00891F5D" w:rsidRDefault="00891F5D" w:rsidP="00140050">
      <w:pPr>
        <w:spacing w:after="0" w:line="480" w:lineRule="auto"/>
        <w:jc w:val="both"/>
        <w:rPr>
          <w:rFonts w:asciiTheme="minorBidi" w:eastAsiaTheme="minorHAnsi" w:hAnsiTheme="minorBidi"/>
          <w:kern w:val="0"/>
          <w:lang w:val="en-US" w:eastAsia="en-US"/>
          <w14:ligatures w14:val="none"/>
        </w:rPr>
      </w:pPr>
      <w:r w:rsidRPr="00891F5D">
        <w:rPr>
          <w:rFonts w:asciiTheme="minorBidi" w:eastAsiaTheme="minorHAnsi" w:hAnsiTheme="minorBidi"/>
          <w:kern w:val="0"/>
          <w:lang w:val="en-US" w:eastAsia="en-US"/>
          <w14:ligatures w14:val="none"/>
        </w:rPr>
        <w:t xml:space="preserve">In the second part of the theoretical background the researcher will also explore the nascent Blockchain Technology, whether it could be an antidote to the Corporate </w:t>
      </w:r>
      <w:r w:rsidRPr="00891F5D">
        <w:rPr>
          <w:rFonts w:asciiTheme="minorBidi" w:eastAsiaTheme="minorHAnsi" w:hAnsiTheme="minorBidi"/>
          <w:kern w:val="0"/>
          <w:lang w:val="en-US" w:eastAsia="en-US"/>
          <w14:ligatures w14:val="none"/>
        </w:rPr>
        <w:lastRenderedPageBreak/>
        <w:t>Psychopath Accountant and Accounting Fraud and outline the remaining sub-research questions.</w:t>
      </w:r>
    </w:p>
    <w:p w14:paraId="6F97C273" w14:textId="77777777" w:rsidR="00140050" w:rsidRPr="00891F5D" w:rsidRDefault="00140050" w:rsidP="00140050">
      <w:pPr>
        <w:spacing w:after="0" w:line="480" w:lineRule="auto"/>
        <w:jc w:val="both"/>
        <w:rPr>
          <w:rFonts w:asciiTheme="minorBidi" w:eastAsiaTheme="minorHAnsi" w:hAnsiTheme="minorBidi"/>
          <w:kern w:val="0"/>
          <w:lang w:val="en-US" w:eastAsia="en-US"/>
          <w14:ligatures w14:val="none"/>
        </w:rPr>
      </w:pPr>
    </w:p>
    <w:bookmarkStart w:id="376" w:name="D16"/>
    <w:p w14:paraId="33519C02" w14:textId="45388822" w:rsidR="00891F5D" w:rsidRPr="00891F5D" w:rsidRDefault="00C03DE8" w:rsidP="00140050">
      <w:pPr>
        <w:pBdr>
          <w:top w:val="single" w:sz="4" w:space="1" w:color="auto"/>
          <w:left w:val="single" w:sz="4" w:space="4" w:color="auto"/>
          <w:bottom w:val="single" w:sz="4" w:space="1" w:color="auto"/>
          <w:right w:val="single" w:sz="4" w:space="4" w:color="auto"/>
        </w:pBdr>
        <w:spacing w:after="0" w:line="240" w:lineRule="auto"/>
        <w:jc w:val="both"/>
        <w:rPr>
          <w:rFonts w:asciiTheme="minorBidi" w:eastAsiaTheme="minorHAnsi" w:hAnsiTheme="minorBidi"/>
          <w:b/>
          <w:bCs/>
          <w:kern w:val="0"/>
          <w:lang w:val="en-US" w:eastAsia="en-US"/>
          <w14:ligatures w14:val="none"/>
        </w:rPr>
      </w:pPr>
      <w:r>
        <w:rPr>
          <w:rFonts w:asciiTheme="minorBidi" w:eastAsiaTheme="minorHAnsi" w:hAnsiTheme="minorBidi"/>
          <w:b/>
          <w:bCs/>
          <w:kern w:val="0"/>
          <w:lang w:val="en-US" w:eastAsia="en-US"/>
          <w14:ligatures w14:val="none"/>
        </w:rPr>
        <w:fldChar w:fldCharType="begin"/>
      </w:r>
      <w:r>
        <w:rPr>
          <w:rFonts w:asciiTheme="minorBidi" w:eastAsiaTheme="minorHAnsi" w:hAnsiTheme="minorBidi"/>
          <w:b/>
          <w:bCs/>
          <w:kern w:val="0"/>
          <w:lang w:val="en-US" w:eastAsia="en-US"/>
          <w14:ligatures w14:val="none"/>
        </w:rPr>
        <w:instrText>HYPERLINK  \l "C16"</w:instrText>
      </w:r>
      <w:r>
        <w:rPr>
          <w:rFonts w:asciiTheme="minorBidi" w:eastAsiaTheme="minorHAnsi" w:hAnsiTheme="minorBidi"/>
          <w:b/>
          <w:bCs/>
          <w:kern w:val="0"/>
          <w:lang w:val="en-US" w:eastAsia="en-US"/>
          <w14:ligatures w14:val="none"/>
        </w:rPr>
      </w:r>
      <w:r>
        <w:rPr>
          <w:rFonts w:asciiTheme="minorBidi" w:eastAsiaTheme="minorHAnsi" w:hAnsiTheme="minorBidi"/>
          <w:b/>
          <w:bCs/>
          <w:kern w:val="0"/>
          <w:lang w:val="en-US" w:eastAsia="en-US"/>
          <w14:ligatures w14:val="none"/>
        </w:rPr>
        <w:fldChar w:fldCharType="separate"/>
      </w:r>
      <w:r w:rsidR="00891F5D" w:rsidRPr="00C03DE8">
        <w:rPr>
          <w:rStyle w:val="Hyperlink"/>
          <w:rFonts w:asciiTheme="minorBidi" w:eastAsiaTheme="minorHAnsi" w:hAnsiTheme="minorBidi"/>
          <w:b/>
          <w:bCs/>
          <w:kern w:val="0"/>
          <w:lang w:val="en-US" w:eastAsia="en-US"/>
          <w14:ligatures w14:val="none"/>
        </w:rPr>
        <w:t>2.2 Part One: The Accounting Fraud Literature</w:t>
      </w:r>
      <w:r>
        <w:rPr>
          <w:rFonts w:asciiTheme="minorBidi" w:eastAsiaTheme="minorHAnsi" w:hAnsiTheme="minorBidi"/>
          <w:b/>
          <w:bCs/>
          <w:kern w:val="0"/>
          <w:lang w:val="en-US" w:eastAsia="en-US"/>
          <w14:ligatures w14:val="none"/>
        </w:rPr>
        <w:fldChar w:fldCharType="end"/>
      </w:r>
    </w:p>
    <w:bookmarkEnd w:id="376"/>
    <w:p w14:paraId="5135A8C0" w14:textId="77777777" w:rsidR="00140050" w:rsidRDefault="00140050" w:rsidP="00140050">
      <w:pPr>
        <w:spacing w:after="200" w:line="240" w:lineRule="auto"/>
        <w:jc w:val="both"/>
        <w:rPr>
          <w:rFonts w:asciiTheme="minorBidi" w:eastAsiaTheme="minorHAnsi" w:hAnsiTheme="minorBidi"/>
          <w:b/>
          <w:bCs/>
          <w:kern w:val="0"/>
          <w:lang w:val="en-US" w:eastAsia="en-US"/>
          <w14:ligatures w14:val="none"/>
        </w:rPr>
      </w:pPr>
    </w:p>
    <w:p w14:paraId="50BEA281" w14:textId="62BEEA76"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The Fraud Triangle has been extensively applied by both researchers and regulators to prevent and detect fraud </w:t>
      </w:r>
      <w:r w:rsidRPr="00891F5D">
        <w:rPr>
          <w:rFonts w:ascii="Arial" w:eastAsiaTheme="minorHAnsi" w:hAnsi="Arial" w:cs="Arial"/>
          <w:kern w:val="0"/>
          <w:lang w:eastAsia="en-US"/>
          <w14:ligatures w14:val="none"/>
        </w:rPr>
        <w:t xml:space="preserve">(Kassem and Higson 2012). </w:t>
      </w:r>
      <w:r w:rsidRPr="00891F5D">
        <w:rPr>
          <w:rFonts w:ascii="Arial" w:eastAsiaTheme="minorHAnsi" w:hAnsi="Arial" w:cs="Arial"/>
          <w:kern w:val="0"/>
          <w:lang w:val="en-US" w:eastAsia="en-US"/>
          <w14:ligatures w14:val="none"/>
        </w:rPr>
        <w:t>Over the years, accounting researchers have updated the Fraud Triangle, resulting in extended models that purport to better understand the nature of fraud.</w:t>
      </w:r>
    </w:p>
    <w:p w14:paraId="3C6D0C00"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The three constituents of the Fraud Triangle (Pressure, Opportunity, Rationalisation) have been successfully integrated by important regulators and professional bodies in the United States, where it is the bedrock of the</w:t>
      </w:r>
      <w:r w:rsidRPr="00891F5D">
        <w:rPr>
          <w:rFonts w:ascii="Arial" w:eastAsiaTheme="minorHAnsi" w:hAnsi="Arial" w:cs="Arial"/>
          <w:iCs/>
          <w:kern w:val="0"/>
          <w:lang w:eastAsia="en-US"/>
          <w14:ligatures w14:val="none"/>
        </w:rPr>
        <w:t xml:space="preserve"> (Dorminey et al. 2012:23) following: </w:t>
      </w:r>
    </w:p>
    <w:p w14:paraId="3E722D5F" w14:textId="16FE2AD3" w:rsidR="00891F5D" w:rsidRPr="00891F5D" w:rsidRDefault="00891F5D" w:rsidP="00891F5D">
      <w:pPr>
        <w:numPr>
          <w:ilvl w:val="0"/>
          <w:numId w:val="3"/>
        </w:numPr>
        <w:spacing w:after="200" w:line="480" w:lineRule="auto"/>
        <w:contextualSpacing/>
        <w:jc w:val="both"/>
        <w:rPr>
          <w:rFonts w:ascii="Arial" w:eastAsiaTheme="minorHAnsi" w:hAnsi="Arial" w:cs="Arial"/>
          <w:kern w:val="0"/>
          <w:lang w:val="en-US" w:eastAsia="en-US"/>
          <w14:ligatures w14:val="none"/>
        </w:rPr>
      </w:pPr>
      <w:bookmarkStart w:id="377" w:name="3"/>
      <w:r w:rsidRPr="00891F5D">
        <w:rPr>
          <w:rFonts w:ascii="Arial" w:eastAsiaTheme="minorHAnsi" w:hAnsi="Arial" w:cs="Arial"/>
          <w:kern w:val="0"/>
          <w:lang w:val="en-US" w:eastAsia="en-US"/>
          <w14:ligatures w14:val="none"/>
        </w:rPr>
        <w:t xml:space="preserve">Association of Certified Fraud Examiners’ (ACFE) </w:t>
      </w:r>
      <w:r w:rsidRPr="00891F5D">
        <w:rPr>
          <w:rFonts w:ascii="Arial" w:eastAsiaTheme="minorHAnsi" w:hAnsi="Arial" w:cs="Arial"/>
          <w:i/>
          <w:iCs/>
          <w:kern w:val="0"/>
          <w:lang w:val="en-US" w:eastAsia="en-US"/>
          <w14:ligatures w14:val="none"/>
        </w:rPr>
        <w:t>“Fraud Examiners Manual</w:t>
      </w:r>
      <w:r w:rsidR="002C6A8A" w:rsidRPr="00891F5D">
        <w:rPr>
          <w:rFonts w:ascii="Arial" w:eastAsiaTheme="minorHAnsi" w:hAnsi="Arial" w:cs="Arial"/>
          <w:i/>
          <w:iCs/>
          <w:kern w:val="0"/>
          <w:lang w:val="en-US" w:eastAsia="en-US"/>
          <w14:ligatures w14:val="none"/>
        </w:rPr>
        <w:t>”</w:t>
      </w:r>
      <w:r w:rsidR="002C6A8A" w:rsidRPr="00891F5D">
        <w:rPr>
          <w:rFonts w:ascii="Arial" w:eastAsiaTheme="minorHAnsi" w:hAnsi="Arial" w:cs="Arial"/>
          <w:kern w:val="0"/>
          <w:lang w:val="en-US" w:eastAsia="en-US"/>
          <w14:ligatures w14:val="none"/>
        </w:rPr>
        <w:t>.</w:t>
      </w:r>
    </w:p>
    <w:p w14:paraId="3D437964" w14:textId="77777777" w:rsidR="00891F5D" w:rsidRPr="00891F5D" w:rsidRDefault="00891F5D" w:rsidP="00891F5D">
      <w:pPr>
        <w:numPr>
          <w:ilvl w:val="0"/>
          <w:numId w:val="3"/>
        </w:numPr>
        <w:spacing w:after="200" w:line="480" w:lineRule="auto"/>
        <w:contextualSpacing/>
        <w:jc w:val="both"/>
        <w:rPr>
          <w:rFonts w:ascii="Arial" w:eastAsiaTheme="minorHAnsi" w:hAnsi="Arial" w:cs="Arial"/>
          <w:kern w:val="0"/>
          <w:lang w:val="en-US" w:eastAsia="en-US"/>
          <w14:ligatures w14:val="none"/>
        </w:rPr>
      </w:pPr>
      <w:bookmarkStart w:id="378" w:name="4"/>
      <w:bookmarkEnd w:id="377"/>
      <w:r w:rsidRPr="00891F5D">
        <w:rPr>
          <w:rFonts w:ascii="Arial" w:eastAsiaTheme="minorHAnsi" w:hAnsi="Arial" w:cs="Arial"/>
          <w:kern w:val="0"/>
          <w:lang w:val="en-US" w:eastAsia="en-US"/>
          <w14:ligatures w14:val="none"/>
        </w:rPr>
        <w:t xml:space="preserve">the Public Company Accounting Oversight Boards’ (PCAOB) AU Section 316, </w:t>
      </w:r>
      <w:r w:rsidRPr="00891F5D">
        <w:rPr>
          <w:rFonts w:ascii="Arial" w:eastAsiaTheme="minorHAnsi" w:hAnsi="Arial" w:cs="Arial"/>
          <w:i/>
          <w:iCs/>
          <w:kern w:val="0"/>
          <w:lang w:val="en-US" w:eastAsia="en-US"/>
          <w14:ligatures w14:val="none"/>
        </w:rPr>
        <w:t>“Consideration of Fraud in a Financial Statement</w:t>
      </w:r>
      <w:r w:rsidRPr="00891F5D">
        <w:rPr>
          <w:rFonts w:ascii="Arial" w:eastAsiaTheme="minorHAnsi" w:hAnsi="Arial" w:cs="Arial"/>
          <w:kern w:val="0"/>
          <w:lang w:val="en-US" w:eastAsia="en-US"/>
          <w14:ligatures w14:val="none"/>
        </w:rPr>
        <w:t xml:space="preserve"> </w:t>
      </w:r>
      <w:r w:rsidRPr="00891F5D">
        <w:rPr>
          <w:rFonts w:ascii="Arial" w:eastAsiaTheme="minorHAnsi" w:hAnsi="Arial" w:cs="Arial"/>
          <w:i/>
          <w:iCs/>
          <w:kern w:val="0"/>
          <w:lang w:val="en-US" w:eastAsia="en-US"/>
          <w14:ligatures w14:val="none"/>
        </w:rPr>
        <w:t>Audit</w:t>
      </w:r>
      <w:proofErr w:type="gramStart"/>
      <w:r w:rsidRPr="00891F5D">
        <w:rPr>
          <w:rFonts w:ascii="Arial" w:eastAsiaTheme="minorHAnsi" w:hAnsi="Arial" w:cs="Arial"/>
          <w:i/>
          <w:iCs/>
          <w:kern w:val="0"/>
          <w:lang w:val="en-US" w:eastAsia="en-US"/>
          <w14:ligatures w14:val="none"/>
        </w:rPr>
        <w:t>”</w:t>
      </w:r>
      <w:r w:rsidRPr="00891F5D">
        <w:rPr>
          <w:rFonts w:ascii="Arial" w:eastAsiaTheme="minorHAnsi" w:hAnsi="Arial" w:cs="Arial"/>
          <w:kern w:val="0"/>
          <w:lang w:val="en-US" w:eastAsia="en-US"/>
          <w14:ligatures w14:val="none"/>
        </w:rPr>
        <w:t>;</w:t>
      </w:r>
      <w:proofErr w:type="gramEnd"/>
    </w:p>
    <w:bookmarkEnd w:id="378"/>
    <w:p w14:paraId="6094D009" w14:textId="77777777" w:rsidR="00891F5D" w:rsidRPr="00891F5D" w:rsidRDefault="00891F5D" w:rsidP="00891F5D">
      <w:pPr>
        <w:numPr>
          <w:ilvl w:val="0"/>
          <w:numId w:val="3"/>
        </w:numPr>
        <w:spacing w:after="200"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and the American Institute of Certified Public Accountants’ (AICPA) SAS no. 99, </w:t>
      </w:r>
      <w:r w:rsidRPr="00891F5D">
        <w:rPr>
          <w:rFonts w:ascii="Arial" w:eastAsiaTheme="minorHAnsi" w:hAnsi="Arial" w:cs="Arial"/>
          <w:i/>
          <w:iCs/>
          <w:kern w:val="0"/>
          <w:lang w:val="en-US" w:eastAsia="en-US"/>
          <w14:ligatures w14:val="none"/>
        </w:rPr>
        <w:t>“Consideration of Fraud in a Financial Statement Audit.”</w:t>
      </w:r>
    </w:p>
    <w:p w14:paraId="47FDD9E3" w14:textId="77777777" w:rsidR="00891F5D" w:rsidRPr="00891F5D" w:rsidRDefault="00891F5D" w:rsidP="00891F5D">
      <w:pPr>
        <w:spacing w:after="200" w:line="480" w:lineRule="auto"/>
        <w:ind w:left="720"/>
        <w:contextualSpacing/>
        <w:jc w:val="both"/>
        <w:rPr>
          <w:rFonts w:ascii="Arial" w:eastAsiaTheme="minorHAnsi" w:hAnsi="Arial" w:cs="Arial"/>
          <w:kern w:val="0"/>
          <w:lang w:val="en-US" w:eastAsia="en-US"/>
          <w14:ligatures w14:val="none"/>
        </w:rPr>
      </w:pPr>
    </w:p>
    <w:p w14:paraId="3125B1CF" w14:textId="00230FA3" w:rsidR="00140050" w:rsidRDefault="00891F5D" w:rsidP="003E44A1">
      <w:pPr>
        <w:autoSpaceDE w:val="0"/>
        <w:autoSpaceDN w:val="0"/>
        <w:adjustRightInd w:val="0"/>
        <w:spacing w:after="0"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To answer the research</w:t>
      </w:r>
      <w:r w:rsidR="005D3618">
        <w:rPr>
          <w:rFonts w:ascii="Arial" w:eastAsiaTheme="minorHAnsi" w:hAnsi="Arial" w:cs="Arial"/>
          <w:kern w:val="0"/>
          <w:lang w:eastAsia="en-US"/>
          <w14:ligatures w14:val="none"/>
        </w:rPr>
        <w:t xml:space="preserve"> objective (RO)</w:t>
      </w:r>
      <w:r w:rsidRPr="00891F5D">
        <w:rPr>
          <w:rFonts w:ascii="Arial" w:eastAsiaTheme="minorHAnsi" w:hAnsi="Arial" w:cs="Arial"/>
          <w:kern w:val="0"/>
          <w:lang w:eastAsia="en-US"/>
          <w14:ligatures w14:val="none"/>
        </w:rPr>
        <w:t xml:space="preserve"> questions (RQs) and sub-research questions (SRQs) This chapter will evaluate the salient literature to corroborate the RQs and SRQs. Although there are several definitions of literature review (Machi &amp; McEvoy, 2009; Onwuegbuzie et al., 2010), the </w:t>
      </w:r>
      <w:bookmarkStart w:id="379" w:name="_Hlk173595541"/>
      <w:r w:rsidR="007951D3">
        <w:rPr>
          <w:rFonts w:ascii="Arial" w:eastAsiaTheme="minorHAnsi" w:hAnsi="Arial" w:cs="Arial"/>
          <w:kern w:val="0"/>
          <w:lang w:eastAsia="en-US"/>
          <w14:ligatures w14:val="none"/>
        </w:rPr>
        <w:t>researcher</w:t>
      </w:r>
      <w:r w:rsidRPr="00891F5D">
        <w:rPr>
          <w:rFonts w:ascii="Arial" w:eastAsiaTheme="minorHAnsi" w:hAnsi="Arial" w:cs="Arial"/>
          <w:kern w:val="0"/>
          <w:lang w:eastAsia="en-US"/>
          <w14:ligatures w14:val="none"/>
        </w:rPr>
        <w:t xml:space="preserve"> </w:t>
      </w:r>
      <w:bookmarkEnd w:id="379"/>
      <w:r w:rsidRPr="00891F5D">
        <w:rPr>
          <w:rFonts w:ascii="Arial" w:eastAsiaTheme="minorHAnsi" w:hAnsi="Arial" w:cs="Arial"/>
          <w:kern w:val="0"/>
          <w:lang w:eastAsia="en-US"/>
          <w14:ligatures w14:val="none"/>
        </w:rPr>
        <w:t xml:space="preserve">agrees with Onwuegbuzie et al. (2010: 173) who defines </w:t>
      </w:r>
      <w:r w:rsidRPr="00891F5D">
        <w:rPr>
          <w:rFonts w:ascii="Arial" w:eastAsiaTheme="minorHAnsi" w:hAnsi="Arial" w:cs="Arial"/>
          <w:b/>
          <w:bCs/>
          <w:kern w:val="0"/>
          <w:lang w:eastAsia="en-US"/>
          <w14:ligatures w14:val="none"/>
        </w:rPr>
        <w:t xml:space="preserve">literature review as an interpretation of a ‘selection of published and/or unpublished documents available from various sources on a specific topic that optimally involves summarization, analysis, evaluation, and </w:t>
      </w:r>
      <w:r w:rsidRPr="00891F5D">
        <w:rPr>
          <w:rFonts w:ascii="Arial" w:eastAsiaTheme="minorHAnsi" w:hAnsi="Arial" w:cs="Arial"/>
          <w:b/>
          <w:bCs/>
          <w:kern w:val="0"/>
          <w:lang w:eastAsia="en-US"/>
          <w14:ligatures w14:val="none"/>
        </w:rPr>
        <w:lastRenderedPageBreak/>
        <w:t>synthesis of the documents’.</w:t>
      </w:r>
      <w:r w:rsidRPr="00891F5D">
        <w:rPr>
          <w:rFonts w:ascii="Arial" w:eastAsiaTheme="minorHAnsi" w:hAnsi="Arial" w:cs="Arial"/>
          <w:kern w:val="0"/>
          <w:lang w:eastAsia="en-US"/>
          <w14:ligatures w14:val="none"/>
        </w:rPr>
        <w:t xml:space="preserve"> Hence, this chapter will not only consider the appropriate literature, but attempt to synthesize this literature about Accounting Fraud, beginning with differential association theory then the Fraud Triangle and the Dark Triad located in organisational deviance. This will enable a better understanding of Accounting Fraud, the Fraud models and crucially identify specific literature gaps. However, it is important to understand the major types of Accounting Fraud.</w:t>
      </w:r>
    </w:p>
    <w:p w14:paraId="2863F5E5" w14:textId="77777777" w:rsidR="003E44A1" w:rsidRPr="00891F5D" w:rsidRDefault="003E44A1" w:rsidP="003E44A1">
      <w:pPr>
        <w:autoSpaceDE w:val="0"/>
        <w:autoSpaceDN w:val="0"/>
        <w:adjustRightInd w:val="0"/>
        <w:spacing w:after="0" w:line="480" w:lineRule="auto"/>
        <w:jc w:val="both"/>
        <w:rPr>
          <w:rFonts w:ascii="Arial" w:eastAsiaTheme="minorHAnsi" w:hAnsi="Arial" w:cs="Arial"/>
          <w:kern w:val="0"/>
          <w:lang w:eastAsia="en-US"/>
          <w14:ligatures w14:val="none"/>
        </w:rPr>
      </w:pPr>
    </w:p>
    <w:bookmarkStart w:id="380" w:name="D17"/>
    <w:p w14:paraId="094328DE" w14:textId="4EF58F92" w:rsidR="00891F5D" w:rsidRPr="00891F5D" w:rsidRDefault="00C03DE8" w:rsidP="00140050">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"C17"</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C03DE8">
        <w:rPr>
          <w:rStyle w:val="Hyperlink"/>
          <w:rFonts w:ascii="Arial" w:eastAsiaTheme="minorHAnsi" w:hAnsi="Arial" w:cs="Arial"/>
          <w:b/>
          <w:bCs/>
          <w:kern w:val="0"/>
          <w:lang w:val="en-US" w:eastAsia="en-US"/>
          <w14:ligatures w14:val="none"/>
        </w:rPr>
        <w:t>2.2.1 Theme One: The Types of Accounting Fraud, Including Techniques</w:t>
      </w:r>
      <w:r>
        <w:rPr>
          <w:rFonts w:ascii="Arial" w:eastAsiaTheme="minorHAnsi" w:hAnsi="Arial" w:cs="Arial"/>
          <w:b/>
          <w:bCs/>
          <w:kern w:val="0"/>
          <w:lang w:val="en-US" w:eastAsia="en-US"/>
          <w14:ligatures w14:val="none"/>
        </w:rPr>
        <w:fldChar w:fldCharType="end"/>
      </w:r>
      <w:r w:rsidR="00891F5D" w:rsidRPr="00891F5D">
        <w:rPr>
          <w:rFonts w:ascii="Arial" w:eastAsiaTheme="minorHAnsi" w:hAnsi="Arial" w:cs="Arial"/>
          <w:b/>
          <w:bCs/>
          <w:kern w:val="0"/>
          <w:lang w:val="en-US" w:eastAsia="en-US"/>
          <w14:ligatures w14:val="none"/>
        </w:rPr>
        <w:t xml:space="preserve"> </w:t>
      </w:r>
    </w:p>
    <w:bookmarkEnd w:id="380"/>
    <w:p w14:paraId="70837C9A" w14:textId="77777777" w:rsidR="00891F5D" w:rsidRPr="00891F5D" w:rsidRDefault="00891F5D" w:rsidP="00891F5D">
      <w:pPr>
        <w:spacing w:after="0" w:line="240" w:lineRule="auto"/>
        <w:rPr>
          <w:sz w:val="22"/>
          <w:szCs w:val="22"/>
          <w:lang w:val="en-US" w:eastAsia="en-US"/>
        </w:rPr>
      </w:pPr>
    </w:p>
    <w:p w14:paraId="7F50035F" w14:textId="77777777" w:rsidR="00891F5D" w:rsidRPr="00891F5D" w:rsidRDefault="00891F5D" w:rsidP="00891F5D">
      <w:pPr>
        <w:spacing w:line="480" w:lineRule="auto"/>
        <w:jc w:val="both"/>
        <w:rPr>
          <w:rFonts w:ascii="Arial" w:eastAsiaTheme="minorHAnsi" w:hAnsi="Arial" w:cs="Arial"/>
          <w:b/>
          <w:bCs/>
          <w:kern w:val="0"/>
          <w:shd w:val="clear" w:color="auto" w:fill="FFFFFF"/>
          <w:lang w:val="en-US" w:eastAsia="en-US"/>
          <w14:ligatures w14:val="none"/>
        </w:rPr>
      </w:pPr>
      <w:r w:rsidRPr="00891F5D">
        <w:rPr>
          <w:rFonts w:ascii="Arial" w:eastAsiaTheme="minorHAnsi" w:hAnsi="Arial" w:cs="Arial"/>
          <w:b/>
          <w:bCs/>
          <w:kern w:val="0"/>
          <w:lang w:val="en-US" w:eastAsia="en-US"/>
          <w14:ligatures w14:val="none"/>
        </w:rPr>
        <w:t>Accounting Fraud centers on inappropriate revenue recognition, hidden liabilities and expenses, inappropriate asset valuation, and inappropriate disclosure</w:t>
      </w:r>
      <w:r w:rsidRPr="00891F5D">
        <w:rPr>
          <w:rFonts w:ascii="Arial" w:eastAsiaTheme="minorHAnsi" w:hAnsi="Arial" w:cs="Arial"/>
          <w:kern w:val="0"/>
          <w:lang w:eastAsia="en-US"/>
          <w14:ligatures w14:val="none"/>
        </w:rPr>
        <w:t xml:space="preserve"> (Weld, et al., 2004; Wells, 2005; Hopwood, et al., 2008; ACFE, 2016). </w:t>
      </w:r>
      <w:r w:rsidRPr="00891F5D">
        <w:rPr>
          <w:rFonts w:ascii="Arial" w:eastAsiaTheme="minorHAnsi" w:hAnsi="Arial" w:cs="Arial"/>
          <w:kern w:val="0"/>
          <w:shd w:val="clear" w:color="auto" w:fill="FFFFFF"/>
          <w:lang w:val="en-US" w:eastAsia="en-US"/>
          <w14:ligatures w14:val="none"/>
        </w:rPr>
        <w:t>ACFE (2018) divide fraud schemes into three distinct categories: Misappropriation of Assets, Bribery</w:t>
      </w:r>
      <w:bookmarkStart w:id="381" w:name="PreEditfn1006"/>
      <w:bookmarkStart w:id="382" w:name="PreEditfn994"/>
      <w:bookmarkStart w:id="383" w:name="PreEditfn1018"/>
      <w:r w:rsidRPr="00891F5D">
        <w:rPr>
          <w:rFonts w:ascii="Arial" w:eastAsiaTheme="minorHAnsi" w:hAnsi="Arial" w:cs="Arial"/>
          <w:kern w:val="0"/>
          <w:shd w:val="clear" w:color="auto" w:fill="FFFFFF"/>
          <w:lang w:val="en-US" w:eastAsia="en-US"/>
          <w14:ligatures w14:val="none"/>
        </w:rPr>
        <w:t>/</w:t>
      </w:r>
      <w:bookmarkEnd w:id="381"/>
      <w:bookmarkEnd w:id="382"/>
      <w:bookmarkEnd w:id="383"/>
      <w:r w:rsidRPr="00891F5D">
        <w:rPr>
          <w:rFonts w:ascii="Arial" w:eastAsiaTheme="minorHAnsi" w:hAnsi="Arial" w:cs="Arial"/>
          <w:kern w:val="0"/>
          <w:shd w:val="clear" w:color="auto" w:fill="FFFFFF"/>
          <w:lang w:val="en-US" w:eastAsia="en-US"/>
          <w14:ligatures w14:val="none"/>
        </w:rPr>
        <w:t xml:space="preserve">Corruption Fraud, and Fraudulent Financial Statements, which are together known as the “Fraud Tree.” According to the ACFE (2018:10) Report to the Nations, </w:t>
      </w:r>
      <w:r w:rsidRPr="00891F5D">
        <w:rPr>
          <w:rFonts w:ascii="Arial" w:eastAsiaTheme="minorHAnsi" w:hAnsi="Arial" w:cs="Arial"/>
          <w:b/>
          <w:bCs/>
          <w:kern w:val="0"/>
          <w:shd w:val="clear" w:color="auto" w:fill="FFFFFF"/>
          <w:lang w:val="en-US" w:eastAsia="en-US"/>
          <w14:ligatures w14:val="none"/>
        </w:rPr>
        <w:t>Figure 2.2:</w:t>
      </w:r>
    </w:p>
    <w:p w14:paraId="3B9E5537" w14:textId="77777777" w:rsidR="00891F5D" w:rsidRPr="00891F5D" w:rsidRDefault="00891F5D" w:rsidP="00891F5D">
      <w:pPr>
        <w:spacing w:after="200" w:line="480" w:lineRule="auto"/>
        <w:jc w:val="both"/>
        <w:rPr>
          <w:rFonts w:ascii="Arial" w:eastAsiaTheme="minorHAnsi" w:hAnsi="Arial" w:cs="Arial"/>
          <w:b/>
          <w:bCs/>
          <w:kern w:val="0"/>
          <w:shd w:val="clear" w:color="auto" w:fill="FFFFFF"/>
          <w:lang w:val="en-US" w:eastAsia="en-US"/>
          <w14:ligatures w14:val="none"/>
        </w:rPr>
      </w:pPr>
      <w:r w:rsidRPr="00891F5D">
        <w:rPr>
          <w:rFonts w:ascii="Arial" w:eastAsiaTheme="minorHAnsi" w:hAnsi="Arial" w:cs="Arial"/>
          <w:b/>
          <w:bCs/>
          <w:kern w:val="0"/>
          <w:shd w:val="clear" w:color="auto" w:fill="FFFFFF"/>
          <w:lang w:val="en-US" w:eastAsia="en-US"/>
          <w14:ligatures w14:val="none"/>
        </w:rPr>
        <w:t>Figure 2.2 ACFE (2018) report to the nations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031"/>
        <w:gridCol w:w="1444"/>
        <w:gridCol w:w="1577"/>
      </w:tblGrid>
      <w:tr w:rsidR="00891F5D" w:rsidRPr="00891F5D" w14:paraId="02826BB0" w14:textId="77777777" w:rsidTr="001D4222">
        <w:trPr>
          <w:trHeight w:val="1111"/>
        </w:trPr>
        <w:tc>
          <w:tcPr>
            <w:tcW w:w="0" w:type="auto"/>
            <w:shd w:val="clear" w:color="auto" w:fill="4472C4"/>
            <w:tcMar>
              <w:top w:w="15" w:type="dxa"/>
              <w:left w:w="108" w:type="dxa"/>
              <w:bottom w:w="0" w:type="dxa"/>
              <w:right w:w="108" w:type="dxa"/>
            </w:tcMar>
            <w:hideMark/>
          </w:tcPr>
          <w:p w14:paraId="4437E2A4"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p>
        </w:tc>
        <w:tc>
          <w:tcPr>
            <w:tcW w:w="0" w:type="auto"/>
            <w:shd w:val="clear" w:color="auto" w:fill="4472C4"/>
            <w:tcMar>
              <w:top w:w="15" w:type="dxa"/>
              <w:left w:w="108" w:type="dxa"/>
              <w:bottom w:w="0" w:type="dxa"/>
              <w:right w:w="108" w:type="dxa"/>
            </w:tcMar>
            <w:hideMark/>
          </w:tcPr>
          <w:p w14:paraId="2EFE883E"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r w:rsidRPr="00891F5D">
              <w:rPr>
                <w:rFonts w:ascii="Arial" w:eastAsia="Times New Roman" w:hAnsi="Arial" w:cs="Arial"/>
                <w:kern w:val="24"/>
                <w:lang w:val="en-US" w:eastAsia="en-US"/>
                <w14:ligatures w14:val="none"/>
              </w:rPr>
              <w:t>% of Cases</w:t>
            </w:r>
          </w:p>
        </w:tc>
        <w:tc>
          <w:tcPr>
            <w:tcW w:w="0" w:type="auto"/>
            <w:shd w:val="clear" w:color="auto" w:fill="4472C4"/>
            <w:tcMar>
              <w:top w:w="15" w:type="dxa"/>
              <w:left w:w="108" w:type="dxa"/>
              <w:bottom w:w="0" w:type="dxa"/>
              <w:right w:w="108" w:type="dxa"/>
            </w:tcMar>
            <w:hideMark/>
          </w:tcPr>
          <w:p w14:paraId="75BD841E"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r w:rsidRPr="00891F5D">
              <w:rPr>
                <w:rFonts w:ascii="Arial" w:eastAsia="Times New Roman" w:hAnsi="Arial" w:cs="Arial"/>
                <w:kern w:val="24"/>
                <w:lang w:val="en-US" w:eastAsia="en-US"/>
                <w14:ligatures w14:val="none"/>
              </w:rPr>
              <w:t>Median Loss</w:t>
            </w:r>
          </w:p>
        </w:tc>
      </w:tr>
      <w:tr w:rsidR="00891F5D" w:rsidRPr="00891F5D" w14:paraId="7CA2EBB0" w14:textId="77777777" w:rsidTr="001D4222">
        <w:trPr>
          <w:trHeight w:val="597"/>
        </w:trPr>
        <w:tc>
          <w:tcPr>
            <w:tcW w:w="0" w:type="auto"/>
            <w:shd w:val="clear" w:color="auto" w:fill="4472C4"/>
            <w:tcMar>
              <w:top w:w="15" w:type="dxa"/>
              <w:left w:w="108" w:type="dxa"/>
              <w:bottom w:w="0" w:type="dxa"/>
              <w:right w:w="108" w:type="dxa"/>
            </w:tcMar>
            <w:hideMark/>
          </w:tcPr>
          <w:p w14:paraId="6069EAEB"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r w:rsidRPr="00891F5D">
              <w:rPr>
                <w:rFonts w:ascii="Arial" w:eastAsia="Times New Roman" w:hAnsi="Arial" w:cs="Arial"/>
                <w:kern w:val="24"/>
                <w:lang w:val="en-US" w:eastAsia="en-US"/>
                <w14:ligatures w14:val="none"/>
              </w:rPr>
              <w:t>Asset Misappropriation</w:t>
            </w:r>
          </w:p>
        </w:tc>
        <w:tc>
          <w:tcPr>
            <w:tcW w:w="0" w:type="auto"/>
            <w:shd w:val="clear" w:color="auto" w:fill="CFD5EA"/>
            <w:tcMar>
              <w:top w:w="15" w:type="dxa"/>
              <w:left w:w="108" w:type="dxa"/>
              <w:bottom w:w="0" w:type="dxa"/>
              <w:right w:w="108" w:type="dxa"/>
            </w:tcMar>
            <w:hideMark/>
          </w:tcPr>
          <w:p w14:paraId="5A662B1D"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r w:rsidRPr="00891F5D">
              <w:rPr>
                <w:rFonts w:ascii="Arial" w:eastAsia="Times New Roman" w:hAnsi="Arial" w:cs="Arial"/>
                <w:kern w:val="24"/>
                <w:lang w:val="en-US" w:eastAsia="en-US"/>
                <w14:ligatures w14:val="none"/>
              </w:rPr>
              <w:t>89</w:t>
            </w:r>
          </w:p>
        </w:tc>
        <w:tc>
          <w:tcPr>
            <w:tcW w:w="0" w:type="auto"/>
            <w:shd w:val="clear" w:color="auto" w:fill="CFD5EA"/>
            <w:tcMar>
              <w:top w:w="15" w:type="dxa"/>
              <w:left w:w="108" w:type="dxa"/>
              <w:bottom w:w="0" w:type="dxa"/>
              <w:right w:w="108" w:type="dxa"/>
            </w:tcMar>
            <w:hideMark/>
          </w:tcPr>
          <w:p w14:paraId="1C90DE0A"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r w:rsidRPr="00891F5D">
              <w:rPr>
                <w:rFonts w:ascii="Arial" w:eastAsia="Times New Roman" w:hAnsi="Arial" w:cs="Arial"/>
                <w:kern w:val="24"/>
                <w:lang w:val="en-US" w:eastAsia="en-US"/>
                <w14:ligatures w14:val="none"/>
              </w:rPr>
              <w:t>$114,000</w:t>
            </w:r>
          </w:p>
        </w:tc>
      </w:tr>
      <w:tr w:rsidR="00891F5D" w:rsidRPr="00891F5D" w14:paraId="007F49DB" w14:textId="77777777" w:rsidTr="001D4222">
        <w:trPr>
          <w:trHeight w:val="552"/>
        </w:trPr>
        <w:tc>
          <w:tcPr>
            <w:tcW w:w="0" w:type="auto"/>
            <w:shd w:val="clear" w:color="auto" w:fill="4472C4"/>
            <w:tcMar>
              <w:top w:w="15" w:type="dxa"/>
              <w:left w:w="108" w:type="dxa"/>
              <w:bottom w:w="0" w:type="dxa"/>
              <w:right w:w="108" w:type="dxa"/>
            </w:tcMar>
            <w:hideMark/>
          </w:tcPr>
          <w:p w14:paraId="1138B8C6"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r w:rsidRPr="00891F5D">
              <w:rPr>
                <w:rFonts w:ascii="Arial" w:eastAsia="Times New Roman" w:hAnsi="Arial" w:cs="Arial"/>
                <w:kern w:val="24"/>
                <w:lang w:val="en-US" w:eastAsia="en-US"/>
                <w14:ligatures w14:val="none"/>
              </w:rPr>
              <w:t>Corruption</w:t>
            </w:r>
          </w:p>
        </w:tc>
        <w:tc>
          <w:tcPr>
            <w:tcW w:w="0" w:type="auto"/>
            <w:shd w:val="clear" w:color="auto" w:fill="E9EBF5"/>
            <w:tcMar>
              <w:top w:w="15" w:type="dxa"/>
              <w:left w:w="108" w:type="dxa"/>
              <w:bottom w:w="0" w:type="dxa"/>
              <w:right w:w="108" w:type="dxa"/>
            </w:tcMar>
            <w:hideMark/>
          </w:tcPr>
          <w:p w14:paraId="481544E4"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r w:rsidRPr="00891F5D">
              <w:rPr>
                <w:rFonts w:ascii="Arial" w:eastAsia="Times New Roman" w:hAnsi="Arial" w:cs="Arial"/>
                <w:kern w:val="24"/>
                <w:lang w:val="en-US" w:eastAsia="en-US"/>
                <w14:ligatures w14:val="none"/>
              </w:rPr>
              <w:t>38</w:t>
            </w:r>
          </w:p>
        </w:tc>
        <w:tc>
          <w:tcPr>
            <w:tcW w:w="0" w:type="auto"/>
            <w:shd w:val="clear" w:color="auto" w:fill="E9EBF5"/>
            <w:tcMar>
              <w:top w:w="15" w:type="dxa"/>
              <w:left w:w="108" w:type="dxa"/>
              <w:bottom w:w="0" w:type="dxa"/>
              <w:right w:w="108" w:type="dxa"/>
            </w:tcMar>
            <w:hideMark/>
          </w:tcPr>
          <w:p w14:paraId="7300CB2C"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r w:rsidRPr="00891F5D">
              <w:rPr>
                <w:rFonts w:ascii="Arial" w:eastAsia="Times New Roman" w:hAnsi="Arial" w:cs="Arial"/>
                <w:kern w:val="24"/>
                <w:lang w:val="en-US" w:eastAsia="en-US"/>
                <w14:ligatures w14:val="none"/>
              </w:rPr>
              <w:t>$250,000</w:t>
            </w:r>
          </w:p>
        </w:tc>
      </w:tr>
      <w:tr w:rsidR="00891F5D" w:rsidRPr="00891F5D" w14:paraId="2B8E998F" w14:textId="77777777" w:rsidTr="001D4222">
        <w:trPr>
          <w:trHeight w:val="668"/>
        </w:trPr>
        <w:tc>
          <w:tcPr>
            <w:tcW w:w="0" w:type="auto"/>
            <w:shd w:val="clear" w:color="auto" w:fill="4472C4"/>
            <w:tcMar>
              <w:top w:w="15" w:type="dxa"/>
              <w:left w:w="108" w:type="dxa"/>
              <w:bottom w:w="0" w:type="dxa"/>
              <w:right w:w="108" w:type="dxa"/>
            </w:tcMar>
            <w:hideMark/>
          </w:tcPr>
          <w:p w14:paraId="2E40F535"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r w:rsidRPr="00891F5D">
              <w:rPr>
                <w:rFonts w:ascii="Arial" w:eastAsia="Times New Roman" w:hAnsi="Arial" w:cs="Arial"/>
                <w:kern w:val="24"/>
                <w:lang w:val="en-US" w:eastAsia="en-US"/>
                <w14:ligatures w14:val="none"/>
              </w:rPr>
              <w:t>Financial Statement Fraud</w:t>
            </w:r>
          </w:p>
        </w:tc>
        <w:tc>
          <w:tcPr>
            <w:tcW w:w="0" w:type="auto"/>
            <w:shd w:val="clear" w:color="auto" w:fill="CFD5EA"/>
            <w:tcMar>
              <w:top w:w="15" w:type="dxa"/>
              <w:left w:w="108" w:type="dxa"/>
              <w:bottom w:w="0" w:type="dxa"/>
              <w:right w:w="108" w:type="dxa"/>
            </w:tcMar>
            <w:hideMark/>
          </w:tcPr>
          <w:p w14:paraId="0D0BB0E6"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r w:rsidRPr="00891F5D">
              <w:rPr>
                <w:rFonts w:ascii="Arial" w:eastAsia="Times New Roman" w:hAnsi="Arial" w:cs="Arial"/>
                <w:kern w:val="24"/>
                <w:lang w:val="en-US" w:eastAsia="en-US"/>
                <w14:ligatures w14:val="none"/>
              </w:rPr>
              <w:t>10</w:t>
            </w:r>
          </w:p>
        </w:tc>
        <w:tc>
          <w:tcPr>
            <w:tcW w:w="0" w:type="auto"/>
            <w:shd w:val="clear" w:color="auto" w:fill="CFD5EA"/>
            <w:tcMar>
              <w:top w:w="15" w:type="dxa"/>
              <w:left w:w="108" w:type="dxa"/>
              <w:bottom w:w="0" w:type="dxa"/>
              <w:right w:w="108" w:type="dxa"/>
            </w:tcMar>
            <w:hideMark/>
          </w:tcPr>
          <w:p w14:paraId="148E20D7"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r w:rsidRPr="00891F5D">
              <w:rPr>
                <w:rFonts w:ascii="Arial" w:eastAsia="Times New Roman" w:hAnsi="Arial" w:cs="Arial"/>
                <w:kern w:val="24"/>
                <w:lang w:val="en-US" w:eastAsia="en-US"/>
                <w14:ligatures w14:val="none"/>
              </w:rPr>
              <w:t>$800,000</w:t>
            </w:r>
          </w:p>
        </w:tc>
      </w:tr>
    </w:tbl>
    <w:p w14:paraId="18A5BCAF" w14:textId="458F158F" w:rsidR="00891F5D" w:rsidRPr="00891F5D" w:rsidRDefault="00891F5D" w:rsidP="00891F5D">
      <w:pPr>
        <w:autoSpaceDE w:val="0"/>
        <w:autoSpaceDN w:val="0"/>
        <w:adjustRightInd w:val="0"/>
        <w:spacing w:before="240" w:after="0" w:line="480" w:lineRule="auto"/>
        <w:jc w:val="both"/>
        <w:rPr>
          <w:rFonts w:ascii="Arial" w:eastAsiaTheme="minorHAnsi" w:hAnsi="Arial" w:cs="Arial"/>
          <w:iCs/>
          <w:kern w:val="0"/>
          <w:shd w:val="clear" w:color="auto" w:fill="FFFFFF"/>
          <w:lang w:val="en-US" w:eastAsia="en-US"/>
          <w14:ligatures w14:val="none"/>
        </w:rPr>
      </w:pPr>
      <w:r w:rsidRPr="00891F5D">
        <w:rPr>
          <w:rFonts w:ascii="Arial" w:eastAsiaTheme="minorHAnsi" w:hAnsi="Arial" w:cs="Arial"/>
          <w:iCs/>
          <w:kern w:val="0"/>
          <w:shd w:val="clear" w:color="auto" w:fill="FFFFFF"/>
          <w:lang w:val="en-US" w:eastAsia="en-US"/>
          <w14:ligatures w14:val="none"/>
        </w:rPr>
        <w:t xml:space="preserve">(Adapted by </w:t>
      </w:r>
      <w:r w:rsidR="007951D3">
        <w:rPr>
          <w:rFonts w:ascii="Arial" w:eastAsiaTheme="minorHAnsi" w:hAnsi="Arial" w:cs="Arial"/>
          <w:kern w:val="0"/>
          <w:lang w:eastAsia="en-US"/>
          <w14:ligatures w14:val="none"/>
        </w:rPr>
        <w:t>Researcher</w:t>
      </w:r>
      <w:r w:rsidRPr="00891F5D">
        <w:rPr>
          <w:rFonts w:ascii="Arial" w:eastAsiaTheme="minorHAnsi" w:hAnsi="Arial" w:cs="Arial"/>
          <w:iCs/>
          <w:kern w:val="0"/>
          <w:shd w:val="clear" w:color="auto" w:fill="FFFFFF"/>
          <w:lang w:val="en-US" w:eastAsia="en-US"/>
          <w14:ligatures w14:val="none"/>
        </w:rPr>
        <w:t>)</w:t>
      </w:r>
    </w:p>
    <w:p w14:paraId="1AE6CE20" w14:textId="1F67E67C" w:rsidR="00CD7653" w:rsidRPr="00891F5D" w:rsidRDefault="00891F5D" w:rsidP="00140050">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shd w:val="clear" w:color="auto" w:fill="FFFFFF"/>
          <w:lang w:val="en-US" w:eastAsia="en-US"/>
          <w14:ligatures w14:val="none"/>
        </w:rPr>
        <w:t xml:space="preserve">The misappropriation of assets accounts for the largest percentage of fraud cases, at 89 percent. On the other hand, the median losses of the asset misappropriation are </w:t>
      </w:r>
      <w:r w:rsidRPr="00891F5D">
        <w:rPr>
          <w:rFonts w:ascii="Arial" w:eastAsiaTheme="minorHAnsi" w:hAnsi="Arial" w:cs="Arial"/>
          <w:kern w:val="0"/>
          <w:shd w:val="clear" w:color="auto" w:fill="FFFFFF"/>
          <w:lang w:val="en-US" w:eastAsia="en-US"/>
          <w14:ligatures w14:val="none"/>
        </w:rPr>
        <w:lastRenderedPageBreak/>
        <w:t xml:space="preserve">the lowest in comparison with the other schemes. </w:t>
      </w:r>
      <w:r w:rsidRPr="00891F5D">
        <w:rPr>
          <w:rFonts w:ascii="Arial" w:eastAsiaTheme="minorHAnsi" w:hAnsi="Arial" w:cs="Arial"/>
          <w:b/>
          <w:bCs/>
          <w:kern w:val="0"/>
          <w:shd w:val="clear" w:color="auto" w:fill="FFFFFF"/>
          <w:lang w:val="en-US" w:eastAsia="en-US"/>
          <w14:ligatures w14:val="none"/>
        </w:rPr>
        <w:t>Although financial statement fraud or Accounting Fraud accounts for the lowest number of cases, it results in the highest financial harm</w:t>
      </w:r>
      <w:r w:rsidRPr="00891F5D">
        <w:rPr>
          <w:rFonts w:ascii="Arial" w:eastAsiaTheme="minorHAnsi" w:hAnsi="Arial" w:cs="Arial"/>
          <w:kern w:val="0"/>
          <w:shd w:val="clear" w:color="auto" w:fill="FFFFFF"/>
          <w:lang w:val="en-US" w:eastAsia="en-US"/>
          <w14:ligatures w14:val="none"/>
        </w:rPr>
        <w:t xml:space="preserve">. </w:t>
      </w:r>
      <w:r w:rsidRPr="00891F5D">
        <w:rPr>
          <w:rFonts w:ascii="Arial" w:eastAsiaTheme="minorHAnsi" w:hAnsi="Arial" w:cs="Arial"/>
          <w:kern w:val="0"/>
          <w:lang w:val="en-US" w:eastAsia="en-US"/>
          <w14:ligatures w14:val="none"/>
        </w:rPr>
        <w:t>Beasley et al. (2000) discovered that inappropriate revenue and inappropriate asset valuation were the most frequent techniques for performing Accounting Fraud. Makkawi and Schick (2003) found that the variety of Accounting Fraud was dependent on the industry, and thus, for example, revenue overstatements were more common in the technology industry, whereas asset overstatements occurred more frequently in financial services.</w:t>
      </w:r>
    </w:p>
    <w:bookmarkStart w:id="384" w:name="D18"/>
    <w:p w14:paraId="3BE9CB54" w14:textId="3F6D9A72" w:rsidR="00891F5D" w:rsidRPr="00891F5D" w:rsidRDefault="00F976AC" w:rsidP="00140050">
      <w:pPr>
        <w:pBdr>
          <w:top w:val="single" w:sz="4" w:space="1" w:color="auto"/>
          <w:left w:val="single" w:sz="4" w:space="4" w:color="auto"/>
          <w:bottom w:val="single" w:sz="4" w:space="1" w:color="auto"/>
          <w:right w:val="single" w:sz="4" w:space="4" w:color="auto"/>
        </w:pBdr>
        <w:autoSpaceDE w:val="0"/>
        <w:autoSpaceDN w:val="0"/>
        <w:adjustRightInd w:val="0"/>
        <w:spacing w:after="0" w:line="276" w:lineRule="auto"/>
        <w:jc w:val="both"/>
        <w:rPr>
          <w:rFonts w:ascii="Arial" w:eastAsiaTheme="minorHAnsi" w:hAnsi="Arial" w:cs="Arial"/>
          <w:b/>
          <w:bCs/>
          <w:iCs/>
          <w:kern w:val="0"/>
          <w:lang w:val="en-US" w:eastAsia="en-US"/>
          <w14:ligatures w14:val="none"/>
        </w:rPr>
      </w:pPr>
      <w:r>
        <w:rPr>
          <w:rFonts w:ascii="Arial" w:eastAsiaTheme="minorHAnsi" w:hAnsi="Arial" w:cs="Arial"/>
          <w:b/>
          <w:bCs/>
          <w:iCs/>
          <w:kern w:val="0"/>
          <w:lang w:val="en-US" w:eastAsia="en-US"/>
          <w14:ligatures w14:val="none"/>
        </w:rPr>
        <w:fldChar w:fldCharType="begin"/>
      </w:r>
      <w:r>
        <w:rPr>
          <w:rFonts w:ascii="Arial" w:eastAsiaTheme="minorHAnsi" w:hAnsi="Arial" w:cs="Arial"/>
          <w:b/>
          <w:bCs/>
          <w:iCs/>
          <w:kern w:val="0"/>
          <w:lang w:val="en-US" w:eastAsia="en-US"/>
          <w14:ligatures w14:val="none"/>
        </w:rPr>
        <w:instrText>HYPERLINK  \l "C18"</w:instrText>
      </w:r>
      <w:r>
        <w:rPr>
          <w:rFonts w:ascii="Arial" w:eastAsiaTheme="minorHAnsi" w:hAnsi="Arial" w:cs="Arial"/>
          <w:b/>
          <w:bCs/>
          <w:iCs/>
          <w:kern w:val="0"/>
          <w:lang w:val="en-US" w:eastAsia="en-US"/>
          <w14:ligatures w14:val="none"/>
        </w:rPr>
      </w:r>
      <w:r>
        <w:rPr>
          <w:rFonts w:ascii="Arial" w:eastAsiaTheme="minorHAnsi" w:hAnsi="Arial" w:cs="Arial"/>
          <w:b/>
          <w:bCs/>
          <w:iCs/>
          <w:kern w:val="0"/>
          <w:lang w:val="en-US" w:eastAsia="en-US"/>
          <w14:ligatures w14:val="none"/>
        </w:rPr>
        <w:fldChar w:fldCharType="separate"/>
      </w:r>
      <w:r w:rsidR="00891F5D" w:rsidRPr="00F976AC">
        <w:rPr>
          <w:rStyle w:val="Hyperlink"/>
          <w:rFonts w:ascii="Arial" w:eastAsiaTheme="minorHAnsi" w:hAnsi="Arial" w:cs="Arial"/>
          <w:b/>
          <w:bCs/>
          <w:iCs/>
          <w:kern w:val="0"/>
          <w:lang w:val="en-US" w:eastAsia="en-US"/>
          <w14:ligatures w14:val="none"/>
        </w:rPr>
        <w:t>2.2.1.1 Inappropriate Revenue Recognition</w:t>
      </w:r>
      <w:r>
        <w:rPr>
          <w:rFonts w:ascii="Arial" w:eastAsiaTheme="minorHAnsi" w:hAnsi="Arial" w:cs="Arial"/>
          <w:b/>
          <w:bCs/>
          <w:iCs/>
          <w:kern w:val="0"/>
          <w:lang w:val="en-US" w:eastAsia="en-US"/>
          <w14:ligatures w14:val="none"/>
        </w:rPr>
        <w:fldChar w:fldCharType="end"/>
      </w:r>
    </w:p>
    <w:bookmarkEnd w:id="384"/>
    <w:p w14:paraId="558610B6" w14:textId="77777777" w:rsidR="00140050" w:rsidRDefault="00140050" w:rsidP="00891F5D">
      <w:pPr>
        <w:autoSpaceDE w:val="0"/>
        <w:autoSpaceDN w:val="0"/>
        <w:adjustRightInd w:val="0"/>
        <w:spacing w:after="0" w:line="480" w:lineRule="auto"/>
        <w:jc w:val="both"/>
        <w:rPr>
          <w:sz w:val="22"/>
          <w:szCs w:val="22"/>
          <w:lang w:val="en-US" w:eastAsia="en-US"/>
        </w:rPr>
      </w:pPr>
    </w:p>
    <w:p w14:paraId="292D46AB" w14:textId="17C01DF7" w:rsidR="00891F5D" w:rsidRDefault="00891F5D" w:rsidP="002B3F52">
      <w:pPr>
        <w:autoSpaceDE w:val="0"/>
        <w:autoSpaceDN w:val="0"/>
        <w:adjustRightInd w:val="0"/>
        <w:spacing w:after="0" w:line="480" w:lineRule="auto"/>
        <w:jc w:val="both"/>
        <w:rPr>
          <w:rFonts w:ascii="Arial" w:eastAsiaTheme="minorHAnsi" w:hAnsi="Arial" w:cs="Arial"/>
          <w:b/>
          <w:bCs/>
          <w:kern w:val="0"/>
          <w:lang w:val="en-US" w:eastAsia="en-US"/>
          <w14:ligatures w14:val="none"/>
        </w:rPr>
      </w:pPr>
      <w:r w:rsidRPr="00891F5D">
        <w:rPr>
          <w:rFonts w:ascii="Arial" w:eastAsiaTheme="minorHAnsi" w:hAnsi="Arial" w:cs="Arial"/>
          <w:b/>
          <w:bCs/>
          <w:kern w:val="0"/>
          <w:lang w:val="en-US" w:eastAsia="en-US"/>
          <w14:ligatures w14:val="none"/>
        </w:rPr>
        <w:t>Recording fictitious revenue and</w:t>
      </w:r>
      <w:bookmarkStart w:id="385" w:name="PreEditfn1007"/>
      <w:bookmarkStart w:id="386" w:name="PreEditfn995"/>
      <w:bookmarkStart w:id="387" w:name="PreEditfn1019"/>
      <w:r w:rsidRPr="00891F5D">
        <w:rPr>
          <w:rFonts w:ascii="Arial" w:eastAsiaTheme="minorHAnsi" w:hAnsi="Arial" w:cs="Arial"/>
          <w:b/>
          <w:bCs/>
          <w:kern w:val="0"/>
          <w:lang w:val="en-US" w:eastAsia="en-US"/>
          <w14:ligatures w14:val="none"/>
        </w:rPr>
        <w:t>/</w:t>
      </w:r>
      <w:bookmarkEnd w:id="385"/>
      <w:bookmarkEnd w:id="386"/>
      <w:bookmarkEnd w:id="387"/>
      <w:r w:rsidRPr="00891F5D">
        <w:rPr>
          <w:rFonts w:ascii="Arial" w:eastAsiaTheme="minorHAnsi" w:hAnsi="Arial" w:cs="Arial"/>
          <w:b/>
          <w:bCs/>
          <w:kern w:val="0"/>
          <w:lang w:val="en-US" w:eastAsia="en-US"/>
          <w14:ligatures w14:val="none"/>
        </w:rPr>
        <w:t>or fraudulently inflating revenues is the simplest form of Accounting Fraud</w:t>
      </w:r>
      <w:r w:rsidRPr="00891F5D">
        <w:rPr>
          <w:rFonts w:ascii="Arial" w:eastAsiaTheme="minorHAnsi" w:hAnsi="Arial" w:cs="Arial"/>
          <w:kern w:val="0"/>
          <w:lang w:val="en-US" w:eastAsia="en-US"/>
          <w14:ligatures w14:val="none"/>
        </w:rPr>
        <w:t xml:space="preserve"> </w:t>
      </w:r>
      <w:r w:rsidRPr="00891F5D">
        <w:rPr>
          <w:rFonts w:ascii="Arial" w:eastAsiaTheme="minorHAnsi" w:hAnsi="Arial" w:cs="Arial"/>
          <w:kern w:val="0"/>
          <w:lang w:eastAsia="en-US"/>
          <w14:ligatures w14:val="none"/>
        </w:rPr>
        <w:t xml:space="preserve">(Rezaee, 2005; Albrecht, 2006; Coenen, 2009). </w:t>
      </w:r>
      <w:r w:rsidRPr="00891F5D">
        <w:rPr>
          <w:rFonts w:ascii="Arial" w:eastAsiaTheme="minorHAnsi" w:hAnsi="Arial" w:cs="Arial"/>
          <w:kern w:val="0"/>
          <w:lang w:val="en-US" w:eastAsia="en-US"/>
          <w14:ligatures w14:val="none"/>
        </w:rPr>
        <w:t xml:space="preserve">According to Sterling, (2002) the most notorious example of inappropriate revenue recognition was Enron, which had overstated earnings by more than $500 million and had created a web of Special-Purpose Entities (SPEs) to keep debt off its balance sheet. It is acknowledged by Elder, et al (2010) there are three major types of fraudulent revenue management, namely, fictitious revenues, premature revenue recognition, and manipulation of adjustments to revenues. </w:t>
      </w:r>
      <w:r w:rsidRPr="00891F5D">
        <w:rPr>
          <w:rFonts w:ascii="Arial" w:eastAsiaTheme="minorHAnsi" w:hAnsi="Arial" w:cs="Arial"/>
          <w:b/>
          <w:bCs/>
          <w:kern w:val="0"/>
          <w:lang w:val="en-US" w:eastAsia="en-US"/>
          <w14:ligatures w14:val="none"/>
        </w:rPr>
        <w:t xml:space="preserve">Figure 2.3 </w:t>
      </w:r>
      <w:r w:rsidR="002C6A8A" w:rsidRPr="00891F5D">
        <w:rPr>
          <w:rFonts w:ascii="Arial" w:eastAsiaTheme="minorHAnsi" w:hAnsi="Arial" w:cs="Arial"/>
          <w:b/>
          <w:bCs/>
          <w:kern w:val="0"/>
          <w:lang w:val="en-US" w:eastAsia="en-US"/>
          <w14:ligatures w14:val="none"/>
        </w:rPr>
        <w:t>summarizes</w:t>
      </w:r>
      <w:r w:rsidRPr="00891F5D">
        <w:rPr>
          <w:rFonts w:ascii="Arial" w:eastAsiaTheme="minorHAnsi" w:hAnsi="Arial" w:cs="Arial"/>
          <w:b/>
          <w:bCs/>
          <w:kern w:val="0"/>
          <w:lang w:val="en-US" w:eastAsia="en-US"/>
          <w14:ligatures w14:val="none"/>
        </w:rPr>
        <w:t xml:space="preserve"> these abusive techniques:</w:t>
      </w:r>
    </w:p>
    <w:p w14:paraId="5230D226" w14:textId="77777777" w:rsidR="00090A70" w:rsidRPr="002B3F52" w:rsidRDefault="00090A70" w:rsidP="002B3F52">
      <w:pPr>
        <w:autoSpaceDE w:val="0"/>
        <w:autoSpaceDN w:val="0"/>
        <w:adjustRightInd w:val="0"/>
        <w:spacing w:after="0" w:line="480" w:lineRule="auto"/>
        <w:jc w:val="both"/>
        <w:rPr>
          <w:rFonts w:ascii="Arial" w:eastAsiaTheme="minorHAnsi" w:hAnsi="Arial" w:cs="Arial"/>
          <w:b/>
          <w:bCs/>
          <w:kern w:val="0"/>
          <w:lang w:val="en-US" w:eastAsia="en-US"/>
          <w14:ligatures w14:val="none"/>
        </w:rPr>
      </w:pPr>
    </w:p>
    <w:tbl>
      <w:tblPr>
        <w:tblStyle w:val="TableGrid"/>
        <w:tblW w:w="0" w:type="auto"/>
        <w:tblLook w:val="04A0" w:firstRow="1" w:lastRow="0" w:firstColumn="1" w:lastColumn="0" w:noHBand="0" w:noVBand="1"/>
      </w:tblPr>
      <w:tblGrid>
        <w:gridCol w:w="4508"/>
        <w:gridCol w:w="4508"/>
      </w:tblGrid>
      <w:tr w:rsidR="00891F5D" w:rsidRPr="00891F5D" w14:paraId="56C63024" w14:textId="77777777" w:rsidTr="001D4222">
        <w:tc>
          <w:tcPr>
            <w:tcW w:w="4508" w:type="dxa"/>
          </w:tcPr>
          <w:p w14:paraId="48FCE0D7" w14:textId="77777777" w:rsidR="00891F5D" w:rsidRPr="00891F5D" w:rsidRDefault="00891F5D" w:rsidP="00891F5D">
            <w:pPr>
              <w:spacing w:line="480" w:lineRule="auto"/>
              <w:jc w:val="both"/>
              <w:rPr>
                <w:rFonts w:ascii="Arial" w:hAnsi="Arial" w:cs="Arial"/>
                <w:b/>
                <w:bCs/>
              </w:rPr>
            </w:pPr>
            <w:r w:rsidRPr="00891F5D">
              <w:rPr>
                <w:rFonts w:ascii="Arial" w:hAnsi="Arial" w:cs="Arial"/>
                <w:b/>
                <w:bCs/>
              </w:rPr>
              <w:t>Techniques</w:t>
            </w:r>
          </w:p>
          <w:p w14:paraId="284A8654" w14:textId="77777777" w:rsidR="00891F5D" w:rsidRPr="00891F5D" w:rsidRDefault="00891F5D" w:rsidP="00891F5D">
            <w:pPr>
              <w:spacing w:line="480" w:lineRule="auto"/>
              <w:jc w:val="both"/>
              <w:rPr>
                <w:rFonts w:ascii="Arial" w:hAnsi="Arial" w:cs="Arial"/>
                <w:b/>
                <w:bCs/>
              </w:rPr>
            </w:pPr>
          </w:p>
        </w:tc>
        <w:tc>
          <w:tcPr>
            <w:tcW w:w="4508" w:type="dxa"/>
          </w:tcPr>
          <w:p w14:paraId="4E0FFF69" w14:textId="77777777" w:rsidR="00891F5D" w:rsidRPr="00891F5D" w:rsidRDefault="00891F5D" w:rsidP="00891F5D">
            <w:pPr>
              <w:spacing w:line="480" w:lineRule="auto"/>
              <w:jc w:val="both"/>
              <w:rPr>
                <w:rFonts w:ascii="Arial" w:hAnsi="Arial" w:cs="Arial"/>
                <w:b/>
                <w:bCs/>
              </w:rPr>
            </w:pPr>
            <w:r w:rsidRPr="00891F5D">
              <w:rPr>
                <w:rFonts w:ascii="Arial" w:hAnsi="Arial" w:cs="Arial"/>
                <w:b/>
                <w:bCs/>
              </w:rPr>
              <w:t>Citations</w:t>
            </w:r>
          </w:p>
        </w:tc>
      </w:tr>
      <w:tr w:rsidR="00891F5D" w:rsidRPr="00891F5D" w14:paraId="3F639A69" w14:textId="77777777" w:rsidTr="001D4222">
        <w:tc>
          <w:tcPr>
            <w:tcW w:w="4508" w:type="dxa"/>
          </w:tcPr>
          <w:p w14:paraId="0C31BC7C"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Recognising returned goods after the end of the reporting period</w:t>
            </w:r>
          </w:p>
          <w:p w14:paraId="6B1887A2" w14:textId="77777777" w:rsidR="00891F5D" w:rsidRPr="00891F5D" w:rsidRDefault="00891F5D" w:rsidP="00891F5D">
            <w:pPr>
              <w:spacing w:line="480" w:lineRule="auto"/>
              <w:jc w:val="both"/>
              <w:rPr>
                <w:rFonts w:ascii="Arial" w:hAnsi="Arial" w:cs="Arial"/>
              </w:rPr>
            </w:pPr>
          </w:p>
        </w:tc>
        <w:tc>
          <w:tcPr>
            <w:tcW w:w="4508" w:type="dxa"/>
          </w:tcPr>
          <w:p w14:paraId="27184099"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 xml:space="preserve">Albrecht (2006), Coenen (2009), and </w:t>
            </w:r>
          </w:p>
          <w:p w14:paraId="6872F30A"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Rezaee (2005)</w:t>
            </w:r>
          </w:p>
          <w:p w14:paraId="1CE2AF16" w14:textId="77777777" w:rsidR="00891F5D" w:rsidRPr="00891F5D" w:rsidRDefault="00891F5D" w:rsidP="00891F5D">
            <w:pPr>
              <w:autoSpaceDE w:val="0"/>
              <w:autoSpaceDN w:val="0"/>
              <w:adjustRightInd w:val="0"/>
              <w:spacing w:line="480" w:lineRule="auto"/>
              <w:jc w:val="both"/>
              <w:rPr>
                <w:rFonts w:ascii="Arial" w:hAnsi="Arial" w:cs="Arial"/>
              </w:rPr>
            </w:pPr>
          </w:p>
        </w:tc>
      </w:tr>
      <w:tr w:rsidR="00891F5D" w:rsidRPr="00891F5D" w14:paraId="75C9B69D" w14:textId="77777777" w:rsidTr="001D4222">
        <w:tc>
          <w:tcPr>
            <w:tcW w:w="4508" w:type="dxa"/>
          </w:tcPr>
          <w:p w14:paraId="6B27898E"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lastRenderedPageBreak/>
              <w:t>Writing off bad debts in later periods</w:t>
            </w:r>
          </w:p>
          <w:p w14:paraId="66D4FD80" w14:textId="77777777" w:rsidR="00891F5D" w:rsidRPr="00891F5D" w:rsidRDefault="00891F5D" w:rsidP="00891F5D">
            <w:pPr>
              <w:spacing w:line="480" w:lineRule="auto"/>
              <w:jc w:val="both"/>
              <w:rPr>
                <w:rFonts w:ascii="Arial" w:hAnsi="Arial" w:cs="Arial"/>
              </w:rPr>
            </w:pPr>
          </w:p>
        </w:tc>
        <w:tc>
          <w:tcPr>
            <w:tcW w:w="4508" w:type="dxa"/>
          </w:tcPr>
          <w:p w14:paraId="140E0D84"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 xml:space="preserve">Albrecht (2006), Coenen (2009), and </w:t>
            </w:r>
          </w:p>
          <w:p w14:paraId="7A2937A6"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Rezaee (2005)</w:t>
            </w:r>
          </w:p>
          <w:p w14:paraId="1A48CC13" w14:textId="77777777" w:rsidR="00891F5D" w:rsidRPr="00891F5D" w:rsidRDefault="00891F5D" w:rsidP="00891F5D">
            <w:pPr>
              <w:spacing w:line="480" w:lineRule="auto"/>
              <w:jc w:val="both"/>
              <w:rPr>
                <w:rFonts w:ascii="Arial" w:hAnsi="Arial" w:cs="Arial"/>
              </w:rPr>
            </w:pPr>
          </w:p>
        </w:tc>
      </w:tr>
      <w:tr w:rsidR="00891F5D" w:rsidRPr="00891F5D" w14:paraId="2521C6F0" w14:textId="77777777" w:rsidTr="001D4222">
        <w:tc>
          <w:tcPr>
            <w:tcW w:w="4508" w:type="dxa"/>
          </w:tcPr>
          <w:p w14:paraId="566F8A56"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Dishonest cut-off of sales transactions at the end of the reporting period.</w:t>
            </w:r>
          </w:p>
          <w:p w14:paraId="101AF543" w14:textId="77777777" w:rsidR="00891F5D" w:rsidRPr="00891F5D" w:rsidRDefault="00891F5D" w:rsidP="00891F5D">
            <w:pPr>
              <w:spacing w:line="480" w:lineRule="auto"/>
              <w:jc w:val="both"/>
              <w:rPr>
                <w:rFonts w:ascii="Arial" w:hAnsi="Arial" w:cs="Arial"/>
              </w:rPr>
            </w:pPr>
          </w:p>
        </w:tc>
        <w:tc>
          <w:tcPr>
            <w:tcW w:w="4508" w:type="dxa"/>
          </w:tcPr>
          <w:p w14:paraId="753FD404"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 xml:space="preserve">Albrecht (2006), Coenen (2009), and </w:t>
            </w:r>
          </w:p>
          <w:p w14:paraId="2CB5A500"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Rezaee (2005)</w:t>
            </w:r>
          </w:p>
          <w:p w14:paraId="4F87BB1A" w14:textId="77777777" w:rsidR="00891F5D" w:rsidRPr="00891F5D" w:rsidRDefault="00891F5D" w:rsidP="00891F5D">
            <w:pPr>
              <w:spacing w:line="480" w:lineRule="auto"/>
              <w:jc w:val="both"/>
              <w:rPr>
                <w:rFonts w:ascii="Arial" w:hAnsi="Arial" w:cs="Arial"/>
              </w:rPr>
            </w:pPr>
          </w:p>
        </w:tc>
      </w:tr>
      <w:tr w:rsidR="00891F5D" w:rsidRPr="00891F5D" w14:paraId="0F505032" w14:textId="77777777" w:rsidTr="001D4222">
        <w:tc>
          <w:tcPr>
            <w:tcW w:w="4508" w:type="dxa"/>
          </w:tcPr>
          <w:p w14:paraId="1BD9ADA5"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 xml:space="preserve">Not writing off bad debts </w:t>
            </w:r>
          </w:p>
          <w:p w14:paraId="08E75F39" w14:textId="77777777" w:rsidR="00891F5D" w:rsidRPr="00891F5D" w:rsidRDefault="00891F5D" w:rsidP="00891F5D">
            <w:pPr>
              <w:spacing w:line="480" w:lineRule="auto"/>
              <w:jc w:val="both"/>
              <w:rPr>
                <w:rFonts w:ascii="Arial" w:hAnsi="Arial" w:cs="Arial"/>
              </w:rPr>
            </w:pPr>
          </w:p>
        </w:tc>
        <w:tc>
          <w:tcPr>
            <w:tcW w:w="4508" w:type="dxa"/>
          </w:tcPr>
          <w:p w14:paraId="2F3CBDBD"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 xml:space="preserve">Albrecht (2006), Coenen (2009), and </w:t>
            </w:r>
          </w:p>
          <w:p w14:paraId="4847BFB2"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Rezaee (2005)</w:t>
            </w:r>
          </w:p>
          <w:p w14:paraId="0391E6CF" w14:textId="77777777" w:rsidR="00891F5D" w:rsidRPr="00891F5D" w:rsidRDefault="00891F5D" w:rsidP="00891F5D">
            <w:pPr>
              <w:spacing w:line="480" w:lineRule="auto"/>
              <w:jc w:val="both"/>
              <w:rPr>
                <w:rFonts w:ascii="Arial" w:hAnsi="Arial" w:cs="Arial"/>
              </w:rPr>
            </w:pPr>
          </w:p>
        </w:tc>
      </w:tr>
      <w:tr w:rsidR="00891F5D" w:rsidRPr="00891F5D" w14:paraId="5FE88027" w14:textId="77777777" w:rsidTr="001D4222">
        <w:tc>
          <w:tcPr>
            <w:tcW w:w="4508" w:type="dxa"/>
          </w:tcPr>
          <w:p w14:paraId="17213C19" w14:textId="77777777" w:rsidR="00891F5D" w:rsidRPr="00891F5D" w:rsidRDefault="00891F5D" w:rsidP="00891F5D">
            <w:pPr>
              <w:spacing w:line="480" w:lineRule="auto"/>
              <w:jc w:val="both"/>
              <w:rPr>
                <w:rFonts w:ascii="Arial" w:hAnsi="Arial" w:cs="Arial"/>
              </w:rPr>
            </w:pPr>
            <w:r w:rsidRPr="00891F5D">
              <w:rPr>
                <w:rFonts w:ascii="Arial" w:hAnsi="Arial" w:cs="Arial"/>
              </w:rPr>
              <w:t xml:space="preserve">Exaggerating revenue </w:t>
            </w:r>
          </w:p>
        </w:tc>
        <w:tc>
          <w:tcPr>
            <w:tcW w:w="4508" w:type="dxa"/>
          </w:tcPr>
          <w:p w14:paraId="710B4BD1"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 xml:space="preserve">Albrecht (2006), Coenen (2009), and </w:t>
            </w:r>
          </w:p>
          <w:p w14:paraId="59688EBB"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Rezaee (2005)</w:t>
            </w:r>
          </w:p>
          <w:p w14:paraId="1B3874E0" w14:textId="77777777" w:rsidR="00891F5D" w:rsidRPr="00891F5D" w:rsidRDefault="00891F5D" w:rsidP="00891F5D">
            <w:pPr>
              <w:spacing w:line="480" w:lineRule="auto"/>
              <w:jc w:val="both"/>
              <w:rPr>
                <w:rFonts w:ascii="Arial" w:hAnsi="Arial" w:cs="Arial"/>
              </w:rPr>
            </w:pPr>
          </w:p>
        </w:tc>
      </w:tr>
      <w:tr w:rsidR="00891F5D" w:rsidRPr="00891F5D" w14:paraId="16339564" w14:textId="77777777" w:rsidTr="001D4222">
        <w:tc>
          <w:tcPr>
            <w:tcW w:w="4508" w:type="dxa"/>
          </w:tcPr>
          <w:p w14:paraId="75893CA5"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Non-recording of returned goods from customers</w:t>
            </w:r>
          </w:p>
          <w:p w14:paraId="2CE87609" w14:textId="77777777" w:rsidR="00891F5D" w:rsidRPr="00891F5D" w:rsidRDefault="00891F5D" w:rsidP="00891F5D">
            <w:pPr>
              <w:spacing w:line="480" w:lineRule="auto"/>
              <w:jc w:val="both"/>
              <w:rPr>
                <w:rFonts w:ascii="Arial" w:hAnsi="Arial" w:cs="Arial"/>
              </w:rPr>
            </w:pPr>
          </w:p>
        </w:tc>
        <w:tc>
          <w:tcPr>
            <w:tcW w:w="4508" w:type="dxa"/>
          </w:tcPr>
          <w:p w14:paraId="6D0506EA"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 xml:space="preserve">Albrecht (2006), Coenen (2009), and </w:t>
            </w:r>
          </w:p>
          <w:p w14:paraId="74E7426E"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Rezaee (2005)</w:t>
            </w:r>
          </w:p>
          <w:p w14:paraId="66EC66E0" w14:textId="77777777" w:rsidR="00891F5D" w:rsidRPr="00891F5D" w:rsidRDefault="00891F5D" w:rsidP="00891F5D">
            <w:pPr>
              <w:spacing w:line="480" w:lineRule="auto"/>
              <w:jc w:val="both"/>
              <w:rPr>
                <w:rFonts w:ascii="Arial" w:hAnsi="Arial" w:cs="Arial"/>
              </w:rPr>
            </w:pPr>
          </w:p>
        </w:tc>
      </w:tr>
      <w:tr w:rsidR="00891F5D" w:rsidRPr="00891F5D" w14:paraId="3D63C8B1" w14:textId="77777777" w:rsidTr="001D4222">
        <w:tc>
          <w:tcPr>
            <w:tcW w:w="4508" w:type="dxa"/>
          </w:tcPr>
          <w:p w14:paraId="53F6D406"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 xml:space="preserve">Debiting bank transfers as cash received from customers </w:t>
            </w:r>
          </w:p>
          <w:p w14:paraId="3F30DAF2" w14:textId="77777777" w:rsidR="00891F5D" w:rsidRPr="00891F5D" w:rsidRDefault="00891F5D" w:rsidP="00891F5D">
            <w:pPr>
              <w:spacing w:line="480" w:lineRule="auto"/>
              <w:jc w:val="both"/>
              <w:rPr>
                <w:rFonts w:ascii="Arial" w:hAnsi="Arial" w:cs="Arial"/>
              </w:rPr>
            </w:pPr>
          </w:p>
        </w:tc>
        <w:tc>
          <w:tcPr>
            <w:tcW w:w="4508" w:type="dxa"/>
          </w:tcPr>
          <w:p w14:paraId="504C5DEA"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 xml:space="preserve">Albrecht (2006), Coenen (2009), and </w:t>
            </w:r>
          </w:p>
          <w:p w14:paraId="1CBBB858"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Rezaee (2005)</w:t>
            </w:r>
          </w:p>
          <w:p w14:paraId="689BD5BE" w14:textId="77777777" w:rsidR="00891F5D" w:rsidRPr="00891F5D" w:rsidRDefault="00891F5D" w:rsidP="00891F5D">
            <w:pPr>
              <w:spacing w:line="480" w:lineRule="auto"/>
              <w:jc w:val="both"/>
              <w:rPr>
                <w:rFonts w:ascii="Arial" w:hAnsi="Arial" w:cs="Arial"/>
              </w:rPr>
            </w:pPr>
          </w:p>
        </w:tc>
      </w:tr>
      <w:tr w:rsidR="00891F5D" w:rsidRPr="00891F5D" w14:paraId="67026C97" w14:textId="77777777" w:rsidTr="001D4222">
        <w:tc>
          <w:tcPr>
            <w:tcW w:w="4508" w:type="dxa"/>
          </w:tcPr>
          <w:p w14:paraId="38171301" w14:textId="77777777" w:rsidR="00891F5D" w:rsidRPr="00891F5D" w:rsidRDefault="00891F5D" w:rsidP="00891F5D">
            <w:pPr>
              <w:spacing w:line="480" w:lineRule="auto"/>
              <w:jc w:val="both"/>
              <w:rPr>
                <w:rFonts w:ascii="Arial" w:hAnsi="Arial" w:cs="Arial"/>
              </w:rPr>
            </w:pPr>
            <w:r w:rsidRPr="00891F5D">
              <w:rPr>
                <w:rFonts w:ascii="Arial" w:hAnsi="Arial" w:cs="Arial"/>
              </w:rPr>
              <w:t>Recognising gross, instead of net revenue</w:t>
            </w:r>
          </w:p>
        </w:tc>
        <w:tc>
          <w:tcPr>
            <w:tcW w:w="4508" w:type="dxa"/>
          </w:tcPr>
          <w:p w14:paraId="6840EBFF"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 xml:space="preserve">Albrecht (2006), Coenen (2009), and </w:t>
            </w:r>
          </w:p>
          <w:p w14:paraId="1DAA7F4A"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Rezaee (2005)</w:t>
            </w:r>
          </w:p>
          <w:p w14:paraId="30E1F1B5" w14:textId="77777777" w:rsidR="00891F5D" w:rsidRPr="00891F5D" w:rsidRDefault="00891F5D" w:rsidP="00891F5D">
            <w:pPr>
              <w:spacing w:line="480" w:lineRule="auto"/>
              <w:jc w:val="both"/>
              <w:rPr>
                <w:rFonts w:ascii="Arial" w:hAnsi="Arial" w:cs="Arial"/>
              </w:rPr>
            </w:pPr>
          </w:p>
        </w:tc>
      </w:tr>
      <w:tr w:rsidR="00891F5D" w:rsidRPr="00891F5D" w14:paraId="06405F10" w14:textId="77777777" w:rsidTr="001D4222">
        <w:tc>
          <w:tcPr>
            <w:tcW w:w="4508" w:type="dxa"/>
          </w:tcPr>
          <w:p w14:paraId="630CD3C4" w14:textId="77777777" w:rsidR="00891F5D" w:rsidRPr="00891F5D" w:rsidRDefault="00891F5D" w:rsidP="00891F5D">
            <w:pPr>
              <w:spacing w:line="480" w:lineRule="auto"/>
              <w:jc w:val="both"/>
              <w:rPr>
                <w:rFonts w:ascii="Arial" w:hAnsi="Arial" w:cs="Arial"/>
              </w:rPr>
            </w:pPr>
            <w:r w:rsidRPr="00891F5D">
              <w:rPr>
                <w:rFonts w:ascii="Arial" w:hAnsi="Arial" w:cs="Arial"/>
              </w:rPr>
              <w:t>Not recording discounts agreed with customers</w:t>
            </w:r>
          </w:p>
        </w:tc>
        <w:tc>
          <w:tcPr>
            <w:tcW w:w="4508" w:type="dxa"/>
          </w:tcPr>
          <w:p w14:paraId="7E24EA27"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 xml:space="preserve">Albrecht (2006), Coenen (2009), and </w:t>
            </w:r>
          </w:p>
          <w:p w14:paraId="6937E635"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Rezaee (2005)</w:t>
            </w:r>
          </w:p>
          <w:p w14:paraId="20876BD4" w14:textId="77777777" w:rsidR="00891F5D" w:rsidRPr="00891F5D" w:rsidRDefault="00891F5D" w:rsidP="00891F5D">
            <w:pPr>
              <w:spacing w:line="480" w:lineRule="auto"/>
              <w:jc w:val="both"/>
              <w:rPr>
                <w:rFonts w:ascii="Arial" w:hAnsi="Arial" w:cs="Arial"/>
              </w:rPr>
            </w:pPr>
          </w:p>
        </w:tc>
      </w:tr>
      <w:tr w:rsidR="00891F5D" w:rsidRPr="00891F5D" w14:paraId="6FB6CD72" w14:textId="77777777" w:rsidTr="001D4222">
        <w:tc>
          <w:tcPr>
            <w:tcW w:w="4508" w:type="dxa"/>
          </w:tcPr>
          <w:p w14:paraId="6E8BA161" w14:textId="77777777" w:rsidR="00891F5D" w:rsidRPr="00891F5D" w:rsidRDefault="00891F5D" w:rsidP="00891F5D">
            <w:pPr>
              <w:spacing w:line="480" w:lineRule="auto"/>
              <w:jc w:val="both"/>
              <w:rPr>
                <w:rFonts w:ascii="Arial" w:hAnsi="Arial" w:cs="Arial"/>
              </w:rPr>
            </w:pPr>
            <w:r w:rsidRPr="00891F5D">
              <w:rPr>
                <w:rFonts w:ascii="Arial" w:hAnsi="Arial" w:cs="Arial"/>
              </w:rPr>
              <w:lastRenderedPageBreak/>
              <w:t>Treating consignment sales as completed sales</w:t>
            </w:r>
          </w:p>
          <w:p w14:paraId="7DBB0BC2" w14:textId="77777777" w:rsidR="00891F5D" w:rsidRPr="00891F5D" w:rsidRDefault="00891F5D" w:rsidP="00891F5D">
            <w:pPr>
              <w:spacing w:line="480" w:lineRule="auto"/>
              <w:jc w:val="both"/>
              <w:rPr>
                <w:rFonts w:ascii="Arial" w:hAnsi="Arial" w:cs="Arial"/>
              </w:rPr>
            </w:pPr>
          </w:p>
        </w:tc>
        <w:tc>
          <w:tcPr>
            <w:tcW w:w="4508" w:type="dxa"/>
          </w:tcPr>
          <w:p w14:paraId="0BBF05B2"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 xml:space="preserve">Albrecht (2006), Coenen (2009), and </w:t>
            </w:r>
          </w:p>
          <w:p w14:paraId="3A4A26A7"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Rezaee (2005)</w:t>
            </w:r>
          </w:p>
          <w:p w14:paraId="49B995DB" w14:textId="77777777" w:rsidR="00891F5D" w:rsidRPr="00891F5D" w:rsidRDefault="00891F5D" w:rsidP="00891F5D">
            <w:pPr>
              <w:spacing w:line="480" w:lineRule="auto"/>
              <w:jc w:val="both"/>
              <w:rPr>
                <w:rFonts w:ascii="Arial" w:hAnsi="Arial" w:cs="Arial"/>
              </w:rPr>
            </w:pPr>
          </w:p>
        </w:tc>
      </w:tr>
      <w:tr w:rsidR="00891F5D" w:rsidRPr="00891F5D" w14:paraId="509DC020" w14:textId="77777777" w:rsidTr="001D4222">
        <w:tc>
          <w:tcPr>
            <w:tcW w:w="4508" w:type="dxa"/>
          </w:tcPr>
          <w:p w14:paraId="52F474EA"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 xml:space="preserve">Recording sales which have not </w:t>
            </w:r>
            <w:proofErr w:type="gramStart"/>
            <w:r w:rsidRPr="00891F5D">
              <w:rPr>
                <w:rFonts w:ascii="Arial" w:hAnsi="Arial" w:cs="Arial"/>
              </w:rPr>
              <w:t>been not</w:t>
            </w:r>
            <w:proofErr w:type="gramEnd"/>
            <w:r w:rsidRPr="00891F5D">
              <w:rPr>
                <w:rFonts w:ascii="Arial" w:hAnsi="Arial" w:cs="Arial"/>
              </w:rPr>
              <w:t xml:space="preserve"> yet sent or partly sent</w:t>
            </w:r>
          </w:p>
          <w:p w14:paraId="0736216F" w14:textId="77777777" w:rsidR="00891F5D" w:rsidRPr="00891F5D" w:rsidRDefault="00891F5D" w:rsidP="00891F5D">
            <w:pPr>
              <w:spacing w:line="480" w:lineRule="auto"/>
              <w:jc w:val="both"/>
              <w:rPr>
                <w:rFonts w:ascii="Arial" w:hAnsi="Arial" w:cs="Arial"/>
              </w:rPr>
            </w:pPr>
          </w:p>
        </w:tc>
        <w:tc>
          <w:tcPr>
            <w:tcW w:w="4508" w:type="dxa"/>
          </w:tcPr>
          <w:p w14:paraId="42AD4C6E"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Coenen (2009)</w:t>
            </w:r>
          </w:p>
          <w:p w14:paraId="0D59FF24" w14:textId="77777777" w:rsidR="00891F5D" w:rsidRPr="00891F5D" w:rsidRDefault="00891F5D" w:rsidP="00891F5D">
            <w:pPr>
              <w:spacing w:line="480" w:lineRule="auto"/>
              <w:jc w:val="both"/>
              <w:rPr>
                <w:rFonts w:ascii="Arial" w:hAnsi="Arial" w:cs="Arial"/>
              </w:rPr>
            </w:pPr>
          </w:p>
        </w:tc>
      </w:tr>
      <w:tr w:rsidR="00891F5D" w:rsidRPr="00891F5D" w14:paraId="04A3E124" w14:textId="77777777" w:rsidTr="001D4222">
        <w:tc>
          <w:tcPr>
            <w:tcW w:w="4508" w:type="dxa"/>
          </w:tcPr>
          <w:p w14:paraId="4EE0605E"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Early recognition of sales</w:t>
            </w:r>
          </w:p>
        </w:tc>
        <w:tc>
          <w:tcPr>
            <w:tcW w:w="4508" w:type="dxa"/>
          </w:tcPr>
          <w:p w14:paraId="10DDE0B3"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Coenen (2009)</w:t>
            </w:r>
          </w:p>
          <w:p w14:paraId="2B01F1BE" w14:textId="77777777" w:rsidR="00891F5D" w:rsidRPr="00891F5D" w:rsidRDefault="00891F5D" w:rsidP="00891F5D">
            <w:pPr>
              <w:autoSpaceDE w:val="0"/>
              <w:autoSpaceDN w:val="0"/>
              <w:adjustRightInd w:val="0"/>
              <w:spacing w:line="480" w:lineRule="auto"/>
              <w:jc w:val="both"/>
              <w:rPr>
                <w:rFonts w:ascii="Arial" w:hAnsi="Arial" w:cs="Arial"/>
              </w:rPr>
            </w:pPr>
          </w:p>
        </w:tc>
      </w:tr>
      <w:tr w:rsidR="00891F5D" w:rsidRPr="00891F5D" w14:paraId="6BFE4A65" w14:textId="77777777" w:rsidTr="001D4222">
        <w:tc>
          <w:tcPr>
            <w:tcW w:w="4508" w:type="dxa"/>
          </w:tcPr>
          <w:p w14:paraId="1E00D0C3" w14:textId="77777777" w:rsidR="00891F5D" w:rsidRPr="00891F5D" w:rsidRDefault="00891F5D" w:rsidP="00891F5D">
            <w:pPr>
              <w:spacing w:line="480" w:lineRule="auto"/>
              <w:jc w:val="both"/>
              <w:rPr>
                <w:rFonts w:ascii="Arial" w:hAnsi="Arial" w:cs="Arial"/>
              </w:rPr>
            </w:pPr>
            <w:r w:rsidRPr="00891F5D">
              <w:rPr>
                <w:rFonts w:ascii="Arial" w:hAnsi="Arial" w:cs="Arial"/>
              </w:rPr>
              <w:t>Recording sales but holding-up shipment to customers (known as bill and hold)</w:t>
            </w:r>
          </w:p>
          <w:p w14:paraId="20558289" w14:textId="77777777" w:rsidR="00891F5D" w:rsidRPr="00891F5D" w:rsidRDefault="00891F5D" w:rsidP="00891F5D">
            <w:pPr>
              <w:spacing w:line="480" w:lineRule="auto"/>
              <w:jc w:val="both"/>
              <w:rPr>
                <w:rFonts w:ascii="Arial" w:hAnsi="Arial" w:cs="Arial"/>
              </w:rPr>
            </w:pPr>
          </w:p>
        </w:tc>
        <w:tc>
          <w:tcPr>
            <w:tcW w:w="4508" w:type="dxa"/>
          </w:tcPr>
          <w:p w14:paraId="0B7D965E" w14:textId="77777777" w:rsidR="00891F5D" w:rsidRPr="00891F5D" w:rsidRDefault="00891F5D" w:rsidP="00891F5D">
            <w:pPr>
              <w:spacing w:line="480" w:lineRule="auto"/>
              <w:jc w:val="both"/>
              <w:rPr>
                <w:rFonts w:ascii="Arial" w:hAnsi="Arial" w:cs="Arial"/>
              </w:rPr>
            </w:pPr>
            <w:r w:rsidRPr="00891F5D">
              <w:rPr>
                <w:rFonts w:ascii="Arial" w:hAnsi="Arial" w:cs="Arial"/>
              </w:rPr>
              <w:t>Coenen (2009); Lord (2010)</w:t>
            </w:r>
          </w:p>
        </w:tc>
      </w:tr>
      <w:tr w:rsidR="00891F5D" w:rsidRPr="00891F5D" w14:paraId="5D31BFDF" w14:textId="77777777" w:rsidTr="001D4222">
        <w:tc>
          <w:tcPr>
            <w:tcW w:w="4508" w:type="dxa"/>
          </w:tcPr>
          <w:p w14:paraId="1578F204"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Altering the nature of sales agreement that violate GAA such as unlimited return of goods if not sold by the customer</w:t>
            </w:r>
          </w:p>
          <w:p w14:paraId="5BE93787" w14:textId="77777777" w:rsidR="00891F5D" w:rsidRPr="00891F5D" w:rsidRDefault="00891F5D" w:rsidP="00891F5D">
            <w:pPr>
              <w:spacing w:line="480" w:lineRule="auto"/>
              <w:jc w:val="both"/>
              <w:rPr>
                <w:rFonts w:ascii="Arial" w:hAnsi="Arial" w:cs="Arial"/>
              </w:rPr>
            </w:pPr>
          </w:p>
        </w:tc>
        <w:tc>
          <w:tcPr>
            <w:tcW w:w="4508" w:type="dxa"/>
          </w:tcPr>
          <w:p w14:paraId="1D04191A"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Elder, et al. (2010); Lord (2010)</w:t>
            </w:r>
          </w:p>
          <w:p w14:paraId="4143B2DE" w14:textId="77777777" w:rsidR="00891F5D" w:rsidRPr="00891F5D" w:rsidRDefault="00891F5D" w:rsidP="00891F5D">
            <w:pPr>
              <w:spacing w:line="480" w:lineRule="auto"/>
              <w:jc w:val="both"/>
              <w:rPr>
                <w:rFonts w:ascii="Arial" w:hAnsi="Arial" w:cs="Arial"/>
              </w:rPr>
            </w:pPr>
          </w:p>
        </w:tc>
      </w:tr>
      <w:tr w:rsidR="00891F5D" w:rsidRPr="00891F5D" w14:paraId="49828850" w14:textId="77777777" w:rsidTr="001D4222">
        <w:tc>
          <w:tcPr>
            <w:tcW w:w="4508" w:type="dxa"/>
          </w:tcPr>
          <w:p w14:paraId="589AA3F4"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Concealing sales return and allowances resulting in the overstatement of revenue</w:t>
            </w:r>
          </w:p>
        </w:tc>
        <w:tc>
          <w:tcPr>
            <w:tcW w:w="4508" w:type="dxa"/>
          </w:tcPr>
          <w:p w14:paraId="3F90AE98"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Elder, et al., (2010); Lord (2010)</w:t>
            </w:r>
          </w:p>
          <w:p w14:paraId="2C86C6BA" w14:textId="77777777" w:rsidR="00891F5D" w:rsidRPr="00891F5D" w:rsidRDefault="00891F5D" w:rsidP="00891F5D">
            <w:pPr>
              <w:spacing w:line="480" w:lineRule="auto"/>
              <w:jc w:val="both"/>
              <w:rPr>
                <w:rFonts w:ascii="Arial" w:hAnsi="Arial" w:cs="Arial"/>
              </w:rPr>
            </w:pPr>
          </w:p>
        </w:tc>
      </w:tr>
      <w:tr w:rsidR="00891F5D" w:rsidRPr="000C7113" w14:paraId="703D1849" w14:textId="77777777" w:rsidTr="001D4222">
        <w:tc>
          <w:tcPr>
            <w:tcW w:w="4508" w:type="dxa"/>
          </w:tcPr>
          <w:p w14:paraId="2FB44E7D"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 xml:space="preserve">Minimising bad debt expense by manipulating the allowance for doubtful debts </w:t>
            </w:r>
          </w:p>
        </w:tc>
        <w:tc>
          <w:tcPr>
            <w:tcW w:w="4508" w:type="dxa"/>
          </w:tcPr>
          <w:p w14:paraId="3333DAB1" w14:textId="77777777" w:rsidR="00891F5D" w:rsidRPr="00891F5D" w:rsidRDefault="00891F5D" w:rsidP="00891F5D">
            <w:pPr>
              <w:autoSpaceDE w:val="0"/>
              <w:autoSpaceDN w:val="0"/>
              <w:adjustRightInd w:val="0"/>
              <w:spacing w:line="480" w:lineRule="auto"/>
              <w:jc w:val="both"/>
              <w:rPr>
                <w:rFonts w:ascii="Arial" w:hAnsi="Arial" w:cs="Arial"/>
                <w:lang w:val="de-DE"/>
              </w:rPr>
            </w:pPr>
            <w:r w:rsidRPr="00891F5D">
              <w:rPr>
                <w:rFonts w:ascii="Arial" w:hAnsi="Arial" w:cs="Arial"/>
                <w:lang w:val="de-DE"/>
              </w:rPr>
              <w:t xml:space="preserve">Elder, et al. (2010); Albrecht (2006), Coenen (2009) and </w:t>
            </w:r>
            <w:proofErr w:type="spellStart"/>
            <w:r w:rsidRPr="00891F5D">
              <w:rPr>
                <w:rFonts w:ascii="Arial" w:hAnsi="Arial" w:cs="Arial"/>
                <w:lang w:val="de-DE"/>
              </w:rPr>
              <w:t>Rezaee</w:t>
            </w:r>
            <w:proofErr w:type="spellEnd"/>
            <w:r w:rsidRPr="00891F5D">
              <w:rPr>
                <w:rFonts w:ascii="Arial" w:hAnsi="Arial" w:cs="Arial"/>
                <w:lang w:val="de-DE"/>
              </w:rPr>
              <w:t xml:space="preserve"> (2005)</w:t>
            </w:r>
          </w:p>
          <w:p w14:paraId="67598480" w14:textId="77777777" w:rsidR="00891F5D" w:rsidRPr="00891F5D" w:rsidRDefault="00891F5D" w:rsidP="00891F5D">
            <w:pPr>
              <w:spacing w:line="480" w:lineRule="auto"/>
              <w:jc w:val="both"/>
              <w:rPr>
                <w:rFonts w:ascii="Arial" w:hAnsi="Arial" w:cs="Arial"/>
                <w:lang w:val="de-DE"/>
              </w:rPr>
            </w:pPr>
          </w:p>
        </w:tc>
      </w:tr>
      <w:tr w:rsidR="00891F5D" w:rsidRPr="00891F5D" w14:paraId="40A8691F" w14:textId="77777777" w:rsidTr="001D4222">
        <w:tc>
          <w:tcPr>
            <w:tcW w:w="4508" w:type="dxa"/>
          </w:tcPr>
          <w:p w14:paraId="72D99709" w14:textId="77777777" w:rsidR="00891F5D" w:rsidRPr="00891F5D" w:rsidRDefault="00891F5D" w:rsidP="00891F5D">
            <w:pPr>
              <w:spacing w:line="480" w:lineRule="auto"/>
              <w:jc w:val="both"/>
              <w:rPr>
                <w:rFonts w:ascii="Arial" w:hAnsi="Arial" w:cs="Arial"/>
              </w:rPr>
            </w:pPr>
            <w:r w:rsidRPr="00891F5D">
              <w:rPr>
                <w:rFonts w:ascii="Arial" w:hAnsi="Arial" w:cs="Arial"/>
              </w:rPr>
              <w:t>Erroneous sales supported by false documentation</w:t>
            </w:r>
          </w:p>
          <w:p w14:paraId="2084317A" w14:textId="77777777" w:rsidR="00891F5D" w:rsidRPr="00891F5D" w:rsidRDefault="00891F5D" w:rsidP="00891F5D">
            <w:pPr>
              <w:spacing w:line="480" w:lineRule="auto"/>
              <w:jc w:val="both"/>
              <w:rPr>
                <w:rFonts w:ascii="Arial" w:hAnsi="Arial" w:cs="Arial"/>
              </w:rPr>
            </w:pPr>
          </w:p>
        </w:tc>
        <w:tc>
          <w:tcPr>
            <w:tcW w:w="4508" w:type="dxa"/>
          </w:tcPr>
          <w:p w14:paraId="0A6ADCE1" w14:textId="77777777" w:rsidR="00891F5D" w:rsidRPr="00891F5D" w:rsidRDefault="00891F5D" w:rsidP="00891F5D">
            <w:pPr>
              <w:spacing w:line="480" w:lineRule="auto"/>
              <w:jc w:val="both"/>
              <w:rPr>
                <w:rFonts w:ascii="Arial" w:hAnsi="Arial" w:cs="Arial"/>
              </w:rPr>
            </w:pPr>
            <w:r w:rsidRPr="00891F5D">
              <w:rPr>
                <w:rFonts w:ascii="Arial" w:hAnsi="Arial" w:cs="Arial"/>
              </w:rPr>
              <w:t>Hopwood, et al. 2008</w:t>
            </w:r>
          </w:p>
        </w:tc>
      </w:tr>
      <w:tr w:rsidR="00891F5D" w:rsidRPr="00891F5D" w14:paraId="282DC823" w14:textId="77777777" w:rsidTr="001D4222">
        <w:tc>
          <w:tcPr>
            <w:tcW w:w="4508" w:type="dxa"/>
          </w:tcPr>
          <w:p w14:paraId="17D5ABBF" w14:textId="77777777" w:rsidR="00891F5D" w:rsidRPr="00891F5D" w:rsidRDefault="00891F5D" w:rsidP="00891F5D">
            <w:pPr>
              <w:spacing w:line="480" w:lineRule="auto"/>
              <w:jc w:val="both"/>
              <w:rPr>
                <w:rFonts w:ascii="Arial" w:hAnsi="Arial" w:cs="Arial"/>
              </w:rPr>
            </w:pPr>
            <w:r w:rsidRPr="00891F5D">
              <w:rPr>
                <w:rFonts w:ascii="Arial" w:hAnsi="Arial" w:cs="Arial"/>
              </w:rPr>
              <w:lastRenderedPageBreak/>
              <w:t xml:space="preserve">Misleading of the percentage of completion such as in long construction contracts </w:t>
            </w:r>
          </w:p>
        </w:tc>
        <w:tc>
          <w:tcPr>
            <w:tcW w:w="4508" w:type="dxa"/>
          </w:tcPr>
          <w:p w14:paraId="7B2A7DEC" w14:textId="77777777" w:rsidR="00891F5D" w:rsidRPr="00891F5D" w:rsidRDefault="00891F5D" w:rsidP="00891F5D">
            <w:pPr>
              <w:spacing w:line="480" w:lineRule="auto"/>
              <w:jc w:val="both"/>
              <w:rPr>
                <w:rFonts w:ascii="Arial" w:hAnsi="Arial" w:cs="Arial"/>
              </w:rPr>
            </w:pPr>
            <w:r w:rsidRPr="00891F5D">
              <w:rPr>
                <w:rFonts w:ascii="Arial" w:hAnsi="Arial" w:cs="Arial"/>
              </w:rPr>
              <w:t>Hopwood, et al. 2008</w:t>
            </w:r>
          </w:p>
        </w:tc>
      </w:tr>
      <w:tr w:rsidR="00891F5D" w:rsidRPr="00891F5D" w14:paraId="1C1DCE7C" w14:textId="77777777" w:rsidTr="001D4222">
        <w:tc>
          <w:tcPr>
            <w:tcW w:w="4508" w:type="dxa"/>
          </w:tcPr>
          <w:p w14:paraId="7F63B4DD" w14:textId="77777777" w:rsidR="00891F5D" w:rsidRPr="00891F5D" w:rsidRDefault="00891F5D" w:rsidP="00891F5D">
            <w:pPr>
              <w:spacing w:line="480" w:lineRule="auto"/>
              <w:jc w:val="both"/>
              <w:rPr>
                <w:rFonts w:ascii="Arial" w:hAnsi="Arial" w:cs="Arial"/>
              </w:rPr>
            </w:pPr>
            <w:r w:rsidRPr="00891F5D">
              <w:rPr>
                <w:rFonts w:ascii="Arial" w:hAnsi="Arial" w:cs="Arial"/>
              </w:rPr>
              <w:t>Unofficial shipments</w:t>
            </w:r>
          </w:p>
          <w:p w14:paraId="2F1E6D6F" w14:textId="77777777" w:rsidR="00891F5D" w:rsidRPr="00891F5D" w:rsidRDefault="00891F5D" w:rsidP="00891F5D">
            <w:pPr>
              <w:spacing w:line="480" w:lineRule="auto"/>
              <w:jc w:val="both"/>
              <w:rPr>
                <w:rFonts w:ascii="Arial" w:hAnsi="Arial" w:cs="Arial"/>
              </w:rPr>
            </w:pPr>
          </w:p>
        </w:tc>
        <w:tc>
          <w:tcPr>
            <w:tcW w:w="4508" w:type="dxa"/>
          </w:tcPr>
          <w:p w14:paraId="3D590B93" w14:textId="77777777" w:rsidR="00891F5D" w:rsidRPr="00891F5D" w:rsidRDefault="00891F5D" w:rsidP="00891F5D">
            <w:pPr>
              <w:spacing w:line="480" w:lineRule="auto"/>
              <w:jc w:val="both"/>
              <w:rPr>
                <w:rFonts w:ascii="Arial" w:hAnsi="Arial" w:cs="Arial"/>
              </w:rPr>
            </w:pPr>
            <w:r w:rsidRPr="00891F5D">
              <w:rPr>
                <w:rFonts w:ascii="Arial" w:hAnsi="Arial" w:cs="Arial"/>
              </w:rPr>
              <w:t>Hopwood, et al. 2008</w:t>
            </w:r>
          </w:p>
        </w:tc>
      </w:tr>
      <w:tr w:rsidR="00891F5D" w:rsidRPr="00891F5D" w14:paraId="6DC9F0DC" w14:textId="77777777" w:rsidTr="001D4222">
        <w:tc>
          <w:tcPr>
            <w:tcW w:w="4508" w:type="dxa"/>
          </w:tcPr>
          <w:p w14:paraId="3E873AD9"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Creating fraudulent sales and sending them to customers after the end of the reporting period</w:t>
            </w:r>
          </w:p>
          <w:p w14:paraId="64E95B77" w14:textId="77777777" w:rsidR="00891F5D" w:rsidRPr="00891F5D" w:rsidRDefault="00891F5D" w:rsidP="00891F5D">
            <w:pPr>
              <w:autoSpaceDE w:val="0"/>
              <w:autoSpaceDN w:val="0"/>
              <w:adjustRightInd w:val="0"/>
              <w:spacing w:line="480" w:lineRule="auto"/>
              <w:jc w:val="both"/>
              <w:rPr>
                <w:rFonts w:ascii="Arial" w:hAnsi="Arial" w:cs="Arial"/>
              </w:rPr>
            </w:pPr>
          </w:p>
        </w:tc>
        <w:tc>
          <w:tcPr>
            <w:tcW w:w="4508" w:type="dxa"/>
          </w:tcPr>
          <w:p w14:paraId="6766CCC1" w14:textId="77777777" w:rsidR="00891F5D" w:rsidRPr="00891F5D" w:rsidRDefault="00891F5D" w:rsidP="00891F5D">
            <w:pPr>
              <w:spacing w:line="480" w:lineRule="auto"/>
              <w:jc w:val="both"/>
              <w:rPr>
                <w:rFonts w:ascii="Arial" w:hAnsi="Arial" w:cs="Arial"/>
              </w:rPr>
            </w:pPr>
            <w:r w:rsidRPr="00891F5D">
              <w:rPr>
                <w:rFonts w:ascii="Arial" w:hAnsi="Arial" w:cs="Arial"/>
              </w:rPr>
              <w:t>Hopwood, et al. 2008</w:t>
            </w:r>
          </w:p>
        </w:tc>
      </w:tr>
      <w:tr w:rsidR="00891F5D" w:rsidRPr="004A22C2" w14:paraId="76F2DF61" w14:textId="77777777" w:rsidTr="001D4222">
        <w:tc>
          <w:tcPr>
            <w:tcW w:w="4508" w:type="dxa"/>
          </w:tcPr>
          <w:p w14:paraId="772A2593"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Manipulation of the cut-off date of sales so that the following periods sales are recognised on the current income statement</w:t>
            </w:r>
          </w:p>
          <w:p w14:paraId="26F069C5" w14:textId="77777777" w:rsidR="00891F5D" w:rsidRPr="00891F5D" w:rsidRDefault="00891F5D" w:rsidP="00891F5D">
            <w:pPr>
              <w:spacing w:line="480" w:lineRule="auto"/>
              <w:jc w:val="both"/>
              <w:rPr>
                <w:rFonts w:ascii="Arial" w:hAnsi="Arial" w:cs="Arial"/>
              </w:rPr>
            </w:pPr>
          </w:p>
        </w:tc>
        <w:tc>
          <w:tcPr>
            <w:tcW w:w="4508" w:type="dxa"/>
          </w:tcPr>
          <w:p w14:paraId="70167DA9" w14:textId="7E729D4F" w:rsidR="00891F5D" w:rsidRPr="00891F5D" w:rsidRDefault="00891F5D" w:rsidP="00891F5D">
            <w:pPr>
              <w:autoSpaceDE w:val="0"/>
              <w:autoSpaceDN w:val="0"/>
              <w:adjustRightInd w:val="0"/>
              <w:spacing w:line="480" w:lineRule="auto"/>
              <w:jc w:val="both"/>
              <w:rPr>
                <w:rFonts w:ascii="Arial" w:hAnsi="Arial" w:cs="Arial"/>
                <w:lang w:val="fr-FR"/>
              </w:rPr>
            </w:pPr>
            <w:r w:rsidRPr="00891F5D">
              <w:rPr>
                <w:rFonts w:ascii="Arial" w:hAnsi="Arial" w:cs="Arial"/>
                <w:lang w:val="fr-FR"/>
              </w:rPr>
              <w:t>Hopwood, et al., (2008</w:t>
            </w:r>
            <w:r w:rsidR="002C6A8A" w:rsidRPr="00891F5D">
              <w:rPr>
                <w:rFonts w:ascii="Arial" w:hAnsi="Arial" w:cs="Arial"/>
                <w:lang w:val="fr-FR"/>
              </w:rPr>
              <w:t>) ;</w:t>
            </w:r>
            <w:r w:rsidRPr="00891F5D">
              <w:rPr>
                <w:rFonts w:ascii="Arial" w:hAnsi="Arial" w:cs="Arial"/>
                <w:lang w:val="fr-FR"/>
              </w:rPr>
              <w:t xml:space="preserve"> Coenen</w:t>
            </w:r>
          </w:p>
          <w:p w14:paraId="29DFA718" w14:textId="77777777" w:rsidR="00891F5D" w:rsidRPr="00891F5D" w:rsidRDefault="00891F5D" w:rsidP="00891F5D">
            <w:pPr>
              <w:autoSpaceDE w:val="0"/>
              <w:autoSpaceDN w:val="0"/>
              <w:adjustRightInd w:val="0"/>
              <w:spacing w:line="480" w:lineRule="auto"/>
              <w:jc w:val="both"/>
              <w:rPr>
                <w:rFonts w:ascii="Arial" w:hAnsi="Arial" w:cs="Arial"/>
                <w:lang w:val="fr-FR"/>
              </w:rPr>
            </w:pPr>
            <w:r w:rsidRPr="00891F5D">
              <w:rPr>
                <w:rFonts w:ascii="Arial" w:hAnsi="Arial" w:cs="Arial"/>
                <w:lang w:val="fr-FR"/>
              </w:rPr>
              <w:t>(2009</w:t>
            </w:r>
            <w:proofErr w:type="gramStart"/>
            <w:r w:rsidRPr="00891F5D">
              <w:rPr>
                <w:rFonts w:ascii="Arial" w:hAnsi="Arial" w:cs="Arial"/>
                <w:lang w:val="fr-FR"/>
              </w:rPr>
              <w:t>);</w:t>
            </w:r>
            <w:proofErr w:type="gramEnd"/>
            <w:r w:rsidRPr="00891F5D">
              <w:rPr>
                <w:rFonts w:ascii="Arial" w:hAnsi="Arial" w:cs="Arial"/>
                <w:lang w:val="fr-FR"/>
              </w:rPr>
              <w:t xml:space="preserve"> Lord (2010)</w:t>
            </w:r>
          </w:p>
          <w:p w14:paraId="041A1060" w14:textId="77777777" w:rsidR="00891F5D" w:rsidRPr="00891F5D" w:rsidRDefault="00891F5D" w:rsidP="00891F5D">
            <w:pPr>
              <w:spacing w:line="480" w:lineRule="auto"/>
              <w:jc w:val="both"/>
              <w:rPr>
                <w:rFonts w:ascii="Arial" w:hAnsi="Arial" w:cs="Arial"/>
                <w:lang w:val="fr-FR"/>
              </w:rPr>
            </w:pPr>
          </w:p>
        </w:tc>
      </w:tr>
    </w:tbl>
    <w:p w14:paraId="5E708865" w14:textId="77777777" w:rsidR="00891F5D" w:rsidRDefault="00891F5D" w:rsidP="00891F5D">
      <w:pPr>
        <w:autoSpaceDE w:val="0"/>
        <w:autoSpaceDN w:val="0"/>
        <w:adjustRightInd w:val="0"/>
        <w:spacing w:after="0" w:line="480" w:lineRule="auto"/>
        <w:jc w:val="both"/>
        <w:rPr>
          <w:rFonts w:ascii="Arial" w:eastAsiaTheme="minorHAnsi" w:hAnsi="Arial" w:cs="Arial"/>
          <w:iCs/>
          <w:kern w:val="0"/>
          <w:lang w:val="fr-FR" w:eastAsia="en-US"/>
          <w14:ligatures w14:val="none"/>
        </w:rPr>
      </w:pPr>
    </w:p>
    <w:p w14:paraId="1149B818" w14:textId="77777777" w:rsidR="003E44A1" w:rsidRPr="00891F5D" w:rsidRDefault="003E44A1" w:rsidP="00891F5D">
      <w:pPr>
        <w:autoSpaceDE w:val="0"/>
        <w:autoSpaceDN w:val="0"/>
        <w:adjustRightInd w:val="0"/>
        <w:spacing w:after="0" w:line="480" w:lineRule="auto"/>
        <w:jc w:val="both"/>
        <w:rPr>
          <w:rFonts w:ascii="Arial" w:eastAsiaTheme="minorHAnsi" w:hAnsi="Arial" w:cs="Arial"/>
          <w:iCs/>
          <w:kern w:val="0"/>
          <w:lang w:val="fr-FR" w:eastAsia="en-US"/>
          <w14:ligatures w14:val="none"/>
        </w:rPr>
      </w:pPr>
    </w:p>
    <w:bookmarkStart w:id="388" w:name="D19"/>
    <w:p w14:paraId="1E2D63C9" w14:textId="4A8D0E02" w:rsidR="00891F5D" w:rsidRPr="00891F5D" w:rsidRDefault="00F976AC" w:rsidP="00140050">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both"/>
        <w:rPr>
          <w:rFonts w:ascii="Arial" w:eastAsiaTheme="minorHAnsi" w:hAnsi="Arial" w:cs="Arial"/>
          <w:b/>
          <w:bCs/>
          <w:iCs/>
          <w:kern w:val="0"/>
          <w:lang w:val="en-US" w:eastAsia="en-US"/>
          <w14:ligatures w14:val="none"/>
        </w:rPr>
      </w:pPr>
      <w:r>
        <w:rPr>
          <w:rFonts w:ascii="Arial" w:eastAsiaTheme="minorHAnsi" w:hAnsi="Arial" w:cs="Arial"/>
          <w:b/>
          <w:bCs/>
          <w:iCs/>
          <w:kern w:val="0"/>
          <w:lang w:val="en-US" w:eastAsia="en-US"/>
          <w14:ligatures w14:val="none"/>
        </w:rPr>
        <w:fldChar w:fldCharType="begin"/>
      </w:r>
      <w:r>
        <w:rPr>
          <w:rFonts w:ascii="Arial" w:eastAsiaTheme="minorHAnsi" w:hAnsi="Arial" w:cs="Arial"/>
          <w:b/>
          <w:bCs/>
          <w:iCs/>
          <w:kern w:val="0"/>
          <w:lang w:val="en-US" w:eastAsia="en-US"/>
          <w14:ligatures w14:val="none"/>
        </w:rPr>
        <w:instrText>HYPERLINK  \l "C19"</w:instrText>
      </w:r>
      <w:r>
        <w:rPr>
          <w:rFonts w:ascii="Arial" w:eastAsiaTheme="minorHAnsi" w:hAnsi="Arial" w:cs="Arial"/>
          <w:b/>
          <w:bCs/>
          <w:iCs/>
          <w:kern w:val="0"/>
          <w:lang w:val="en-US" w:eastAsia="en-US"/>
          <w14:ligatures w14:val="none"/>
        </w:rPr>
      </w:r>
      <w:r>
        <w:rPr>
          <w:rFonts w:ascii="Arial" w:eastAsiaTheme="minorHAnsi" w:hAnsi="Arial" w:cs="Arial"/>
          <w:b/>
          <w:bCs/>
          <w:iCs/>
          <w:kern w:val="0"/>
          <w:lang w:val="en-US" w:eastAsia="en-US"/>
          <w14:ligatures w14:val="none"/>
        </w:rPr>
        <w:fldChar w:fldCharType="separate"/>
      </w:r>
      <w:r w:rsidR="00891F5D" w:rsidRPr="00F976AC">
        <w:rPr>
          <w:rStyle w:val="Hyperlink"/>
          <w:rFonts w:ascii="Arial" w:eastAsiaTheme="minorHAnsi" w:hAnsi="Arial" w:cs="Arial"/>
          <w:b/>
          <w:bCs/>
          <w:iCs/>
          <w:kern w:val="0"/>
          <w:lang w:val="en-US" w:eastAsia="en-US"/>
          <w14:ligatures w14:val="none"/>
        </w:rPr>
        <w:t>2.2.1.2 Inappropriate Asset Recognition</w:t>
      </w:r>
      <w:r>
        <w:rPr>
          <w:rFonts w:ascii="Arial" w:eastAsiaTheme="minorHAnsi" w:hAnsi="Arial" w:cs="Arial"/>
          <w:b/>
          <w:bCs/>
          <w:iCs/>
          <w:kern w:val="0"/>
          <w:lang w:val="en-US" w:eastAsia="en-US"/>
          <w14:ligatures w14:val="none"/>
        </w:rPr>
        <w:fldChar w:fldCharType="end"/>
      </w:r>
    </w:p>
    <w:bookmarkEnd w:id="388"/>
    <w:p w14:paraId="4E59C85F" w14:textId="77777777" w:rsidR="00891F5D" w:rsidRPr="00891F5D" w:rsidRDefault="00891F5D" w:rsidP="00140050">
      <w:pPr>
        <w:autoSpaceDE w:val="0"/>
        <w:autoSpaceDN w:val="0"/>
        <w:adjustRightInd w:val="0"/>
        <w:spacing w:after="0" w:line="240" w:lineRule="auto"/>
        <w:jc w:val="both"/>
        <w:rPr>
          <w:rFonts w:ascii="Arial" w:eastAsiaTheme="minorHAnsi" w:hAnsi="Arial" w:cs="Arial"/>
          <w:kern w:val="0"/>
          <w:lang w:val="en-US" w:eastAsia="en-US"/>
          <w14:ligatures w14:val="none"/>
        </w:rPr>
      </w:pPr>
    </w:p>
    <w:p w14:paraId="14AA60A6" w14:textId="2FF82896" w:rsidR="003E44A1" w:rsidRPr="003E44A1" w:rsidRDefault="00891F5D" w:rsidP="003E44A1">
      <w:pPr>
        <w:autoSpaceDE w:val="0"/>
        <w:autoSpaceDN w:val="0"/>
        <w:adjustRightInd w:val="0"/>
        <w:spacing w:after="0" w:line="480" w:lineRule="auto"/>
        <w:jc w:val="both"/>
        <w:rPr>
          <w:rFonts w:ascii="Arial" w:eastAsiaTheme="minorHAnsi" w:hAnsi="Arial" w:cs="Arial"/>
          <w:b/>
          <w:bCs/>
          <w:kern w:val="0"/>
          <w:lang w:val="en-US" w:eastAsia="en-US"/>
          <w14:ligatures w14:val="none"/>
        </w:rPr>
      </w:pPr>
      <w:r w:rsidRPr="00891F5D">
        <w:rPr>
          <w:rFonts w:ascii="Arial" w:eastAsiaTheme="minorHAnsi" w:hAnsi="Arial" w:cs="Arial"/>
          <w:kern w:val="0"/>
          <w:lang w:val="en-US" w:eastAsia="en-US"/>
          <w14:ligatures w14:val="none"/>
        </w:rPr>
        <w:t xml:space="preserve">Manipulation of assets is undertaken to enhance the Statement of Financial Position or Balance Sheet, including significant ratios relating to assets such as the Return on Capital Employed (Wells, 2005). </w:t>
      </w:r>
      <w:r w:rsidRPr="00891F5D">
        <w:rPr>
          <w:rFonts w:ascii="Arial" w:eastAsiaTheme="minorHAnsi" w:hAnsi="Arial" w:cs="Arial"/>
          <w:b/>
          <w:bCs/>
          <w:kern w:val="0"/>
          <w:lang w:val="en-US" w:eastAsia="en-US"/>
          <w14:ligatures w14:val="none"/>
        </w:rPr>
        <w:t>Figure 2.4 summarizes the nefarious method</w:t>
      </w:r>
    </w:p>
    <w:p w14:paraId="69B89DBA" w14:textId="77777777" w:rsidR="003E44A1" w:rsidRDefault="003E44A1" w:rsidP="00891F5D">
      <w:pPr>
        <w:spacing w:after="200" w:line="480" w:lineRule="auto"/>
        <w:jc w:val="both"/>
        <w:rPr>
          <w:rFonts w:ascii="Arial" w:eastAsiaTheme="minorHAnsi" w:hAnsi="Arial" w:cs="Arial"/>
          <w:b/>
          <w:bCs/>
          <w:kern w:val="0"/>
          <w:shd w:val="clear" w:color="auto" w:fill="FFFFFF"/>
          <w:lang w:val="en-US" w:eastAsia="en-US"/>
          <w14:ligatures w14:val="none"/>
        </w:rPr>
      </w:pPr>
    </w:p>
    <w:p w14:paraId="766ABA1B" w14:textId="77777777" w:rsidR="003E44A1" w:rsidRDefault="003E44A1" w:rsidP="00891F5D">
      <w:pPr>
        <w:spacing w:after="200" w:line="480" w:lineRule="auto"/>
        <w:jc w:val="both"/>
        <w:rPr>
          <w:rFonts w:ascii="Arial" w:eastAsiaTheme="minorHAnsi" w:hAnsi="Arial" w:cs="Arial"/>
          <w:b/>
          <w:bCs/>
          <w:kern w:val="0"/>
          <w:shd w:val="clear" w:color="auto" w:fill="FFFFFF"/>
          <w:lang w:val="en-US" w:eastAsia="en-US"/>
          <w14:ligatures w14:val="none"/>
        </w:rPr>
      </w:pPr>
    </w:p>
    <w:p w14:paraId="00DA4539" w14:textId="77777777" w:rsidR="003E44A1" w:rsidRDefault="003E44A1" w:rsidP="00891F5D">
      <w:pPr>
        <w:spacing w:after="200" w:line="480" w:lineRule="auto"/>
        <w:jc w:val="both"/>
        <w:rPr>
          <w:rFonts w:ascii="Arial" w:eastAsiaTheme="minorHAnsi" w:hAnsi="Arial" w:cs="Arial"/>
          <w:b/>
          <w:bCs/>
          <w:kern w:val="0"/>
          <w:shd w:val="clear" w:color="auto" w:fill="FFFFFF"/>
          <w:lang w:val="en-US" w:eastAsia="en-US"/>
          <w14:ligatures w14:val="none"/>
        </w:rPr>
      </w:pPr>
    </w:p>
    <w:p w14:paraId="64CF0A0E" w14:textId="77777777" w:rsidR="003E44A1" w:rsidRDefault="003E44A1" w:rsidP="00891F5D">
      <w:pPr>
        <w:spacing w:after="200" w:line="480" w:lineRule="auto"/>
        <w:jc w:val="both"/>
        <w:rPr>
          <w:rFonts w:ascii="Arial" w:eastAsiaTheme="minorHAnsi" w:hAnsi="Arial" w:cs="Arial"/>
          <w:b/>
          <w:bCs/>
          <w:kern w:val="0"/>
          <w:shd w:val="clear" w:color="auto" w:fill="FFFFFF"/>
          <w:lang w:val="en-US" w:eastAsia="en-US"/>
          <w14:ligatures w14:val="none"/>
        </w:rPr>
      </w:pPr>
    </w:p>
    <w:p w14:paraId="4BCBB7DA" w14:textId="509E527B" w:rsidR="00891F5D" w:rsidRPr="00891F5D" w:rsidRDefault="00891F5D" w:rsidP="00891F5D">
      <w:pPr>
        <w:spacing w:after="200" w:line="480" w:lineRule="auto"/>
        <w:jc w:val="both"/>
        <w:rPr>
          <w:rFonts w:ascii="Arial" w:eastAsiaTheme="minorHAnsi" w:hAnsi="Arial" w:cs="Arial"/>
          <w:b/>
          <w:bCs/>
          <w:kern w:val="0"/>
          <w:shd w:val="clear" w:color="auto" w:fill="FFFFFF"/>
          <w:lang w:val="en-US" w:eastAsia="en-US"/>
          <w14:ligatures w14:val="none"/>
        </w:rPr>
      </w:pPr>
      <w:r w:rsidRPr="00891F5D">
        <w:rPr>
          <w:rFonts w:ascii="Arial" w:eastAsiaTheme="minorHAnsi" w:hAnsi="Arial" w:cs="Arial"/>
          <w:b/>
          <w:bCs/>
          <w:kern w:val="0"/>
          <w:shd w:val="clear" w:color="auto" w:fill="FFFFFF"/>
          <w:lang w:val="en-US" w:eastAsia="en-US"/>
          <w14:ligatures w14:val="none"/>
        </w:rPr>
        <w:lastRenderedPageBreak/>
        <w:t>Figure 2.4 Examples of techniques to undertake asset valuation misuse.</w:t>
      </w:r>
    </w:p>
    <w:tbl>
      <w:tblPr>
        <w:tblStyle w:val="TableGrid"/>
        <w:tblW w:w="0" w:type="auto"/>
        <w:tblLook w:val="04A0" w:firstRow="1" w:lastRow="0" w:firstColumn="1" w:lastColumn="0" w:noHBand="0" w:noVBand="1"/>
      </w:tblPr>
      <w:tblGrid>
        <w:gridCol w:w="4508"/>
        <w:gridCol w:w="4508"/>
      </w:tblGrid>
      <w:tr w:rsidR="00891F5D" w:rsidRPr="00891F5D" w14:paraId="7CD36776" w14:textId="77777777" w:rsidTr="001D4222">
        <w:tc>
          <w:tcPr>
            <w:tcW w:w="4508" w:type="dxa"/>
          </w:tcPr>
          <w:p w14:paraId="61590D38" w14:textId="77777777" w:rsidR="00891F5D" w:rsidRPr="00891F5D" w:rsidRDefault="00891F5D" w:rsidP="00891F5D">
            <w:pPr>
              <w:spacing w:line="480" w:lineRule="auto"/>
              <w:jc w:val="both"/>
              <w:rPr>
                <w:rFonts w:ascii="Arial" w:hAnsi="Arial" w:cs="Arial"/>
                <w:b/>
                <w:bCs/>
              </w:rPr>
            </w:pPr>
            <w:r w:rsidRPr="00891F5D">
              <w:rPr>
                <w:rFonts w:ascii="Arial" w:hAnsi="Arial" w:cs="Arial"/>
                <w:b/>
                <w:bCs/>
              </w:rPr>
              <w:t>Techniques</w:t>
            </w:r>
          </w:p>
          <w:p w14:paraId="305D142E" w14:textId="77777777" w:rsidR="00891F5D" w:rsidRPr="00891F5D" w:rsidRDefault="00891F5D" w:rsidP="00891F5D">
            <w:pPr>
              <w:spacing w:line="480" w:lineRule="auto"/>
              <w:jc w:val="both"/>
              <w:rPr>
                <w:rFonts w:ascii="Arial" w:hAnsi="Arial" w:cs="Arial"/>
                <w:b/>
                <w:bCs/>
              </w:rPr>
            </w:pPr>
          </w:p>
        </w:tc>
        <w:tc>
          <w:tcPr>
            <w:tcW w:w="4508" w:type="dxa"/>
          </w:tcPr>
          <w:p w14:paraId="7DDC05B2" w14:textId="77777777" w:rsidR="00891F5D" w:rsidRPr="00891F5D" w:rsidRDefault="00891F5D" w:rsidP="00891F5D">
            <w:pPr>
              <w:spacing w:line="480" w:lineRule="auto"/>
              <w:jc w:val="both"/>
              <w:rPr>
                <w:rFonts w:ascii="Arial" w:hAnsi="Arial" w:cs="Arial"/>
                <w:b/>
                <w:bCs/>
              </w:rPr>
            </w:pPr>
            <w:r w:rsidRPr="00891F5D">
              <w:rPr>
                <w:rFonts w:ascii="Arial" w:hAnsi="Arial" w:cs="Arial"/>
                <w:b/>
                <w:bCs/>
              </w:rPr>
              <w:t xml:space="preserve">Citations </w:t>
            </w:r>
          </w:p>
        </w:tc>
      </w:tr>
      <w:tr w:rsidR="00891F5D" w:rsidRPr="00891F5D" w14:paraId="1C5C6E73" w14:textId="77777777" w:rsidTr="001D4222">
        <w:tc>
          <w:tcPr>
            <w:tcW w:w="4508" w:type="dxa"/>
          </w:tcPr>
          <w:p w14:paraId="553505FD"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 xml:space="preserve">Using market value rather than book when recording the amounts related to mergers or acquisitions </w:t>
            </w:r>
          </w:p>
          <w:p w14:paraId="6E3398F1" w14:textId="77777777" w:rsidR="00891F5D" w:rsidRPr="00891F5D" w:rsidRDefault="00891F5D" w:rsidP="00891F5D">
            <w:pPr>
              <w:spacing w:line="480" w:lineRule="auto"/>
              <w:jc w:val="both"/>
              <w:rPr>
                <w:rFonts w:ascii="Arial" w:hAnsi="Arial" w:cs="Arial"/>
              </w:rPr>
            </w:pPr>
          </w:p>
        </w:tc>
        <w:tc>
          <w:tcPr>
            <w:tcW w:w="4508" w:type="dxa"/>
          </w:tcPr>
          <w:p w14:paraId="4C7F542E"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Coenen (2009)</w:t>
            </w:r>
          </w:p>
          <w:p w14:paraId="4BCD41A7" w14:textId="77777777" w:rsidR="00891F5D" w:rsidRPr="00891F5D" w:rsidRDefault="00891F5D" w:rsidP="00891F5D">
            <w:pPr>
              <w:spacing w:line="480" w:lineRule="auto"/>
              <w:jc w:val="both"/>
              <w:rPr>
                <w:rFonts w:ascii="Arial" w:hAnsi="Arial" w:cs="Arial"/>
              </w:rPr>
            </w:pPr>
          </w:p>
        </w:tc>
      </w:tr>
      <w:tr w:rsidR="00891F5D" w:rsidRPr="00891F5D" w14:paraId="033BF609" w14:textId="77777777" w:rsidTr="001D4222">
        <w:tc>
          <w:tcPr>
            <w:tcW w:w="4508" w:type="dxa"/>
          </w:tcPr>
          <w:p w14:paraId="2105EFE5"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Inappropriate valuation of investments by deliberately misclassifying the investments</w:t>
            </w:r>
          </w:p>
          <w:p w14:paraId="7BD0EDEB" w14:textId="77777777" w:rsidR="00891F5D" w:rsidRPr="00891F5D" w:rsidRDefault="00891F5D" w:rsidP="00891F5D">
            <w:pPr>
              <w:spacing w:line="480" w:lineRule="auto"/>
              <w:jc w:val="both"/>
              <w:rPr>
                <w:rFonts w:ascii="Arial" w:hAnsi="Arial" w:cs="Arial"/>
              </w:rPr>
            </w:pPr>
          </w:p>
        </w:tc>
        <w:tc>
          <w:tcPr>
            <w:tcW w:w="4508" w:type="dxa"/>
          </w:tcPr>
          <w:p w14:paraId="19444663"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Coenen (2009)</w:t>
            </w:r>
          </w:p>
          <w:p w14:paraId="6B4CFABC" w14:textId="77777777" w:rsidR="00891F5D" w:rsidRPr="00891F5D" w:rsidRDefault="00891F5D" w:rsidP="00891F5D">
            <w:pPr>
              <w:spacing w:line="480" w:lineRule="auto"/>
              <w:jc w:val="both"/>
              <w:rPr>
                <w:rFonts w:ascii="Arial" w:hAnsi="Arial" w:cs="Arial"/>
              </w:rPr>
            </w:pPr>
          </w:p>
        </w:tc>
      </w:tr>
      <w:tr w:rsidR="00891F5D" w:rsidRPr="00891F5D" w14:paraId="3C5BB453" w14:textId="77777777" w:rsidTr="001D4222">
        <w:tc>
          <w:tcPr>
            <w:tcW w:w="4508" w:type="dxa"/>
          </w:tcPr>
          <w:p w14:paraId="2E5A74F0"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 xml:space="preserve">Overstatement of the value of closing inventory by not writing off out of date or non-saleable inventory </w:t>
            </w:r>
          </w:p>
          <w:p w14:paraId="5F44E179" w14:textId="77777777" w:rsidR="00891F5D" w:rsidRPr="00891F5D" w:rsidRDefault="00891F5D" w:rsidP="00891F5D">
            <w:pPr>
              <w:spacing w:line="480" w:lineRule="auto"/>
              <w:jc w:val="both"/>
              <w:rPr>
                <w:rFonts w:ascii="Arial" w:hAnsi="Arial" w:cs="Arial"/>
              </w:rPr>
            </w:pPr>
          </w:p>
        </w:tc>
        <w:tc>
          <w:tcPr>
            <w:tcW w:w="4508" w:type="dxa"/>
          </w:tcPr>
          <w:p w14:paraId="708AB7F8"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Coenen (2009), Lord (2010); Jones (2011)</w:t>
            </w:r>
          </w:p>
          <w:p w14:paraId="14C09D35" w14:textId="77777777" w:rsidR="00891F5D" w:rsidRPr="00891F5D" w:rsidRDefault="00891F5D" w:rsidP="00891F5D">
            <w:pPr>
              <w:spacing w:line="480" w:lineRule="auto"/>
              <w:jc w:val="both"/>
              <w:rPr>
                <w:rFonts w:ascii="Arial" w:hAnsi="Arial" w:cs="Arial"/>
              </w:rPr>
            </w:pPr>
          </w:p>
        </w:tc>
      </w:tr>
      <w:tr w:rsidR="00891F5D" w:rsidRPr="00891F5D" w14:paraId="2E3D69D7" w14:textId="77777777" w:rsidTr="001D4222">
        <w:tc>
          <w:tcPr>
            <w:tcW w:w="4508" w:type="dxa"/>
          </w:tcPr>
          <w:p w14:paraId="2521A53A"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Altering method for valuing closing inventory</w:t>
            </w:r>
          </w:p>
        </w:tc>
        <w:tc>
          <w:tcPr>
            <w:tcW w:w="4508" w:type="dxa"/>
          </w:tcPr>
          <w:p w14:paraId="16CC6A14"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Jones (2011)</w:t>
            </w:r>
          </w:p>
          <w:p w14:paraId="3B0E4A19" w14:textId="77777777" w:rsidR="00891F5D" w:rsidRPr="00891F5D" w:rsidRDefault="00891F5D" w:rsidP="00891F5D">
            <w:pPr>
              <w:autoSpaceDE w:val="0"/>
              <w:autoSpaceDN w:val="0"/>
              <w:adjustRightInd w:val="0"/>
              <w:spacing w:line="480" w:lineRule="auto"/>
              <w:jc w:val="both"/>
              <w:rPr>
                <w:rFonts w:ascii="Arial" w:hAnsi="Arial" w:cs="Arial"/>
              </w:rPr>
            </w:pPr>
          </w:p>
        </w:tc>
      </w:tr>
      <w:tr w:rsidR="00891F5D" w:rsidRPr="00891F5D" w14:paraId="293ACD3E" w14:textId="77777777" w:rsidTr="001D4222">
        <w:tc>
          <w:tcPr>
            <w:tcW w:w="4508" w:type="dxa"/>
          </w:tcPr>
          <w:p w14:paraId="05121EE5"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Manipulating overheads which are part of the calculation of closing inventory</w:t>
            </w:r>
          </w:p>
        </w:tc>
        <w:tc>
          <w:tcPr>
            <w:tcW w:w="4508" w:type="dxa"/>
          </w:tcPr>
          <w:p w14:paraId="2337FD1A"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Jones (2011)</w:t>
            </w:r>
          </w:p>
          <w:p w14:paraId="35F593FB" w14:textId="77777777" w:rsidR="00891F5D" w:rsidRPr="00891F5D" w:rsidRDefault="00891F5D" w:rsidP="00891F5D">
            <w:pPr>
              <w:autoSpaceDE w:val="0"/>
              <w:autoSpaceDN w:val="0"/>
              <w:adjustRightInd w:val="0"/>
              <w:spacing w:line="480" w:lineRule="auto"/>
              <w:jc w:val="both"/>
              <w:rPr>
                <w:rFonts w:ascii="Arial" w:hAnsi="Arial" w:cs="Arial"/>
              </w:rPr>
            </w:pPr>
          </w:p>
        </w:tc>
      </w:tr>
      <w:tr w:rsidR="00891F5D" w:rsidRPr="00891F5D" w14:paraId="58815D84" w14:textId="77777777" w:rsidTr="001D4222">
        <w:tc>
          <w:tcPr>
            <w:tcW w:w="4508" w:type="dxa"/>
          </w:tcPr>
          <w:p w14:paraId="4FE07AD2"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Misstating depreciation by changing the useful economic life of the asset</w:t>
            </w:r>
          </w:p>
          <w:p w14:paraId="71D4A613" w14:textId="77777777" w:rsidR="00891F5D" w:rsidRPr="00891F5D" w:rsidRDefault="00891F5D" w:rsidP="00891F5D">
            <w:pPr>
              <w:autoSpaceDE w:val="0"/>
              <w:autoSpaceDN w:val="0"/>
              <w:adjustRightInd w:val="0"/>
              <w:spacing w:line="480" w:lineRule="auto"/>
              <w:jc w:val="both"/>
              <w:rPr>
                <w:rFonts w:ascii="Arial" w:hAnsi="Arial" w:cs="Arial"/>
              </w:rPr>
            </w:pPr>
          </w:p>
        </w:tc>
        <w:tc>
          <w:tcPr>
            <w:tcW w:w="4508" w:type="dxa"/>
          </w:tcPr>
          <w:p w14:paraId="05F4144D"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Jones (2011)</w:t>
            </w:r>
          </w:p>
          <w:p w14:paraId="7FBB88F0" w14:textId="77777777" w:rsidR="00891F5D" w:rsidRPr="00891F5D" w:rsidRDefault="00891F5D" w:rsidP="00891F5D">
            <w:pPr>
              <w:autoSpaceDE w:val="0"/>
              <w:autoSpaceDN w:val="0"/>
              <w:adjustRightInd w:val="0"/>
              <w:spacing w:line="480" w:lineRule="auto"/>
              <w:jc w:val="both"/>
              <w:rPr>
                <w:rFonts w:ascii="Arial" w:hAnsi="Arial" w:cs="Arial"/>
              </w:rPr>
            </w:pPr>
          </w:p>
        </w:tc>
      </w:tr>
      <w:tr w:rsidR="00891F5D" w:rsidRPr="00891F5D" w14:paraId="4EBDC343" w14:textId="77777777" w:rsidTr="001D4222">
        <w:tc>
          <w:tcPr>
            <w:tcW w:w="4508" w:type="dxa"/>
          </w:tcPr>
          <w:p w14:paraId="75ED7461"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Inappropriate recognition of inventory on consignment</w:t>
            </w:r>
          </w:p>
        </w:tc>
        <w:tc>
          <w:tcPr>
            <w:tcW w:w="4508" w:type="dxa"/>
          </w:tcPr>
          <w:p w14:paraId="3196AEDE"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Lord (2010)</w:t>
            </w:r>
          </w:p>
          <w:p w14:paraId="7CBF3769" w14:textId="77777777" w:rsidR="00891F5D" w:rsidRPr="00891F5D" w:rsidRDefault="00891F5D" w:rsidP="00891F5D">
            <w:pPr>
              <w:autoSpaceDE w:val="0"/>
              <w:autoSpaceDN w:val="0"/>
              <w:adjustRightInd w:val="0"/>
              <w:spacing w:line="480" w:lineRule="auto"/>
              <w:jc w:val="both"/>
              <w:rPr>
                <w:rFonts w:ascii="Arial" w:hAnsi="Arial" w:cs="Arial"/>
              </w:rPr>
            </w:pPr>
          </w:p>
        </w:tc>
      </w:tr>
      <w:tr w:rsidR="00891F5D" w:rsidRPr="00891F5D" w14:paraId="313F1E4F" w14:textId="77777777" w:rsidTr="001D4222">
        <w:tc>
          <w:tcPr>
            <w:tcW w:w="4508" w:type="dxa"/>
          </w:tcPr>
          <w:p w14:paraId="60F8AE97"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lastRenderedPageBreak/>
              <w:t xml:space="preserve">Exaggerating the quantity of closing inventory by creating false journal entries. </w:t>
            </w:r>
          </w:p>
        </w:tc>
        <w:tc>
          <w:tcPr>
            <w:tcW w:w="4508" w:type="dxa"/>
          </w:tcPr>
          <w:p w14:paraId="3F4EBB1C"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Albrecht (2006), and</w:t>
            </w:r>
          </w:p>
          <w:p w14:paraId="4A6CFC5C"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Coenen (2008); Jones (2011); Lord</w:t>
            </w:r>
          </w:p>
          <w:p w14:paraId="521A316F"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(2010)</w:t>
            </w:r>
          </w:p>
          <w:p w14:paraId="51E74B43" w14:textId="77777777" w:rsidR="00891F5D" w:rsidRPr="00891F5D" w:rsidRDefault="00891F5D" w:rsidP="00891F5D">
            <w:pPr>
              <w:autoSpaceDE w:val="0"/>
              <w:autoSpaceDN w:val="0"/>
              <w:adjustRightInd w:val="0"/>
              <w:spacing w:line="480" w:lineRule="auto"/>
              <w:jc w:val="both"/>
              <w:rPr>
                <w:rFonts w:ascii="Arial" w:hAnsi="Arial" w:cs="Arial"/>
              </w:rPr>
            </w:pPr>
          </w:p>
        </w:tc>
      </w:tr>
      <w:tr w:rsidR="00891F5D" w:rsidRPr="00891F5D" w14:paraId="07F251D3" w14:textId="77777777" w:rsidTr="001D4222">
        <w:tc>
          <w:tcPr>
            <w:tcW w:w="4508" w:type="dxa"/>
          </w:tcPr>
          <w:p w14:paraId="5D7A95CA"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 xml:space="preserve">Overstating discounts </w:t>
            </w:r>
          </w:p>
        </w:tc>
        <w:tc>
          <w:tcPr>
            <w:tcW w:w="4508" w:type="dxa"/>
          </w:tcPr>
          <w:p w14:paraId="42D13F19"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Albrecht (2006), and</w:t>
            </w:r>
          </w:p>
          <w:p w14:paraId="706E7E51"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Coenen (2008)</w:t>
            </w:r>
          </w:p>
          <w:p w14:paraId="59F0DA44" w14:textId="77777777" w:rsidR="00891F5D" w:rsidRPr="00891F5D" w:rsidRDefault="00891F5D" w:rsidP="00891F5D">
            <w:pPr>
              <w:spacing w:line="480" w:lineRule="auto"/>
              <w:jc w:val="both"/>
              <w:rPr>
                <w:rFonts w:ascii="Arial" w:hAnsi="Arial" w:cs="Arial"/>
              </w:rPr>
            </w:pPr>
          </w:p>
        </w:tc>
      </w:tr>
      <w:tr w:rsidR="00891F5D" w:rsidRPr="00891F5D" w14:paraId="4E46B902" w14:textId="77777777" w:rsidTr="001D4222">
        <w:tc>
          <w:tcPr>
            <w:tcW w:w="4508" w:type="dxa"/>
          </w:tcPr>
          <w:p w14:paraId="7639CD70" w14:textId="77777777" w:rsidR="00891F5D" w:rsidRPr="00891F5D" w:rsidRDefault="00891F5D" w:rsidP="00891F5D">
            <w:pPr>
              <w:spacing w:line="480" w:lineRule="auto"/>
              <w:jc w:val="both"/>
              <w:rPr>
                <w:rFonts w:ascii="Arial" w:hAnsi="Arial" w:cs="Arial"/>
              </w:rPr>
            </w:pPr>
            <w:r w:rsidRPr="00891F5D">
              <w:rPr>
                <w:rFonts w:ascii="Arial" w:hAnsi="Arial" w:cs="Arial"/>
              </w:rPr>
              <w:t>Inappropriately capitalising inventory and start-up costs</w:t>
            </w:r>
          </w:p>
        </w:tc>
        <w:tc>
          <w:tcPr>
            <w:tcW w:w="4508" w:type="dxa"/>
          </w:tcPr>
          <w:p w14:paraId="228B2DF6"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Albrecht (2006), and</w:t>
            </w:r>
          </w:p>
          <w:p w14:paraId="506EFBFA"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Coenen (2008)</w:t>
            </w:r>
          </w:p>
          <w:p w14:paraId="4CC575D8" w14:textId="77777777" w:rsidR="00891F5D" w:rsidRPr="00891F5D" w:rsidRDefault="00891F5D" w:rsidP="00891F5D">
            <w:pPr>
              <w:spacing w:line="480" w:lineRule="auto"/>
              <w:jc w:val="both"/>
              <w:rPr>
                <w:rFonts w:ascii="Arial" w:hAnsi="Arial" w:cs="Arial"/>
              </w:rPr>
            </w:pPr>
          </w:p>
        </w:tc>
      </w:tr>
      <w:tr w:rsidR="00891F5D" w:rsidRPr="00891F5D" w14:paraId="15035BD9" w14:textId="77777777" w:rsidTr="001D4222">
        <w:tc>
          <w:tcPr>
            <w:tcW w:w="4508" w:type="dxa"/>
          </w:tcPr>
          <w:p w14:paraId="0A345DE4"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Not properly accounting for inventory by not deducting costs of goods sold.</w:t>
            </w:r>
          </w:p>
          <w:p w14:paraId="1602B757" w14:textId="77777777" w:rsidR="00891F5D" w:rsidRPr="00891F5D" w:rsidRDefault="00891F5D" w:rsidP="00891F5D">
            <w:pPr>
              <w:spacing w:line="480" w:lineRule="auto"/>
              <w:jc w:val="both"/>
              <w:rPr>
                <w:rFonts w:ascii="Arial" w:hAnsi="Arial" w:cs="Arial"/>
              </w:rPr>
            </w:pPr>
          </w:p>
        </w:tc>
        <w:tc>
          <w:tcPr>
            <w:tcW w:w="4508" w:type="dxa"/>
          </w:tcPr>
          <w:p w14:paraId="01405156"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Albrecht (2006), and</w:t>
            </w:r>
          </w:p>
          <w:p w14:paraId="1B7D03B8"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Coenen (2008)</w:t>
            </w:r>
          </w:p>
          <w:p w14:paraId="26047B85" w14:textId="77777777" w:rsidR="00891F5D" w:rsidRPr="00891F5D" w:rsidRDefault="00891F5D" w:rsidP="00891F5D">
            <w:pPr>
              <w:spacing w:line="480" w:lineRule="auto"/>
              <w:jc w:val="both"/>
              <w:rPr>
                <w:rFonts w:ascii="Arial" w:hAnsi="Arial" w:cs="Arial"/>
              </w:rPr>
            </w:pPr>
          </w:p>
        </w:tc>
      </w:tr>
      <w:tr w:rsidR="00891F5D" w:rsidRPr="00891F5D" w14:paraId="23CB9696" w14:textId="77777777" w:rsidTr="001D4222">
        <w:tc>
          <w:tcPr>
            <w:tcW w:w="4508" w:type="dxa"/>
          </w:tcPr>
          <w:p w14:paraId="3CE74A58"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 xml:space="preserve">Failure to write off obsolete inventory or other assets with impaired values </w:t>
            </w:r>
          </w:p>
        </w:tc>
        <w:tc>
          <w:tcPr>
            <w:tcW w:w="4508" w:type="dxa"/>
          </w:tcPr>
          <w:p w14:paraId="101BDE23"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Albrecht (2006), and</w:t>
            </w:r>
          </w:p>
          <w:p w14:paraId="18259D83"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Coenen (2008)</w:t>
            </w:r>
          </w:p>
          <w:p w14:paraId="7618784A" w14:textId="77777777" w:rsidR="00891F5D" w:rsidRPr="00891F5D" w:rsidRDefault="00891F5D" w:rsidP="00891F5D">
            <w:pPr>
              <w:spacing w:line="480" w:lineRule="auto"/>
              <w:jc w:val="both"/>
              <w:rPr>
                <w:rFonts w:ascii="Arial" w:hAnsi="Arial" w:cs="Arial"/>
              </w:rPr>
            </w:pPr>
          </w:p>
        </w:tc>
      </w:tr>
      <w:tr w:rsidR="00891F5D" w:rsidRPr="00891F5D" w14:paraId="6FE58EE2" w14:textId="77777777" w:rsidTr="001D4222">
        <w:tc>
          <w:tcPr>
            <w:tcW w:w="4508" w:type="dxa"/>
          </w:tcPr>
          <w:p w14:paraId="545CBAF4"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Overstating unit costs that are used to calculate inventory</w:t>
            </w:r>
          </w:p>
          <w:p w14:paraId="047D00E8" w14:textId="77777777" w:rsidR="00891F5D" w:rsidRPr="00891F5D" w:rsidRDefault="00891F5D" w:rsidP="00891F5D">
            <w:pPr>
              <w:spacing w:line="480" w:lineRule="auto"/>
              <w:jc w:val="both"/>
              <w:rPr>
                <w:rFonts w:ascii="Arial" w:hAnsi="Arial" w:cs="Arial"/>
              </w:rPr>
            </w:pPr>
          </w:p>
        </w:tc>
        <w:tc>
          <w:tcPr>
            <w:tcW w:w="4508" w:type="dxa"/>
          </w:tcPr>
          <w:p w14:paraId="4A9864BA"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Albrecht (2006), and</w:t>
            </w:r>
          </w:p>
          <w:p w14:paraId="535CFFFF"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Coenen (2008)</w:t>
            </w:r>
          </w:p>
          <w:p w14:paraId="31D5BDF8" w14:textId="77777777" w:rsidR="00891F5D" w:rsidRPr="00891F5D" w:rsidRDefault="00891F5D" w:rsidP="00891F5D">
            <w:pPr>
              <w:spacing w:line="480" w:lineRule="auto"/>
              <w:jc w:val="both"/>
              <w:rPr>
                <w:rFonts w:ascii="Arial" w:hAnsi="Arial" w:cs="Arial"/>
              </w:rPr>
            </w:pPr>
          </w:p>
        </w:tc>
      </w:tr>
      <w:tr w:rsidR="00891F5D" w:rsidRPr="00891F5D" w14:paraId="3D0DF52B" w14:textId="77777777" w:rsidTr="001D4222">
        <w:tc>
          <w:tcPr>
            <w:tcW w:w="4508" w:type="dxa"/>
          </w:tcPr>
          <w:p w14:paraId="54A7725B"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Misleading the physical closing inventory count</w:t>
            </w:r>
          </w:p>
          <w:p w14:paraId="36DAE972" w14:textId="77777777" w:rsidR="00891F5D" w:rsidRPr="00891F5D" w:rsidRDefault="00891F5D" w:rsidP="00891F5D">
            <w:pPr>
              <w:spacing w:line="480" w:lineRule="auto"/>
              <w:jc w:val="both"/>
              <w:rPr>
                <w:rFonts w:ascii="Arial" w:hAnsi="Arial" w:cs="Arial"/>
              </w:rPr>
            </w:pPr>
          </w:p>
        </w:tc>
        <w:tc>
          <w:tcPr>
            <w:tcW w:w="4508" w:type="dxa"/>
          </w:tcPr>
          <w:p w14:paraId="073A92D5"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Albrecht (2006), and</w:t>
            </w:r>
          </w:p>
          <w:p w14:paraId="6D1FB5BD"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Coenen (2008)</w:t>
            </w:r>
          </w:p>
          <w:p w14:paraId="748C14FC" w14:textId="77777777" w:rsidR="00891F5D" w:rsidRPr="00891F5D" w:rsidRDefault="00891F5D" w:rsidP="00891F5D">
            <w:pPr>
              <w:spacing w:line="480" w:lineRule="auto"/>
              <w:jc w:val="both"/>
              <w:rPr>
                <w:rFonts w:ascii="Arial" w:hAnsi="Arial" w:cs="Arial"/>
              </w:rPr>
            </w:pPr>
          </w:p>
        </w:tc>
      </w:tr>
      <w:tr w:rsidR="00891F5D" w:rsidRPr="00891F5D" w14:paraId="191A2854" w14:textId="77777777" w:rsidTr="001D4222">
        <w:tc>
          <w:tcPr>
            <w:tcW w:w="4508" w:type="dxa"/>
          </w:tcPr>
          <w:p w14:paraId="5B834291" w14:textId="77777777" w:rsidR="00891F5D" w:rsidRPr="00891F5D" w:rsidRDefault="00891F5D" w:rsidP="00891F5D">
            <w:pPr>
              <w:spacing w:line="480" w:lineRule="auto"/>
              <w:jc w:val="both"/>
              <w:rPr>
                <w:rFonts w:ascii="Arial" w:hAnsi="Arial" w:cs="Arial"/>
              </w:rPr>
            </w:pPr>
            <w:r w:rsidRPr="00891F5D">
              <w:rPr>
                <w:rFonts w:ascii="Arial" w:hAnsi="Arial" w:cs="Arial"/>
              </w:rPr>
              <w:t xml:space="preserve">Overstating the value of Property, plant, and equipment </w:t>
            </w:r>
          </w:p>
        </w:tc>
        <w:tc>
          <w:tcPr>
            <w:tcW w:w="4508" w:type="dxa"/>
          </w:tcPr>
          <w:p w14:paraId="559DAD9C"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Albrecht (2006), and</w:t>
            </w:r>
          </w:p>
          <w:p w14:paraId="1D1A19F5"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Coenen (2008)</w:t>
            </w:r>
          </w:p>
          <w:p w14:paraId="0D628F25" w14:textId="77777777" w:rsidR="00891F5D" w:rsidRPr="00891F5D" w:rsidRDefault="00891F5D" w:rsidP="00891F5D">
            <w:pPr>
              <w:spacing w:line="480" w:lineRule="auto"/>
              <w:jc w:val="both"/>
              <w:rPr>
                <w:rFonts w:ascii="Arial" w:hAnsi="Arial" w:cs="Arial"/>
              </w:rPr>
            </w:pPr>
          </w:p>
        </w:tc>
      </w:tr>
      <w:tr w:rsidR="00891F5D" w:rsidRPr="00891F5D" w14:paraId="10A7C46D" w14:textId="77777777" w:rsidTr="001D4222">
        <w:tc>
          <w:tcPr>
            <w:tcW w:w="4508" w:type="dxa"/>
          </w:tcPr>
          <w:p w14:paraId="1B89E699" w14:textId="77777777" w:rsidR="00891F5D" w:rsidRPr="00891F5D" w:rsidRDefault="00891F5D" w:rsidP="00891F5D">
            <w:pPr>
              <w:spacing w:line="480" w:lineRule="auto"/>
              <w:jc w:val="both"/>
              <w:rPr>
                <w:rFonts w:ascii="Arial" w:hAnsi="Arial" w:cs="Arial"/>
              </w:rPr>
            </w:pPr>
            <w:r w:rsidRPr="00891F5D">
              <w:rPr>
                <w:rFonts w:ascii="Arial" w:hAnsi="Arial" w:cs="Arial"/>
              </w:rPr>
              <w:lastRenderedPageBreak/>
              <w:t>Exaggerating returns or recording returns in earlier periods</w:t>
            </w:r>
          </w:p>
          <w:p w14:paraId="14604B62" w14:textId="77777777" w:rsidR="00891F5D" w:rsidRPr="00891F5D" w:rsidRDefault="00891F5D" w:rsidP="00891F5D">
            <w:pPr>
              <w:spacing w:line="480" w:lineRule="auto"/>
              <w:jc w:val="both"/>
              <w:rPr>
                <w:rFonts w:ascii="Arial" w:hAnsi="Arial" w:cs="Arial"/>
              </w:rPr>
            </w:pPr>
          </w:p>
        </w:tc>
        <w:tc>
          <w:tcPr>
            <w:tcW w:w="4508" w:type="dxa"/>
          </w:tcPr>
          <w:p w14:paraId="4D38B33C"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Albrecht (2006), and</w:t>
            </w:r>
          </w:p>
          <w:p w14:paraId="1340ED53"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Coenen (2008)</w:t>
            </w:r>
          </w:p>
          <w:p w14:paraId="3CDD4B8A" w14:textId="77777777" w:rsidR="00891F5D" w:rsidRPr="00891F5D" w:rsidRDefault="00891F5D" w:rsidP="00891F5D">
            <w:pPr>
              <w:spacing w:line="480" w:lineRule="auto"/>
              <w:jc w:val="both"/>
              <w:rPr>
                <w:rFonts w:ascii="Arial" w:hAnsi="Arial" w:cs="Arial"/>
              </w:rPr>
            </w:pPr>
          </w:p>
        </w:tc>
      </w:tr>
      <w:tr w:rsidR="00891F5D" w:rsidRPr="00891F5D" w14:paraId="577CE285" w14:textId="77777777" w:rsidTr="001D4222">
        <w:tc>
          <w:tcPr>
            <w:tcW w:w="4508" w:type="dxa"/>
          </w:tcPr>
          <w:p w14:paraId="0F275487" w14:textId="77777777" w:rsidR="00891F5D" w:rsidRPr="00891F5D" w:rsidRDefault="00891F5D" w:rsidP="00891F5D">
            <w:pPr>
              <w:spacing w:line="480" w:lineRule="auto"/>
              <w:jc w:val="both"/>
              <w:rPr>
                <w:rFonts w:ascii="Arial" w:hAnsi="Arial" w:cs="Arial"/>
              </w:rPr>
            </w:pPr>
            <w:r w:rsidRPr="00891F5D">
              <w:rPr>
                <w:rFonts w:ascii="Arial" w:hAnsi="Arial" w:cs="Arial"/>
              </w:rPr>
              <w:t>Not recording the correct value of marketable securities or assets with the help of related parties</w:t>
            </w:r>
          </w:p>
        </w:tc>
        <w:tc>
          <w:tcPr>
            <w:tcW w:w="4508" w:type="dxa"/>
          </w:tcPr>
          <w:p w14:paraId="72E28B18"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Albrecht (2006), and</w:t>
            </w:r>
          </w:p>
          <w:p w14:paraId="77FEFF91"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Coenen (2008)</w:t>
            </w:r>
          </w:p>
          <w:p w14:paraId="0C9F5497" w14:textId="77777777" w:rsidR="00891F5D" w:rsidRPr="00891F5D" w:rsidRDefault="00891F5D" w:rsidP="00891F5D">
            <w:pPr>
              <w:spacing w:line="480" w:lineRule="auto"/>
              <w:jc w:val="both"/>
              <w:rPr>
                <w:rFonts w:ascii="Arial" w:hAnsi="Arial" w:cs="Arial"/>
              </w:rPr>
            </w:pPr>
          </w:p>
        </w:tc>
      </w:tr>
      <w:tr w:rsidR="00891F5D" w:rsidRPr="00891F5D" w14:paraId="2D449DD5" w14:textId="77777777" w:rsidTr="001D4222">
        <w:tc>
          <w:tcPr>
            <w:tcW w:w="4508" w:type="dxa"/>
          </w:tcPr>
          <w:p w14:paraId="6D0AF4F6"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Non-recording of depreciation</w:t>
            </w:r>
          </w:p>
          <w:p w14:paraId="586469BE" w14:textId="77777777" w:rsidR="00891F5D" w:rsidRPr="00891F5D" w:rsidRDefault="00891F5D" w:rsidP="00891F5D">
            <w:pPr>
              <w:spacing w:line="480" w:lineRule="auto"/>
              <w:jc w:val="both"/>
              <w:rPr>
                <w:rFonts w:ascii="Arial" w:hAnsi="Arial" w:cs="Arial"/>
              </w:rPr>
            </w:pPr>
          </w:p>
        </w:tc>
        <w:tc>
          <w:tcPr>
            <w:tcW w:w="4508" w:type="dxa"/>
          </w:tcPr>
          <w:p w14:paraId="1F3978EA"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Albrecht (2006), and</w:t>
            </w:r>
          </w:p>
          <w:p w14:paraId="7AE06925"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Coenen (2008)</w:t>
            </w:r>
          </w:p>
          <w:p w14:paraId="0E2E9CDE" w14:textId="77777777" w:rsidR="00891F5D" w:rsidRPr="00891F5D" w:rsidRDefault="00891F5D" w:rsidP="00891F5D">
            <w:pPr>
              <w:spacing w:line="480" w:lineRule="auto"/>
              <w:jc w:val="both"/>
              <w:rPr>
                <w:rFonts w:ascii="Arial" w:hAnsi="Arial" w:cs="Arial"/>
              </w:rPr>
            </w:pPr>
          </w:p>
        </w:tc>
      </w:tr>
      <w:tr w:rsidR="00891F5D" w:rsidRPr="00891F5D" w14:paraId="3EB20266" w14:textId="77777777" w:rsidTr="001D4222">
        <w:tc>
          <w:tcPr>
            <w:tcW w:w="4508" w:type="dxa"/>
          </w:tcPr>
          <w:p w14:paraId="3C67BC29" w14:textId="77777777" w:rsidR="00891F5D" w:rsidRPr="00891F5D" w:rsidRDefault="00891F5D" w:rsidP="00891F5D">
            <w:pPr>
              <w:spacing w:line="480" w:lineRule="auto"/>
              <w:jc w:val="both"/>
              <w:rPr>
                <w:rFonts w:ascii="Arial" w:hAnsi="Arial" w:cs="Arial"/>
              </w:rPr>
            </w:pPr>
            <w:r w:rsidRPr="00891F5D">
              <w:rPr>
                <w:rFonts w:ascii="Arial" w:hAnsi="Arial" w:cs="Arial"/>
              </w:rPr>
              <w:t xml:space="preserve">Fraudulently managing reserves </w:t>
            </w:r>
          </w:p>
          <w:p w14:paraId="72AA4B2E" w14:textId="77777777" w:rsidR="00891F5D" w:rsidRPr="00891F5D" w:rsidRDefault="00891F5D" w:rsidP="00891F5D">
            <w:pPr>
              <w:spacing w:line="480" w:lineRule="auto"/>
              <w:jc w:val="both"/>
              <w:rPr>
                <w:rFonts w:ascii="Arial" w:hAnsi="Arial" w:cs="Arial"/>
              </w:rPr>
            </w:pPr>
          </w:p>
        </w:tc>
        <w:tc>
          <w:tcPr>
            <w:tcW w:w="4508" w:type="dxa"/>
          </w:tcPr>
          <w:p w14:paraId="0A131F32"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Albrecht (2006), and</w:t>
            </w:r>
          </w:p>
          <w:p w14:paraId="1AA081D4"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Coenen (2008)</w:t>
            </w:r>
          </w:p>
          <w:p w14:paraId="1AA1727E" w14:textId="77777777" w:rsidR="00891F5D" w:rsidRPr="00891F5D" w:rsidRDefault="00891F5D" w:rsidP="00891F5D">
            <w:pPr>
              <w:spacing w:line="480" w:lineRule="auto"/>
              <w:jc w:val="both"/>
              <w:rPr>
                <w:rFonts w:ascii="Arial" w:hAnsi="Arial" w:cs="Arial"/>
              </w:rPr>
            </w:pPr>
          </w:p>
        </w:tc>
      </w:tr>
      <w:tr w:rsidR="00891F5D" w:rsidRPr="00891F5D" w14:paraId="38407BFC" w14:textId="77777777" w:rsidTr="001D4222">
        <w:tc>
          <w:tcPr>
            <w:tcW w:w="4508" w:type="dxa"/>
          </w:tcPr>
          <w:p w14:paraId="4E12C67D"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Misstating estimates of fair market values</w:t>
            </w:r>
          </w:p>
          <w:p w14:paraId="41559588" w14:textId="77777777" w:rsidR="00891F5D" w:rsidRPr="00891F5D" w:rsidRDefault="00891F5D" w:rsidP="00891F5D">
            <w:pPr>
              <w:spacing w:line="480" w:lineRule="auto"/>
              <w:jc w:val="both"/>
              <w:rPr>
                <w:rFonts w:ascii="Arial" w:hAnsi="Arial" w:cs="Arial"/>
              </w:rPr>
            </w:pPr>
          </w:p>
        </w:tc>
        <w:tc>
          <w:tcPr>
            <w:tcW w:w="4508" w:type="dxa"/>
          </w:tcPr>
          <w:p w14:paraId="0B56605F"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Albrecht (2006), and</w:t>
            </w:r>
          </w:p>
          <w:p w14:paraId="0BBBC773"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Coenen (2008)</w:t>
            </w:r>
          </w:p>
          <w:p w14:paraId="3DDF3D53" w14:textId="77777777" w:rsidR="00891F5D" w:rsidRPr="00891F5D" w:rsidRDefault="00891F5D" w:rsidP="00891F5D">
            <w:pPr>
              <w:spacing w:line="480" w:lineRule="auto"/>
              <w:jc w:val="both"/>
              <w:rPr>
                <w:rFonts w:ascii="Arial" w:hAnsi="Arial" w:cs="Arial"/>
              </w:rPr>
            </w:pPr>
          </w:p>
        </w:tc>
      </w:tr>
      <w:tr w:rsidR="00891F5D" w:rsidRPr="00891F5D" w14:paraId="5C0C4EED" w14:textId="77777777" w:rsidTr="001D4222">
        <w:tc>
          <w:tcPr>
            <w:tcW w:w="4508" w:type="dxa"/>
          </w:tcPr>
          <w:p w14:paraId="1CE13C6E"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 xml:space="preserve">Recording non-verifiable assets that enhance a company's balance sheet </w:t>
            </w:r>
          </w:p>
        </w:tc>
        <w:tc>
          <w:tcPr>
            <w:tcW w:w="4508" w:type="dxa"/>
          </w:tcPr>
          <w:p w14:paraId="07D7FF30"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Albrecht (2006), and</w:t>
            </w:r>
          </w:p>
          <w:p w14:paraId="046582E6"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Coenen (2008)</w:t>
            </w:r>
          </w:p>
          <w:p w14:paraId="455B5658" w14:textId="77777777" w:rsidR="00891F5D" w:rsidRPr="00891F5D" w:rsidRDefault="00891F5D" w:rsidP="00891F5D">
            <w:pPr>
              <w:spacing w:line="480" w:lineRule="auto"/>
              <w:jc w:val="both"/>
              <w:rPr>
                <w:rFonts w:ascii="Arial" w:hAnsi="Arial" w:cs="Arial"/>
              </w:rPr>
            </w:pPr>
          </w:p>
        </w:tc>
      </w:tr>
      <w:tr w:rsidR="00891F5D" w:rsidRPr="00891F5D" w14:paraId="57731DE8" w14:textId="77777777" w:rsidTr="001D4222">
        <w:tc>
          <w:tcPr>
            <w:tcW w:w="4508" w:type="dxa"/>
          </w:tcPr>
          <w:p w14:paraId="5F3CB595" w14:textId="77777777" w:rsidR="00891F5D" w:rsidRPr="00891F5D" w:rsidRDefault="00891F5D" w:rsidP="00891F5D">
            <w:pPr>
              <w:spacing w:line="480" w:lineRule="auto"/>
              <w:jc w:val="both"/>
              <w:rPr>
                <w:rFonts w:ascii="Arial" w:hAnsi="Arial" w:cs="Arial"/>
              </w:rPr>
            </w:pPr>
            <w:r w:rsidRPr="00891F5D">
              <w:rPr>
                <w:rFonts w:ascii="Arial" w:hAnsi="Arial" w:cs="Arial"/>
              </w:rPr>
              <w:t>Exaggerating or recording fake accounts receivable</w:t>
            </w:r>
          </w:p>
        </w:tc>
        <w:tc>
          <w:tcPr>
            <w:tcW w:w="4508" w:type="dxa"/>
          </w:tcPr>
          <w:p w14:paraId="370F0D04"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w:t>
            </w:r>
          </w:p>
        </w:tc>
      </w:tr>
      <w:tr w:rsidR="00891F5D" w:rsidRPr="00891F5D" w14:paraId="2F11464B" w14:textId="77777777" w:rsidTr="001D4222">
        <w:tc>
          <w:tcPr>
            <w:tcW w:w="4508" w:type="dxa"/>
          </w:tcPr>
          <w:p w14:paraId="764F23BF" w14:textId="77777777" w:rsidR="00891F5D" w:rsidRPr="00891F5D" w:rsidRDefault="00891F5D" w:rsidP="00891F5D">
            <w:pPr>
              <w:spacing w:line="480" w:lineRule="auto"/>
              <w:jc w:val="both"/>
              <w:rPr>
                <w:rFonts w:ascii="Arial" w:hAnsi="Arial" w:cs="Arial"/>
              </w:rPr>
            </w:pPr>
            <w:r w:rsidRPr="00891F5D">
              <w:rPr>
                <w:rFonts w:ascii="Arial" w:hAnsi="Arial" w:cs="Arial"/>
              </w:rPr>
              <w:t xml:space="preserve">Not writing off accounts receivable as bad debts </w:t>
            </w:r>
          </w:p>
        </w:tc>
        <w:tc>
          <w:tcPr>
            <w:tcW w:w="4508" w:type="dxa"/>
          </w:tcPr>
          <w:p w14:paraId="551B47C1"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Albrecht (2006), and</w:t>
            </w:r>
          </w:p>
          <w:p w14:paraId="129C8A36"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Coenen (2008)</w:t>
            </w:r>
          </w:p>
          <w:p w14:paraId="1A6EFDF4" w14:textId="77777777" w:rsidR="00891F5D" w:rsidRPr="00891F5D" w:rsidRDefault="00891F5D" w:rsidP="00891F5D">
            <w:pPr>
              <w:spacing w:line="480" w:lineRule="auto"/>
              <w:jc w:val="both"/>
              <w:rPr>
                <w:rFonts w:ascii="Arial" w:hAnsi="Arial" w:cs="Arial"/>
              </w:rPr>
            </w:pPr>
          </w:p>
        </w:tc>
      </w:tr>
    </w:tbl>
    <w:p w14:paraId="402EC410" w14:textId="77777777" w:rsidR="00140050" w:rsidRDefault="00140050" w:rsidP="00891F5D">
      <w:pPr>
        <w:spacing w:line="480" w:lineRule="auto"/>
        <w:jc w:val="both"/>
        <w:rPr>
          <w:rFonts w:ascii="Arial" w:eastAsiaTheme="minorHAnsi" w:hAnsi="Arial" w:cs="Arial"/>
          <w:kern w:val="0"/>
          <w:lang w:eastAsia="en-US"/>
          <w14:ligatures w14:val="none"/>
        </w:rPr>
      </w:pPr>
    </w:p>
    <w:p w14:paraId="21B414A8" w14:textId="77777777" w:rsidR="003E44A1" w:rsidRPr="00891F5D" w:rsidRDefault="003E44A1" w:rsidP="00891F5D">
      <w:pPr>
        <w:spacing w:line="480" w:lineRule="auto"/>
        <w:jc w:val="both"/>
        <w:rPr>
          <w:rFonts w:ascii="Arial" w:eastAsiaTheme="minorHAnsi" w:hAnsi="Arial" w:cs="Arial"/>
          <w:kern w:val="0"/>
          <w:lang w:eastAsia="en-US"/>
          <w14:ligatures w14:val="none"/>
        </w:rPr>
      </w:pPr>
    </w:p>
    <w:bookmarkStart w:id="389" w:name="D20"/>
    <w:p w14:paraId="18A5D151" w14:textId="04FBA5AD" w:rsidR="00891F5D" w:rsidRPr="00891F5D" w:rsidRDefault="00F976AC" w:rsidP="00140050">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both"/>
        <w:rPr>
          <w:rFonts w:ascii="Arial" w:eastAsiaTheme="minorHAnsi" w:hAnsi="Arial" w:cs="Arial"/>
          <w:b/>
          <w:bCs/>
          <w:iCs/>
          <w:kern w:val="0"/>
          <w:lang w:val="en-US" w:eastAsia="en-US"/>
          <w14:ligatures w14:val="none"/>
        </w:rPr>
      </w:pPr>
      <w:r>
        <w:rPr>
          <w:rFonts w:ascii="Arial" w:eastAsiaTheme="minorHAnsi" w:hAnsi="Arial" w:cs="Arial"/>
          <w:b/>
          <w:bCs/>
          <w:iCs/>
          <w:kern w:val="0"/>
          <w:lang w:val="en-US" w:eastAsia="en-US"/>
          <w14:ligatures w14:val="none"/>
        </w:rPr>
        <w:lastRenderedPageBreak/>
        <w:fldChar w:fldCharType="begin"/>
      </w:r>
      <w:r>
        <w:rPr>
          <w:rFonts w:ascii="Arial" w:eastAsiaTheme="minorHAnsi" w:hAnsi="Arial" w:cs="Arial"/>
          <w:b/>
          <w:bCs/>
          <w:iCs/>
          <w:kern w:val="0"/>
          <w:lang w:val="en-US" w:eastAsia="en-US"/>
          <w14:ligatures w14:val="none"/>
        </w:rPr>
        <w:instrText>HYPERLINK  \l "C20"</w:instrText>
      </w:r>
      <w:r>
        <w:rPr>
          <w:rFonts w:ascii="Arial" w:eastAsiaTheme="minorHAnsi" w:hAnsi="Arial" w:cs="Arial"/>
          <w:b/>
          <w:bCs/>
          <w:iCs/>
          <w:kern w:val="0"/>
          <w:lang w:val="en-US" w:eastAsia="en-US"/>
          <w14:ligatures w14:val="none"/>
        </w:rPr>
      </w:r>
      <w:r>
        <w:rPr>
          <w:rFonts w:ascii="Arial" w:eastAsiaTheme="minorHAnsi" w:hAnsi="Arial" w:cs="Arial"/>
          <w:b/>
          <w:bCs/>
          <w:iCs/>
          <w:kern w:val="0"/>
          <w:lang w:val="en-US" w:eastAsia="en-US"/>
          <w14:ligatures w14:val="none"/>
        </w:rPr>
        <w:fldChar w:fldCharType="separate"/>
      </w:r>
      <w:r w:rsidR="00891F5D" w:rsidRPr="00F976AC">
        <w:rPr>
          <w:rStyle w:val="Hyperlink"/>
          <w:rFonts w:ascii="Arial" w:eastAsiaTheme="minorHAnsi" w:hAnsi="Arial" w:cs="Arial"/>
          <w:b/>
          <w:bCs/>
          <w:iCs/>
          <w:kern w:val="0"/>
          <w:lang w:val="en-US" w:eastAsia="en-US"/>
          <w14:ligatures w14:val="none"/>
        </w:rPr>
        <w:t>2.2.1.3 Hidden Liabilities and Expenses</w:t>
      </w:r>
      <w:r>
        <w:rPr>
          <w:rFonts w:ascii="Arial" w:eastAsiaTheme="minorHAnsi" w:hAnsi="Arial" w:cs="Arial"/>
          <w:b/>
          <w:bCs/>
          <w:iCs/>
          <w:kern w:val="0"/>
          <w:lang w:val="en-US" w:eastAsia="en-US"/>
          <w14:ligatures w14:val="none"/>
        </w:rPr>
        <w:fldChar w:fldCharType="end"/>
      </w:r>
    </w:p>
    <w:p w14:paraId="2C5BE22D" w14:textId="77777777" w:rsidR="00891F5D" w:rsidRPr="00891F5D" w:rsidRDefault="00891F5D" w:rsidP="00140050">
      <w:pPr>
        <w:spacing w:line="240" w:lineRule="auto"/>
        <w:rPr>
          <w:sz w:val="22"/>
          <w:szCs w:val="22"/>
          <w:lang w:val="en-US" w:eastAsia="en-US"/>
        </w:rPr>
      </w:pPr>
      <w:bookmarkStart w:id="390" w:name="80"/>
      <w:bookmarkEnd w:id="389"/>
    </w:p>
    <w:p w14:paraId="5C009257" w14:textId="31C0F56B" w:rsidR="00891F5D" w:rsidRPr="00891F5D" w:rsidRDefault="00891F5D" w:rsidP="00891F5D">
      <w:pPr>
        <w:autoSpaceDE w:val="0"/>
        <w:autoSpaceDN w:val="0"/>
        <w:adjustRightInd w:val="0"/>
        <w:spacing w:after="0" w:line="480" w:lineRule="auto"/>
        <w:jc w:val="both"/>
        <w:rPr>
          <w:rFonts w:ascii="Arial" w:eastAsiaTheme="minorHAnsi" w:hAnsi="Arial" w:cs="Arial"/>
          <w:b/>
          <w:bCs/>
          <w:kern w:val="0"/>
          <w:lang w:val="en-US" w:eastAsia="en-US"/>
          <w14:ligatures w14:val="none"/>
        </w:rPr>
      </w:pPr>
      <w:r w:rsidRPr="00891F5D">
        <w:rPr>
          <w:rFonts w:ascii="Arial" w:eastAsiaTheme="minorHAnsi" w:hAnsi="Arial" w:cs="Arial"/>
          <w:kern w:val="0"/>
          <w:lang w:val="en-US" w:eastAsia="en-US"/>
          <w14:ligatures w14:val="none"/>
        </w:rPr>
        <w:t>In comparison with improper revenue recognition, hiding liabilities or expenses is much easier to commit. Omitted transactions are usually more difficult to detect than inappropriately recorded ones, because there is no audit trail (Wells, 2005). Lord (2010) contends that the best method of concealing a debit such as pilfering cash is to miss a credit to keep things balanced, for example by minimizing liabilities.</w:t>
      </w:r>
      <w:bookmarkStart w:id="391" w:name="81"/>
      <w:bookmarkEnd w:id="390"/>
      <w:r w:rsidRPr="00891F5D">
        <w:rPr>
          <w:rFonts w:ascii="Arial" w:eastAsiaTheme="minorHAnsi" w:hAnsi="Arial" w:cs="Arial"/>
          <w:kern w:val="0"/>
          <w:lang w:val="en-US" w:eastAsia="en-US"/>
          <w14:ligatures w14:val="none"/>
        </w:rPr>
        <w:t xml:space="preserve"> Another technique for hiding liabilities and expenses is to </w:t>
      </w:r>
      <w:r w:rsidR="00FE3B59" w:rsidRPr="00891F5D">
        <w:rPr>
          <w:rFonts w:ascii="Arial" w:eastAsiaTheme="minorHAnsi" w:hAnsi="Arial" w:cs="Arial"/>
          <w:kern w:val="0"/>
          <w:lang w:val="en-US" w:eastAsia="en-US"/>
          <w14:ligatures w14:val="none"/>
        </w:rPr>
        <w:t>capitalize</w:t>
      </w:r>
      <w:r w:rsidRPr="00891F5D">
        <w:rPr>
          <w:rFonts w:ascii="Arial" w:eastAsiaTheme="minorHAnsi" w:hAnsi="Arial" w:cs="Arial"/>
          <w:kern w:val="0"/>
          <w:lang w:val="en-US" w:eastAsia="en-US"/>
          <w14:ligatures w14:val="none"/>
        </w:rPr>
        <w:t xml:space="preserve"> them, resulting in higher earnings and assets. The fixed assets will be depreciated over the useful economic life of the asset, meaning that the cost is distributed over time. The most infamous example of the latter was carried out by WorldCom, which </w:t>
      </w:r>
      <w:r w:rsidR="00FE3B59" w:rsidRPr="00891F5D">
        <w:rPr>
          <w:rFonts w:ascii="Arial" w:eastAsiaTheme="minorHAnsi" w:hAnsi="Arial" w:cs="Arial"/>
          <w:kern w:val="0"/>
          <w:lang w:val="en-US" w:eastAsia="en-US"/>
          <w14:ligatures w14:val="none"/>
        </w:rPr>
        <w:t>capitalized</w:t>
      </w:r>
      <w:r w:rsidRPr="00891F5D">
        <w:rPr>
          <w:rFonts w:ascii="Arial" w:eastAsiaTheme="minorHAnsi" w:hAnsi="Arial" w:cs="Arial"/>
          <w:kern w:val="0"/>
          <w:lang w:val="en-US" w:eastAsia="en-US"/>
          <w14:ligatures w14:val="none"/>
        </w:rPr>
        <w:t xml:space="preserve"> huge amounts of costs (Jones, 2011). </w:t>
      </w:r>
      <w:r w:rsidRPr="00891F5D">
        <w:rPr>
          <w:rFonts w:ascii="Arial" w:eastAsiaTheme="minorHAnsi" w:hAnsi="Arial" w:cs="Arial"/>
          <w:b/>
          <w:bCs/>
          <w:kern w:val="0"/>
          <w:lang w:val="en-US" w:eastAsia="en-US"/>
          <w14:ligatures w14:val="none"/>
        </w:rPr>
        <w:t xml:space="preserve">Figure 2.5 </w:t>
      </w:r>
      <w:r w:rsidR="00FE3B59" w:rsidRPr="00891F5D">
        <w:rPr>
          <w:rFonts w:ascii="Arial" w:eastAsiaTheme="minorHAnsi" w:hAnsi="Arial" w:cs="Arial"/>
          <w:b/>
          <w:bCs/>
          <w:kern w:val="0"/>
          <w:lang w:val="en-US" w:eastAsia="en-US"/>
          <w14:ligatures w14:val="none"/>
        </w:rPr>
        <w:t>summarizes</w:t>
      </w:r>
      <w:r w:rsidRPr="00891F5D">
        <w:rPr>
          <w:rFonts w:ascii="Arial" w:eastAsiaTheme="minorHAnsi" w:hAnsi="Arial" w:cs="Arial"/>
          <w:b/>
          <w:bCs/>
          <w:kern w:val="0"/>
          <w:lang w:val="en-US" w:eastAsia="en-US"/>
          <w14:ligatures w14:val="none"/>
        </w:rPr>
        <w:t xml:space="preserve"> these malevolent practices:</w:t>
      </w:r>
      <w:bookmarkEnd w:id="391"/>
    </w:p>
    <w:p w14:paraId="3214A9FC" w14:textId="77777777" w:rsidR="00C03DE8" w:rsidRPr="00891F5D" w:rsidRDefault="00C03DE8" w:rsidP="00891F5D">
      <w:pPr>
        <w:autoSpaceDE w:val="0"/>
        <w:autoSpaceDN w:val="0"/>
        <w:adjustRightInd w:val="0"/>
        <w:spacing w:after="0" w:line="480" w:lineRule="auto"/>
        <w:jc w:val="both"/>
        <w:rPr>
          <w:rFonts w:ascii="Arial" w:eastAsiaTheme="minorHAnsi" w:hAnsi="Arial" w:cs="Arial"/>
          <w:b/>
          <w:bCs/>
          <w:kern w:val="0"/>
          <w:lang w:val="en-US" w:eastAsia="en-US"/>
          <w14:ligatures w14:val="none"/>
        </w:rPr>
      </w:pPr>
    </w:p>
    <w:p w14:paraId="64D81907" w14:textId="77777777" w:rsidR="00891F5D" w:rsidRPr="00891F5D" w:rsidRDefault="00891F5D" w:rsidP="00891F5D">
      <w:pPr>
        <w:spacing w:after="200" w:line="480" w:lineRule="auto"/>
        <w:jc w:val="both"/>
        <w:rPr>
          <w:rFonts w:ascii="Arial" w:eastAsiaTheme="minorHAnsi" w:hAnsi="Arial" w:cs="Arial"/>
          <w:b/>
          <w:bCs/>
          <w:kern w:val="0"/>
          <w:shd w:val="clear" w:color="auto" w:fill="FFFFFF"/>
          <w:lang w:val="en-US" w:eastAsia="en-US"/>
          <w14:ligatures w14:val="none"/>
        </w:rPr>
      </w:pPr>
      <w:r w:rsidRPr="00891F5D">
        <w:rPr>
          <w:rFonts w:ascii="Arial" w:eastAsiaTheme="minorHAnsi" w:hAnsi="Arial" w:cs="Arial"/>
          <w:b/>
          <w:bCs/>
          <w:kern w:val="0"/>
          <w:shd w:val="clear" w:color="auto" w:fill="FFFFFF"/>
          <w:lang w:val="en-US" w:eastAsia="en-US"/>
          <w14:ligatures w14:val="none"/>
        </w:rPr>
        <w:t>Figure 2.5 Examples of hiding liabilities and expenses</w:t>
      </w:r>
    </w:p>
    <w:tbl>
      <w:tblPr>
        <w:tblStyle w:val="TableGrid1"/>
        <w:tblW w:w="0" w:type="auto"/>
        <w:tblLook w:val="04A0" w:firstRow="1" w:lastRow="0" w:firstColumn="1" w:lastColumn="0" w:noHBand="0" w:noVBand="1"/>
      </w:tblPr>
      <w:tblGrid>
        <w:gridCol w:w="4508"/>
        <w:gridCol w:w="4508"/>
      </w:tblGrid>
      <w:tr w:rsidR="00891F5D" w:rsidRPr="00891F5D" w14:paraId="36286D4A" w14:textId="77777777" w:rsidTr="001D4222">
        <w:tc>
          <w:tcPr>
            <w:tcW w:w="4508" w:type="dxa"/>
          </w:tcPr>
          <w:p w14:paraId="5145105C" w14:textId="77777777" w:rsidR="00891F5D" w:rsidRPr="00891F5D" w:rsidRDefault="00891F5D" w:rsidP="00891F5D">
            <w:pPr>
              <w:spacing w:line="480" w:lineRule="auto"/>
              <w:jc w:val="both"/>
              <w:rPr>
                <w:rFonts w:ascii="Arial" w:hAnsi="Arial" w:cs="Arial"/>
                <w:b/>
                <w:bCs/>
              </w:rPr>
            </w:pPr>
            <w:r w:rsidRPr="00891F5D">
              <w:rPr>
                <w:rFonts w:ascii="Arial" w:hAnsi="Arial" w:cs="Arial"/>
                <w:b/>
                <w:bCs/>
              </w:rPr>
              <w:t>Techniques</w:t>
            </w:r>
          </w:p>
          <w:p w14:paraId="61918C0F" w14:textId="77777777" w:rsidR="00891F5D" w:rsidRPr="00891F5D" w:rsidRDefault="00891F5D" w:rsidP="00891F5D">
            <w:pPr>
              <w:spacing w:line="480" w:lineRule="auto"/>
              <w:jc w:val="both"/>
              <w:rPr>
                <w:rFonts w:ascii="Arial" w:hAnsi="Arial" w:cs="Arial"/>
                <w:b/>
                <w:bCs/>
              </w:rPr>
            </w:pPr>
          </w:p>
        </w:tc>
        <w:tc>
          <w:tcPr>
            <w:tcW w:w="4508" w:type="dxa"/>
          </w:tcPr>
          <w:p w14:paraId="27B71835" w14:textId="77777777" w:rsidR="00891F5D" w:rsidRPr="00891F5D" w:rsidRDefault="00891F5D" w:rsidP="00891F5D">
            <w:pPr>
              <w:spacing w:line="480" w:lineRule="auto"/>
              <w:jc w:val="both"/>
              <w:rPr>
                <w:rFonts w:ascii="Arial" w:hAnsi="Arial" w:cs="Arial"/>
                <w:b/>
                <w:bCs/>
              </w:rPr>
            </w:pPr>
            <w:r w:rsidRPr="00891F5D">
              <w:rPr>
                <w:rFonts w:ascii="Arial" w:hAnsi="Arial" w:cs="Arial"/>
                <w:b/>
                <w:bCs/>
              </w:rPr>
              <w:t>Citations</w:t>
            </w:r>
          </w:p>
        </w:tc>
      </w:tr>
      <w:tr w:rsidR="00891F5D" w:rsidRPr="00891F5D" w14:paraId="2734E473" w14:textId="77777777" w:rsidTr="001D4222">
        <w:tc>
          <w:tcPr>
            <w:tcW w:w="4508" w:type="dxa"/>
          </w:tcPr>
          <w:p w14:paraId="47F58706"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Non-recognition of liabilities such as deferred revenues or contingent liabilities.</w:t>
            </w:r>
          </w:p>
          <w:p w14:paraId="3149D489" w14:textId="77777777" w:rsidR="00891F5D" w:rsidRPr="00891F5D" w:rsidRDefault="00891F5D" w:rsidP="00891F5D">
            <w:pPr>
              <w:spacing w:line="480" w:lineRule="auto"/>
              <w:jc w:val="both"/>
              <w:rPr>
                <w:rFonts w:ascii="Arial" w:hAnsi="Arial" w:cs="Arial"/>
              </w:rPr>
            </w:pPr>
          </w:p>
        </w:tc>
        <w:tc>
          <w:tcPr>
            <w:tcW w:w="4508" w:type="dxa"/>
          </w:tcPr>
          <w:p w14:paraId="786B6010"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Coenen (2009)</w:t>
            </w:r>
          </w:p>
          <w:p w14:paraId="4A512CEA" w14:textId="77777777" w:rsidR="00891F5D" w:rsidRPr="00891F5D" w:rsidRDefault="00891F5D" w:rsidP="00891F5D">
            <w:pPr>
              <w:spacing w:line="480" w:lineRule="auto"/>
              <w:jc w:val="both"/>
              <w:rPr>
                <w:rFonts w:ascii="Arial" w:hAnsi="Arial" w:cs="Arial"/>
              </w:rPr>
            </w:pPr>
          </w:p>
        </w:tc>
      </w:tr>
      <w:tr w:rsidR="00891F5D" w:rsidRPr="00891F5D" w14:paraId="1E54E0B6" w14:textId="77777777" w:rsidTr="001D4222">
        <w:tc>
          <w:tcPr>
            <w:tcW w:w="4508" w:type="dxa"/>
          </w:tcPr>
          <w:p w14:paraId="332CE8A5"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Minimising accounts payable by deferring to further periods or falsifying reductions or preventing genuine changes.</w:t>
            </w:r>
          </w:p>
          <w:p w14:paraId="5CE5C5C0" w14:textId="77777777" w:rsidR="00891F5D" w:rsidRPr="00891F5D" w:rsidRDefault="00891F5D" w:rsidP="00891F5D">
            <w:pPr>
              <w:autoSpaceDE w:val="0"/>
              <w:autoSpaceDN w:val="0"/>
              <w:adjustRightInd w:val="0"/>
              <w:spacing w:line="480" w:lineRule="auto"/>
              <w:jc w:val="both"/>
              <w:rPr>
                <w:rFonts w:ascii="Arial" w:hAnsi="Arial" w:cs="Arial"/>
              </w:rPr>
            </w:pPr>
          </w:p>
        </w:tc>
        <w:tc>
          <w:tcPr>
            <w:tcW w:w="4508" w:type="dxa"/>
          </w:tcPr>
          <w:p w14:paraId="75E03F59" w14:textId="77777777" w:rsidR="00891F5D" w:rsidRPr="00891F5D" w:rsidRDefault="00891F5D" w:rsidP="00891F5D">
            <w:pPr>
              <w:autoSpaceDE w:val="0"/>
              <w:autoSpaceDN w:val="0"/>
              <w:adjustRightInd w:val="0"/>
              <w:spacing w:line="480" w:lineRule="auto"/>
              <w:jc w:val="both"/>
              <w:rPr>
                <w:rFonts w:ascii="Arial" w:hAnsi="Arial" w:cs="Arial"/>
                <w:lang w:val="de-DE"/>
              </w:rPr>
            </w:pPr>
            <w:r w:rsidRPr="00891F5D">
              <w:rPr>
                <w:rFonts w:ascii="Arial" w:hAnsi="Arial" w:cs="Arial"/>
                <w:lang w:val="de-DE"/>
              </w:rPr>
              <w:t>Elder, et al., (2010); Wells (2005);</w:t>
            </w:r>
          </w:p>
          <w:p w14:paraId="36EB290D" w14:textId="77777777" w:rsidR="00891F5D" w:rsidRPr="00891F5D" w:rsidRDefault="00891F5D" w:rsidP="00891F5D">
            <w:pPr>
              <w:autoSpaceDE w:val="0"/>
              <w:autoSpaceDN w:val="0"/>
              <w:adjustRightInd w:val="0"/>
              <w:spacing w:line="480" w:lineRule="auto"/>
              <w:jc w:val="both"/>
              <w:rPr>
                <w:rFonts w:ascii="Arial" w:hAnsi="Arial" w:cs="Arial"/>
                <w:lang w:val="de-DE"/>
              </w:rPr>
            </w:pPr>
            <w:r w:rsidRPr="00891F5D">
              <w:rPr>
                <w:rFonts w:ascii="Arial" w:hAnsi="Arial" w:cs="Arial"/>
                <w:lang w:val="de-DE"/>
              </w:rPr>
              <w:t>Sterling (2002), AICPA (2007), Coenen</w:t>
            </w:r>
          </w:p>
          <w:p w14:paraId="7692AAF7"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(2008, 2009)</w:t>
            </w:r>
          </w:p>
          <w:p w14:paraId="73B5BE5D" w14:textId="77777777" w:rsidR="00891F5D" w:rsidRPr="00891F5D" w:rsidRDefault="00891F5D" w:rsidP="00891F5D">
            <w:pPr>
              <w:spacing w:line="480" w:lineRule="auto"/>
              <w:jc w:val="both"/>
              <w:rPr>
                <w:rFonts w:ascii="Arial" w:hAnsi="Arial" w:cs="Arial"/>
              </w:rPr>
            </w:pPr>
          </w:p>
        </w:tc>
      </w:tr>
      <w:tr w:rsidR="00891F5D" w:rsidRPr="00891F5D" w14:paraId="53412D4A" w14:textId="77777777" w:rsidTr="001D4222">
        <w:tc>
          <w:tcPr>
            <w:tcW w:w="4508" w:type="dxa"/>
          </w:tcPr>
          <w:p w14:paraId="393D6163"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Booking cost of sales as another expense so it does not adversely affect gross margin</w:t>
            </w:r>
          </w:p>
          <w:p w14:paraId="02CDE072" w14:textId="77777777" w:rsidR="00891F5D" w:rsidRPr="00891F5D" w:rsidRDefault="00891F5D" w:rsidP="00891F5D">
            <w:pPr>
              <w:spacing w:line="480" w:lineRule="auto"/>
              <w:jc w:val="both"/>
              <w:rPr>
                <w:rFonts w:ascii="Arial" w:hAnsi="Arial" w:cs="Arial"/>
              </w:rPr>
            </w:pPr>
          </w:p>
        </w:tc>
        <w:tc>
          <w:tcPr>
            <w:tcW w:w="4508" w:type="dxa"/>
          </w:tcPr>
          <w:p w14:paraId="2F2821D9"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Sterling (2002), AICPA</w:t>
            </w:r>
          </w:p>
          <w:p w14:paraId="31A750A9"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(2007), Coenen (2008, 2009)</w:t>
            </w:r>
          </w:p>
          <w:p w14:paraId="7ACE312B" w14:textId="77777777" w:rsidR="00891F5D" w:rsidRPr="00891F5D" w:rsidRDefault="00891F5D" w:rsidP="00891F5D">
            <w:pPr>
              <w:spacing w:line="480" w:lineRule="auto"/>
              <w:jc w:val="both"/>
              <w:rPr>
                <w:rFonts w:ascii="Arial" w:hAnsi="Arial" w:cs="Arial"/>
              </w:rPr>
            </w:pPr>
          </w:p>
        </w:tc>
      </w:tr>
      <w:tr w:rsidR="00891F5D" w:rsidRPr="00891F5D" w14:paraId="5F4B399D" w14:textId="77777777" w:rsidTr="001D4222">
        <w:tc>
          <w:tcPr>
            <w:tcW w:w="4508" w:type="dxa"/>
          </w:tcPr>
          <w:p w14:paraId="067354AA"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lastRenderedPageBreak/>
              <w:t xml:space="preserve">Capitalising immaterial expenses which will probably be not detected  </w:t>
            </w:r>
          </w:p>
          <w:p w14:paraId="1183BD00" w14:textId="77777777" w:rsidR="00891F5D" w:rsidRPr="00891F5D" w:rsidRDefault="00891F5D" w:rsidP="00891F5D">
            <w:pPr>
              <w:autoSpaceDE w:val="0"/>
              <w:autoSpaceDN w:val="0"/>
              <w:adjustRightInd w:val="0"/>
              <w:spacing w:line="480" w:lineRule="auto"/>
              <w:jc w:val="both"/>
              <w:rPr>
                <w:rFonts w:ascii="Arial" w:hAnsi="Arial" w:cs="Arial"/>
              </w:rPr>
            </w:pPr>
          </w:p>
        </w:tc>
        <w:tc>
          <w:tcPr>
            <w:tcW w:w="4508" w:type="dxa"/>
          </w:tcPr>
          <w:p w14:paraId="05F6682B"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Sterling (2002), AICPA</w:t>
            </w:r>
          </w:p>
          <w:p w14:paraId="5906F1D1"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(2007), Coenen (2008, 2009)</w:t>
            </w:r>
          </w:p>
          <w:p w14:paraId="7A77C19A" w14:textId="77777777" w:rsidR="00891F5D" w:rsidRPr="00891F5D" w:rsidRDefault="00891F5D" w:rsidP="00891F5D">
            <w:pPr>
              <w:autoSpaceDE w:val="0"/>
              <w:autoSpaceDN w:val="0"/>
              <w:adjustRightInd w:val="0"/>
              <w:spacing w:line="480" w:lineRule="auto"/>
              <w:jc w:val="both"/>
              <w:rPr>
                <w:rFonts w:ascii="Arial" w:hAnsi="Arial" w:cs="Arial"/>
              </w:rPr>
            </w:pPr>
          </w:p>
        </w:tc>
      </w:tr>
      <w:tr w:rsidR="00891F5D" w:rsidRPr="00891F5D" w14:paraId="37008669" w14:textId="77777777" w:rsidTr="001D4222">
        <w:tc>
          <w:tcPr>
            <w:tcW w:w="4508" w:type="dxa"/>
          </w:tcPr>
          <w:p w14:paraId="63EE21DC"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Reporting lower expenses by non-disclosure of sales discounts, returns, and allowances</w:t>
            </w:r>
          </w:p>
          <w:p w14:paraId="4195EF5B" w14:textId="77777777" w:rsidR="00891F5D" w:rsidRPr="00891F5D" w:rsidRDefault="00891F5D" w:rsidP="00891F5D">
            <w:pPr>
              <w:autoSpaceDE w:val="0"/>
              <w:autoSpaceDN w:val="0"/>
              <w:adjustRightInd w:val="0"/>
              <w:spacing w:line="480" w:lineRule="auto"/>
              <w:jc w:val="both"/>
              <w:rPr>
                <w:rFonts w:ascii="Arial" w:hAnsi="Arial" w:cs="Arial"/>
              </w:rPr>
            </w:pPr>
          </w:p>
        </w:tc>
        <w:tc>
          <w:tcPr>
            <w:tcW w:w="4508" w:type="dxa"/>
          </w:tcPr>
          <w:p w14:paraId="300C4842"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Sterling (2002), AICPA</w:t>
            </w:r>
          </w:p>
          <w:p w14:paraId="623CC96A"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(2007), Coenen (2008, 2009)</w:t>
            </w:r>
          </w:p>
          <w:p w14:paraId="5107E59D" w14:textId="77777777" w:rsidR="00891F5D" w:rsidRPr="00891F5D" w:rsidRDefault="00891F5D" w:rsidP="00891F5D">
            <w:pPr>
              <w:autoSpaceDE w:val="0"/>
              <w:autoSpaceDN w:val="0"/>
              <w:adjustRightInd w:val="0"/>
              <w:spacing w:line="480" w:lineRule="auto"/>
              <w:jc w:val="both"/>
              <w:rPr>
                <w:rFonts w:ascii="Arial" w:hAnsi="Arial" w:cs="Arial"/>
              </w:rPr>
            </w:pPr>
          </w:p>
        </w:tc>
      </w:tr>
      <w:tr w:rsidR="00891F5D" w:rsidRPr="00891F5D" w14:paraId="3B606F90" w14:textId="77777777" w:rsidTr="001D4222">
        <w:tc>
          <w:tcPr>
            <w:tcW w:w="4508" w:type="dxa"/>
          </w:tcPr>
          <w:p w14:paraId="2A3143D6"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Failure to correctly write down assets such as accounts receivable or closing inventory as per GAAP.</w:t>
            </w:r>
          </w:p>
          <w:p w14:paraId="3F042C7A" w14:textId="77777777" w:rsidR="00891F5D" w:rsidRPr="00891F5D" w:rsidRDefault="00891F5D" w:rsidP="00891F5D">
            <w:pPr>
              <w:autoSpaceDE w:val="0"/>
              <w:autoSpaceDN w:val="0"/>
              <w:adjustRightInd w:val="0"/>
              <w:spacing w:line="480" w:lineRule="auto"/>
              <w:jc w:val="both"/>
              <w:rPr>
                <w:rFonts w:ascii="Arial" w:hAnsi="Arial" w:cs="Arial"/>
              </w:rPr>
            </w:pPr>
          </w:p>
        </w:tc>
        <w:tc>
          <w:tcPr>
            <w:tcW w:w="4508" w:type="dxa"/>
          </w:tcPr>
          <w:p w14:paraId="1E2B25F4"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Sterling (2002), AICPA</w:t>
            </w:r>
          </w:p>
          <w:p w14:paraId="785BCF1D"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(2007), Coenen (2008, 2009)</w:t>
            </w:r>
          </w:p>
          <w:p w14:paraId="752584B1" w14:textId="77777777" w:rsidR="00891F5D" w:rsidRPr="00891F5D" w:rsidRDefault="00891F5D" w:rsidP="00891F5D">
            <w:pPr>
              <w:autoSpaceDE w:val="0"/>
              <w:autoSpaceDN w:val="0"/>
              <w:adjustRightInd w:val="0"/>
              <w:spacing w:line="480" w:lineRule="auto"/>
              <w:jc w:val="both"/>
              <w:rPr>
                <w:rFonts w:ascii="Arial" w:hAnsi="Arial" w:cs="Arial"/>
              </w:rPr>
            </w:pPr>
          </w:p>
        </w:tc>
      </w:tr>
      <w:tr w:rsidR="00891F5D" w:rsidRPr="00891F5D" w14:paraId="70A0C99B" w14:textId="77777777" w:rsidTr="001D4222">
        <w:tc>
          <w:tcPr>
            <w:tcW w:w="4508" w:type="dxa"/>
          </w:tcPr>
          <w:p w14:paraId="7DA4CB7D"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Failure to record expenses as they occur</w:t>
            </w:r>
          </w:p>
        </w:tc>
        <w:tc>
          <w:tcPr>
            <w:tcW w:w="4508" w:type="dxa"/>
          </w:tcPr>
          <w:p w14:paraId="361F74FE"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Sterling (2002), AICPA</w:t>
            </w:r>
          </w:p>
          <w:p w14:paraId="6FD81467"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(2007), Coenen (2008, 2009)</w:t>
            </w:r>
          </w:p>
          <w:p w14:paraId="4F93B558" w14:textId="77777777" w:rsidR="00891F5D" w:rsidRPr="00891F5D" w:rsidRDefault="00891F5D" w:rsidP="00891F5D">
            <w:pPr>
              <w:autoSpaceDE w:val="0"/>
              <w:autoSpaceDN w:val="0"/>
              <w:adjustRightInd w:val="0"/>
              <w:spacing w:line="480" w:lineRule="auto"/>
              <w:jc w:val="both"/>
              <w:rPr>
                <w:rFonts w:ascii="Arial" w:hAnsi="Arial" w:cs="Arial"/>
              </w:rPr>
            </w:pPr>
          </w:p>
        </w:tc>
      </w:tr>
      <w:tr w:rsidR="00891F5D" w:rsidRPr="00891F5D" w14:paraId="5A5C8682" w14:textId="77777777" w:rsidTr="001D4222">
        <w:tc>
          <w:tcPr>
            <w:tcW w:w="4508" w:type="dxa"/>
          </w:tcPr>
          <w:p w14:paraId="63633AF0"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Failure to accrue genuine liabilities or record them in later periods.</w:t>
            </w:r>
          </w:p>
          <w:p w14:paraId="70D8FE4C" w14:textId="77777777" w:rsidR="00891F5D" w:rsidRPr="00891F5D" w:rsidRDefault="00891F5D" w:rsidP="00891F5D">
            <w:pPr>
              <w:autoSpaceDE w:val="0"/>
              <w:autoSpaceDN w:val="0"/>
              <w:adjustRightInd w:val="0"/>
              <w:spacing w:line="480" w:lineRule="auto"/>
              <w:jc w:val="both"/>
              <w:rPr>
                <w:rFonts w:ascii="Arial" w:hAnsi="Arial" w:cs="Arial"/>
              </w:rPr>
            </w:pPr>
          </w:p>
        </w:tc>
        <w:tc>
          <w:tcPr>
            <w:tcW w:w="4508" w:type="dxa"/>
          </w:tcPr>
          <w:p w14:paraId="4FA0A624"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Sterling (2002), AICPA</w:t>
            </w:r>
          </w:p>
          <w:p w14:paraId="611288B8"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(2007), Coenen (2008, 2009)</w:t>
            </w:r>
          </w:p>
          <w:p w14:paraId="1F13EC4A" w14:textId="77777777" w:rsidR="00891F5D" w:rsidRPr="00891F5D" w:rsidRDefault="00891F5D" w:rsidP="00891F5D">
            <w:pPr>
              <w:autoSpaceDE w:val="0"/>
              <w:autoSpaceDN w:val="0"/>
              <w:adjustRightInd w:val="0"/>
              <w:spacing w:line="480" w:lineRule="auto"/>
              <w:jc w:val="both"/>
              <w:rPr>
                <w:rFonts w:ascii="Arial" w:hAnsi="Arial" w:cs="Arial"/>
              </w:rPr>
            </w:pPr>
          </w:p>
        </w:tc>
      </w:tr>
      <w:tr w:rsidR="00891F5D" w:rsidRPr="00891F5D" w14:paraId="1C8C1B31" w14:textId="77777777" w:rsidTr="001D4222">
        <w:tc>
          <w:tcPr>
            <w:tcW w:w="4508" w:type="dxa"/>
          </w:tcPr>
          <w:p w14:paraId="2AA108D6" w14:textId="77777777" w:rsidR="00891F5D" w:rsidRPr="00891F5D" w:rsidRDefault="00891F5D" w:rsidP="00891F5D">
            <w:pPr>
              <w:spacing w:line="480" w:lineRule="auto"/>
              <w:jc w:val="both"/>
              <w:rPr>
                <w:rFonts w:ascii="Arial" w:hAnsi="Arial" w:cs="Arial"/>
              </w:rPr>
            </w:pPr>
            <w:r w:rsidRPr="00891F5D">
              <w:rPr>
                <w:rFonts w:ascii="Arial" w:hAnsi="Arial" w:cs="Arial"/>
              </w:rPr>
              <w:t>Booking deferred revenues as earned revenues</w:t>
            </w:r>
          </w:p>
          <w:p w14:paraId="7EDCCAE3" w14:textId="77777777" w:rsidR="00891F5D" w:rsidRPr="00891F5D" w:rsidRDefault="00891F5D" w:rsidP="00891F5D">
            <w:pPr>
              <w:spacing w:line="480" w:lineRule="auto"/>
              <w:jc w:val="both"/>
              <w:rPr>
                <w:rFonts w:ascii="Arial" w:hAnsi="Arial" w:cs="Arial"/>
              </w:rPr>
            </w:pPr>
          </w:p>
        </w:tc>
        <w:tc>
          <w:tcPr>
            <w:tcW w:w="4508" w:type="dxa"/>
          </w:tcPr>
          <w:p w14:paraId="77605BCD"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Sterling (2002), AICPA</w:t>
            </w:r>
          </w:p>
          <w:p w14:paraId="46AEB2B2"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(2007), Coenen (2008, 2009)</w:t>
            </w:r>
          </w:p>
          <w:p w14:paraId="370A2DCE" w14:textId="77777777" w:rsidR="00891F5D" w:rsidRPr="00891F5D" w:rsidRDefault="00891F5D" w:rsidP="00891F5D">
            <w:pPr>
              <w:autoSpaceDE w:val="0"/>
              <w:autoSpaceDN w:val="0"/>
              <w:adjustRightInd w:val="0"/>
              <w:spacing w:line="480" w:lineRule="auto"/>
              <w:jc w:val="both"/>
              <w:rPr>
                <w:rFonts w:ascii="Arial" w:hAnsi="Arial" w:cs="Arial"/>
              </w:rPr>
            </w:pPr>
          </w:p>
        </w:tc>
      </w:tr>
      <w:tr w:rsidR="00891F5D" w:rsidRPr="00891F5D" w14:paraId="4C500FA5" w14:textId="77777777" w:rsidTr="001D4222">
        <w:tc>
          <w:tcPr>
            <w:tcW w:w="4508" w:type="dxa"/>
          </w:tcPr>
          <w:p w14:paraId="45FBFB18" w14:textId="77777777" w:rsidR="00891F5D" w:rsidRPr="00891F5D" w:rsidRDefault="00891F5D" w:rsidP="00891F5D">
            <w:pPr>
              <w:spacing w:line="480" w:lineRule="auto"/>
              <w:jc w:val="both"/>
              <w:rPr>
                <w:rFonts w:ascii="Arial" w:hAnsi="Arial" w:cs="Arial"/>
              </w:rPr>
            </w:pPr>
            <w:r w:rsidRPr="00891F5D">
              <w:rPr>
                <w:rFonts w:ascii="Arial" w:hAnsi="Arial" w:cs="Arial"/>
              </w:rPr>
              <w:t>Failure to record repurchase agreements or commitments</w:t>
            </w:r>
          </w:p>
          <w:p w14:paraId="6EDCAED1" w14:textId="77777777" w:rsidR="00891F5D" w:rsidRPr="00891F5D" w:rsidRDefault="00891F5D" w:rsidP="00891F5D">
            <w:pPr>
              <w:spacing w:line="480" w:lineRule="auto"/>
              <w:jc w:val="both"/>
              <w:rPr>
                <w:rFonts w:ascii="Arial" w:hAnsi="Arial" w:cs="Arial"/>
              </w:rPr>
            </w:pPr>
          </w:p>
        </w:tc>
        <w:tc>
          <w:tcPr>
            <w:tcW w:w="4508" w:type="dxa"/>
          </w:tcPr>
          <w:p w14:paraId="232B85BC"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Sterling (2002), AICPA</w:t>
            </w:r>
          </w:p>
          <w:p w14:paraId="57B62FDF"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(2007), Coenen (2008, 2009)</w:t>
            </w:r>
          </w:p>
          <w:p w14:paraId="03576F28" w14:textId="77777777" w:rsidR="00891F5D" w:rsidRPr="00891F5D" w:rsidRDefault="00891F5D" w:rsidP="00891F5D">
            <w:pPr>
              <w:spacing w:line="480" w:lineRule="auto"/>
              <w:jc w:val="both"/>
              <w:rPr>
                <w:rFonts w:ascii="Arial" w:hAnsi="Arial" w:cs="Arial"/>
              </w:rPr>
            </w:pPr>
          </w:p>
        </w:tc>
      </w:tr>
      <w:tr w:rsidR="00891F5D" w:rsidRPr="00891F5D" w14:paraId="1B41BB60" w14:textId="77777777" w:rsidTr="001D4222">
        <w:tc>
          <w:tcPr>
            <w:tcW w:w="4508" w:type="dxa"/>
          </w:tcPr>
          <w:p w14:paraId="36751D09" w14:textId="77777777" w:rsidR="00891F5D" w:rsidRPr="00891F5D" w:rsidRDefault="00891F5D" w:rsidP="00891F5D">
            <w:pPr>
              <w:spacing w:line="480" w:lineRule="auto"/>
              <w:jc w:val="both"/>
              <w:rPr>
                <w:rFonts w:ascii="Arial" w:hAnsi="Arial" w:cs="Arial"/>
              </w:rPr>
            </w:pPr>
            <w:r w:rsidRPr="00891F5D">
              <w:rPr>
                <w:rFonts w:ascii="Arial" w:hAnsi="Arial" w:cs="Arial"/>
              </w:rPr>
              <w:t xml:space="preserve">Minimising and recording low contingent liabilities </w:t>
            </w:r>
          </w:p>
          <w:p w14:paraId="45E7B1EB" w14:textId="77777777" w:rsidR="00891F5D" w:rsidRPr="00891F5D" w:rsidRDefault="00891F5D" w:rsidP="00891F5D">
            <w:pPr>
              <w:spacing w:line="480" w:lineRule="auto"/>
              <w:jc w:val="both"/>
              <w:rPr>
                <w:rFonts w:ascii="Arial" w:hAnsi="Arial" w:cs="Arial"/>
              </w:rPr>
            </w:pPr>
          </w:p>
        </w:tc>
        <w:tc>
          <w:tcPr>
            <w:tcW w:w="4508" w:type="dxa"/>
          </w:tcPr>
          <w:p w14:paraId="64A1616E"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Sterling (2002), AICPA</w:t>
            </w:r>
          </w:p>
          <w:p w14:paraId="1E23A9BB"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(2007), Coenen (2008, 2009)</w:t>
            </w:r>
          </w:p>
          <w:p w14:paraId="59332C92" w14:textId="77777777" w:rsidR="00891F5D" w:rsidRPr="00891F5D" w:rsidRDefault="00891F5D" w:rsidP="00891F5D">
            <w:pPr>
              <w:spacing w:line="480" w:lineRule="auto"/>
              <w:jc w:val="both"/>
              <w:rPr>
                <w:rFonts w:ascii="Arial" w:hAnsi="Arial" w:cs="Arial"/>
              </w:rPr>
            </w:pPr>
          </w:p>
        </w:tc>
      </w:tr>
      <w:tr w:rsidR="00891F5D" w:rsidRPr="00891F5D" w14:paraId="6196BD7C" w14:textId="77777777" w:rsidTr="001D4222">
        <w:tc>
          <w:tcPr>
            <w:tcW w:w="4508" w:type="dxa"/>
          </w:tcPr>
          <w:p w14:paraId="43BE1FA7"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lastRenderedPageBreak/>
              <w:t xml:space="preserve">Misclassifying long-term liabilities as current liabilities and vice versa resulting in superior ratios. </w:t>
            </w:r>
          </w:p>
          <w:p w14:paraId="6FD111F9" w14:textId="77777777" w:rsidR="00891F5D" w:rsidRPr="00891F5D" w:rsidRDefault="00891F5D" w:rsidP="00891F5D">
            <w:pPr>
              <w:autoSpaceDE w:val="0"/>
              <w:autoSpaceDN w:val="0"/>
              <w:adjustRightInd w:val="0"/>
              <w:spacing w:line="480" w:lineRule="auto"/>
              <w:jc w:val="both"/>
              <w:rPr>
                <w:rFonts w:ascii="Arial" w:hAnsi="Arial" w:cs="Arial"/>
              </w:rPr>
            </w:pPr>
          </w:p>
        </w:tc>
        <w:tc>
          <w:tcPr>
            <w:tcW w:w="4508" w:type="dxa"/>
          </w:tcPr>
          <w:p w14:paraId="42AB6229"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Sterling (2002), AICPA</w:t>
            </w:r>
          </w:p>
          <w:p w14:paraId="43E19D87"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(2007), Coenen (2008, 2009)</w:t>
            </w:r>
          </w:p>
          <w:p w14:paraId="41652DB1" w14:textId="77777777" w:rsidR="00891F5D" w:rsidRPr="00891F5D" w:rsidRDefault="00891F5D" w:rsidP="00891F5D">
            <w:pPr>
              <w:spacing w:line="480" w:lineRule="auto"/>
              <w:jc w:val="both"/>
              <w:rPr>
                <w:rFonts w:ascii="Arial" w:hAnsi="Arial" w:cs="Arial"/>
              </w:rPr>
            </w:pPr>
          </w:p>
        </w:tc>
      </w:tr>
      <w:tr w:rsidR="00891F5D" w:rsidRPr="00891F5D" w14:paraId="35C55DCC" w14:textId="77777777" w:rsidTr="001D4222">
        <w:tc>
          <w:tcPr>
            <w:tcW w:w="4508" w:type="dxa"/>
          </w:tcPr>
          <w:p w14:paraId="6EF0243F"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Failure to record purchases</w:t>
            </w:r>
          </w:p>
        </w:tc>
        <w:tc>
          <w:tcPr>
            <w:tcW w:w="4508" w:type="dxa"/>
          </w:tcPr>
          <w:p w14:paraId="0DAB7BCD"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Sterling (2002), AICPA</w:t>
            </w:r>
          </w:p>
          <w:p w14:paraId="06B92524"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(2007), Coenen (2008, 2009)</w:t>
            </w:r>
          </w:p>
          <w:p w14:paraId="07D29C5D" w14:textId="77777777" w:rsidR="00891F5D" w:rsidRPr="00891F5D" w:rsidRDefault="00891F5D" w:rsidP="00891F5D">
            <w:pPr>
              <w:spacing w:line="480" w:lineRule="auto"/>
              <w:jc w:val="both"/>
              <w:rPr>
                <w:rFonts w:ascii="Arial" w:hAnsi="Arial" w:cs="Arial"/>
              </w:rPr>
            </w:pPr>
          </w:p>
        </w:tc>
      </w:tr>
      <w:tr w:rsidR="00891F5D" w:rsidRPr="00891F5D" w14:paraId="17532F6C" w14:textId="77777777" w:rsidTr="001D4222">
        <w:tc>
          <w:tcPr>
            <w:tcW w:w="4508" w:type="dxa"/>
          </w:tcPr>
          <w:p w14:paraId="6FAC35EB"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Exaggerating purchase returns and discounts</w:t>
            </w:r>
          </w:p>
          <w:p w14:paraId="3C9D7E45" w14:textId="77777777" w:rsidR="00891F5D" w:rsidRPr="00891F5D" w:rsidRDefault="00891F5D" w:rsidP="00891F5D">
            <w:pPr>
              <w:spacing w:line="480" w:lineRule="auto"/>
              <w:jc w:val="both"/>
              <w:rPr>
                <w:rFonts w:ascii="Arial" w:hAnsi="Arial" w:cs="Arial"/>
              </w:rPr>
            </w:pPr>
          </w:p>
        </w:tc>
        <w:tc>
          <w:tcPr>
            <w:tcW w:w="4508" w:type="dxa"/>
          </w:tcPr>
          <w:p w14:paraId="0101E753"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Wells (2005), Sterling (2002), AICPA</w:t>
            </w:r>
          </w:p>
          <w:p w14:paraId="41140EDA" w14:textId="77777777" w:rsidR="00891F5D" w:rsidRPr="00891F5D" w:rsidRDefault="00891F5D" w:rsidP="00891F5D">
            <w:pPr>
              <w:autoSpaceDE w:val="0"/>
              <w:autoSpaceDN w:val="0"/>
              <w:adjustRightInd w:val="0"/>
              <w:spacing w:line="480" w:lineRule="auto"/>
              <w:jc w:val="both"/>
              <w:rPr>
                <w:rFonts w:ascii="Arial" w:hAnsi="Arial" w:cs="Arial"/>
              </w:rPr>
            </w:pPr>
            <w:r w:rsidRPr="00891F5D">
              <w:rPr>
                <w:rFonts w:ascii="Arial" w:hAnsi="Arial" w:cs="Arial"/>
              </w:rPr>
              <w:t>(2007), Coenen (2008, 2009)</w:t>
            </w:r>
          </w:p>
          <w:p w14:paraId="398AA7C6" w14:textId="77777777" w:rsidR="00891F5D" w:rsidRPr="00891F5D" w:rsidRDefault="00891F5D" w:rsidP="00891F5D">
            <w:pPr>
              <w:spacing w:line="480" w:lineRule="auto"/>
              <w:jc w:val="both"/>
              <w:rPr>
                <w:rFonts w:ascii="Arial" w:hAnsi="Arial" w:cs="Arial"/>
              </w:rPr>
            </w:pPr>
          </w:p>
        </w:tc>
      </w:tr>
    </w:tbl>
    <w:p w14:paraId="6BE80213" w14:textId="77777777" w:rsidR="00C03DE8" w:rsidRPr="00891F5D" w:rsidRDefault="00C03DE8" w:rsidP="00891F5D">
      <w:pPr>
        <w:spacing w:line="480" w:lineRule="auto"/>
        <w:jc w:val="both"/>
        <w:rPr>
          <w:rFonts w:ascii="Arial" w:eastAsiaTheme="minorHAnsi" w:hAnsi="Arial" w:cs="Arial"/>
          <w:kern w:val="0"/>
          <w:lang w:eastAsia="en-US"/>
          <w14:ligatures w14:val="none"/>
        </w:rPr>
      </w:pPr>
    </w:p>
    <w:bookmarkStart w:id="392" w:name="D21"/>
    <w:p w14:paraId="0C2ED685" w14:textId="614ED5D6" w:rsidR="00891F5D" w:rsidRPr="00891F5D" w:rsidRDefault="00CA4EDB" w:rsidP="0009597C">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both"/>
        <w:rPr>
          <w:rFonts w:ascii="Arial" w:eastAsiaTheme="minorHAnsi" w:hAnsi="Arial" w:cs="Arial"/>
          <w:b/>
          <w:bCs/>
          <w:iCs/>
          <w:kern w:val="0"/>
          <w:lang w:val="en-US" w:eastAsia="en-US"/>
          <w14:ligatures w14:val="none"/>
        </w:rPr>
      </w:pPr>
      <w:r>
        <w:rPr>
          <w:rFonts w:ascii="Arial" w:eastAsiaTheme="minorHAnsi" w:hAnsi="Arial" w:cs="Arial"/>
          <w:b/>
          <w:bCs/>
          <w:iCs/>
          <w:kern w:val="0"/>
          <w:lang w:val="en-US" w:eastAsia="en-US"/>
          <w14:ligatures w14:val="none"/>
        </w:rPr>
        <w:fldChar w:fldCharType="begin"/>
      </w:r>
      <w:r>
        <w:rPr>
          <w:rFonts w:ascii="Arial" w:eastAsiaTheme="minorHAnsi" w:hAnsi="Arial" w:cs="Arial"/>
          <w:b/>
          <w:bCs/>
          <w:iCs/>
          <w:kern w:val="0"/>
          <w:lang w:val="en-US" w:eastAsia="en-US"/>
          <w14:ligatures w14:val="none"/>
        </w:rPr>
        <w:instrText>HYPERLINK  \l "C21"</w:instrText>
      </w:r>
      <w:r>
        <w:rPr>
          <w:rFonts w:ascii="Arial" w:eastAsiaTheme="minorHAnsi" w:hAnsi="Arial" w:cs="Arial"/>
          <w:b/>
          <w:bCs/>
          <w:iCs/>
          <w:kern w:val="0"/>
          <w:lang w:val="en-US" w:eastAsia="en-US"/>
          <w14:ligatures w14:val="none"/>
        </w:rPr>
      </w:r>
      <w:r>
        <w:rPr>
          <w:rFonts w:ascii="Arial" w:eastAsiaTheme="minorHAnsi" w:hAnsi="Arial" w:cs="Arial"/>
          <w:b/>
          <w:bCs/>
          <w:iCs/>
          <w:kern w:val="0"/>
          <w:lang w:val="en-US" w:eastAsia="en-US"/>
          <w14:ligatures w14:val="none"/>
        </w:rPr>
        <w:fldChar w:fldCharType="separate"/>
      </w:r>
      <w:r w:rsidR="00891F5D" w:rsidRPr="00CA4EDB">
        <w:rPr>
          <w:rStyle w:val="Hyperlink"/>
          <w:rFonts w:ascii="Arial" w:eastAsiaTheme="minorHAnsi" w:hAnsi="Arial" w:cs="Arial"/>
          <w:b/>
          <w:bCs/>
          <w:iCs/>
          <w:kern w:val="0"/>
          <w:lang w:val="en-US" w:eastAsia="en-US"/>
          <w14:ligatures w14:val="none"/>
        </w:rPr>
        <w:t>2.2.1.4 Inappropriate Disclosure</w:t>
      </w:r>
      <w:r>
        <w:rPr>
          <w:rFonts w:ascii="Arial" w:eastAsiaTheme="minorHAnsi" w:hAnsi="Arial" w:cs="Arial"/>
          <w:b/>
          <w:bCs/>
          <w:iCs/>
          <w:kern w:val="0"/>
          <w:lang w:val="en-US" w:eastAsia="en-US"/>
          <w14:ligatures w14:val="none"/>
        </w:rPr>
        <w:fldChar w:fldCharType="end"/>
      </w:r>
    </w:p>
    <w:p w14:paraId="7BE873DF" w14:textId="77777777" w:rsidR="00891F5D" w:rsidRPr="00891F5D" w:rsidRDefault="00891F5D" w:rsidP="0009597C">
      <w:pPr>
        <w:spacing w:line="240" w:lineRule="auto"/>
        <w:rPr>
          <w:sz w:val="22"/>
          <w:szCs w:val="22"/>
          <w:lang w:val="en-US" w:eastAsia="en-US"/>
        </w:rPr>
      </w:pPr>
      <w:bookmarkStart w:id="393" w:name="100"/>
      <w:bookmarkEnd w:id="392"/>
    </w:p>
    <w:p w14:paraId="1FB21DC3"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Most Accounting Fraud is related to the deliberate misstatement or omission of figures rather than disclosures. On the other hand, Wells (2005) suggests that improper disclosure normally occurs in the following manner: liability omissions, subsequent events, related party transaction and accounting changes. Coenen (2009) lists the following examples of falsifications or nondisclosures:</w:t>
      </w:r>
    </w:p>
    <w:p w14:paraId="0F2C7D1D" w14:textId="77777777" w:rsidR="00891F5D" w:rsidRPr="00891F5D" w:rsidRDefault="00891F5D" w:rsidP="00891F5D">
      <w:pPr>
        <w:numPr>
          <w:ilvl w:val="0"/>
          <w:numId w:val="2"/>
        </w:numPr>
        <w:autoSpaceDE w:val="0"/>
        <w:autoSpaceDN w:val="0"/>
        <w:adjustRightInd w:val="0"/>
        <w:spacing w:after="0" w:line="480" w:lineRule="auto"/>
        <w:contextualSpacing/>
        <w:jc w:val="both"/>
        <w:rPr>
          <w:rFonts w:ascii="Arial" w:eastAsiaTheme="minorHAnsi" w:hAnsi="Arial" w:cs="Arial"/>
          <w:kern w:val="0"/>
          <w:lang w:val="en-US" w:eastAsia="en-US"/>
          <w14:ligatures w14:val="none"/>
        </w:rPr>
      </w:pPr>
      <w:bookmarkStart w:id="394" w:name="101"/>
      <w:bookmarkEnd w:id="393"/>
      <w:r w:rsidRPr="00891F5D">
        <w:rPr>
          <w:rFonts w:ascii="Arial" w:eastAsiaTheme="minorHAnsi" w:hAnsi="Arial" w:cs="Arial"/>
          <w:kern w:val="0"/>
          <w:lang w:val="en-US" w:eastAsia="en-US"/>
          <w14:ligatures w14:val="none"/>
        </w:rPr>
        <w:t>Changes in estimates or between prior period accounting rules, resulting in the noncomparability of prior periods</w:t>
      </w:r>
      <w:bookmarkStart w:id="395" w:name="102"/>
      <w:bookmarkEnd w:id="394"/>
    </w:p>
    <w:p w14:paraId="38C868A6" w14:textId="77777777" w:rsidR="00891F5D" w:rsidRPr="00891F5D" w:rsidRDefault="00891F5D" w:rsidP="00891F5D">
      <w:pPr>
        <w:numPr>
          <w:ilvl w:val="0"/>
          <w:numId w:val="2"/>
        </w:numPr>
        <w:autoSpaceDE w:val="0"/>
        <w:autoSpaceDN w:val="0"/>
        <w:adjustRightInd w:val="0"/>
        <w:spacing w:after="0" w:line="480" w:lineRule="auto"/>
        <w:contextualSpacing/>
        <w:jc w:val="both"/>
        <w:rPr>
          <w:rFonts w:ascii="Arial" w:eastAsia="TimesNewRomanPSMT" w:hAnsi="Arial" w:cs="Arial"/>
          <w:kern w:val="0"/>
          <w:lang w:val="en-US" w:eastAsia="en-US"/>
          <w14:ligatures w14:val="none"/>
        </w:rPr>
      </w:pPr>
      <w:r w:rsidRPr="00891F5D">
        <w:rPr>
          <w:rFonts w:ascii="Arial" w:eastAsia="TimesNewRomanPSMT" w:hAnsi="Arial" w:cs="Arial"/>
          <w:kern w:val="0"/>
          <w:lang w:val="en-US" w:eastAsia="en-US"/>
          <w14:ligatures w14:val="none"/>
        </w:rPr>
        <w:t xml:space="preserve">Presence of related party transactions or agreements that may not have been negotiated at arm’s </w:t>
      </w:r>
      <w:r w:rsidRPr="00891F5D">
        <w:rPr>
          <w:rFonts w:ascii="Arial" w:eastAsiaTheme="minorHAnsi" w:hAnsi="Arial" w:cs="Arial"/>
          <w:kern w:val="0"/>
          <w:lang w:val="en-US" w:eastAsia="en-US"/>
          <w14:ligatures w14:val="none"/>
        </w:rPr>
        <w:t>length</w:t>
      </w:r>
    </w:p>
    <w:p w14:paraId="7B637B19" w14:textId="77777777" w:rsidR="00891F5D" w:rsidRPr="00891F5D" w:rsidRDefault="00891F5D" w:rsidP="00891F5D">
      <w:pPr>
        <w:numPr>
          <w:ilvl w:val="0"/>
          <w:numId w:val="2"/>
        </w:numPr>
        <w:autoSpaceDE w:val="0"/>
        <w:autoSpaceDN w:val="0"/>
        <w:adjustRightInd w:val="0"/>
        <w:spacing w:after="0" w:line="480" w:lineRule="auto"/>
        <w:contextualSpacing/>
        <w:jc w:val="both"/>
        <w:rPr>
          <w:rFonts w:ascii="Arial" w:eastAsiaTheme="minorHAnsi" w:hAnsi="Arial" w:cs="Arial"/>
          <w:kern w:val="0"/>
          <w:lang w:val="en-US" w:eastAsia="en-US"/>
          <w14:ligatures w14:val="none"/>
        </w:rPr>
      </w:pPr>
      <w:bookmarkStart w:id="396" w:name="103"/>
      <w:bookmarkEnd w:id="395"/>
      <w:r w:rsidRPr="00891F5D">
        <w:rPr>
          <w:rFonts w:ascii="Arial" w:eastAsiaTheme="minorHAnsi" w:hAnsi="Arial" w:cs="Arial"/>
          <w:kern w:val="0"/>
          <w:lang w:val="en-US" w:eastAsia="en-US"/>
          <w14:ligatures w14:val="none"/>
        </w:rPr>
        <w:t>Significant incidents occurring after the close of an accounting period that may result in a substantial impact on the judgments of financial statement users</w:t>
      </w:r>
    </w:p>
    <w:p w14:paraId="32766345" w14:textId="77777777" w:rsidR="00891F5D" w:rsidRPr="00891F5D" w:rsidRDefault="00891F5D" w:rsidP="00891F5D">
      <w:pPr>
        <w:numPr>
          <w:ilvl w:val="0"/>
          <w:numId w:val="2"/>
        </w:numPr>
        <w:autoSpaceDE w:val="0"/>
        <w:autoSpaceDN w:val="0"/>
        <w:adjustRightInd w:val="0"/>
        <w:spacing w:after="0" w:line="480" w:lineRule="auto"/>
        <w:contextualSpacing/>
        <w:jc w:val="both"/>
        <w:rPr>
          <w:rFonts w:ascii="Arial" w:eastAsiaTheme="minorHAnsi" w:hAnsi="Arial" w:cs="Arial"/>
          <w:kern w:val="0"/>
          <w:lang w:val="en-US" w:eastAsia="en-US"/>
          <w14:ligatures w14:val="none"/>
        </w:rPr>
      </w:pPr>
      <w:bookmarkStart w:id="397" w:name="104"/>
      <w:bookmarkEnd w:id="396"/>
      <w:r w:rsidRPr="00891F5D">
        <w:rPr>
          <w:rFonts w:ascii="Arial" w:eastAsiaTheme="minorHAnsi" w:hAnsi="Arial" w:cs="Arial"/>
          <w:kern w:val="0"/>
          <w:lang w:val="en-US" w:eastAsia="en-US"/>
          <w14:ligatures w14:val="none"/>
        </w:rPr>
        <w:t>Undecided litigation or government scrutiny</w:t>
      </w:r>
    </w:p>
    <w:p w14:paraId="02CB2B35" w14:textId="77777777" w:rsidR="00891F5D" w:rsidRPr="00891F5D" w:rsidRDefault="00891F5D" w:rsidP="00891F5D">
      <w:pPr>
        <w:numPr>
          <w:ilvl w:val="0"/>
          <w:numId w:val="2"/>
        </w:numPr>
        <w:autoSpaceDE w:val="0"/>
        <w:autoSpaceDN w:val="0"/>
        <w:adjustRightInd w:val="0"/>
        <w:spacing w:after="0" w:line="480" w:lineRule="auto"/>
        <w:contextualSpacing/>
        <w:jc w:val="both"/>
        <w:rPr>
          <w:rFonts w:ascii="Arial" w:eastAsiaTheme="minorHAnsi" w:hAnsi="Arial" w:cs="Arial"/>
          <w:kern w:val="0"/>
          <w:lang w:val="en-US" w:eastAsia="en-US"/>
          <w14:ligatures w14:val="none"/>
        </w:rPr>
      </w:pPr>
      <w:bookmarkStart w:id="398" w:name="105"/>
      <w:bookmarkEnd w:id="397"/>
      <w:r w:rsidRPr="00891F5D">
        <w:rPr>
          <w:rFonts w:ascii="Arial" w:eastAsiaTheme="minorHAnsi" w:hAnsi="Arial" w:cs="Arial"/>
          <w:kern w:val="0"/>
          <w:lang w:val="en-US" w:eastAsia="en-US"/>
          <w14:ligatures w14:val="none"/>
        </w:rPr>
        <w:t>Probable product liability or major warranty concerns</w:t>
      </w:r>
    </w:p>
    <w:p w14:paraId="47453B43" w14:textId="77777777" w:rsidR="00891F5D" w:rsidRPr="00891F5D" w:rsidRDefault="00891F5D" w:rsidP="00891F5D">
      <w:pPr>
        <w:numPr>
          <w:ilvl w:val="0"/>
          <w:numId w:val="2"/>
        </w:numPr>
        <w:autoSpaceDE w:val="0"/>
        <w:autoSpaceDN w:val="0"/>
        <w:adjustRightInd w:val="0"/>
        <w:spacing w:after="0" w:line="480" w:lineRule="auto"/>
        <w:contextualSpacing/>
        <w:jc w:val="both"/>
        <w:rPr>
          <w:rFonts w:ascii="Arial" w:eastAsiaTheme="minorHAnsi" w:hAnsi="Arial" w:cs="Arial"/>
          <w:kern w:val="0"/>
          <w:lang w:val="en-US" w:eastAsia="en-US"/>
          <w14:ligatures w14:val="none"/>
        </w:rPr>
      </w:pPr>
      <w:bookmarkStart w:id="399" w:name="106"/>
      <w:bookmarkEnd w:id="398"/>
      <w:r w:rsidRPr="00891F5D">
        <w:rPr>
          <w:rFonts w:ascii="Arial" w:eastAsiaTheme="minorHAnsi" w:hAnsi="Arial" w:cs="Arial"/>
          <w:kern w:val="0"/>
          <w:lang w:val="en-US" w:eastAsia="en-US"/>
          <w14:ligatures w14:val="none"/>
        </w:rPr>
        <w:lastRenderedPageBreak/>
        <w:t>Major environmental changes causing a downturn in demand for products or services</w:t>
      </w:r>
      <w:bookmarkStart w:id="400" w:name="107"/>
      <w:bookmarkEnd w:id="399"/>
    </w:p>
    <w:p w14:paraId="45FF5D39" w14:textId="77777777" w:rsidR="00891F5D" w:rsidRPr="00891F5D" w:rsidRDefault="00891F5D" w:rsidP="00891F5D">
      <w:pPr>
        <w:numPr>
          <w:ilvl w:val="0"/>
          <w:numId w:val="2"/>
        </w:numPr>
        <w:autoSpaceDE w:val="0"/>
        <w:autoSpaceDN w:val="0"/>
        <w:adjustRightInd w:val="0"/>
        <w:spacing w:after="0"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Reliance on outdated technology when the company has historically used cutting-edge technology that underpinned growing revenues</w:t>
      </w:r>
      <w:bookmarkEnd w:id="400"/>
    </w:p>
    <w:p w14:paraId="70A8230E" w14:textId="77777777" w:rsidR="00891F5D" w:rsidRPr="00891F5D" w:rsidRDefault="00891F5D" w:rsidP="00891F5D">
      <w:pPr>
        <w:numPr>
          <w:ilvl w:val="0"/>
          <w:numId w:val="2"/>
        </w:numPr>
        <w:autoSpaceDE w:val="0"/>
        <w:autoSpaceDN w:val="0"/>
        <w:adjustRightInd w:val="0"/>
        <w:spacing w:after="0"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Significant decrease in the market value of investments held by the company.</w:t>
      </w:r>
    </w:p>
    <w:p w14:paraId="7D55B7A2" w14:textId="77777777" w:rsidR="00891F5D" w:rsidRPr="00891F5D" w:rsidRDefault="00891F5D" w:rsidP="00891F5D">
      <w:pPr>
        <w:autoSpaceDE w:val="0"/>
        <w:autoSpaceDN w:val="0"/>
        <w:adjustRightInd w:val="0"/>
        <w:spacing w:after="0" w:line="480" w:lineRule="auto"/>
        <w:ind w:left="720"/>
        <w:contextualSpacing/>
        <w:jc w:val="both"/>
        <w:rPr>
          <w:rFonts w:ascii="Arial" w:eastAsiaTheme="minorHAnsi" w:hAnsi="Arial" w:cs="Arial"/>
          <w:kern w:val="0"/>
          <w:lang w:val="en-US" w:eastAsia="en-US"/>
          <w14:ligatures w14:val="none"/>
        </w:rPr>
      </w:pPr>
    </w:p>
    <w:p w14:paraId="30EEEC79" w14:textId="35E197B5" w:rsidR="0009597C" w:rsidRDefault="00891F5D" w:rsidP="0009597C">
      <w:pPr>
        <w:autoSpaceDE w:val="0"/>
        <w:autoSpaceDN w:val="0"/>
        <w:adjustRightInd w:val="0"/>
        <w:spacing w:after="0" w:line="480" w:lineRule="auto"/>
        <w:contextualSpacing/>
        <w:jc w:val="both"/>
        <w:rPr>
          <w:rFonts w:ascii="Arial" w:hAnsi="Arial" w:cs="Arial"/>
          <w:lang w:val="en-US"/>
        </w:rPr>
      </w:pPr>
      <w:bookmarkStart w:id="401" w:name="20"/>
      <w:r w:rsidRPr="00891F5D">
        <w:rPr>
          <w:rFonts w:ascii="Arial" w:hAnsi="Arial" w:cs="Arial"/>
          <w:lang w:val="en-US"/>
        </w:rPr>
        <w:t>The spectacular rise of corporate accounting scandals at the start of the 21st century has exacerbated the phenomenon of</w:t>
      </w:r>
      <w:r w:rsidRPr="00891F5D">
        <w:rPr>
          <w:sz w:val="22"/>
          <w:szCs w:val="22"/>
        </w:rPr>
        <w:t xml:space="preserve"> </w:t>
      </w:r>
      <w:r w:rsidRPr="00891F5D">
        <w:rPr>
          <w:rFonts w:ascii="Arial" w:hAnsi="Arial" w:cs="Arial"/>
          <w:lang w:val="en-US"/>
        </w:rPr>
        <w:t>Accounting Fraud that causes corporate bankruptcy, unnecessary market corrections, and socioeconomic malaise. The following examples are some the most notorious international instances of Accounting Fraud scandals that highlight the unintended consequences of unethical behavior.</w:t>
      </w:r>
      <w:bookmarkEnd w:id="401"/>
      <w:r w:rsidRPr="00891F5D">
        <w:rPr>
          <w:rFonts w:ascii="Arial" w:hAnsi="Arial" w:cs="Arial"/>
          <w:lang w:val="en-US"/>
        </w:rPr>
        <w:t xml:space="preserve"> Nigrini (2020) argues that the victims of Accounting Fraud will only find out about their losses when someone else discovers the scheme. </w:t>
      </w:r>
    </w:p>
    <w:p w14:paraId="2F8A9E63" w14:textId="77777777" w:rsidR="002B3F52" w:rsidRPr="00891F5D" w:rsidRDefault="002B3F52" w:rsidP="0009597C">
      <w:pPr>
        <w:autoSpaceDE w:val="0"/>
        <w:autoSpaceDN w:val="0"/>
        <w:adjustRightInd w:val="0"/>
        <w:spacing w:after="0" w:line="480" w:lineRule="auto"/>
        <w:contextualSpacing/>
        <w:jc w:val="both"/>
        <w:rPr>
          <w:rFonts w:ascii="Arial" w:hAnsi="Arial" w:cs="Arial"/>
          <w:lang w:val="en-US"/>
        </w:rPr>
      </w:pPr>
    </w:p>
    <w:bookmarkStart w:id="402" w:name="D22"/>
    <w:p w14:paraId="180EBDFD" w14:textId="0280D88B" w:rsidR="00891F5D" w:rsidRPr="00891F5D" w:rsidRDefault="006E5436" w:rsidP="0009597C">
      <w:pPr>
        <w:pBdr>
          <w:top w:val="single" w:sz="4" w:space="1" w:color="auto"/>
          <w:left w:val="single" w:sz="4" w:space="4" w:color="auto"/>
          <w:bottom w:val="single" w:sz="4" w:space="1" w:color="auto"/>
          <w:right w:val="single" w:sz="4" w:space="4" w:color="auto"/>
        </w:pBdr>
        <w:spacing w:after="200" w:line="24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"C22"</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6E5436">
        <w:rPr>
          <w:rStyle w:val="Hyperlink"/>
          <w:rFonts w:ascii="Arial" w:eastAsiaTheme="minorHAnsi" w:hAnsi="Arial" w:cs="Arial"/>
          <w:b/>
          <w:bCs/>
          <w:kern w:val="0"/>
          <w:lang w:val="en-US" w:eastAsia="en-US"/>
          <w14:ligatures w14:val="none"/>
        </w:rPr>
        <w:t>2.3 Accounting Scandals</w:t>
      </w:r>
      <w:r>
        <w:rPr>
          <w:rFonts w:ascii="Arial" w:eastAsiaTheme="minorHAnsi" w:hAnsi="Arial" w:cs="Arial"/>
          <w:b/>
          <w:bCs/>
          <w:kern w:val="0"/>
          <w:lang w:val="en-US" w:eastAsia="en-US"/>
          <w14:ligatures w14:val="none"/>
        </w:rPr>
        <w:fldChar w:fldCharType="end"/>
      </w:r>
    </w:p>
    <w:bookmarkEnd w:id="402"/>
    <w:p w14:paraId="4C32243C" w14:textId="0E9C2E68" w:rsidR="00891F5D" w:rsidRDefault="00891F5D" w:rsidP="0009597C">
      <w:pPr>
        <w:autoSpaceDE w:val="0"/>
        <w:autoSpaceDN w:val="0"/>
        <w:adjustRightInd w:val="0"/>
        <w:spacing w:after="0" w:line="480" w:lineRule="auto"/>
        <w:contextualSpacing/>
        <w:jc w:val="both"/>
        <w:rPr>
          <w:rFonts w:ascii="Arial" w:eastAsiaTheme="minorHAnsi" w:hAnsi="Arial" w:cs="Arial"/>
          <w:b/>
          <w:bCs/>
          <w:i/>
          <w:iCs/>
          <w:kern w:val="0"/>
          <w:lang w:val="en-US" w:eastAsia="en-US"/>
          <w14:ligatures w14:val="none"/>
        </w:rPr>
      </w:pPr>
      <w:r w:rsidRPr="00891F5D">
        <w:rPr>
          <w:rFonts w:ascii="Arial" w:hAnsi="Arial" w:cs="Arial"/>
          <w:lang w:val="en-US"/>
        </w:rPr>
        <w:t xml:space="preserve">The </w:t>
      </w:r>
      <w:r w:rsidR="007951D3">
        <w:rPr>
          <w:rFonts w:ascii="Arial" w:eastAsiaTheme="minorHAnsi" w:hAnsi="Arial" w:cs="Arial"/>
          <w:kern w:val="0"/>
          <w:lang w:eastAsia="en-US"/>
          <w14:ligatures w14:val="none"/>
        </w:rPr>
        <w:t>researcher</w:t>
      </w:r>
      <w:r w:rsidRPr="00891F5D">
        <w:rPr>
          <w:rFonts w:ascii="Arial" w:hAnsi="Arial" w:cs="Arial"/>
          <w:lang w:val="en-US"/>
        </w:rPr>
        <w:t xml:space="preserve"> will now outline some of the most notorious billion-dollar Accounting Frauds / scandals that were discovered usually too late with massive repercussions for global capital markets. As stated earlier these </w:t>
      </w:r>
      <w:r w:rsidRPr="00891F5D">
        <w:rPr>
          <w:rFonts w:ascii="Arial" w:eastAsiaTheme="minorHAnsi" w:hAnsi="Arial" w:cs="Arial"/>
          <w:b/>
          <w:bCs/>
          <w:i/>
          <w:iCs/>
          <w:kern w:val="0"/>
          <w:lang w:val="en-US" w:eastAsia="en-US"/>
          <w14:ligatures w14:val="none"/>
        </w:rPr>
        <w:t xml:space="preserve">Accounting Frauds </w:t>
      </w:r>
      <w:r w:rsidR="00FE3B59" w:rsidRPr="00891F5D">
        <w:rPr>
          <w:rFonts w:ascii="Arial" w:eastAsiaTheme="minorHAnsi" w:hAnsi="Arial" w:cs="Arial"/>
          <w:b/>
          <w:bCs/>
          <w:i/>
          <w:iCs/>
          <w:kern w:val="0"/>
          <w:lang w:val="en-US" w:eastAsia="en-US"/>
          <w14:ligatures w14:val="none"/>
        </w:rPr>
        <w:t>center</w:t>
      </w:r>
      <w:r w:rsidRPr="00891F5D">
        <w:rPr>
          <w:rFonts w:ascii="Arial" w:eastAsiaTheme="minorHAnsi" w:hAnsi="Arial" w:cs="Arial"/>
          <w:b/>
          <w:bCs/>
          <w:i/>
          <w:iCs/>
          <w:kern w:val="0"/>
          <w:lang w:val="en-US" w:eastAsia="en-US"/>
          <w14:ligatures w14:val="none"/>
        </w:rPr>
        <w:t xml:space="preserve"> upon inappropriate revenue recognition, hidden liabilities and expenses, inappropriate asset valuation, and inappropriate disclosure.</w:t>
      </w:r>
    </w:p>
    <w:p w14:paraId="31187DCC" w14:textId="77777777" w:rsidR="00060B2E" w:rsidRPr="00891F5D" w:rsidRDefault="00060B2E" w:rsidP="0009597C">
      <w:pPr>
        <w:autoSpaceDE w:val="0"/>
        <w:autoSpaceDN w:val="0"/>
        <w:adjustRightInd w:val="0"/>
        <w:spacing w:after="0" w:line="480" w:lineRule="auto"/>
        <w:contextualSpacing/>
        <w:jc w:val="both"/>
        <w:rPr>
          <w:rFonts w:ascii="Arial" w:eastAsiaTheme="minorHAnsi" w:hAnsi="Arial" w:cs="Arial"/>
          <w:b/>
          <w:bCs/>
          <w:i/>
          <w:iCs/>
          <w:kern w:val="0"/>
          <w:lang w:val="en-US" w:eastAsia="en-US"/>
          <w14:ligatures w14:val="none"/>
        </w:rPr>
      </w:pPr>
    </w:p>
    <w:bookmarkStart w:id="403" w:name="_Hlk164615468"/>
    <w:bookmarkStart w:id="404" w:name="JJ"/>
    <w:bookmarkStart w:id="405" w:name="D23"/>
    <w:p w14:paraId="3AA4E9D7" w14:textId="494141F2" w:rsidR="00891F5D" w:rsidRPr="00891F5D" w:rsidRDefault="00D96999" w:rsidP="0009597C">
      <w:pPr>
        <w:pBdr>
          <w:top w:val="single" w:sz="4" w:space="1" w:color="auto"/>
          <w:left w:val="single" w:sz="4" w:space="4" w:color="auto"/>
          <w:bottom w:val="single" w:sz="4" w:space="1" w:color="auto"/>
          <w:right w:val="single" w:sz="4" w:space="4" w:color="auto"/>
        </w:pBdr>
        <w:spacing w:after="200" w:line="24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"C23"</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D96999">
        <w:rPr>
          <w:rStyle w:val="Hyperlink"/>
          <w:rFonts w:ascii="Arial" w:eastAsiaTheme="minorHAnsi" w:hAnsi="Arial" w:cs="Arial"/>
          <w:b/>
          <w:bCs/>
          <w:kern w:val="0"/>
          <w:lang w:val="en-US" w:eastAsia="en-US"/>
          <w14:ligatures w14:val="none"/>
        </w:rPr>
        <w:t>2.3.1 Enron, 2001</w:t>
      </w:r>
      <w:r>
        <w:rPr>
          <w:rFonts w:ascii="Arial" w:eastAsiaTheme="minorHAnsi" w:hAnsi="Arial" w:cs="Arial"/>
          <w:b/>
          <w:bCs/>
          <w:kern w:val="0"/>
          <w:lang w:val="en-US" w:eastAsia="en-US"/>
          <w14:ligatures w14:val="none"/>
        </w:rPr>
        <w:fldChar w:fldCharType="end"/>
      </w:r>
    </w:p>
    <w:p w14:paraId="63ABA0FD"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bookmarkStart w:id="406" w:name="22"/>
      <w:bookmarkEnd w:id="403"/>
      <w:bookmarkEnd w:id="404"/>
      <w:bookmarkEnd w:id="405"/>
      <w:r w:rsidRPr="00891F5D">
        <w:rPr>
          <w:rFonts w:ascii="Arial" w:eastAsiaTheme="minorHAnsi" w:hAnsi="Arial" w:cs="Arial"/>
          <w:kern w:val="0"/>
          <w:lang w:val="en-US" w:eastAsia="en-US"/>
          <w14:ligatures w14:val="none"/>
        </w:rPr>
        <w:t xml:space="preserve">Enron Corporation, founded in 1985, was a large energy company that was engaged in an enormous fraudulent scheme that climaxed in 2001 when the company suffered </w:t>
      </w:r>
      <w:r w:rsidRPr="00891F5D">
        <w:rPr>
          <w:rFonts w:ascii="Arial" w:eastAsiaTheme="minorHAnsi" w:hAnsi="Arial" w:cs="Arial"/>
          <w:kern w:val="0"/>
          <w:lang w:val="en-US" w:eastAsia="en-US"/>
          <w14:ligatures w14:val="none"/>
        </w:rPr>
        <w:lastRenderedPageBreak/>
        <w:t>the largest Chapter 11 bankruptcy in history (since exceeded by WorldCom during 2002 and Lehman Brothers during 2008).</w:t>
      </w:r>
    </w:p>
    <w:p w14:paraId="4A4BF97A"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bookmarkStart w:id="407" w:name="23"/>
      <w:bookmarkEnd w:id="406"/>
      <w:r w:rsidRPr="00891F5D">
        <w:rPr>
          <w:rFonts w:ascii="Arial" w:eastAsiaTheme="minorHAnsi" w:hAnsi="Arial" w:cs="Arial"/>
          <w:kern w:val="0"/>
          <w:lang w:val="en-US" w:eastAsia="en-US"/>
          <w14:ligatures w14:val="none"/>
        </w:rPr>
        <w:t>Enron was a darling of the stock market and had been considered a blue-chip stock investment, so this was an unparalleled event in the financial world. Enron’s passing occurred after the revelation that the bulk of its profits and revenue were the result of deals with special purpose entities. Thus, many of Enron’s debts and the losses that it suffered were not reported in its financial statements, i.e.,</w:t>
      </w:r>
      <w:r w:rsidRPr="00891F5D">
        <w:rPr>
          <w:rFonts w:eastAsiaTheme="minorHAnsi"/>
          <w:kern w:val="0"/>
          <w:sz w:val="22"/>
          <w:szCs w:val="22"/>
          <w:lang w:eastAsia="en-US"/>
          <w14:ligatures w14:val="none"/>
        </w:rPr>
        <w:t xml:space="preserve"> </w:t>
      </w:r>
      <w:r w:rsidRPr="00891F5D">
        <w:rPr>
          <w:rFonts w:ascii="Arial" w:eastAsiaTheme="minorHAnsi" w:hAnsi="Arial" w:cs="Arial"/>
          <w:kern w:val="0"/>
          <w:lang w:val="en-US" w:eastAsia="en-US"/>
          <w14:ligatures w14:val="none"/>
        </w:rPr>
        <w:t>Accounting Fraud. At the end of 2001, it was discovered that Enron’s financial statements were underpinned by institutionalized, systematic, and creatively planned Accounting Fraud.</w:t>
      </w:r>
      <w:bookmarkStart w:id="408" w:name="24"/>
      <w:bookmarkEnd w:id="407"/>
    </w:p>
    <w:p w14:paraId="5FAEA8EA"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The main actors in the debacle were Chairman Jen Kay, CEO Jeffrey Skilling, and CFO Andrew Fastow, who engaged in highly aggressive off-balance sheet finance that resulted in billions of dollars in long-term debt being kept off the records. Ultimately, the figures did not correlate, and the inevitable decrease in net income led to an estimated billion-dollar reduction in the equity of shareholders. As expected, investors reacted negatively, and quickly Enron’s stock price collapsed, from US$90.56 during the summer of 2000 to just pennies (January 11, 2002—$0.12), quickening the company’s bankruptcy. Enron’s shareholders lost nearly $74 billion, and 4,500 employees lost their jobs and pension funds without proper notice (Swartz, 2003)</w:t>
      </w:r>
    </w:p>
    <w:bookmarkEnd w:id="408"/>
    <w:p w14:paraId="4A9312EA"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Shilit and Perler (2016) argue that the fiasco could have been avoided if previous financial statements had been forensically examined. The remarkable revenue growth from $9.2 billion in 1995 to $100.8 billion in 2000 should have warned interested stakeholders that this was not underpinned by a similar increase in profitability.</w:t>
      </w:r>
    </w:p>
    <w:p w14:paraId="0B4AFF2D" w14:textId="60A3B949" w:rsidR="002B3F52" w:rsidRPr="00891F5D" w:rsidRDefault="00891F5D" w:rsidP="002B3F52">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lastRenderedPageBreak/>
        <w:t>The scandal highlighted aggressive accounting practices and activities of many corporations in the United States and was a major factor in the enactment of the Sarbanes–Oxley Act of 2002. The scandal also affected the wider business world by causing the closure of the renowned audit firm Arthur Andersen, which had been in business for nearly 100 years and was Enron’s principal auditor.</w:t>
      </w:r>
    </w:p>
    <w:bookmarkStart w:id="409" w:name="D24"/>
    <w:p w14:paraId="2B1F7775" w14:textId="0F0EB287" w:rsidR="00891F5D" w:rsidRPr="00891F5D" w:rsidRDefault="00D96999" w:rsidP="0009597C">
      <w:pPr>
        <w:pBdr>
          <w:top w:val="single" w:sz="4" w:space="1" w:color="auto"/>
          <w:left w:val="single" w:sz="4" w:space="4" w:color="auto"/>
          <w:bottom w:val="single" w:sz="4" w:space="1" w:color="auto"/>
          <w:right w:val="single" w:sz="4" w:space="4" w:color="auto"/>
        </w:pBdr>
        <w:spacing w:after="200" w:line="24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"C24"</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D96999">
        <w:rPr>
          <w:rStyle w:val="Hyperlink"/>
          <w:rFonts w:ascii="Arial" w:eastAsiaTheme="minorHAnsi" w:hAnsi="Arial" w:cs="Arial"/>
          <w:b/>
          <w:bCs/>
          <w:kern w:val="0"/>
          <w:lang w:val="en-US" w:eastAsia="en-US"/>
          <w14:ligatures w14:val="none"/>
        </w:rPr>
        <w:t>2.3.2 WorldCom, 2002</w:t>
      </w:r>
      <w:r>
        <w:rPr>
          <w:rFonts w:ascii="Arial" w:eastAsiaTheme="minorHAnsi" w:hAnsi="Arial" w:cs="Arial"/>
          <w:b/>
          <w:bCs/>
          <w:kern w:val="0"/>
          <w:lang w:val="en-US" w:eastAsia="en-US"/>
          <w14:ligatures w14:val="none"/>
        </w:rPr>
        <w:fldChar w:fldCharType="end"/>
      </w:r>
    </w:p>
    <w:bookmarkEnd w:id="409"/>
    <w:p w14:paraId="7136989F"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Less than a year after the financial earthquake caused by Enron, another scandal shook the markets in the telecommunication services supplier WorldCom, now known as MCI.</w:t>
      </w:r>
    </w:p>
    <w:p w14:paraId="5689F2C9" w14:textId="77777777" w:rsidR="00891F5D" w:rsidRPr="00891F5D" w:rsidRDefault="00891F5D" w:rsidP="00891F5D">
      <w:pPr>
        <w:shd w:val="clear" w:color="auto" w:fill="FFFFFF"/>
        <w:spacing w:before="120" w:after="120" w:line="480" w:lineRule="auto"/>
        <w:jc w:val="both"/>
        <w:rPr>
          <w:rFonts w:ascii="Arial" w:eastAsia="Times New Roman" w:hAnsi="Arial" w:cs="Arial"/>
          <w:kern w:val="0"/>
          <w:lang w:val="en-US" w:eastAsia="en-GB"/>
          <w14:ligatures w14:val="none"/>
        </w:rPr>
      </w:pPr>
      <w:bookmarkStart w:id="410" w:name="29"/>
      <w:r w:rsidRPr="00891F5D">
        <w:rPr>
          <w:rFonts w:ascii="Arial" w:eastAsia="Times New Roman" w:hAnsi="Arial" w:cs="Arial"/>
          <w:kern w:val="0"/>
          <w:lang w:val="en-US" w:eastAsia="en-GB"/>
          <w14:ligatures w14:val="none"/>
        </w:rPr>
        <w:t xml:space="preserve">According to the U.S. Securities and Exchange Commission (SEC) (2003), company CEO Bernard Ebbers, CFO </w:t>
      </w:r>
      <w:hyperlink r:id="rId11" w:tooltip="Scott Sullivan (executive)" w:history="1">
        <w:r w:rsidRPr="00891F5D">
          <w:rPr>
            <w:rFonts w:ascii="Arial" w:eastAsia="Times New Roman" w:hAnsi="Arial" w:cs="Arial"/>
            <w:kern w:val="0"/>
            <w:lang w:val="en-US" w:eastAsia="en-GB"/>
            <w14:ligatures w14:val="none"/>
          </w:rPr>
          <w:t>Scott Sullivan</w:t>
        </w:r>
      </w:hyperlink>
      <w:bookmarkStart w:id="411" w:name="PreEditfn843"/>
      <w:r w:rsidRPr="00891F5D">
        <w:rPr>
          <w:rFonts w:ascii="Arial" w:eastAsia="Times New Roman" w:hAnsi="Arial" w:cs="Arial"/>
          <w:kern w:val="0"/>
          <w:lang w:val="en-US" w:eastAsia="en-GB"/>
          <w14:ligatures w14:val="none"/>
        </w:rPr>
        <w:t>,</w:t>
      </w:r>
      <w:bookmarkEnd w:id="411"/>
      <w:r w:rsidRPr="00891F5D">
        <w:rPr>
          <w:rFonts w:ascii="Arial" w:eastAsia="Times New Roman" w:hAnsi="Arial" w:cs="Arial"/>
          <w:kern w:val="0"/>
          <w:lang w:val="en-US" w:eastAsia="en-GB"/>
          <w14:ligatures w14:val="none"/>
        </w:rPr>
        <w:t xml:space="preserve"> Controller David Myers, and Director of General Accounting Buford Yates used duplicitous accounting techniques to conceal its decreasing earnings to maintain the price of WorldCom’s share price.</w:t>
      </w:r>
    </w:p>
    <w:p w14:paraId="515BF24E" w14:textId="33692582" w:rsidR="002B3F52" w:rsidRPr="00891F5D" w:rsidRDefault="00891F5D" w:rsidP="000F03D5">
      <w:pPr>
        <w:shd w:val="clear" w:color="auto" w:fill="FFFFFF"/>
        <w:spacing w:before="120" w:after="120" w:line="480" w:lineRule="auto"/>
        <w:jc w:val="both"/>
        <w:rPr>
          <w:rFonts w:ascii="Arial" w:eastAsiaTheme="minorHAnsi" w:hAnsi="Arial" w:cs="Arial"/>
          <w:kern w:val="0"/>
          <w:lang w:val="en-US" w:eastAsia="en-US"/>
          <w14:ligatures w14:val="none"/>
        </w:rPr>
      </w:pPr>
      <w:bookmarkStart w:id="412" w:name="30"/>
      <w:bookmarkEnd w:id="410"/>
      <w:r w:rsidRPr="00891F5D">
        <w:rPr>
          <w:rFonts w:ascii="Arial" w:eastAsia="Times New Roman" w:hAnsi="Arial" w:cs="Arial"/>
          <w:kern w:val="0"/>
          <w:lang w:val="en-US" w:eastAsia="en-GB"/>
          <w14:ligatures w14:val="none"/>
        </w:rPr>
        <w:t xml:space="preserve">According to Shilit and Perler (2016) the fraud was executed by capitalizing rather than expensing approximately $3.8 billion of expenditure and inflating revenues with false accounting entries, creating an image of growth </w:t>
      </w:r>
      <w:r w:rsidRPr="00891F5D">
        <w:rPr>
          <w:rFonts w:ascii="Arial" w:eastAsiaTheme="minorHAnsi" w:hAnsi="Arial" w:cs="Arial"/>
          <w:kern w:val="0"/>
          <w:lang w:val="en-US" w:eastAsia="en-US"/>
          <w14:ligatures w14:val="none"/>
        </w:rPr>
        <w:t>to exaggerate profits. The company filed for bankruptcy protection shortly after the revelation of the fraudulent scheme, causing 17,000 redundancies and losses of $180 billion.</w:t>
      </w:r>
    </w:p>
    <w:bookmarkStart w:id="413" w:name="D25"/>
    <w:bookmarkEnd w:id="412"/>
    <w:p w14:paraId="36EE316B" w14:textId="2C33CBAB" w:rsidR="00891F5D" w:rsidRPr="00891F5D" w:rsidRDefault="00AB0ACD" w:rsidP="0009597C">
      <w:pPr>
        <w:pBdr>
          <w:top w:val="single" w:sz="4" w:space="1" w:color="auto"/>
          <w:left w:val="single" w:sz="4" w:space="4" w:color="auto"/>
          <w:bottom w:val="single" w:sz="4" w:space="1" w:color="auto"/>
          <w:right w:val="single" w:sz="4" w:space="4" w:color="auto"/>
        </w:pBdr>
        <w:spacing w:after="200" w:line="240" w:lineRule="auto"/>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"C25"</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AB0ACD">
        <w:rPr>
          <w:rStyle w:val="Hyperlink"/>
          <w:rFonts w:ascii="Arial" w:eastAsiaTheme="minorHAnsi" w:hAnsi="Arial" w:cs="Arial"/>
          <w:b/>
          <w:bCs/>
          <w:kern w:val="0"/>
          <w:lang w:val="en-US" w:eastAsia="en-US"/>
          <w14:ligatures w14:val="none"/>
        </w:rPr>
        <w:t>2.3.3 Adelphia, 2002</w:t>
      </w:r>
      <w:r>
        <w:rPr>
          <w:rFonts w:ascii="Arial" w:eastAsiaTheme="minorHAnsi" w:hAnsi="Arial" w:cs="Arial"/>
          <w:b/>
          <w:bCs/>
          <w:kern w:val="0"/>
          <w:lang w:val="en-US" w:eastAsia="en-US"/>
          <w14:ligatures w14:val="none"/>
        </w:rPr>
        <w:fldChar w:fldCharType="end"/>
      </w:r>
    </w:p>
    <w:p w14:paraId="6AEA952F"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bookmarkStart w:id="414" w:name="32"/>
      <w:bookmarkEnd w:id="413"/>
      <w:r w:rsidRPr="00891F5D">
        <w:rPr>
          <w:rFonts w:ascii="Arial" w:eastAsiaTheme="minorHAnsi" w:hAnsi="Arial" w:cs="Arial"/>
          <w:kern w:val="0"/>
          <w:lang w:val="en-US" w:eastAsia="en-US"/>
          <w14:ligatures w14:val="none"/>
        </w:rPr>
        <w:t xml:space="preserve">Adelphia was a local cable franchise that was transformed by John Rigas into a giant of the telecommunications industry that included high-speed Internet, cable, and long-distance telephone service. During May 2002, Adelphia declared an earnings restatement for 2000 and 2001, which included billions of dollars in off-balance sheet liabilities linked with “co-borrowing agreements.” The financial statements of Adelphia </w:t>
      </w:r>
      <w:r w:rsidRPr="00891F5D">
        <w:rPr>
          <w:rFonts w:ascii="Arial" w:eastAsiaTheme="minorHAnsi" w:hAnsi="Arial" w:cs="Arial"/>
          <w:kern w:val="0"/>
          <w:lang w:val="en-US" w:eastAsia="en-US"/>
          <w14:ligatures w14:val="none"/>
        </w:rPr>
        <w:lastRenderedPageBreak/>
        <w:t>highlighted a myriad of issues. According to the last 10-K filed by the company (for the year ended December 31, 2000) it showed a net loss of $548 million; $21.5 billion in total assets, of which $14.1 billion were intangibles, liabilities totaled $16.3 billion, and equity was a modest $4.2 billion. Adelphia subsequently filed for bankruptcy in June 2002, after being investigated by the SEC, which resulted in company executives being charged with Accounting Fraud: “Adelphia, at the direction of the individual defendants: (1) fraudulently excluded billions of dollars of liabilities from its consolidated financial statements by hiding them in off-balance-sheet affiliates; (2) falsified operation statistics and inflated Adelphia’s earnings to meet Wall Street expectations; and (3) concealed rampant self-dealing by the Rigas family” (Gao, 2002:122).</w:t>
      </w:r>
      <w:bookmarkStart w:id="415" w:name="33"/>
      <w:bookmarkEnd w:id="414"/>
    </w:p>
    <w:p w14:paraId="446A1892"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At the heart of the</w:t>
      </w:r>
      <w:r w:rsidRPr="00891F5D">
        <w:rPr>
          <w:rFonts w:eastAsiaTheme="minorHAnsi"/>
          <w:kern w:val="0"/>
          <w:sz w:val="22"/>
          <w:szCs w:val="22"/>
          <w:lang w:eastAsia="en-US"/>
          <w14:ligatures w14:val="none"/>
        </w:rPr>
        <w:t xml:space="preserve"> </w:t>
      </w:r>
      <w:r w:rsidRPr="00891F5D">
        <w:rPr>
          <w:rFonts w:ascii="Arial" w:eastAsiaTheme="minorHAnsi" w:hAnsi="Arial" w:cs="Arial"/>
          <w:kern w:val="0"/>
          <w:lang w:val="en-US" w:eastAsia="en-US"/>
          <w14:ligatures w14:val="none"/>
        </w:rPr>
        <w:t>Accounting Fraud were false transactions, with supporting documents suggesting that debts were repaid; instead, they were transferred to affiliates. In addition, the company was run as a personal fiefdom by the Rigas family, who, for example, used company funds to buy stock for the Rigas family and even a golf club was built. It is important to note that five members of the nine-member board were John Rigas’s immediate relatives, including his son, who was CFO, suggesting poor corporate governance and management override was potentially endemic in the company. Eventually, two former Adelphia executives were charged with criminal charges for conspiracy, bank fraud, and securities fraud. In 2004 John Rigas and his son were both convicted of conspiracy and fraud.</w:t>
      </w:r>
    </w:p>
    <w:bookmarkStart w:id="416" w:name="D26"/>
    <w:bookmarkEnd w:id="415"/>
    <w:p w14:paraId="353D737A" w14:textId="78784214" w:rsidR="00891F5D" w:rsidRPr="00891F5D" w:rsidRDefault="004F5A30" w:rsidP="0009597C">
      <w:pPr>
        <w:pBdr>
          <w:top w:val="single" w:sz="4" w:space="1" w:color="auto"/>
          <w:left w:val="single" w:sz="4" w:space="4" w:color="auto"/>
          <w:bottom w:val="single" w:sz="4" w:space="1" w:color="auto"/>
          <w:right w:val="single" w:sz="4" w:space="4" w:color="auto"/>
        </w:pBdr>
        <w:spacing w:after="200" w:line="240" w:lineRule="auto"/>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"C26"</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4F5A30">
        <w:rPr>
          <w:rStyle w:val="Hyperlink"/>
          <w:rFonts w:ascii="Arial" w:eastAsiaTheme="minorHAnsi" w:hAnsi="Arial" w:cs="Arial"/>
          <w:b/>
          <w:bCs/>
          <w:kern w:val="0"/>
          <w:lang w:val="en-US" w:eastAsia="en-US"/>
          <w14:ligatures w14:val="none"/>
        </w:rPr>
        <w:t>2.3.4 Global Crossing, 2002</w:t>
      </w:r>
      <w:r>
        <w:rPr>
          <w:rFonts w:ascii="Arial" w:eastAsiaTheme="minorHAnsi" w:hAnsi="Arial" w:cs="Arial"/>
          <w:b/>
          <w:bCs/>
          <w:kern w:val="0"/>
          <w:lang w:val="en-US" w:eastAsia="en-US"/>
          <w14:ligatures w14:val="none"/>
        </w:rPr>
        <w:fldChar w:fldCharType="end"/>
      </w:r>
    </w:p>
    <w:p w14:paraId="1183F261" w14:textId="77777777" w:rsidR="00891F5D" w:rsidRPr="00891F5D" w:rsidRDefault="00891F5D" w:rsidP="00891F5D">
      <w:pPr>
        <w:spacing w:before="240" w:after="200" w:line="480" w:lineRule="auto"/>
        <w:jc w:val="both"/>
        <w:rPr>
          <w:rFonts w:ascii="Arial" w:eastAsiaTheme="minorHAnsi" w:hAnsi="Arial" w:cs="Arial"/>
          <w:kern w:val="0"/>
          <w:lang w:val="en-US" w:eastAsia="en-US"/>
          <w14:ligatures w14:val="none"/>
        </w:rPr>
      </w:pPr>
      <w:bookmarkStart w:id="417" w:name="35"/>
      <w:bookmarkEnd w:id="416"/>
      <w:r w:rsidRPr="00891F5D">
        <w:rPr>
          <w:rFonts w:ascii="Arial" w:eastAsiaTheme="minorHAnsi" w:hAnsi="Arial" w:cs="Arial"/>
          <w:kern w:val="0"/>
          <w:lang w:val="en-US" w:eastAsia="en-US"/>
          <w14:ligatures w14:val="none"/>
        </w:rPr>
        <w:t xml:space="preserve">Global Crossing was an integrated telecommunications solutions company that was founded in 1997 by an investment banker called Gary Winnick. Its headquarters were in Bermuda, but it operated primarily in the United States and 27 other countries and </w:t>
      </w:r>
      <w:r w:rsidRPr="00891F5D">
        <w:rPr>
          <w:rFonts w:ascii="Arial" w:eastAsiaTheme="minorHAnsi" w:hAnsi="Arial" w:cs="Arial"/>
          <w:kern w:val="0"/>
          <w:lang w:val="en-US" w:eastAsia="en-US"/>
          <w14:ligatures w14:val="none"/>
        </w:rPr>
        <w:lastRenderedPageBreak/>
        <w:t>more than 200 cities across the globe. After a series of accounting indiscretions, the company announced Chapter 11 Bankruptcy Protection on January 28, 2002. Investors, analysts, and regulators were left stunned as Global Crossing was considered a darling of the market. The Chapter 11 statement also announced that two companies, namely, Hutchinson Whampoa and Singapore Technologies Telemedia (STT), had signed a letter of intent that they would inject a $750-million cash investment in exchange for a combined majority share of 60 percent or more in the business.</w:t>
      </w:r>
      <w:bookmarkEnd w:id="417"/>
    </w:p>
    <w:p w14:paraId="0DF62BAA"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A closer inspection of the financial statements revealed mounting debts of $12 billion coupled with unsecured creditors and affiliates numbering over one thousand. The latter covered a wide spectrum of lenders, equipment vendors, and other carriers. U.S. Trust Co., one of the secured creditors, was owed $3.6 billion, approximately 25 percent of Global Crossing’s total debts. The company was highly valued on the market but had a poor cash flow and working capital position. The company had engaged in a dubious and complex earnings management technique, called “capacity swaps.” Global Crossing would record traffic on other fiber-optic telecommunications systems such as QWEST and in return booked traffic on its own network. Thus, each counterparty in this complex Accounting Fraud reported an increase in recorded revenue, although there was no actual increase in economic activity. The swaps were also undertaken to conceal different costs and exceed market expectations. Global Crossing went on to lure more customers and investors by overstating the reach and attractiveness of its network. However, this was not underpinned by sound financials, including profitability and crucially cash flow, which is the lifeblood of any business. Consequently, Global Crossing became highly leveraged with unsustainable levels of liabilities coupled with questionable assets and became the largest telecom </w:t>
      </w:r>
      <w:r w:rsidRPr="00891F5D">
        <w:rPr>
          <w:rFonts w:ascii="Arial" w:eastAsiaTheme="minorHAnsi" w:hAnsi="Arial" w:cs="Arial"/>
          <w:kern w:val="0"/>
          <w:lang w:val="en-US" w:eastAsia="en-US"/>
          <w14:ligatures w14:val="none"/>
        </w:rPr>
        <w:lastRenderedPageBreak/>
        <w:t>bankruptcy filing ever, —the fourth largest of any kind in American corporate history. Unfortunately, the company was also plagued by poor governance, and even after its bankruptcy it lent $15 million to John Legere, its then CEO, and, surprisingly, agreed to let him keep the money if he stayed on until February 2003.</w:t>
      </w:r>
    </w:p>
    <w:bookmarkStart w:id="418" w:name="M"/>
    <w:bookmarkStart w:id="419" w:name="D27"/>
    <w:p w14:paraId="37F5C39E" w14:textId="0D9633AE" w:rsidR="00891F5D" w:rsidRPr="00891F5D" w:rsidRDefault="009A0BCC" w:rsidP="0009597C">
      <w:pPr>
        <w:pBdr>
          <w:top w:val="single" w:sz="4" w:space="1" w:color="auto"/>
          <w:left w:val="single" w:sz="4" w:space="4" w:color="auto"/>
          <w:bottom w:val="single" w:sz="4" w:space="1" w:color="auto"/>
          <w:right w:val="single" w:sz="4" w:space="4" w:color="auto"/>
        </w:pBdr>
        <w:spacing w:after="200" w:line="24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"C27"</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9A0BCC">
        <w:rPr>
          <w:rStyle w:val="Hyperlink"/>
          <w:rFonts w:ascii="Arial" w:eastAsiaTheme="minorHAnsi" w:hAnsi="Arial" w:cs="Arial"/>
          <w:b/>
          <w:bCs/>
          <w:kern w:val="0"/>
          <w:lang w:val="en-US" w:eastAsia="en-US"/>
          <w14:ligatures w14:val="none"/>
        </w:rPr>
        <w:t>2.3.5 Parmalat S.p.A, 2004</w:t>
      </w:r>
      <w:r>
        <w:rPr>
          <w:rFonts w:ascii="Arial" w:eastAsiaTheme="minorHAnsi" w:hAnsi="Arial" w:cs="Arial"/>
          <w:b/>
          <w:bCs/>
          <w:kern w:val="0"/>
          <w:lang w:val="en-US" w:eastAsia="en-US"/>
          <w14:ligatures w14:val="none"/>
        </w:rPr>
        <w:fldChar w:fldCharType="end"/>
      </w:r>
    </w:p>
    <w:bookmarkEnd w:id="418"/>
    <w:bookmarkEnd w:id="419"/>
    <w:p w14:paraId="6A5E5A57"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shd w:val="clear" w:color="auto" w:fill="FFFFFF"/>
          <w:lang w:val="en-US" w:eastAsia="en-US"/>
          <w14:ligatures w14:val="none"/>
        </w:rPr>
        <w:t xml:space="preserve">Parmalat S.p.A was an Italian multinational dairy and food company and at one time became the leading global producer of long-life milk, but the company folded in 2003 with a £13-billion hole in its financial statements in what remains Europe’s biggest liquidation to date (BBC, 2003). </w:t>
      </w:r>
      <w:r w:rsidRPr="00891F5D">
        <w:rPr>
          <w:rFonts w:ascii="Arial" w:eastAsiaTheme="minorHAnsi" w:hAnsi="Arial" w:cs="Arial"/>
          <w:kern w:val="0"/>
          <w:lang w:val="en-US" w:eastAsia="en-US"/>
          <w14:ligatures w14:val="none"/>
        </w:rPr>
        <w:t>The SEC (2003) described the European scandal as “one of the largest and most brazen corporate financial frauds in history.” Jones (2011) states that Parmalat was an example of Accounting Fraud that was achieved by several factors, including a weak corporate governance structure and lack of professional care by external auditors, and was exacerbated by the greed of senior management. Calisto Tanzi, founder, and CEO of Parmalat was prone to greed and unethical behavior, for example, redirecting Parmalat’s monies to a company managed by his daughter, Francesca Tanzi (Ogutu, 2016). A BBC (2004) investigation reported that Tanzi diverted approximately €500 million to Permatour, a company that his daughter managed. Furthermore, Jones (2011) it is suggested that what happened at Parmalat was premeditated and a flagrant misstatement of information with the intent to misinform.</w:t>
      </w:r>
    </w:p>
    <w:p w14:paraId="40BCA28F"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bookmarkStart w:id="420" w:name="39"/>
      <w:r w:rsidRPr="00891F5D">
        <w:rPr>
          <w:rFonts w:ascii="Arial" w:eastAsiaTheme="minorHAnsi" w:hAnsi="Arial" w:cs="Arial"/>
          <w:kern w:val="0"/>
          <w:lang w:val="en-US" w:eastAsia="en-US"/>
          <w14:ligatures w14:val="none"/>
        </w:rPr>
        <w:t xml:space="preserve">Bloomberg (2004) reported that Parmalat defaulted on a $185-million bond payment in November 2002, causing its auditors and bankers to examine the company’s consolidated accounts. This examination found that approximately 38 percent of company assets were allegedly held in a $4.9-billion Bank of America account of a company subsidiary in the Cayman Islands. However, in December 2002, the Bank of </w:t>
      </w:r>
      <w:r w:rsidRPr="00891F5D">
        <w:rPr>
          <w:rFonts w:ascii="Arial" w:eastAsiaTheme="minorHAnsi" w:hAnsi="Arial" w:cs="Arial"/>
          <w:kern w:val="0"/>
          <w:lang w:val="en-US" w:eastAsia="en-US"/>
          <w14:ligatures w14:val="none"/>
        </w:rPr>
        <w:lastRenderedPageBreak/>
        <w:t>America reported that no account for this Parmalat subsidiary ever existed. Italian prosecutors stated that they had discovered that Parmalat management merely concocted assets to offset nearly $16.2 billion of liabilities and blatantly fabricated financial statements over a 15-year period, eventually driving Parmalat into insolvency.</w:t>
      </w:r>
    </w:p>
    <w:bookmarkStart w:id="421" w:name="N"/>
    <w:bookmarkStart w:id="422" w:name="D28"/>
    <w:bookmarkEnd w:id="420"/>
    <w:p w14:paraId="1FB51175" w14:textId="61DCB554" w:rsidR="00891F5D" w:rsidRPr="00891F5D" w:rsidRDefault="00AB0ACD" w:rsidP="0009597C">
      <w:pPr>
        <w:pBdr>
          <w:top w:val="single" w:sz="4" w:space="1" w:color="auto"/>
          <w:left w:val="single" w:sz="4" w:space="4" w:color="auto"/>
          <w:bottom w:val="single" w:sz="4" w:space="1" w:color="auto"/>
          <w:right w:val="single" w:sz="4" w:space="4" w:color="auto"/>
        </w:pBdr>
        <w:spacing w:after="200" w:line="24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"C28"</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AB0ACD">
        <w:rPr>
          <w:rStyle w:val="Hyperlink"/>
          <w:rFonts w:ascii="Arial" w:eastAsiaTheme="minorHAnsi" w:hAnsi="Arial" w:cs="Arial"/>
          <w:b/>
          <w:bCs/>
          <w:kern w:val="0"/>
          <w:lang w:val="en-US" w:eastAsia="en-US"/>
          <w14:ligatures w14:val="none"/>
        </w:rPr>
        <w:t>2.3.6 Lehman Brothers, 2008</w:t>
      </w:r>
      <w:r>
        <w:rPr>
          <w:rFonts w:ascii="Arial" w:eastAsiaTheme="minorHAnsi" w:hAnsi="Arial" w:cs="Arial"/>
          <w:b/>
          <w:bCs/>
          <w:kern w:val="0"/>
          <w:lang w:val="en-US" w:eastAsia="en-US"/>
          <w14:ligatures w14:val="none"/>
        </w:rPr>
        <w:fldChar w:fldCharType="end"/>
      </w:r>
    </w:p>
    <w:bookmarkEnd w:id="421"/>
    <w:bookmarkEnd w:id="422"/>
    <w:p w14:paraId="006B7040" w14:textId="77777777" w:rsidR="00891F5D" w:rsidRPr="00891F5D" w:rsidRDefault="00891F5D" w:rsidP="00891F5D">
      <w:pPr>
        <w:spacing w:after="200" w:line="480" w:lineRule="auto"/>
        <w:jc w:val="both"/>
        <w:textAlignment w:val="baseline"/>
        <w:rPr>
          <w:rFonts w:ascii="Arial" w:eastAsia="Times New Roman" w:hAnsi="Arial" w:cs="Arial"/>
          <w:kern w:val="0"/>
          <w:lang w:val="en-US" w:eastAsia="en-GB"/>
          <w14:ligatures w14:val="none"/>
        </w:rPr>
      </w:pPr>
      <w:r w:rsidRPr="00891F5D">
        <w:rPr>
          <w:rFonts w:ascii="Arial" w:eastAsia="Times New Roman" w:hAnsi="Arial" w:cs="Arial"/>
          <w:kern w:val="0"/>
          <w:lang w:val="en-US" w:eastAsia="en-GB"/>
          <w14:ligatures w14:val="none"/>
        </w:rPr>
        <w:t xml:space="preserve">In 2008 </w:t>
      </w:r>
      <w:hyperlink r:id="rId12" w:history="1">
        <w:r w:rsidRPr="00891F5D">
          <w:rPr>
            <w:rFonts w:ascii="Arial" w:eastAsia="Times New Roman" w:hAnsi="Arial" w:cs="Arial"/>
            <w:kern w:val="0"/>
            <w:lang w:val="en-US" w:eastAsia="en-GB"/>
            <w14:ligatures w14:val="none"/>
          </w:rPr>
          <w:t>Lehman Brothers</w:t>
        </w:r>
      </w:hyperlink>
      <w:r w:rsidRPr="00891F5D">
        <w:rPr>
          <w:rFonts w:ascii="Arial" w:eastAsia="Times New Roman" w:hAnsi="Arial" w:cs="Arial"/>
          <w:kern w:val="0"/>
          <w:lang w:val="en-US" w:eastAsia="en-GB"/>
          <w14:ligatures w14:val="none"/>
        </w:rPr>
        <w:t xml:space="preserve"> filed for the largest Chapter 11 bankruptcy in history, with $639 billion in assets and $619 billion in debt (Lioudis, 2017). At the time Lehman Brothers was the fourth-largest U.S. </w:t>
      </w:r>
      <w:hyperlink r:id="rId13" w:history="1">
        <w:r w:rsidRPr="00891F5D">
          <w:rPr>
            <w:rFonts w:ascii="Arial" w:eastAsia="Times New Roman" w:hAnsi="Arial" w:cs="Arial"/>
            <w:kern w:val="0"/>
            <w:lang w:val="en-US" w:eastAsia="en-GB"/>
            <w14:ligatures w14:val="none"/>
          </w:rPr>
          <w:t>investment bank</w:t>
        </w:r>
      </w:hyperlink>
      <w:r w:rsidRPr="00891F5D">
        <w:rPr>
          <w:rFonts w:ascii="Arial" w:eastAsia="Times New Roman" w:hAnsi="Arial" w:cs="Arial"/>
          <w:kern w:val="0"/>
          <w:lang w:val="en-US" w:eastAsia="en-GB"/>
          <w14:ligatures w14:val="none"/>
        </w:rPr>
        <w:t>, and after its demise 25,000 employees globally lost their jobs.</w:t>
      </w:r>
    </w:p>
    <w:p w14:paraId="34BE0A50" w14:textId="77777777" w:rsidR="00891F5D" w:rsidRPr="00891F5D" w:rsidRDefault="00891F5D" w:rsidP="00891F5D">
      <w:pPr>
        <w:spacing w:after="200" w:line="480" w:lineRule="auto"/>
        <w:jc w:val="both"/>
        <w:textAlignment w:val="baseline"/>
        <w:rPr>
          <w:rFonts w:ascii="Arial" w:eastAsia="Times New Roman" w:hAnsi="Arial" w:cs="Arial"/>
          <w:kern w:val="0"/>
          <w:lang w:val="en-US" w:eastAsia="en-GB"/>
          <w14:ligatures w14:val="none"/>
        </w:rPr>
      </w:pPr>
      <w:bookmarkStart w:id="423" w:name="42"/>
      <w:r w:rsidRPr="00891F5D">
        <w:rPr>
          <w:rFonts w:ascii="Arial" w:eastAsia="Times New Roman" w:hAnsi="Arial" w:cs="Arial"/>
          <w:kern w:val="0"/>
          <w:lang w:val="en-US" w:eastAsia="en-GB"/>
          <w14:ligatures w14:val="none"/>
        </w:rPr>
        <w:t>Azadinamin (2013) contends that legitimate accounting standards were misinterpreted coupled with Accounting Fraud to prepare and disclose financial statements according to the desire of Lehman Brother’s senior management. Lehman Brothers did not show important transactions in the notes to the financial statements, causing some commentators to argue for the review of Generally Accepted Accounting Standards (Greenfield, 2010). At the crux of the Accounting Fraud was the aggressive employment of an accounting technique referred to as Repo 15 (Morin and Maux, 2011:42):</w:t>
      </w:r>
    </w:p>
    <w:p w14:paraId="799E6857"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bookmarkStart w:id="424" w:name="43"/>
      <w:bookmarkEnd w:id="423"/>
      <w:r w:rsidRPr="00891F5D">
        <w:rPr>
          <w:rFonts w:ascii="Arial" w:eastAsia="Times New Roman" w:hAnsi="Arial" w:cs="Arial"/>
          <w:kern w:val="0"/>
          <w:lang w:val="en-US" w:eastAsia="en-GB"/>
          <w14:ligatures w14:val="none"/>
        </w:rPr>
        <w:t>“</w:t>
      </w:r>
      <w:r w:rsidRPr="00891F5D">
        <w:rPr>
          <w:rFonts w:ascii="Arial" w:eastAsiaTheme="minorHAnsi" w:hAnsi="Arial" w:cs="Arial"/>
          <w:kern w:val="0"/>
          <w:lang w:val="en-US" w:eastAsia="en-US"/>
          <w14:ligatures w14:val="none"/>
        </w:rPr>
        <w:t>On March 12, 2010, a 2,200-page enquiry report prepared by legal expert Anton R. Valukas revealed the extensive use of accounting manipulations that might have largely contributed to the collapse of Lehman Brothers, which went bankrupt on September 15, 2008. This report sheds light on the systematic use of a balance sheet window-dressing technique called Repo 105, which let Lehman remove approximately $50 billion in commitments from its balance sheet in June 2008, and artificially reduce its net debt level by wagering on the collateralized loan market.”</w:t>
      </w:r>
    </w:p>
    <w:p w14:paraId="58CCD7AB" w14:textId="7F39EAAD" w:rsidR="00891F5D" w:rsidRDefault="00891F5D" w:rsidP="0009597C">
      <w:pPr>
        <w:autoSpaceDE w:val="0"/>
        <w:autoSpaceDN w:val="0"/>
        <w:adjustRightInd w:val="0"/>
        <w:spacing w:after="0" w:line="480" w:lineRule="auto"/>
        <w:jc w:val="both"/>
        <w:rPr>
          <w:rFonts w:ascii="Arial" w:eastAsiaTheme="minorHAnsi" w:hAnsi="Arial" w:cs="Arial"/>
          <w:kern w:val="0"/>
          <w:lang w:val="en-US" w:eastAsia="en-US"/>
          <w14:ligatures w14:val="none"/>
        </w:rPr>
      </w:pPr>
      <w:bookmarkStart w:id="425" w:name="44"/>
      <w:bookmarkEnd w:id="424"/>
      <w:r w:rsidRPr="00891F5D">
        <w:rPr>
          <w:rFonts w:ascii="Arial" w:eastAsiaTheme="minorHAnsi" w:hAnsi="Arial" w:cs="Arial"/>
          <w:kern w:val="0"/>
          <w:lang w:val="en-US" w:eastAsia="en-US"/>
          <w14:ligatures w14:val="none"/>
        </w:rPr>
        <w:lastRenderedPageBreak/>
        <w:t>Morin and Maux (2011) also believe that Ernst &amp; Young deliberately ignored balance sheet shenanigans as early as the early 2000s. If the cash flow statement had been analyzed, the</w:t>
      </w:r>
      <w:r w:rsidRPr="00891F5D">
        <w:rPr>
          <w:rFonts w:eastAsiaTheme="minorHAnsi"/>
          <w:kern w:val="0"/>
          <w:sz w:val="22"/>
          <w:szCs w:val="22"/>
          <w:lang w:eastAsia="en-US"/>
          <w14:ligatures w14:val="none"/>
        </w:rPr>
        <w:t xml:space="preserve"> </w:t>
      </w:r>
      <w:r w:rsidRPr="00891F5D">
        <w:rPr>
          <w:rFonts w:ascii="Arial" w:eastAsiaTheme="minorHAnsi" w:hAnsi="Arial" w:cs="Arial"/>
          <w:kern w:val="0"/>
          <w:lang w:val="en-US" w:eastAsia="en-US"/>
          <w14:ligatures w14:val="none"/>
        </w:rPr>
        <w:t>Accounting Fraud could have been identified and potentially stopped.</w:t>
      </w:r>
    </w:p>
    <w:p w14:paraId="6D36164B" w14:textId="77777777" w:rsidR="003E44A1" w:rsidRPr="00891F5D" w:rsidRDefault="003E44A1" w:rsidP="0009597C">
      <w:pPr>
        <w:autoSpaceDE w:val="0"/>
        <w:autoSpaceDN w:val="0"/>
        <w:adjustRightInd w:val="0"/>
        <w:spacing w:after="0" w:line="480" w:lineRule="auto"/>
        <w:jc w:val="both"/>
        <w:rPr>
          <w:rFonts w:ascii="Arial" w:eastAsiaTheme="minorHAnsi" w:hAnsi="Arial" w:cs="Arial"/>
          <w:kern w:val="0"/>
          <w:lang w:val="en-US" w:eastAsia="en-US"/>
          <w14:ligatures w14:val="none"/>
        </w:rPr>
      </w:pPr>
    </w:p>
    <w:bookmarkStart w:id="426" w:name="O"/>
    <w:bookmarkStart w:id="427" w:name="D29"/>
    <w:bookmarkEnd w:id="425"/>
    <w:p w14:paraId="457AA153" w14:textId="71308811" w:rsidR="00891F5D" w:rsidRPr="00891F5D" w:rsidRDefault="009A0BCC" w:rsidP="0009597C">
      <w:pPr>
        <w:pBdr>
          <w:top w:val="single" w:sz="4" w:space="1" w:color="auto"/>
          <w:left w:val="single" w:sz="4" w:space="4" w:color="auto"/>
          <w:bottom w:val="single" w:sz="4" w:space="1" w:color="auto"/>
          <w:right w:val="single" w:sz="4" w:space="4" w:color="auto"/>
        </w:pBdr>
        <w:spacing w:after="200" w:line="24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"C29"</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9A0BCC">
        <w:rPr>
          <w:rStyle w:val="Hyperlink"/>
          <w:rFonts w:ascii="Arial" w:eastAsiaTheme="minorHAnsi" w:hAnsi="Arial" w:cs="Arial"/>
          <w:b/>
          <w:bCs/>
          <w:kern w:val="0"/>
          <w:lang w:val="en-US" w:eastAsia="en-US"/>
          <w14:ligatures w14:val="none"/>
        </w:rPr>
        <w:t>2.3.7 Toshiba, 2015</w:t>
      </w:r>
      <w:bookmarkStart w:id="428" w:name="46"/>
      <w:r>
        <w:rPr>
          <w:rFonts w:ascii="Arial" w:eastAsiaTheme="minorHAnsi" w:hAnsi="Arial" w:cs="Arial"/>
          <w:b/>
          <w:bCs/>
          <w:kern w:val="0"/>
          <w:lang w:val="en-US" w:eastAsia="en-US"/>
          <w14:ligatures w14:val="none"/>
        </w:rPr>
        <w:fldChar w:fldCharType="end"/>
      </w:r>
    </w:p>
    <w:bookmarkEnd w:id="426"/>
    <w:bookmarkEnd w:id="427"/>
    <w:p w14:paraId="0C8BBDB4"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shd w:val="clear" w:color="auto" w:fill="FFFFFF"/>
          <w:lang w:val="en-US" w:eastAsia="en-US"/>
          <w14:ligatures w14:val="none"/>
        </w:rPr>
        <w:t xml:space="preserve">In 2015, the CEO of Toshiba Corporation (Toshiba) resigned over the revelation of a JP¥151.8-billion Accounting Fraud that shocked the financial world (Mehta, 2016). </w:t>
      </w:r>
      <w:r w:rsidRPr="00891F5D">
        <w:rPr>
          <w:rFonts w:ascii="Arial" w:eastAsiaTheme="minorHAnsi" w:hAnsi="Arial" w:cs="Arial"/>
          <w:kern w:val="0"/>
          <w:lang w:val="en-US" w:eastAsia="en-US"/>
          <w14:ligatures w14:val="none"/>
        </w:rPr>
        <w:t xml:space="preserve">The Accounting Fraud was reported to be US$1.2 billion of earnings manipulation through window dressing; it later escalated to US$2 billion from 2008 to 2014. (Rahman and Marc, 2016) </w:t>
      </w:r>
    </w:p>
    <w:bookmarkEnd w:id="428"/>
    <w:p w14:paraId="64E405DC" w14:textId="08861194" w:rsidR="00891F5D" w:rsidRPr="00891F5D" w:rsidRDefault="00891F5D" w:rsidP="003E44A1">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Just like the Lehman 2008 scandal, legitimate accounting standards were abused to inflate revenue. Toshiba’s operating profit was overstated by approximately US$4.1 billion from March 2012 to February 2015. This was due to the abuse of an accounting method called “percentage-of-completion,” which is routinely utilized in long-term projects. According to this method, sales and expenses are established in an accounting period completed to date (South Coast Today, 2015). To deal with the intense media and public scrutiny, Toshiba set up a panel to investigate the extent of the Accounting Fraud. Toshiba asserted that the problem was caused by big civil engineering projects such as electricity generation and railways, where managers had decided on achieving profit targets by dishonestly reducing expenses (Rahman and Marc, 2016). The managers’ biased judgements, coupled with the knowledge of auditors, resulted in overstated sales and profits and corresponding understatements of expenses, including adjustments to goodwill (IIC / Toshiba, 2015). Toshiba continues to face class lawsuits from shareholders (Japan News, 2015d) and the proud brand with a 140-year history lies in tatters.</w:t>
      </w:r>
    </w:p>
    <w:bookmarkStart w:id="429" w:name="P"/>
    <w:bookmarkStart w:id="430" w:name="D30"/>
    <w:p w14:paraId="1AC1B56C" w14:textId="691E1E92" w:rsidR="00891F5D" w:rsidRPr="00891F5D" w:rsidRDefault="006E5436" w:rsidP="0009597C">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b/>
          <w:bCs/>
          <w:kern w:val="0"/>
          <w:lang w:eastAsia="en-US"/>
          <w14:ligatures w14:val="none"/>
        </w:rPr>
      </w:pPr>
      <w:r>
        <w:rPr>
          <w:rFonts w:ascii="Arial" w:eastAsiaTheme="minorHAnsi" w:hAnsi="Arial" w:cs="Arial"/>
          <w:b/>
          <w:bCs/>
          <w:kern w:val="0"/>
          <w:lang w:eastAsia="en-US"/>
          <w14:ligatures w14:val="none"/>
        </w:rPr>
        <w:lastRenderedPageBreak/>
        <w:fldChar w:fldCharType="begin"/>
      </w:r>
      <w:r>
        <w:rPr>
          <w:rFonts w:ascii="Arial" w:eastAsiaTheme="minorHAnsi" w:hAnsi="Arial" w:cs="Arial"/>
          <w:b/>
          <w:bCs/>
          <w:kern w:val="0"/>
          <w:lang w:eastAsia="en-US"/>
          <w14:ligatures w14:val="none"/>
        </w:rPr>
        <w:instrText>HYPERLINK  \l "C30"</w:instrText>
      </w:r>
      <w:r>
        <w:rPr>
          <w:rFonts w:ascii="Arial" w:eastAsiaTheme="minorHAnsi" w:hAnsi="Arial" w:cs="Arial"/>
          <w:b/>
          <w:bCs/>
          <w:kern w:val="0"/>
          <w:lang w:eastAsia="en-US"/>
          <w14:ligatures w14:val="none"/>
        </w:rPr>
      </w:r>
      <w:r>
        <w:rPr>
          <w:rFonts w:ascii="Arial" w:eastAsiaTheme="minorHAnsi" w:hAnsi="Arial" w:cs="Arial"/>
          <w:b/>
          <w:bCs/>
          <w:kern w:val="0"/>
          <w:lang w:eastAsia="en-US"/>
          <w14:ligatures w14:val="none"/>
        </w:rPr>
        <w:fldChar w:fldCharType="separate"/>
      </w:r>
      <w:r w:rsidR="00891F5D" w:rsidRPr="006E5436">
        <w:rPr>
          <w:rStyle w:val="Hyperlink"/>
          <w:rFonts w:ascii="Arial" w:eastAsiaTheme="minorHAnsi" w:hAnsi="Arial" w:cs="Arial"/>
          <w:b/>
          <w:bCs/>
          <w:kern w:val="0"/>
          <w:lang w:eastAsia="en-US"/>
          <w14:ligatures w14:val="none"/>
        </w:rPr>
        <w:t>2.3.8 Wirecard AG, 2020</w:t>
      </w:r>
      <w:r>
        <w:rPr>
          <w:rFonts w:ascii="Arial" w:eastAsiaTheme="minorHAnsi" w:hAnsi="Arial" w:cs="Arial"/>
          <w:b/>
          <w:bCs/>
          <w:kern w:val="0"/>
          <w:lang w:eastAsia="en-US"/>
          <w14:ligatures w14:val="none"/>
        </w:rPr>
        <w:fldChar w:fldCharType="end"/>
      </w:r>
    </w:p>
    <w:bookmarkEnd w:id="429"/>
    <w:bookmarkEnd w:id="430"/>
    <w:p w14:paraId="1459A450" w14:textId="77777777" w:rsidR="00891F5D" w:rsidRPr="00891F5D" w:rsidRDefault="00891F5D" w:rsidP="00891F5D">
      <w:pPr>
        <w:spacing w:before="100" w:beforeAutospacing="1" w:after="100" w:afterAutospacing="1" w:line="480" w:lineRule="auto"/>
        <w:jc w:val="both"/>
        <w:rPr>
          <w:rFonts w:ascii="Arial" w:eastAsia="Times New Roman" w:hAnsi="Arial" w:cs="Arial"/>
          <w:kern w:val="0"/>
          <w:lang w:eastAsia="en-GB"/>
          <w14:ligatures w14:val="none"/>
        </w:rPr>
      </w:pPr>
      <w:r w:rsidRPr="00891F5D">
        <w:rPr>
          <w:rFonts w:ascii="Arial" w:eastAsia="Times New Roman" w:hAnsi="Arial" w:cs="Arial"/>
          <w:kern w:val="0"/>
          <w:lang w:eastAsia="en-GB"/>
          <w14:ligatures w14:val="none"/>
        </w:rPr>
        <w:t xml:space="preserve">Dubbed the ‘Enron of Germany’ (CNBC, 2020) – Wirecard AG a Munich-based payments processor became insolvent in June 2020, at the height of the COVID 19 pandemic, owing creditors 3.5 billion euros and 1.9 billion euros had vanished from Wirecard’s balance sheet. This resulted in the company’s share price collapsing 98% and former CEO Markus Braun was arrested on suspicion of Accounting Fraud. </w:t>
      </w:r>
    </w:p>
    <w:p w14:paraId="4E014DC1" w14:textId="3DDDCEC3" w:rsidR="00891F5D" w:rsidRPr="00891F5D" w:rsidRDefault="00891F5D" w:rsidP="00891F5D">
      <w:pPr>
        <w:spacing w:before="100" w:beforeAutospacing="1" w:after="100" w:afterAutospacing="1" w:line="480" w:lineRule="auto"/>
        <w:jc w:val="both"/>
        <w:rPr>
          <w:rFonts w:ascii="Arial" w:eastAsia="Times New Roman" w:hAnsi="Arial" w:cs="Arial"/>
          <w:kern w:val="0"/>
          <w:shd w:val="clear" w:color="auto" w:fill="FFFFFF"/>
          <w:lang w:eastAsia="en-GB"/>
          <w14:ligatures w14:val="none"/>
        </w:rPr>
      </w:pPr>
      <w:r w:rsidRPr="00891F5D">
        <w:rPr>
          <w:rFonts w:ascii="Arial" w:eastAsia="Times New Roman" w:hAnsi="Arial" w:cs="Arial"/>
          <w:kern w:val="0"/>
          <w:lang w:eastAsia="en-GB"/>
          <w14:ligatures w14:val="none"/>
        </w:rPr>
        <w:t xml:space="preserve">Wirecard AG was a new breed of Fintech company that supplied </w:t>
      </w:r>
      <w:r w:rsidRPr="00891F5D">
        <w:rPr>
          <w:rFonts w:ascii="Arial" w:eastAsia="Times New Roman" w:hAnsi="Arial" w:cs="Arial"/>
          <w:kern w:val="0"/>
          <w:shd w:val="clear" w:color="auto" w:fill="FFFFFF"/>
          <w:lang w:eastAsia="en-GB"/>
          <w14:ligatures w14:val="none"/>
        </w:rPr>
        <w:t>electronic payment transaction services, risk management and </w:t>
      </w:r>
      <w:r w:rsidRPr="00891F5D">
        <w:rPr>
          <w:rFonts w:ascii="Arial" w:eastAsia="Times New Roman" w:hAnsi="Arial" w:cs="Arial"/>
          <w:kern w:val="0"/>
          <w:lang w:eastAsia="en-GB"/>
          <w14:ligatures w14:val="none"/>
        </w:rPr>
        <w:t xml:space="preserve">dispensed </w:t>
      </w:r>
      <w:r w:rsidRPr="00891F5D">
        <w:rPr>
          <w:rFonts w:ascii="Arial" w:eastAsia="Times New Roman" w:hAnsi="Arial" w:cs="Arial"/>
          <w:kern w:val="0"/>
          <w:shd w:val="clear" w:color="auto" w:fill="FFFFFF"/>
          <w:lang w:eastAsia="en-GB"/>
          <w14:ligatures w14:val="none"/>
        </w:rPr>
        <w:t xml:space="preserve">physical and virtual credit cards. It was formed at the height of the dot-com bubble but by 2002, it was close to liquidating until Markus Braun injected his own capital and joined as CEO. He rationalised the company and focussed on internet payment services for the adult and gambling websites. The company was listed on the Frankfurt Stock </w:t>
      </w:r>
      <w:r w:rsidR="00FE3B59" w:rsidRPr="00891F5D">
        <w:rPr>
          <w:rFonts w:ascii="Arial" w:eastAsia="Times New Roman" w:hAnsi="Arial" w:cs="Arial"/>
          <w:kern w:val="0"/>
          <w:shd w:val="clear" w:color="auto" w:fill="FFFFFF"/>
          <w:lang w:eastAsia="en-GB"/>
          <w14:ligatures w14:val="none"/>
        </w:rPr>
        <w:t>Exchange,</w:t>
      </w:r>
      <w:r w:rsidRPr="00891F5D">
        <w:rPr>
          <w:rFonts w:ascii="Arial" w:eastAsia="Times New Roman" w:hAnsi="Arial" w:cs="Arial"/>
          <w:kern w:val="0"/>
          <w:shd w:val="clear" w:color="auto" w:fill="FFFFFF"/>
          <w:lang w:eastAsia="en-GB"/>
          <w14:ligatures w14:val="none"/>
        </w:rPr>
        <w:t xml:space="preserve"> and part of the Dax Stock index from September 2018 to August 2020. The company had been plagued by a series of investigative reports from the Financial Times into claims regarding Accounting Fraud. At one point the company had a market capitalisation of 24 billion euros and just before it became insolvent it was valued at 12 billion euros (The Financial Controller, 2020).</w:t>
      </w:r>
    </w:p>
    <w:p w14:paraId="2310C3E6" w14:textId="3A83433E" w:rsidR="00891F5D" w:rsidRPr="00891F5D" w:rsidRDefault="00891F5D" w:rsidP="00891F5D">
      <w:pPr>
        <w:spacing w:before="100" w:beforeAutospacing="1" w:after="100" w:afterAutospacing="1" w:line="480" w:lineRule="auto"/>
        <w:jc w:val="both"/>
        <w:rPr>
          <w:rFonts w:ascii="Arial" w:eastAsia="Times New Roman" w:hAnsi="Arial" w:cs="Arial"/>
          <w:kern w:val="0"/>
          <w:shd w:val="clear" w:color="auto" w:fill="FFFFFF"/>
          <w:lang w:eastAsia="en-GB"/>
          <w14:ligatures w14:val="none"/>
        </w:rPr>
      </w:pPr>
      <w:r w:rsidRPr="00891F5D">
        <w:rPr>
          <w:rFonts w:ascii="Arial" w:eastAsia="Times New Roman" w:hAnsi="Arial" w:cs="Arial"/>
          <w:kern w:val="0"/>
          <w:shd w:val="clear" w:color="auto" w:fill="FFFFFF"/>
          <w:lang w:eastAsia="en-GB"/>
          <w14:ligatures w14:val="none"/>
        </w:rPr>
        <w:t>There was a major period of expansion and Wirecard Asia Pacific was founded in Singapore in 2007 (Rae, 2017). In 2008, Wirecard was highly innovative and introduced virtual prepaid credit cards for online payment and ironically in 2009 a fraud prevention suite for fraud detection (Wirecard, 2009). In 2014, Wirecard aggressively expanded into Oceania, Africa, and the Middle East. The 2016 acquisition of</w:t>
      </w:r>
      <w:r w:rsidRPr="00891F5D">
        <w:rPr>
          <w:rFonts w:ascii="Arial" w:eastAsia="Times New Roman" w:hAnsi="Arial" w:cs="Arial"/>
          <w:i/>
          <w:iCs/>
          <w:kern w:val="0"/>
          <w:shd w:val="clear" w:color="auto" w:fill="FFFFFF"/>
          <w:lang w:eastAsia="en-GB"/>
          <w14:ligatures w14:val="none"/>
        </w:rPr>
        <w:t xml:space="preserve"> Prepaid Card Services</w:t>
      </w:r>
      <w:r w:rsidRPr="00891F5D">
        <w:rPr>
          <w:rFonts w:ascii="Arial" w:eastAsia="Times New Roman" w:hAnsi="Arial" w:cs="Arial"/>
          <w:kern w:val="0"/>
          <w:shd w:val="clear" w:color="auto" w:fill="FFFFFF"/>
          <w:lang w:eastAsia="en-GB"/>
          <w14:ligatures w14:val="none"/>
        </w:rPr>
        <w:t xml:space="preserve"> from Citigroup gave the company a foothold into the Americas resulting in the same year a purchase of a South American Internet payment service provider </w:t>
      </w:r>
      <w:r w:rsidRPr="00891F5D">
        <w:rPr>
          <w:rFonts w:ascii="Arial" w:eastAsia="Times New Roman" w:hAnsi="Arial" w:cs="Arial"/>
          <w:kern w:val="0"/>
          <w:shd w:val="clear" w:color="auto" w:fill="FFFFFF"/>
          <w:lang w:eastAsia="en-GB"/>
          <w14:ligatures w14:val="none"/>
        </w:rPr>
        <w:lastRenderedPageBreak/>
        <w:t>in Brazil. In 2019, </w:t>
      </w:r>
      <w:r w:rsidRPr="00891F5D">
        <w:rPr>
          <w:rFonts w:asciiTheme="minorBidi" w:eastAsia="Times New Roman" w:hAnsiTheme="minorBidi"/>
          <w:kern w:val="0"/>
          <w:lang w:eastAsia="en-GB"/>
          <w14:ligatures w14:val="none"/>
        </w:rPr>
        <w:t>Softbank</w:t>
      </w:r>
      <w:r w:rsidRPr="00891F5D">
        <w:rPr>
          <w:rFonts w:ascii="Arial" w:eastAsia="Times New Roman" w:hAnsi="Arial" w:cs="Arial"/>
          <w:kern w:val="0"/>
          <w:lang w:eastAsia="en-GB"/>
          <w14:ligatures w14:val="none"/>
        </w:rPr>
        <w:t xml:space="preserve"> even</w:t>
      </w:r>
      <w:r w:rsidRPr="00891F5D">
        <w:rPr>
          <w:rFonts w:ascii="Arial" w:eastAsia="Times New Roman" w:hAnsi="Arial" w:cs="Arial"/>
          <w:kern w:val="0"/>
          <w:shd w:val="clear" w:color="auto" w:fill="FFFFFF"/>
          <w:lang w:eastAsia="en-GB"/>
          <w14:ligatures w14:val="none"/>
        </w:rPr>
        <w:t xml:space="preserve"> invested in </w:t>
      </w:r>
      <w:r w:rsidR="00FE3B59" w:rsidRPr="00891F5D">
        <w:rPr>
          <w:rFonts w:ascii="Arial" w:eastAsia="Times New Roman" w:hAnsi="Arial" w:cs="Arial"/>
          <w:kern w:val="0"/>
          <w:shd w:val="clear" w:color="auto" w:fill="FFFFFF"/>
          <w:lang w:eastAsia="en-GB"/>
          <w14:ligatures w14:val="none"/>
        </w:rPr>
        <w:t>Wirecard,</w:t>
      </w:r>
      <w:r w:rsidRPr="00891F5D">
        <w:rPr>
          <w:rFonts w:ascii="Arial" w:eastAsia="Times New Roman" w:hAnsi="Arial" w:cs="Arial"/>
          <w:kern w:val="0"/>
          <w:shd w:val="clear" w:color="auto" w:fill="FFFFFF"/>
          <w:lang w:eastAsia="en-GB"/>
          <w14:ligatures w14:val="none"/>
        </w:rPr>
        <w:t xml:space="preserve"> and the company made its Chinese entry in 2019 with the acquisition of the Beijing based </w:t>
      </w:r>
      <w:r w:rsidR="00FE3B59" w:rsidRPr="00891F5D">
        <w:rPr>
          <w:rFonts w:ascii="Arial" w:eastAsia="Times New Roman" w:hAnsi="Arial" w:cs="Arial"/>
          <w:i/>
          <w:iCs/>
          <w:kern w:val="0"/>
          <w:shd w:val="clear" w:color="auto" w:fill="FFFFFF"/>
          <w:lang w:eastAsia="en-GB"/>
          <w14:ligatures w14:val="none"/>
        </w:rPr>
        <w:t>All Score</w:t>
      </w:r>
      <w:r w:rsidRPr="00891F5D">
        <w:rPr>
          <w:rFonts w:ascii="Arial" w:eastAsia="Times New Roman" w:hAnsi="Arial" w:cs="Arial"/>
          <w:i/>
          <w:iCs/>
          <w:kern w:val="0"/>
          <w:shd w:val="clear" w:color="auto" w:fill="FFFFFF"/>
          <w:lang w:eastAsia="en-GB"/>
          <w14:ligatures w14:val="none"/>
        </w:rPr>
        <w:t xml:space="preserve"> Payment Services</w:t>
      </w:r>
      <w:r w:rsidRPr="00891F5D">
        <w:rPr>
          <w:rFonts w:ascii="Arial" w:eastAsia="Times New Roman" w:hAnsi="Arial" w:cs="Arial"/>
          <w:kern w:val="0"/>
          <w:shd w:val="clear" w:color="auto" w:fill="FFFFFF"/>
          <w:lang w:eastAsia="en-GB"/>
          <w14:ligatures w14:val="none"/>
        </w:rPr>
        <w:t xml:space="preserve">. The spectacular expansion and acquisitions masked the Accounting Fraud which was fuelling its duplicitous success. It later transpired that the company was utilizing </w:t>
      </w:r>
      <w:r w:rsidRPr="00891F5D">
        <w:rPr>
          <w:rFonts w:ascii="Arial" w:eastAsia="Times New Roman" w:hAnsi="Arial" w:cs="Arial"/>
          <w:kern w:val="0"/>
          <w:lang w:eastAsia="en-GB"/>
          <w14:ligatures w14:val="none"/>
        </w:rPr>
        <w:t>the “round tripping” scheme from its Singapore office to deceive its external auditors and record fictitious revenue (Jo et al, 2021). The scam was engineered by Edo Kurniawan, the  former Head of Accounting for Asia-Pacific Operations, who instructed his colleagues in this nefarious technique  where “a lump of money would leave the bank Wirecard owns in Germany, show its face on the balance sheet of a dormant subsidiary in Hong Kong, depart to sit momentarily in the books of an external “customer”, then travel back to Wirecard in India, where it would look to local auditors like legitimate business revenue” (McCrum and Palma, 2019). The Financial Times in 2019 reported that profits at Wirecard Dubai and Dublin were falsely overstated by fictitious sales (McCrum, 2020). The grossly inflated revenue allowed Wirecard to even borrow 3.2 billion euros from banks and investors and gain a coveted bank license from the Hong Kong Monetary Authority to supply prepaid bank cards to consumers and organisations in China.</w:t>
      </w:r>
      <w:r w:rsidRPr="00891F5D">
        <w:rPr>
          <w:rFonts w:ascii="Arial" w:eastAsia="Times New Roman" w:hAnsi="Arial" w:cs="Arial"/>
          <w:kern w:val="0"/>
          <w:shd w:val="clear" w:color="auto" w:fill="FFFFFF"/>
          <w:lang w:eastAsia="en-GB"/>
          <w14:ligatures w14:val="none"/>
        </w:rPr>
        <w:t xml:space="preserve"> </w:t>
      </w:r>
      <w:r w:rsidRPr="00891F5D">
        <w:rPr>
          <w:rFonts w:ascii="Arial" w:eastAsia="Times New Roman" w:hAnsi="Arial" w:cs="Arial"/>
          <w:kern w:val="0"/>
          <w:lang w:eastAsia="en-GB"/>
          <w14:ligatures w14:val="none"/>
        </w:rPr>
        <w:t>When it was officially discovered by EY that 1.9 billion euros had gone missing from the company escrow account it hastened the end of Wirecard who quickly defaulted on its multibillion-euro loans and became Germany’s biggest accounting scandal</w:t>
      </w:r>
      <w:r w:rsidRPr="00891F5D">
        <w:rPr>
          <w:rFonts w:ascii="Arial" w:eastAsia="Times New Roman" w:hAnsi="Arial" w:cs="Arial"/>
          <w:kern w:val="0"/>
          <w:shd w:val="clear" w:color="auto" w:fill="FFFFFF"/>
          <w:lang w:eastAsia="en-GB"/>
          <w14:ligatures w14:val="none"/>
        </w:rPr>
        <w:t xml:space="preserve"> to date.</w:t>
      </w:r>
    </w:p>
    <w:p w14:paraId="55381FC7"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bookmarkStart w:id="431" w:name="48"/>
      <w:r w:rsidRPr="00891F5D">
        <w:rPr>
          <w:rFonts w:ascii="Arial" w:eastAsiaTheme="minorHAnsi" w:hAnsi="Arial" w:cs="Arial"/>
          <w:kern w:val="0"/>
          <w:lang w:val="en-US" w:eastAsia="en-US"/>
          <w14:ligatures w14:val="none"/>
        </w:rPr>
        <w:t>Thus far it is apparent that Accounting Fraud occurs because of multiple factors, including greed and misinterpreting or aggressively applying accounting standards, all in a bid to maintain profitability and, ultimately, a stable and growing share price. These latter factors will be fully explored in the next chapter.</w:t>
      </w:r>
      <w:bookmarkStart w:id="432" w:name="49"/>
      <w:bookmarkEnd w:id="431"/>
    </w:p>
    <w:p w14:paraId="75DC95BD" w14:textId="77777777" w:rsidR="00911121" w:rsidRDefault="00911121"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477843C0" w14:textId="3F31D59C" w:rsid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lastRenderedPageBreak/>
        <w:t>Accounting Fraud causes major damage to internal and external stakeholders such as investors, employees, and society at large (</w:t>
      </w:r>
      <w:r w:rsidRPr="00891F5D">
        <w:rPr>
          <w:rFonts w:ascii="Arial" w:eastAsiaTheme="minorHAnsi" w:hAnsi="Arial" w:cs="Arial"/>
          <w:kern w:val="0"/>
          <w:lang w:eastAsia="en-US"/>
          <w14:ligatures w14:val="none"/>
        </w:rPr>
        <w:t>Coenen, 2008; Kalbers 2009; Chen et al., 2013)</w:t>
      </w:r>
      <w:r w:rsidRPr="00891F5D">
        <w:rPr>
          <w:rFonts w:ascii="Arial" w:eastAsiaTheme="minorHAnsi" w:hAnsi="Arial" w:cs="Arial"/>
          <w:kern w:val="0"/>
          <w:lang w:val="en-US" w:eastAsia="en-US"/>
          <w14:ligatures w14:val="none"/>
        </w:rPr>
        <w:t>. Accounting Fraud occurs in approximately 10 percent of internal fraud cases; however, the median cost of Accounting Fraud is $975k in comparison with asset misappropriation that has a median loss of $125k in 83.5 percent of cases (ACFE, 2016). Kassem and Higson (2012) suggest that major accounting scandals, for example Enron, have increased the concerns of investors in Accounting Fraud. The Chairman of the SEC commented in the aftermath of the global financial crunch that:</w:t>
      </w:r>
    </w:p>
    <w:p w14:paraId="0A044936" w14:textId="77777777" w:rsidR="00911121" w:rsidRPr="00891F5D" w:rsidRDefault="00911121"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bookmarkEnd w:id="432"/>
    <w:p w14:paraId="6BCBE641"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“One of the fundamental requirements for rational investing and efficient capital formation is the availability of high-quality information. One of our core functions is collecting and making publicly available financial and other relevant information from public companies.” (Cited Jackson, 2015:6)</w:t>
      </w:r>
    </w:p>
    <w:p w14:paraId="084D2CB9" w14:textId="77777777" w:rsidR="00891F5D" w:rsidRPr="00891F5D" w:rsidRDefault="00891F5D" w:rsidP="00891F5D">
      <w:pPr>
        <w:autoSpaceDE w:val="0"/>
        <w:autoSpaceDN w:val="0"/>
        <w:adjustRightInd w:val="0"/>
        <w:spacing w:after="0"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Hence, the well-being of financial markets is dependent on the production of robust financial information, i.e., financial statements, and Accounting Fraud the antithesis of financial fair play</w:t>
      </w:r>
    </w:p>
    <w:p w14:paraId="13B97845" w14:textId="0FCB4A11" w:rsidR="00891F5D" w:rsidRPr="00891F5D" w:rsidRDefault="00891F5D" w:rsidP="00891F5D">
      <w:pPr>
        <w:spacing w:line="480" w:lineRule="auto"/>
        <w:jc w:val="both"/>
        <w:rPr>
          <w:rFonts w:ascii="Arial" w:hAnsi="Arial" w:cs="Arial"/>
          <w:lang w:val="en-US"/>
        </w:rPr>
      </w:pPr>
      <w:r w:rsidRPr="00891F5D">
        <w:rPr>
          <w:rFonts w:ascii="Arial" w:hAnsi="Arial" w:cs="Arial"/>
          <w:lang w:val="en-US"/>
        </w:rPr>
        <w:t xml:space="preserve">In the following section the </w:t>
      </w:r>
      <w:r w:rsidR="007951D3">
        <w:rPr>
          <w:rFonts w:ascii="Arial" w:eastAsiaTheme="minorHAnsi" w:hAnsi="Arial" w:cs="Arial"/>
          <w:kern w:val="0"/>
          <w:lang w:eastAsia="en-US"/>
          <w14:ligatures w14:val="none"/>
        </w:rPr>
        <w:t>researcher</w:t>
      </w:r>
      <w:r w:rsidRPr="00891F5D">
        <w:rPr>
          <w:rFonts w:ascii="Arial" w:hAnsi="Arial" w:cs="Arial"/>
          <w:lang w:val="en-US"/>
        </w:rPr>
        <w:t xml:space="preserve"> will </w:t>
      </w:r>
      <w:r w:rsidR="00FE3B59" w:rsidRPr="00891F5D">
        <w:rPr>
          <w:rFonts w:ascii="Arial" w:hAnsi="Arial" w:cs="Arial"/>
          <w:lang w:val="en-US"/>
        </w:rPr>
        <w:t>summarize</w:t>
      </w:r>
      <w:r w:rsidRPr="00891F5D">
        <w:rPr>
          <w:rFonts w:ascii="Arial" w:hAnsi="Arial" w:cs="Arial"/>
          <w:lang w:val="en-US"/>
        </w:rPr>
        <w:t xml:space="preserve"> the preceding Accounting Scandals based on:</w:t>
      </w:r>
    </w:p>
    <w:p w14:paraId="4D47B859" w14:textId="26A4EB11" w:rsidR="00891F5D" w:rsidRPr="0021696B" w:rsidRDefault="0021696B" w:rsidP="0021696B">
      <w:pPr>
        <w:rPr>
          <w:rFonts w:asciiTheme="minorBidi" w:hAnsiTheme="minorBidi"/>
          <w:b/>
          <w:bCs/>
          <w:i/>
          <w:iCs/>
        </w:rPr>
      </w:pPr>
      <w:r w:rsidRPr="0021696B">
        <w:rPr>
          <w:rFonts w:asciiTheme="minorBidi" w:hAnsiTheme="minorBidi"/>
          <w:b/>
          <w:bCs/>
          <w:i/>
          <w:iCs/>
        </w:rPr>
        <w:t>a.</w:t>
      </w:r>
      <w:r w:rsidRPr="0021696B">
        <w:rPr>
          <w:rFonts w:asciiTheme="minorBidi" w:hAnsiTheme="minorBidi"/>
          <w:b/>
          <w:bCs/>
          <w:i/>
          <w:iCs/>
        </w:rPr>
        <w:tab/>
      </w:r>
      <w:r w:rsidR="00891F5D" w:rsidRPr="0021696B">
        <w:rPr>
          <w:rFonts w:asciiTheme="minorBidi" w:hAnsiTheme="minorBidi"/>
          <w:b/>
          <w:bCs/>
          <w:i/>
          <w:iCs/>
        </w:rPr>
        <w:t>Inappropriate Revenue Recognition</w:t>
      </w:r>
    </w:p>
    <w:p w14:paraId="5377FA89" w14:textId="77777777" w:rsidR="00891F5D" w:rsidRPr="0021696B" w:rsidRDefault="00891F5D" w:rsidP="0021696B">
      <w:pPr>
        <w:rPr>
          <w:rFonts w:asciiTheme="minorBidi" w:hAnsiTheme="minorBidi"/>
          <w:b/>
          <w:bCs/>
          <w:i/>
          <w:iCs/>
          <w:lang w:val="en-US" w:eastAsia="en-US"/>
        </w:rPr>
      </w:pPr>
      <w:r w:rsidRPr="0021696B">
        <w:rPr>
          <w:rFonts w:asciiTheme="minorBidi" w:hAnsiTheme="minorBidi"/>
          <w:b/>
          <w:bCs/>
          <w:i/>
          <w:iCs/>
          <w:lang w:val="en-US" w:eastAsia="en-US"/>
        </w:rPr>
        <w:t xml:space="preserve">b. </w:t>
      </w:r>
      <w:r w:rsidRPr="0021696B">
        <w:rPr>
          <w:rFonts w:asciiTheme="minorBidi" w:hAnsiTheme="minorBidi"/>
          <w:b/>
          <w:bCs/>
          <w:i/>
          <w:iCs/>
          <w:lang w:val="en-US" w:eastAsia="en-US"/>
        </w:rPr>
        <w:tab/>
        <w:t>Inappropriate Asset Recognition</w:t>
      </w:r>
    </w:p>
    <w:p w14:paraId="3CD32932" w14:textId="77777777" w:rsidR="00891F5D" w:rsidRPr="0021696B" w:rsidRDefault="00891F5D" w:rsidP="0021696B">
      <w:pPr>
        <w:rPr>
          <w:rFonts w:asciiTheme="minorBidi" w:hAnsiTheme="minorBidi"/>
          <w:b/>
          <w:bCs/>
          <w:i/>
          <w:iCs/>
          <w:lang w:val="en-US" w:eastAsia="en-US"/>
        </w:rPr>
      </w:pPr>
      <w:r w:rsidRPr="0021696B">
        <w:rPr>
          <w:rFonts w:asciiTheme="minorBidi" w:hAnsiTheme="minorBidi"/>
          <w:b/>
          <w:bCs/>
          <w:i/>
          <w:iCs/>
          <w:lang w:val="en-US" w:eastAsia="en-US"/>
        </w:rPr>
        <w:t>c.</w:t>
      </w:r>
      <w:r w:rsidRPr="0021696B">
        <w:rPr>
          <w:rFonts w:asciiTheme="minorBidi" w:hAnsiTheme="minorBidi"/>
          <w:b/>
          <w:bCs/>
          <w:i/>
          <w:iCs/>
          <w:lang w:val="en-US" w:eastAsia="en-US"/>
        </w:rPr>
        <w:tab/>
        <w:t>Hidden Liabilities and Expenses</w:t>
      </w:r>
    </w:p>
    <w:p w14:paraId="31EABF8F" w14:textId="0A359BFC" w:rsidR="00891F5D" w:rsidRDefault="00891F5D" w:rsidP="00911121">
      <w:pPr>
        <w:rPr>
          <w:rFonts w:asciiTheme="minorBidi" w:hAnsiTheme="minorBidi"/>
          <w:b/>
          <w:bCs/>
          <w:i/>
          <w:iCs/>
          <w:lang w:val="en-US" w:eastAsia="en-US"/>
        </w:rPr>
      </w:pPr>
      <w:r w:rsidRPr="0021696B">
        <w:rPr>
          <w:rFonts w:asciiTheme="minorBidi" w:hAnsiTheme="minorBidi"/>
          <w:b/>
          <w:bCs/>
          <w:i/>
          <w:iCs/>
          <w:lang w:val="en-US" w:eastAsia="en-US"/>
        </w:rPr>
        <w:t xml:space="preserve">d. </w:t>
      </w:r>
      <w:r w:rsidRPr="0021696B">
        <w:rPr>
          <w:rFonts w:asciiTheme="minorBidi" w:hAnsiTheme="minorBidi"/>
          <w:b/>
          <w:bCs/>
          <w:i/>
          <w:iCs/>
          <w:lang w:val="en-US" w:eastAsia="en-US"/>
        </w:rPr>
        <w:tab/>
        <w:t>Inappropriate Disclosure</w:t>
      </w:r>
    </w:p>
    <w:p w14:paraId="350037F5" w14:textId="77777777" w:rsidR="00911121" w:rsidRDefault="00911121" w:rsidP="00911121">
      <w:pPr>
        <w:rPr>
          <w:rFonts w:asciiTheme="minorBidi" w:hAnsiTheme="minorBidi"/>
          <w:b/>
          <w:bCs/>
          <w:i/>
          <w:iCs/>
          <w:lang w:val="en-US" w:eastAsia="en-US"/>
        </w:rPr>
      </w:pPr>
    </w:p>
    <w:p w14:paraId="51230459" w14:textId="77777777" w:rsidR="003E44A1" w:rsidRDefault="003E44A1" w:rsidP="00911121">
      <w:pPr>
        <w:rPr>
          <w:rFonts w:asciiTheme="minorBidi" w:hAnsiTheme="minorBidi"/>
          <w:b/>
          <w:bCs/>
          <w:i/>
          <w:iCs/>
          <w:lang w:val="en-US" w:eastAsia="en-US"/>
        </w:rPr>
      </w:pPr>
    </w:p>
    <w:p w14:paraId="5FDCEA75" w14:textId="77777777" w:rsidR="003E44A1" w:rsidRPr="00911121" w:rsidRDefault="003E44A1" w:rsidP="00911121">
      <w:pPr>
        <w:rPr>
          <w:rFonts w:asciiTheme="minorBidi" w:hAnsiTheme="minorBidi"/>
          <w:b/>
          <w:bCs/>
          <w:i/>
          <w:iCs/>
          <w:lang w:val="en-US" w:eastAsia="en-US"/>
        </w:rPr>
      </w:pPr>
    </w:p>
    <w:bookmarkStart w:id="433" w:name="Q"/>
    <w:bookmarkStart w:id="434" w:name="D31"/>
    <w:p w14:paraId="15C39177" w14:textId="67323816" w:rsidR="00891F5D" w:rsidRPr="00891F5D" w:rsidRDefault="008D7015" w:rsidP="00891F5D">
      <w:pPr>
        <w:pBdr>
          <w:top w:val="single" w:sz="4" w:space="0" w:color="auto"/>
          <w:left w:val="single" w:sz="4" w:space="4" w:color="auto"/>
          <w:bottom w:val="single" w:sz="4" w:space="1" w:color="auto"/>
          <w:right w:val="single" w:sz="4" w:space="4" w:color="auto"/>
        </w:pBdr>
        <w:spacing w:line="360" w:lineRule="auto"/>
        <w:rPr>
          <w:rFonts w:asciiTheme="minorBidi" w:eastAsiaTheme="minorHAnsi" w:hAnsiTheme="minorBidi"/>
          <w:b/>
          <w:bCs/>
          <w:kern w:val="0"/>
          <w:lang w:eastAsia="en-US"/>
          <w14:ligatures w14:val="none"/>
        </w:rPr>
      </w:pPr>
      <w:r>
        <w:rPr>
          <w:rFonts w:asciiTheme="minorBidi" w:eastAsiaTheme="minorHAnsi" w:hAnsiTheme="minorBidi"/>
          <w:b/>
          <w:bCs/>
          <w:kern w:val="0"/>
          <w:lang w:eastAsia="en-US"/>
          <w14:ligatures w14:val="none"/>
        </w:rPr>
        <w:lastRenderedPageBreak/>
        <w:fldChar w:fldCharType="begin"/>
      </w:r>
      <w:r>
        <w:rPr>
          <w:rFonts w:asciiTheme="minorBidi" w:eastAsiaTheme="minorHAnsi" w:hAnsiTheme="minorBidi"/>
          <w:b/>
          <w:bCs/>
          <w:kern w:val="0"/>
          <w:lang w:eastAsia="en-US"/>
          <w14:ligatures w14:val="none"/>
        </w:rPr>
        <w:instrText>HYPERLINK  \l "C31"</w:instrText>
      </w:r>
      <w:r>
        <w:rPr>
          <w:rFonts w:asciiTheme="minorBidi" w:eastAsiaTheme="minorHAnsi" w:hAnsiTheme="minorBidi"/>
          <w:b/>
          <w:bCs/>
          <w:kern w:val="0"/>
          <w:lang w:eastAsia="en-US"/>
          <w14:ligatures w14:val="none"/>
        </w:rPr>
      </w:r>
      <w:r>
        <w:rPr>
          <w:rFonts w:asciiTheme="minorBidi" w:eastAsiaTheme="minorHAnsi" w:hAnsiTheme="minorBidi"/>
          <w:b/>
          <w:bCs/>
          <w:kern w:val="0"/>
          <w:lang w:eastAsia="en-US"/>
          <w14:ligatures w14:val="none"/>
        </w:rPr>
        <w:fldChar w:fldCharType="separate"/>
      </w:r>
      <w:r w:rsidR="00891F5D" w:rsidRPr="008D7015">
        <w:rPr>
          <w:rStyle w:val="Hyperlink"/>
          <w:rFonts w:asciiTheme="minorBidi" w:eastAsiaTheme="minorHAnsi" w:hAnsiTheme="minorBidi"/>
          <w:b/>
          <w:bCs/>
          <w:kern w:val="0"/>
          <w:lang w:eastAsia="en-US"/>
          <w14:ligatures w14:val="none"/>
        </w:rPr>
        <w:t>2.3.9 Summary of Accounting Scandals and Type of Technique</w:t>
      </w:r>
      <w:r>
        <w:rPr>
          <w:rFonts w:asciiTheme="minorBidi" w:eastAsiaTheme="minorHAnsi" w:hAnsiTheme="minorBidi"/>
          <w:b/>
          <w:bCs/>
          <w:kern w:val="0"/>
          <w:lang w:eastAsia="en-US"/>
          <w14:ligatures w14:val="none"/>
        </w:rPr>
        <w:fldChar w:fldCharType="end"/>
      </w:r>
    </w:p>
    <w:bookmarkEnd w:id="433"/>
    <w:bookmarkEnd w:id="434"/>
    <w:p w14:paraId="0AB044C5" w14:textId="77777777" w:rsidR="00891F5D" w:rsidRPr="00891F5D" w:rsidRDefault="00891F5D" w:rsidP="00891F5D">
      <w:pPr>
        <w:spacing w:after="0" w:line="240" w:lineRule="auto"/>
        <w:rPr>
          <w:sz w:val="22"/>
          <w:szCs w:val="22"/>
          <w:lang w:eastAsia="en-US"/>
        </w:rPr>
      </w:pPr>
    </w:p>
    <w:p w14:paraId="274AF86F" w14:textId="77777777" w:rsidR="00891F5D" w:rsidRPr="00891F5D" w:rsidRDefault="00891F5D" w:rsidP="00891F5D">
      <w:pPr>
        <w:spacing w:line="480" w:lineRule="auto"/>
        <w:jc w:val="both"/>
        <w:rPr>
          <w:rFonts w:asciiTheme="minorBidi" w:hAnsiTheme="minorBidi"/>
          <w:iCs/>
          <w:lang w:eastAsia="en-US"/>
        </w:rPr>
      </w:pPr>
      <w:r w:rsidRPr="00891F5D">
        <w:rPr>
          <w:rFonts w:asciiTheme="minorBidi" w:hAnsiTheme="minorBidi"/>
          <w:iCs/>
          <w:lang w:eastAsia="en-US"/>
        </w:rPr>
        <w:t xml:space="preserve">It is apparent from the following summary, see Table 2.2 that Accounting Fraud is multifaceted and a common theme is ‘inappropriate disclosure’ or ‘d’. </w:t>
      </w:r>
      <w:r w:rsidRPr="00891F5D">
        <w:rPr>
          <w:rFonts w:ascii="Arial" w:eastAsiaTheme="minorHAnsi" w:hAnsi="Arial" w:cs="Arial"/>
          <w:kern w:val="0"/>
          <w:lang w:val="en-US" w:eastAsia="en-US"/>
          <w14:ligatures w14:val="none"/>
        </w:rPr>
        <w:t>For example, regarding the Enron debacle it was contended that the company did not sufficiently reveal commitments to SPE (Elder, et al., 2010).  Several studies have established that related party transactions usually take place in companies with poor governance and poor monitoring protocols, which only exacerbate risky behavior such as overstating reported income (</w:t>
      </w:r>
      <w:r w:rsidRPr="00891F5D">
        <w:rPr>
          <w:rFonts w:ascii="Arial" w:eastAsiaTheme="minorHAnsi" w:hAnsi="Arial" w:cs="Arial"/>
          <w:kern w:val="0"/>
          <w:lang w:eastAsia="en-US"/>
          <w14:ligatures w14:val="none"/>
        </w:rPr>
        <w:t>Gordon et al., 2007; Kohlbeck; Mayhew, 2004)</w:t>
      </w:r>
      <w:r w:rsidRPr="00891F5D">
        <w:rPr>
          <w:rFonts w:ascii="Arial" w:eastAsiaTheme="minorHAnsi" w:hAnsi="Arial" w:cs="Arial"/>
          <w:kern w:val="0"/>
          <w:lang w:val="en-US" w:eastAsia="en-US"/>
          <w14:ligatures w14:val="none"/>
        </w:rPr>
        <w:t>. However, Coenen (2009) states that in the case of loans to related parties (such as directors and officers), which are disallowed by Sarbanes Oxley, regulators do not prohibit related party transactions but expect disclosure</w:t>
      </w:r>
    </w:p>
    <w:p w14:paraId="02297D04" w14:textId="77777777" w:rsidR="00891F5D" w:rsidRPr="00891F5D" w:rsidRDefault="00891F5D" w:rsidP="00891F5D">
      <w:pPr>
        <w:spacing w:line="256" w:lineRule="auto"/>
        <w:jc w:val="both"/>
        <w:rPr>
          <w:rFonts w:asciiTheme="minorBidi" w:hAnsiTheme="minorBidi"/>
          <w:b/>
          <w:bCs/>
          <w:iCs/>
          <w:lang w:eastAsia="en-US"/>
        </w:rPr>
      </w:pPr>
      <w:r w:rsidRPr="00891F5D">
        <w:rPr>
          <w:rFonts w:asciiTheme="minorBidi" w:hAnsiTheme="minorBidi"/>
          <w:b/>
          <w:bCs/>
          <w:iCs/>
          <w:lang w:eastAsia="en-US"/>
        </w:rPr>
        <w:t>Table 2.2 Summary of Accounting Scandals based on ‘a – d’.</w:t>
      </w:r>
    </w:p>
    <w:p w14:paraId="0CADA8E5" w14:textId="77777777" w:rsidR="00891F5D" w:rsidRPr="00891F5D" w:rsidRDefault="00891F5D" w:rsidP="00891F5D">
      <w:pPr>
        <w:spacing w:line="256" w:lineRule="auto"/>
        <w:jc w:val="both"/>
        <w:rPr>
          <w:rFonts w:asciiTheme="minorBidi" w:hAnsiTheme="minorBidi"/>
          <w:iCs/>
          <w:lang w:eastAsia="en-US"/>
        </w:rPr>
      </w:pPr>
    </w:p>
    <w:tbl>
      <w:tblPr>
        <w:tblStyle w:val="TableGrid"/>
        <w:tblW w:w="0" w:type="auto"/>
        <w:tblLook w:val="04A0" w:firstRow="1" w:lastRow="0" w:firstColumn="1" w:lastColumn="0" w:noHBand="0" w:noVBand="1"/>
      </w:tblPr>
      <w:tblGrid>
        <w:gridCol w:w="2689"/>
        <w:gridCol w:w="917"/>
        <w:gridCol w:w="925"/>
        <w:gridCol w:w="993"/>
        <w:gridCol w:w="992"/>
      </w:tblGrid>
      <w:tr w:rsidR="00891F5D" w:rsidRPr="00891F5D" w14:paraId="26D72932" w14:textId="77777777" w:rsidTr="001D4222">
        <w:tc>
          <w:tcPr>
            <w:tcW w:w="2689" w:type="dxa"/>
          </w:tcPr>
          <w:p w14:paraId="7D3513A2" w14:textId="77777777" w:rsidR="00891F5D" w:rsidRPr="00891F5D" w:rsidRDefault="00891F5D" w:rsidP="00891F5D">
            <w:pPr>
              <w:spacing w:line="480" w:lineRule="auto"/>
              <w:rPr>
                <w:rFonts w:asciiTheme="minorBidi" w:hAnsiTheme="minorBidi"/>
                <w:b/>
                <w:bCs/>
                <w:iCs/>
                <w:lang w:val="en-US"/>
              </w:rPr>
            </w:pPr>
            <w:r w:rsidRPr="00891F5D">
              <w:rPr>
                <w:rFonts w:asciiTheme="minorBidi" w:hAnsiTheme="minorBidi"/>
                <w:b/>
                <w:bCs/>
                <w:iCs/>
                <w:lang w:val="en-US"/>
              </w:rPr>
              <w:t>Accounting Scandal</w:t>
            </w:r>
          </w:p>
        </w:tc>
        <w:tc>
          <w:tcPr>
            <w:tcW w:w="917" w:type="dxa"/>
          </w:tcPr>
          <w:p w14:paraId="783F38C2" w14:textId="77777777" w:rsidR="00891F5D" w:rsidRPr="00891F5D" w:rsidRDefault="00891F5D" w:rsidP="00891F5D">
            <w:pPr>
              <w:spacing w:line="480" w:lineRule="auto"/>
              <w:jc w:val="center"/>
              <w:rPr>
                <w:rFonts w:asciiTheme="minorBidi" w:hAnsiTheme="minorBidi"/>
                <w:b/>
                <w:bCs/>
                <w:iCs/>
                <w:lang w:val="en-US"/>
              </w:rPr>
            </w:pPr>
            <w:r w:rsidRPr="00891F5D">
              <w:rPr>
                <w:rFonts w:asciiTheme="minorBidi" w:hAnsiTheme="minorBidi"/>
                <w:b/>
                <w:bCs/>
                <w:iCs/>
                <w:lang w:val="en-US"/>
              </w:rPr>
              <w:t>a</w:t>
            </w:r>
          </w:p>
        </w:tc>
        <w:tc>
          <w:tcPr>
            <w:tcW w:w="925" w:type="dxa"/>
          </w:tcPr>
          <w:p w14:paraId="2C715267" w14:textId="77777777" w:rsidR="00891F5D" w:rsidRPr="00891F5D" w:rsidRDefault="00891F5D" w:rsidP="00891F5D">
            <w:pPr>
              <w:spacing w:line="480" w:lineRule="auto"/>
              <w:jc w:val="center"/>
              <w:rPr>
                <w:rFonts w:asciiTheme="minorBidi" w:hAnsiTheme="minorBidi"/>
                <w:b/>
                <w:bCs/>
                <w:iCs/>
                <w:lang w:val="en-US"/>
              </w:rPr>
            </w:pPr>
            <w:r w:rsidRPr="00891F5D">
              <w:rPr>
                <w:rFonts w:asciiTheme="minorBidi" w:hAnsiTheme="minorBidi"/>
                <w:b/>
                <w:bCs/>
                <w:iCs/>
                <w:lang w:val="en-US"/>
              </w:rPr>
              <w:t>b</w:t>
            </w:r>
          </w:p>
        </w:tc>
        <w:tc>
          <w:tcPr>
            <w:tcW w:w="993" w:type="dxa"/>
          </w:tcPr>
          <w:p w14:paraId="127310DD" w14:textId="77777777" w:rsidR="00891F5D" w:rsidRPr="00891F5D" w:rsidRDefault="00891F5D" w:rsidP="00891F5D">
            <w:pPr>
              <w:spacing w:line="480" w:lineRule="auto"/>
              <w:jc w:val="center"/>
              <w:rPr>
                <w:rFonts w:asciiTheme="minorBidi" w:hAnsiTheme="minorBidi"/>
                <w:b/>
                <w:bCs/>
                <w:iCs/>
                <w:lang w:val="en-US"/>
              </w:rPr>
            </w:pPr>
            <w:r w:rsidRPr="00891F5D">
              <w:rPr>
                <w:rFonts w:asciiTheme="minorBidi" w:hAnsiTheme="minorBidi"/>
                <w:b/>
                <w:bCs/>
                <w:iCs/>
                <w:lang w:val="en-US"/>
              </w:rPr>
              <w:t>c</w:t>
            </w:r>
          </w:p>
        </w:tc>
        <w:tc>
          <w:tcPr>
            <w:tcW w:w="992" w:type="dxa"/>
          </w:tcPr>
          <w:p w14:paraId="635AA0C9" w14:textId="77777777" w:rsidR="00891F5D" w:rsidRPr="00891F5D" w:rsidRDefault="00891F5D" w:rsidP="00891F5D">
            <w:pPr>
              <w:spacing w:line="480" w:lineRule="auto"/>
              <w:jc w:val="center"/>
              <w:rPr>
                <w:rFonts w:asciiTheme="minorBidi" w:hAnsiTheme="minorBidi"/>
                <w:b/>
                <w:bCs/>
                <w:iCs/>
                <w:lang w:val="en-US"/>
              </w:rPr>
            </w:pPr>
            <w:r w:rsidRPr="00891F5D">
              <w:rPr>
                <w:rFonts w:asciiTheme="minorBidi" w:hAnsiTheme="minorBidi"/>
                <w:b/>
                <w:bCs/>
                <w:iCs/>
                <w:lang w:val="en-US"/>
              </w:rPr>
              <w:t>d</w:t>
            </w:r>
          </w:p>
        </w:tc>
      </w:tr>
      <w:tr w:rsidR="00891F5D" w:rsidRPr="00891F5D" w14:paraId="44FED767" w14:textId="77777777" w:rsidTr="001D4222">
        <w:tc>
          <w:tcPr>
            <w:tcW w:w="2689" w:type="dxa"/>
          </w:tcPr>
          <w:p w14:paraId="27542567" w14:textId="77777777" w:rsidR="00891F5D" w:rsidRPr="00891F5D" w:rsidRDefault="00891F5D" w:rsidP="00891F5D">
            <w:pPr>
              <w:spacing w:line="480" w:lineRule="auto"/>
              <w:rPr>
                <w:rFonts w:asciiTheme="minorBidi" w:hAnsiTheme="minorBidi"/>
                <w:b/>
                <w:bCs/>
                <w:iCs/>
                <w:lang w:val="en-US"/>
              </w:rPr>
            </w:pPr>
            <w:r w:rsidRPr="00891F5D">
              <w:rPr>
                <w:rFonts w:asciiTheme="minorBidi" w:hAnsiTheme="minorBidi"/>
                <w:lang w:val="en-US"/>
              </w:rPr>
              <w:t>Enron, 2001</w:t>
            </w:r>
          </w:p>
        </w:tc>
        <w:tc>
          <w:tcPr>
            <w:tcW w:w="917" w:type="dxa"/>
          </w:tcPr>
          <w:p w14:paraId="622BA9C5" w14:textId="77777777" w:rsidR="00891F5D" w:rsidRPr="00891F5D" w:rsidRDefault="00891F5D" w:rsidP="00891F5D">
            <w:pPr>
              <w:spacing w:line="480" w:lineRule="auto"/>
              <w:jc w:val="center"/>
              <w:rPr>
                <w:rFonts w:asciiTheme="minorBidi" w:hAnsiTheme="minorBidi"/>
                <w:b/>
                <w:bCs/>
                <w:iCs/>
                <w:lang w:val="en-US"/>
              </w:rPr>
            </w:pPr>
            <w:r w:rsidRPr="00891F5D">
              <w:rPr>
                <w:rFonts w:asciiTheme="minorBidi" w:hAnsiTheme="minorBidi"/>
                <w:b/>
                <w:bCs/>
                <w:iCs/>
                <w:lang w:val="en-US"/>
              </w:rPr>
              <w:t>x</w:t>
            </w:r>
          </w:p>
        </w:tc>
        <w:tc>
          <w:tcPr>
            <w:tcW w:w="925" w:type="dxa"/>
          </w:tcPr>
          <w:p w14:paraId="401CE41A" w14:textId="77777777" w:rsidR="00891F5D" w:rsidRPr="00891F5D" w:rsidRDefault="00891F5D" w:rsidP="00891F5D">
            <w:pPr>
              <w:spacing w:line="480" w:lineRule="auto"/>
              <w:jc w:val="center"/>
              <w:rPr>
                <w:rFonts w:asciiTheme="minorBidi" w:hAnsiTheme="minorBidi"/>
                <w:b/>
                <w:bCs/>
                <w:iCs/>
                <w:lang w:val="en-US"/>
              </w:rPr>
            </w:pPr>
          </w:p>
        </w:tc>
        <w:tc>
          <w:tcPr>
            <w:tcW w:w="993" w:type="dxa"/>
          </w:tcPr>
          <w:p w14:paraId="2F6784C0" w14:textId="77777777" w:rsidR="00891F5D" w:rsidRPr="00891F5D" w:rsidRDefault="00891F5D" w:rsidP="00891F5D">
            <w:pPr>
              <w:spacing w:line="480" w:lineRule="auto"/>
              <w:jc w:val="center"/>
              <w:rPr>
                <w:rFonts w:asciiTheme="minorBidi" w:hAnsiTheme="minorBidi"/>
                <w:b/>
                <w:bCs/>
                <w:iCs/>
                <w:lang w:val="en-US"/>
              </w:rPr>
            </w:pPr>
            <w:r w:rsidRPr="00891F5D">
              <w:rPr>
                <w:rFonts w:asciiTheme="minorBidi" w:hAnsiTheme="minorBidi"/>
                <w:b/>
                <w:bCs/>
                <w:iCs/>
                <w:lang w:val="en-US"/>
              </w:rPr>
              <w:t>x</w:t>
            </w:r>
          </w:p>
        </w:tc>
        <w:tc>
          <w:tcPr>
            <w:tcW w:w="992" w:type="dxa"/>
          </w:tcPr>
          <w:p w14:paraId="315C8248" w14:textId="77777777" w:rsidR="00891F5D" w:rsidRPr="00891F5D" w:rsidRDefault="00891F5D" w:rsidP="00891F5D">
            <w:pPr>
              <w:spacing w:line="480" w:lineRule="auto"/>
              <w:jc w:val="center"/>
              <w:rPr>
                <w:rFonts w:asciiTheme="minorBidi" w:hAnsiTheme="minorBidi"/>
                <w:b/>
                <w:bCs/>
                <w:iCs/>
                <w:lang w:val="en-US"/>
              </w:rPr>
            </w:pPr>
            <w:r w:rsidRPr="00891F5D">
              <w:rPr>
                <w:rFonts w:asciiTheme="minorBidi" w:hAnsiTheme="minorBidi"/>
                <w:b/>
                <w:bCs/>
                <w:iCs/>
                <w:lang w:val="en-US"/>
              </w:rPr>
              <w:t>x</w:t>
            </w:r>
          </w:p>
        </w:tc>
      </w:tr>
      <w:tr w:rsidR="00891F5D" w:rsidRPr="00891F5D" w14:paraId="3ABB28C2" w14:textId="77777777" w:rsidTr="001D4222">
        <w:tc>
          <w:tcPr>
            <w:tcW w:w="2689" w:type="dxa"/>
          </w:tcPr>
          <w:p w14:paraId="7F9A5CB0" w14:textId="77777777" w:rsidR="00891F5D" w:rsidRPr="00891F5D" w:rsidRDefault="00891F5D" w:rsidP="00891F5D">
            <w:pPr>
              <w:spacing w:line="480" w:lineRule="auto"/>
              <w:rPr>
                <w:rFonts w:asciiTheme="minorBidi" w:hAnsiTheme="minorBidi"/>
                <w:b/>
                <w:bCs/>
                <w:iCs/>
                <w:lang w:val="en-US"/>
              </w:rPr>
            </w:pPr>
            <w:r w:rsidRPr="00891F5D">
              <w:rPr>
                <w:rFonts w:asciiTheme="minorBidi" w:hAnsiTheme="minorBidi"/>
                <w:lang w:val="en-US"/>
              </w:rPr>
              <w:t>WorldCom, 2002</w:t>
            </w:r>
          </w:p>
        </w:tc>
        <w:tc>
          <w:tcPr>
            <w:tcW w:w="917" w:type="dxa"/>
          </w:tcPr>
          <w:p w14:paraId="5FE2B6B5" w14:textId="77777777" w:rsidR="00891F5D" w:rsidRPr="00891F5D" w:rsidRDefault="00891F5D" w:rsidP="00891F5D">
            <w:pPr>
              <w:spacing w:line="480" w:lineRule="auto"/>
              <w:jc w:val="center"/>
              <w:rPr>
                <w:rFonts w:asciiTheme="minorBidi" w:hAnsiTheme="minorBidi"/>
                <w:b/>
                <w:bCs/>
                <w:iCs/>
                <w:lang w:val="en-US"/>
              </w:rPr>
            </w:pPr>
            <w:r w:rsidRPr="00891F5D">
              <w:rPr>
                <w:rFonts w:asciiTheme="minorBidi" w:hAnsiTheme="minorBidi"/>
                <w:b/>
                <w:bCs/>
                <w:iCs/>
                <w:lang w:val="en-US"/>
              </w:rPr>
              <w:t>x</w:t>
            </w:r>
          </w:p>
        </w:tc>
        <w:tc>
          <w:tcPr>
            <w:tcW w:w="925" w:type="dxa"/>
          </w:tcPr>
          <w:p w14:paraId="178837D1" w14:textId="77777777" w:rsidR="00891F5D" w:rsidRPr="00891F5D" w:rsidRDefault="00891F5D" w:rsidP="00891F5D">
            <w:pPr>
              <w:spacing w:line="480" w:lineRule="auto"/>
              <w:jc w:val="center"/>
              <w:rPr>
                <w:rFonts w:asciiTheme="minorBidi" w:hAnsiTheme="minorBidi"/>
                <w:b/>
                <w:bCs/>
                <w:iCs/>
                <w:lang w:val="en-US"/>
              </w:rPr>
            </w:pPr>
            <w:r w:rsidRPr="00891F5D">
              <w:rPr>
                <w:rFonts w:asciiTheme="minorBidi" w:hAnsiTheme="minorBidi"/>
                <w:b/>
                <w:bCs/>
                <w:iCs/>
                <w:lang w:val="en-US"/>
              </w:rPr>
              <w:t>x</w:t>
            </w:r>
          </w:p>
        </w:tc>
        <w:tc>
          <w:tcPr>
            <w:tcW w:w="993" w:type="dxa"/>
          </w:tcPr>
          <w:p w14:paraId="5FD1FC47" w14:textId="77777777" w:rsidR="00891F5D" w:rsidRPr="00891F5D" w:rsidRDefault="00891F5D" w:rsidP="00891F5D">
            <w:pPr>
              <w:spacing w:line="480" w:lineRule="auto"/>
              <w:jc w:val="center"/>
              <w:rPr>
                <w:rFonts w:asciiTheme="minorBidi" w:hAnsiTheme="minorBidi"/>
                <w:b/>
                <w:bCs/>
                <w:iCs/>
                <w:lang w:val="en-US"/>
              </w:rPr>
            </w:pPr>
          </w:p>
        </w:tc>
        <w:tc>
          <w:tcPr>
            <w:tcW w:w="992" w:type="dxa"/>
          </w:tcPr>
          <w:p w14:paraId="15C82835" w14:textId="77777777" w:rsidR="00891F5D" w:rsidRPr="00891F5D" w:rsidRDefault="00891F5D" w:rsidP="00891F5D">
            <w:pPr>
              <w:spacing w:line="480" w:lineRule="auto"/>
              <w:jc w:val="center"/>
              <w:rPr>
                <w:rFonts w:asciiTheme="minorBidi" w:hAnsiTheme="minorBidi"/>
                <w:b/>
                <w:bCs/>
                <w:iCs/>
                <w:lang w:val="en-US"/>
              </w:rPr>
            </w:pPr>
            <w:r w:rsidRPr="00891F5D">
              <w:rPr>
                <w:rFonts w:asciiTheme="minorBidi" w:hAnsiTheme="minorBidi"/>
                <w:b/>
                <w:bCs/>
                <w:iCs/>
                <w:lang w:val="en-US"/>
              </w:rPr>
              <w:t>x</w:t>
            </w:r>
          </w:p>
        </w:tc>
      </w:tr>
      <w:tr w:rsidR="00891F5D" w:rsidRPr="00891F5D" w14:paraId="424D8E65" w14:textId="77777777" w:rsidTr="001D4222">
        <w:tc>
          <w:tcPr>
            <w:tcW w:w="2689" w:type="dxa"/>
          </w:tcPr>
          <w:p w14:paraId="39177A76" w14:textId="77777777" w:rsidR="00891F5D" w:rsidRPr="00891F5D" w:rsidRDefault="00891F5D" w:rsidP="00891F5D">
            <w:pPr>
              <w:spacing w:line="480" w:lineRule="auto"/>
              <w:rPr>
                <w:rFonts w:asciiTheme="minorBidi" w:hAnsiTheme="minorBidi"/>
                <w:b/>
                <w:bCs/>
                <w:iCs/>
                <w:lang w:val="en-US"/>
              </w:rPr>
            </w:pPr>
            <w:r w:rsidRPr="00891F5D">
              <w:rPr>
                <w:rFonts w:asciiTheme="minorBidi" w:hAnsiTheme="minorBidi"/>
                <w:lang w:val="en-US"/>
              </w:rPr>
              <w:t>Adelphia, 2002</w:t>
            </w:r>
          </w:p>
        </w:tc>
        <w:tc>
          <w:tcPr>
            <w:tcW w:w="917" w:type="dxa"/>
          </w:tcPr>
          <w:p w14:paraId="54C1CE7E" w14:textId="77777777" w:rsidR="00891F5D" w:rsidRPr="00891F5D" w:rsidRDefault="00891F5D" w:rsidP="00891F5D">
            <w:pPr>
              <w:spacing w:line="480" w:lineRule="auto"/>
              <w:jc w:val="center"/>
              <w:rPr>
                <w:rFonts w:asciiTheme="minorBidi" w:hAnsiTheme="minorBidi"/>
                <w:b/>
                <w:bCs/>
                <w:iCs/>
                <w:lang w:val="en-US"/>
              </w:rPr>
            </w:pPr>
            <w:r w:rsidRPr="00891F5D">
              <w:rPr>
                <w:rFonts w:asciiTheme="minorBidi" w:hAnsiTheme="minorBidi"/>
                <w:b/>
                <w:bCs/>
                <w:iCs/>
                <w:lang w:val="en-US"/>
              </w:rPr>
              <w:t>x</w:t>
            </w:r>
          </w:p>
        </w:tc>
        <w:tc>
          <w:tcPr>
            <w:tcW w:w="925" w:type="dxa"/>
          </w:tcPr>
          <w:p w14:paraId="2A1B9882" w14:textId="77777777" w:rsidR="00891F5D" w:rsidRPr="00891F5D" w:rsidRDefault="00891F5D" w:rsidP="00891F5D">
            <w:pPr>
              <w:spacing w:line="480" w:lineRule="auto"/>
              <w:jc w:val="center"/>
              <w:rPr>
                <w:rFonts w:asciiTheme="minorBidi" w:hAnsiTheme="minorBidi"/>
                <w:b/>
                <w:bCs/>
                <w:iCs/>
                <w:lang w:val="en-US"/>
              </w:rPr>
            </w:pPr>
          </w:p>
        </w:tc>
        <w:tc>
          <w:tcPr>
            <w:tcW w:w="993" w:type="dxa"/>
          </w:tcPr>
          <w:p w14:paraId="7FB679CE" w14:textId="77777777" w:rsidR="00891F5D" w:rsidRPr="00891F5D" w:rsidRDefault="00891F5D" w:rsidP="00891F5D">
            <w:pPr>
              <w:spacing w:line="480" w:lineRule="auto"/>
              <w:jc w:val="center"/>
              <w:rPr>
                <w:rFonts w:asciiTheme="minorBidi" w:hAnsiTheme="minorBidi"/>
                <w:b/>
                <w:bCs/>
                <w:iCs/>
                <w:lang w:val="en-US"/>
              </w:rPr>
            </w:pPr>
            <w:r w:rsidRPr="00891F5D">
              <w:rPr>
                <w:rFonts w:asciiTheme="minorBidi" w:hAnsiTheme="minorBidi"/>
                <w:b/>
                <w:bCs/>
                <w:iCs/>
                <w:lang w:val="en-US"/>
              </w:rPr>
              <w:t>x</w:t>
            </w:r>
          </w:p>
        </w:tc>
        <w:tc>
          <w:tcPr>
            <w:tcW w:w="992" w:type="dxa"/>
          </w:tcPr>
          <w:p w14:paraId="166BD816" w14:textId="77777777" w:rsidR="00891F5D" w:rsidRPr="00891F5D" w:rsidRDefault="00891F5D" w:rsidP="00891F5D">
            <w:pPr>
              <w:spacing w:line="480" w:lineRule="auto"/>
              <w:jc w:val="center"/>
              <w:rPr>
                <w:rFonts w:asciiTheme="minorBidi" w:hAnsiTheme="minorBidi"/>
                <w:b/>
                <w:bCs/>
                <w:iCs/>
                <w:lang w:val="en-US"/>
              </w:rPr>
            </w:pPr>
            <w:r w:rsidRPr="00891F5D">
              <w:rPr>
                <w:rFonts w:asciiTheme="minorBidi" w:hAnsiTheme="minorBidi"/>
                <w:b/>
                <w:bCs/>
                <w:iCs/>
                <w:lang w:val="en-US"/>
              </w:rPr>
              <w:t>x</w:t>
            </w:r>
          </w:p>
        </w:tc>
      </w:tr>
      <w:tr w:rsidR="00891F5D" w:rsidRPr="00891F5D" w14:paraId="5EE5B4B8" w14:textId="77777777" w:rsidTr="001D4222">
        <w:tc>
          <w:tcPr>
            <w:tcW w:w="2689" w:type="dxa"/>
          </w:tcPr>
          <w:p w14:paraId="345CA0B1" w14:textId="77777777" w:rsidR="00891F5D" w:rsidRPr="00891F5D" w:rsidRDefault="00891F5D" w:rsidP="00891F5D">
            <w:pPr>
              <w:spacing w:line="480" w:lineRule="auto"/>
              <w:rPr>
                <w:rFonts w:asciiTheme="minorBidi" w:hAnsiTheme="minorBidi"/>
                <w:lang w:val="en-US"/>
              </w:rPr>
            </w:pPr>
            <w:r w:rsidRPr="00891F5D">
              <w:rPr>
                <w:rFonts w:asciiTheme="minorBidi" w:hAnsiTheme="minorBidi"/>
                <w:lang w:val="en-US"/>
              </w:rPr>
              <w:t>Global Crossing, 2002</w:t>
            </w:r>
          </w:p>
          <w:p w14:paraId="608D84A2" w14:textId="77777777" w:rsidR="00891F5D" w:rsidRPr="00891F5D" w:rsidRDefault="00891F5D" w:rsidP="00891F5D">
            <w:pPr>
              <w:spacing w:line="480" w:lineRule="auto"/>
              <w:rPr>
                <w:rFonts w:asciiTheme="minorBidi" w:hAnsiTheme="minorBidi"/>
                <w:b/>
                <w:bCs/>
                <w:iCs/>
                <w:lang w:val="en-US"/>
              </w:rPr>
            </w:pPr>
          </w:p>
        </w:tc>
        <w:tc>
          <w:tcPr>
            <w:tcW w:w="917" w:type="dxa"/>
          </w:tcPr>
          <w:p w14:paraId="30262EFE" w14:textId="77777777" w:rsidR="00891F5D" w:rsidRPr="00891F5D" w:rsidRDefault="00891F5D" w:rsidP="00891F5D">
            <w:pPr>
              <w:spacing w:line="480" w:lineRule="auto"/>
              <w:jc w:val="center"/>
              <w:rPr>
                <w:rFonts w:asciiTheme="minorBidi" w:hAnsiTheme="minorBidi"/>
                <w:b/>
                <w:bCs/>
                <w:iCs/>
                <w:lang w:val="en-US"/>
              </w:rPr>
            </w:pPr>
            <w:r w:rsidRPr="00891F5D">
              <w:rPr>
                <w:rFonts w:asciiTheme="minorBidi" w:hAnsiTheme="minorBidi"/>
                <w:b/>
                <w:bCs/>
                <w:iCs/>
                <w:lang w:val="en-US"/>
              </w:rPr>
              <w:t>x</w:t>
            </w:r>
          </w:p>
        </w:tc>
        <w:tc>
          <w:tcPr>
            <w:tcW w:w="925" w:type="dxa"/>
          </w:tcPr>
          <w:p w14:paraId="43E58E94" w14:textId="77777777" w:rsidR="00891F5D" w:rsidRPr="00891F5D" w:rsidRDefault="00891F5D" w:rsidP="00891F5D">
            <w:pPr>
              <w:spacing w:line="480" w:lineRule="auto"/>
              <w:jc w:val="center"/>
              <w:rPr>
                <w:rFonts w:asciiTheme="minorBidi" w:hAnsiTheme="minorBidi"/>
                <w:b/>
                <w:bCs/>
                <w:iCs/>
                <w:lang w:val="en-US"/>
              </w:rPr>
            </w:pPr>
          </w:p>
        </w:tc>
        <w:tc>
          <w:tcPr>
            <w:tcW w:w="993" w:type="dxa"/>
          </w:tcPr>
          <w:p w14:paraId="589BA878" w14:textId="77777777" w:rsidR="00891F5D" w:rsidRPr="00891F5D" w:rsidRDefault="00891F5D" w:rsidP="00891F5D">
            <w:pPr>
              <w:spacing w:line="480" w:lineRule="auto"/>
              <w:jc w:val="center"/>
              <w:rPr>
                <w:rFonts w:asciiTheme="minorBidi" w:hAnsiTheme="minorBidi"/>
                <w:b/>
                <w:bCs/>
                <w:iCs/>
                <w:lang w:val="en-US"/>
              </w:rPr>
            </w:pPr>
            <w:r w:rsidRPr="00891F5D">
              <w:rPr>
                <w:rFonts w:asciiTheme="minorBidi" w:hAnsiTheme="minorBidi"/>
                <w:b/>
                <w:bCs/>
                <w:iCs/>
                <w:lang w:val="en-US"/>
              </w:rPr>
              <w:t>x</w:t>
            </w:r>
          </w:p>
        </w:tc>
        <w:tc>
          <w:tcPr>
            <w:tcW w:w="992" w:type="dxa"/>
          </w:tcPr>
          <w:p w14:paraId="669AE23A" w14:textId="77777777" w:rsidR="00891F5D" w:rsidRPr="00891F5D" w:rsidRDefault="00891F5D" w:rsidP="00891F5D">
            <w:pPr>
              <w:spacing w:line="480" w:lineRule="auto"/>
              <w:jc w:val="center"/>
              <w:rPr>
                <w:rFonts w:asciiTheme="minorBidi" w:hAnsiTheme="minorBidi"/>
                <w:b/>
                <w:bCs/>
                <w:iCs/>
                <w:lang w:val="en-US"/>
              </w:rPr>
            </w:pPr>
            <w:r w:rsidRPr="00891F5D">
              <w:rPr>
                <w:rFonts w:asciiTheme="minorBidi" w:hAnsiTheme="minorBidi"/>
                <w:b/>
                <w:bCs/>
                <w:iCs/>
                <w:lang w:val="en-US"/>
              </w:rPr>
              <w:t>x</w:t>
            </w:r>
          </w:p>
        </w:tc>
      </w:tr>
      <w:tr w:rsidR="00891F5D" w:rsidRPr="00891F5D" w14:paraId="5164D397" w14:textId="77777777" w:rsidTr="001D4222">
        <w:tc>
          <w:tcPr>
            <w:tcW w:w="2689" w:type="dxa"/>
          </w:tcPr>
          <w:p w14:paraId="2D52D508" w14:textId="77777777" w:rsidR="00891F5D" w:rsidRPr="00891F5D" w:rsidRDefault="00891F5D" w:rsidP="00891F5D">
            <w:pPr>
              <w:spacing w:line="480" w:lineRule="auto"/>
              <w:rPr>
                <w:rFonts w:asciiTheme="minorBidi" w:hAnsiTheme="minorBidi"/>
                <w:b/>
                <w:bCs/>
                <w:iCs/>
                <w:lang w:val="en-US"/>
              </w:rPr>
            </w:pPr>
            <w:r w:rsidRPr="00891F5D">
              <w:rPr>
                <w:rFonts w:asciiTheme="minorBidi" w:hAnsiTheme="minorBidi"/>
                <w:lang w:val="en-US"/>
              </w:rPr>
              <w:t>Parmalat S.p.A, 2004</w:t>
            </w:r>
          </w:p>
        </w:tc>
        <w:tc>
          <w:tcPr>
            <w:tcW w:w="917" w:type="dxa"/>
          </w:tcPr>
          <w:p w14:paraId="5DC353BE" w14:textId="77777777" w:rsidR="00891F5D" w:rsidRPr="00891F5D" w:rsidRDefault="00891F5D" w:rsidP="00891F5D">
            <w:pPr>
              <w:spacing w:line="480" w:lineRule="auto"/>
              <w:jc w:val="center"/>
              <w:rPr>
                <w:rFonts w:asciiTheme="minorBidi" w:hAnsiTheme="minorBidi"/>
                <w:b/>
                <w:bCs/>
                <w:iCs/>
                <w:lang w:val="en-US"/>
              </w:rPr>
            </w:pPr>
          </w:p>
        </w:tc>
        <w:tc>
          <w:tcPr>
            <w:tcW w:w="925" w:type="dxa"/>
          </w:tcPr>
          <w:p w14:paraId="297096F0" w14:textId="77777777" w:rsidR="00891F5D" w:rsidRPr="00891F5D" w:rsidRDefault="00891F5D" w:rsidP="00891F5D">
            <w:pPr>
              <w:spacing w:line="480" w:lineRule="auto"/>
              <w:jc w:val="center"/>
              <w:rPr>
                <w:rFonts w:asciiTheme="minorBidi" w:hAnsiTheme="minorBidi"/>
                <w:b/>
                <w:bCs/>
                <w:iCs/>
                <w:lang w:val="en-US"/>
              </w:rPr>
            </w:pPr>
            <w:r w:rsidRPr="00891F5D">
              <w:rPr>
                <w:rFonts w:asciiTheme="minorBidi" w:hAnsiTheme="minorBidi"/>
                <w:b/>
                <w:bCs/>
                <w:iCs/>
                <w:lang w:val="en-US"/>
              </w:rPr>
              <w:t>x</w:t>
            </w:r>
          </w:p>
        </w:tc>
        <w:tc>
          <w:tcPr>
            <w:tcW w:w="993" w:type="dxa"/>
          </w:tcPr>
          <w:p w14:paraId="5F5B32C7" w14:textId="77777777" w:rsidR="00891F5D" w:rsidRPr="00891F5D" w:rsidRDefault="00891F5D" w:rsidP="00891F5D">
            <w:pPr>
              <w:spacing w:line="480" w:lineRule="auto"/>
              <w:jc w:val="center"/>
              <w:rPr>
                <w:rFonts w:asciiTheme="minorBidi" w:hAnsiTheme="minorBidi"/>
                <w:b/>
                <w:bCs/>
                <w:iCs/>
                <w:lang w:val="en-US"/>
              </w:rPr>
            </w:pPr>
          </w:p>
        </w:tc>
        <w:tc>
          <w:tcPr>
            <w:tcW w:w="992" w:type="dxa"/>
          </w:tcPr>
          <w:p w14:paraId="48B7E1F8" w14:textId="77777777" w:rsidR="00891F5D" w:rsidRPr="00891F5D" w:rsidRDefault="00891F5D" w:rsidP="00891F5D">
            <w:pPr>
              <w:spacing w:line="480" w:lineRule="auto"/>
              <w:jc w:val="center"/>
              <w:rPr>
                <w:rFonts w:asciiTheme="minorBidi" w:hAnsiTheme="minorBidi"/>
                <w:b/>
                <w:bCs/>
                <w:iCs/>
                <w:lang w:val="en-US"/>
              </w:rPr>
            </w:pPr>
            <w:r w:rsidRPr="00891F5D">
              <w:rPr>
                <w:rFonts w:asciiTheme="minorBidi" w:hAnsiTheme="minorBidi"/>
                <w:b/>
                <w:bCs/>
                <w:iCs/>
                <w:lang w:val="en-US"/>
              </w:rPr>
              <w:t>x</w:t>
            </w:r>
          </w:p>
        </w:tc>
      </w:tr>
      <w:tr w:rsidR="00891F5D" w:rsidRPr="00891F5D" w14:paraId="64ED253F" w14:textId="77777777" w:rsidTr="001D4222">
        <w:tc>
          <w:tcPr>
            <w:tcW w:w="2689" w:type="dxa"/>
          </w:tcPr>
          <w:p w14:paraId="2416224C" w14:textId="77777777" w:rsidR="00891F5D" w:rsidRPr="00891F5D" w:rsidRDefault="00891F5D" w:rsidP="00891F5D">
            <w:pPr>
              <w:spacing w:line="480" w:lineRule="auto"/>
              <w:rPr>
                <w:rFonts w:asciiTheme="minorBidi" w:hAnsiTheme="minorBidi"/>
                <w:b/>
                <w:bCs/>
                <w:iCs/>
                <w:lang w:val="en-US"/>
              </w:rPr>
            </w:pPr>
            <w:r w:rsidRPr="00891F5D">
              <w:rPr>
                <w:rFonts w:asciiTheme="minorBidi" w:hAnsiTheme="minorBidi"/>
                <w:lang w:val="en-US"/>
              </w:rPr>
              <w:t>Toshiba, 2015</w:t>
            </w:r>
          </w:p>
        </w:tc>
        <w:tc>
          <w:tcPr>
            <w:tcW w:w="917" w:type="dxa"/>
          </w:tcPr>
          <w:p w14:paraId="002E7A4E" w14:textId="77777777" w:rsidR="00891F5D" w:rsidRPr="00891F5D" w:rsidRDefault="00891F5D" w:rsidP="00891F5D">
            <w:pPr>
              <w:spacing w:line="480" w:lineRule="auto"/>
              <w:jc w:val="center"/>
              <w:rPr>
                <w:rFonts w:asciiTheme="minorBidi" w:hAnsiTheme="minorBidi"/>
                <w:b/>
                <w:bCs/>
                <w:iCs/>
                <w:lang w:val="en-US"/>
              </w:rPr>
            </w:pPr>
            <w:r w:rsidRPr="00891F5D">
              <w:rPr>
                <w:rFonts w:asciiTheme="minorBidi" w:hAnsiTheme="minorBidi"/>
                <w:b/>
                <w:bCs/>
                <w:iCs/>
                <w:lang w:val="en-US"/>
              </w:rPr>
              <w:t>x</w:t>
            </w:r>
          </w:p>
        </w:tc>
        <w:tc>
          <w:tcPr>
            <w:tcW w:w="925" w:type="dxa"/>
          </w:tcPr>
          <w:p w14:paraId="1216BAC3" w14:textId="77777777" w:rsidR="00891F5D" w:rsidRPr="00891F5D" w:rsidRDefault="00891F5D" w:rsidP="00891F5D">
            <w:pPr>
              <w:spacing w:line="480" w:lineRule="auto"/>
              <w:jc w:val="center"/>
              <w:rPr>
                <w:rFonts w:asciiTheme="minorBidi" w:hAnsiTheme="minorBidi"/>
                <w:b/>
                <w:bCs/>
                <w:iCs/>
                <w:lang w:val="en-US"/>
              </w:rPr>
            </w:pPr>
          </w:p>
        </w:tc>
        <w:tc>
          <w:tcPr>
            <w:tcW w:w="993" w:type="dxa"/>
          </w:tcPr>
          <w:p w14:paraId="0D0775B4" w14:textId="77777777" w:rsidR="00891F5D" w:rsidRPr="00891F5D" w:rsidRDefault="00891F5D" w:rsidP="00891F5D">
            <w:pPr>
              <w:spacing w:line="480" w:lineRule="auto"/>
              <w:jc w:val="center"/>
              <w:rPr>
                <w:rFonts w:asciiTheme="minorBidi" w:hAnsiTheme="minorBidi"/>
                <w:b/>
                <w:bCs/>
                <w:iCs/>
                <w:lang w:val="en-US"/>
              </w:rPr>
            </w:pPr>
            <w:r w:rsidRPr="00891F5D">
              <w:rPr>
                <w:rFonts w:asciiTheme="minorBidi" w:hAnsiTheme="minorBidi"/>
                <w:b/>
                <w:bCs/>
                <w:iCs/>
                <w:lang w:val="en-US"/>
              </w:rPr>
              <w:t>x</w:t>
            </w:r>
          </w:p>
        </w:tc>
        <w:tc>
          <w:tcPr>
            <w:tcW w:w="992" w:type="dxa"/>
          </w:tcPr>
          <w:p w14:paraId="723B3856" w14:textId="77777777" w:rsidR="00891F5D" w:rsidRPr="00891F5D" w:rsidRDefault="00891F5D" w:rsidP="00891F5D">
            <w:pPr>
              <w:spacing w:line="480" w:lineRule="auto"/>
              <w:jc w:val="center"/>
              <w:rPr>
                <w:rFonts w:asciiTheme="minorBidi" w:hAnsiTheme="minorBidi"/>
                <w:b/>
                <w:bCs/>
                <w:iCs/>
                <w:lang w:val="en-US"/>
              </w:rPr>
            </w:pPr>
            <w:r w:rsidRPr="00891F5D">
              <w:rPr>
                <w:rFonts w:asciiTheme="minorBidi" w:hAnsiTheme="minorBidi"/>
                <w:b/>
                <w:bCs/>
                <w:iCs/>
                <w:lang w:val="en-US"/>
              </w:rPr>
              <w:t>x</w:t>
            </w:r>
          </w:p>
        </w:tc>
      </w:tr>
      <w:tr w:rsidR="00891F5D" w:rsidRPr="00891F5D" w14:paraId="6B7349C0" w14:textId="77777777" w:rsidTr="001D4222">
        <w:tc>
          <w:tcPr>
            <w:tcW w:w="2689" w:type="dxa"/>
          </w:tcPr>
          <w:p w14:paraId="78BAC46A" w14:textId="77777777" w:rsidR="00891F5D" w:rsidRPr="00891F5D" w:rsidRDefault="00891F5D" w:rsidP="00891F5D">
            <w:pPr>
              <w:spacing w:line="480" w:lineRule="auto"/>
              <w:rPr>
                <w:rFonts w:asciiTheme="minorBidi" w:hAnsiTheme="minorBidi"/>
                <w:b/>
                <w:bCs/>
                <w:iCs/>
                <w:lang w:val="en-US"/>
              </w:rPr>
            </w:pPr>
            <w:r w:rsidRPr="00891F5D">
              <w:rPr>
                <w:rFonts w:asciiTheme="minorBidi" w:hAnsiTheme="minorBidi"/>
                <w:lang w:val="en-US"/>
              </w:rPr>
              <w:t>Lehman Brothers, 2008</w:t>
            </w:r>
          </w:p>
        </w:tc>
        <w:tc>
          <w:tcPr>
            <w:tcW w:w="917" w:type="dxa"/>
          </w:tcPr>
          <w:p w14:paraId="300E113E" w14:textId="77777777" w:rsidR="00891F5D" w:rsidRPr="00891F5D" w:rsidRDefault="00891F5D" w:rsidP="00891F5D">
            <w:pPr>
              <w:spacing w:line="480" w:lineRule="auto"/>
              <w:jc w:val="center"/>
              <w:rPr>
                <w:rFonts w:asciiTheme="minorBidi" w:hAnsiTheme="minorBidi"/>
                <w:b/>
                <w:bCs/>
                <w:iCs/>
                <w:lang w:val="en-US"/>
              </w:rPr>
            </w:pPr>
          </w:p>
        </w:tc>
        <w:tc>
          <w:tcPr>
            <w:tcW w:w="925" w:type="dxa"/>
          </w:tcPr>
          <w:p w14:paraId="26B83F62" w14:textId="77777777" w:rsidR="00891F5D" w:rsidRPr="00891F5D" w:rsidRDefault="00891F5D" w:rsidP="00891F5D">
            <w:pPr>
              <w:spacing w:line="480" w:lineRule="auto"/>
              <w:jc w:val="center"/>
              <w:rPr>
                <w:rFonts w:asciiTheme="minorBidi" w:hAnsiTheme="minorBidi"/>
                <w:b/>
                <w:bCs/>
                <w:iCs/>
                <w:lang w:val="en-US"/>
              </w:rPr>
            </w:pPr>
          </w:p>
        </w:tc>
        <w:tc>
          <w:tcPr>
            <w:tcW w:w="993" w:type="dxa"/>
          </w:tcPr>
          <w:p w14:paraId="05644D80" w14:textId="77777777" w:rsidR="00891F5D" w:rsidRPr="00891F5D" w:rsidRDefault="00891F5D" w:rsidP="00891F5D">
            <w:pPr>
              <w:spacing w:line="480" w:lineRule="auto"/>
              <w:jc w:val="center"/>
              <w:rPr>
                <w:rFonts w:asciiTheme="minorBidi" w:hAnsiTheme="minorBidi"/>
                <w:b/>
                <w:bCs/>
                <w:iCs/>
                <w:lang w:val="en-US"/>
              </w:rPr>
            </w:pPr>
          </w:p>
        </w:tc>
        <w:tc>
          <w:tcPr>
            <w:tcW w:w="992" w:type="dxa"/>
          </w:tcPr>
          <w:p w14:paraId="73FDD222" w14:textId="77777777" w:rsidR="00891F5D" w:rsidRPr="00891F5D" w:rsidRDefault="00891F5D" w:rsidP="00891F5D">
            <w:pPr>
              <w:spacing w:line="480" w:lineRule="auto"/>
              <w:jc w:val="center"/>
              <w:rPr>
                <w:rFonts w:asciiTheme="minorBidi" w:hAnsiTheme="minorBidi"/>
                <w:b/>
                <w:bCs/>
                <w:iCs/>
                <w:lang w:val="en-US"/>
              </w:rPr>
            </w:pPr>
            <w:r w:rsidRPr="00891F5D">
              <w:rPr>
                <w:rFonts w:asciiTheme="minorBidi" w:hAnsiTheme="minorBidi"/>
                <w:b/>
                <w:bCs/>
                <w:iCs/>
                <w:lang w:val="en-US"/>
              </w:rPr>
              <w:t>x</w:t>
            </w:r>
          </w:p>
        </w:tc>
      </w:tr>
      <w:tr w:rsidR="00891F5D" w:rsidRPr="00891F5D" w14:paraId="28BD6C5C" w14:textId="77777777" w:rsidTr="001D4222">
        <w:tc>
          <w:tcPr>
            <w:tcW w:w="2689" w:type="dxa"/>
          </w:tcPr>
          <w:p w14:paraId="40E13E11" w14:textId="77777777" w:rsidR="00891F5D" w:rsidRPr="00891F5D" w:rsidRDefault="00891F5D" w:rsidP="00891F5D">
            <w:pPr>
              <w:spacing w:line="480" w:lineRule="auto"/>
              <w:rPr>
                <w:rFonts w:asciiTheme="minorBidi" w:hAnsiTheme="minorBidi"/>
                <w:b/>
                <w:bCs/>
                <w:iCs/>
                <w:lang w:val="en-US"/>
              </w:rPr>
            </w:pPr>
            <w:r w:rsidRPr="00891F5D">
              <w:rPr>
                <w:rFonts w:asciiTheme="minorBidi" w:hAnsiTheme="minorBidi"/>
              </w:rPr>
              <w:t>Wirecard AG, 2020</w:t>
            </w:r>
          </w:p>
        </w:tc>
        <w:tc>
          <w:tcPr>
            <w:tcW w:w="917" w:type="dxa"/>
          </w:tcPr>
          <w:p w14:paraId="1C16DAA2" w14:textId="77777777" w:rsidR="00891F5D" w:rsidRPr="00891F5D" w:rsidRDefault="00891F5D" w:rsidP="00891F5D">
            <w:pPr>
              <w:spacing w:line="480" w:lineRule="auto"/>
              <w:jc w:val="center"/>
              <w:rPr>
                <w:rFonts w:asciiTheme="minorBidi" w:hAnsiTheme="minorBidi"/>
                <w:b/>
                <w:bCs/>
                <w:iCs/>
                <w:lang w:val="en-US"/>
              </w:rPr>
            </w:pPr>
            <w:r w:rsidRPr="00891F5D">
              <w:rPr>
                <w:rFonts w:asciiTheme="minorBidi" w:hAnsiTheme="minorBidi"/>
                <w:b/>
                <w:bCs/>
                <w:iCs/>
                <w:lang w:val="en-US"/>
              </w:rPr>
              <w:t>x</w:t>
            </w:r>
          </w:p>
        </w:tc>
        <w:tc>
          <w:tcPr>
            <w:tcW w:w="925" w:type="dxa"/>
          </w:tcPr>
          <w:p w14:paraId="33CE4521" w14:textId="77777777" w:rsidR="00891F5D" w:rsidRPr="00891F5D" w:rsidRDefault="00891F5D" w:rsidP="00891F5D">
            <w:pPr>
              <w:spacing w:line="480" w:lineRule="auto"/>
              <w:jc w:val="center"/>
              <w:rPr>
                <w:rFonts w:asciiTheme="minorBidi" w:hAnsiTheme="minorBidi"/>
                <w:b/>
                <w:bCs/>
                <w:iCs/>
                <w:lang w:val="en-US"/>
              </w:rPr>
            </w:pPr>
          </w:p>
        </w:tc>
        <w:tc>
          <w:tcPr>
            <w:tcW w:w="993" w:type="dxa"/>
          </w:tcPr>
          <w:p w14:paraId="0B3ED962" w14:textId="77777777" w:rsidR="00891F5D" w:rsidRPr="00891F5D" w:rsidRDefault="00891F5D" w:rsidP="00891F5D">
            <w:pPr>
              <w:spacing w:line="480" w:lineRule="auto"/>
              <w:jc w:val="center"/>
              <w:rPr>
                <w:rFonts w:asciiTheme="minorBidi" w:hAnsiTheme="minorBidi"/>
                <w:b/>
                <w:bCs/>
                <w:iCs/>
                <w:lang w:val="en-US"/>
              </w:rPr>
            </w:pPr>
          </w:p>
        </w:tc>
        <w:tc>
          <w:tcPr>
            <w:tcW w:w="992" w:type="dxa"/>
          </w:tcPr>
          <w:p w14:paraId="052648A4" w14:textId="77777777" w:rsidR="00891F5D" w:rsidRPr="00891F5D" w:rsidRDefault="00891F5D" w:rsidP="00891F5D">
            <w:pPr>
              <w:spacing w:line="480" w:lineRule="auto"/>
              <w:jc w:val="center"/>
              <w:rPr>
                <w:rFonts w:asciiTheme="minorBidi" w:hAnsiTheme="minorBidi"/>
                <w:b/>
                <w:bCs/>
                <w:iCs/>
                <w:lang w:val="en-US"/>
              </w:rPr>
            </w:pPr>
            <w:r w:rsidRPr="00891F5D">
              <w:rPr>
                <w:rFonts w:asciiTheme="minorBidi" w:hAnsiTheme="minorBidi"/>
                <w:b/>
                <w:bCs/>
                <w:iCs/>
                <w:lang w:val="en-US"/>
              </w:rPr>
              <w:t>x</w:t>
            </w:r>
          </w:p>
        </w:tc>
      </w:tr>
    </w:tbl>
    <w:p w14:paraId="05F2C26B" w14:textId="77777777" w:rsidR="00891F5D" w:rsidRPr="00891F5D" w:rsidRDefault="00891F5D" w:rsidP="00891F5D">
      <w:pPr>
        <w:spacing w:line="480" w:lineRule="auto"/>
        <w:jc w:val="both"/>
        <w:rPr>
          <w:rFonts w:asciiTheme="minorBidi" w:hAnsiTheme="minorBidi"/>
          <w:iCs/>
          <w:lang w:eastAsia="en-US"/>
        </w:rPr>
      </w:pPr>
    </w:p>
    <w:p w14:paraId="48063EF1" w14:textId="3239082E" w:rsidR="002B3F52" w:rsidRPr="00891F5D" w:rsidRDefault="00891F5D" w:rsidP="003E44A1">
      <w:pPr>
        <w:spacing w:line="480" w:lineRule="auto"/>
        <w:jc w:val="both"/>
        <w:rPr>
          <w:rFonts w:asciiTheme="minorBidi" w:hAnsiTheme="minorBidi"/>
          <w:iCs/>
          <w:lang w:val="en-US" w:eastAsia="en-US"/>
        </w:rPr>
      </w:pPr>
      <w:r w:rsidRPr="00891F5D">
        <w:rPr>
          <w:rFonts w:asciiTheme="minorBidi" w:hAnsiTheme="minorBidi"/>
          <w:iCs/>
          <w:lang w:val="en-US" w:eastAsia="en-US"/>
        </w:rPr>
        <w:lastRenderedPageBreak/>
        <w:t>Now that the researcher has established what is Accounting Fraud and how it is committed. It is prudent to understand what the motivations are for committing Accounting Fraud in the next section or Theme Two.</w:t>
      </w:r>
    </w:p>
    <w:bookmarkStart w:id="435" w:name="D32"/>
    <w:p w14:paraId="64CC51D7" w14:textId="7140F216" w:rsidR="00891F5D" w:rsidRPr="00891F5D" w:rsidRDefault="00880EA5" w:rsidP="00911121">
      <w:pPr>
        <w:pBdr>
          <w:top w:val="single" w:sz="4" w:space="1" w:color="auto"/>
          <w:left w:val="single" w:sz="4" w:space="4" w:color="auto"/>
          <w:bottom w:val="single" w:sz="4" w:space="1" w:color="auto"/>
          <w:right w:val="single" w:sz="4" w:space="4" w:color="auto"/>
        </w:pBdr>
        <w:spacing w:line="240" w:lineRule="auto"/>
        <w:jc w:val="both"/>
        <w:rPr>
          <w:rFonts w:asciiTheme="minorBidi" w:hAnsiTheme="minorBidi"/>
          <w:b/>
          <w:bCs/>
          <w:iCs/>
          <w:lang w:val="en-US" w:eastAsia="en-US"/>
        </w:rPr>
      </w:pPr>
      <w:r>
        <w:rPr>
          <w:rFonts w:asciiTheme="minorBidi" w:hAnsiTheme="minorBidi"/>
          <w:b/>
          <w:bCs/>
          <w:iCs/>
          <w:lang w:val="en-US" w:eastAsia="en-US"/>
        </w:rPr>
        <w:fldChar w:fldCharType="begin"/>
      </w:r>
      <w:r>
        <w:rPr>
          <w:rFonts w:asciiTheme="minorBidi" w:hAnsiTheme="minorBidi"/>
          <w:b/>
          <w:bCs/>
          <w:iCs/>
          <w:lang w:val="en-US" w:eastAsia="en-US"/>
        </w:rPr>
        <w:instrText>HYPERLINK  \l "C32"</w:instrText>
      </w:r>
      <w:r>
        <w:rPr>
          <w:rFonts w:asciiTheme="minorBidi" w:hAnsiTheme="minorBidi"/>
          <w:b/>
          <w:bCs/>
          <w:iCs/>
          <w:lang w:val="en-US" w:eastAsia="en-US"/>
        </w:rPr>
      </w:r>
      <w:r>
        <w:rPr>
          <w:rFonts w:asciiTheme="minorBidi" w:hAnsiTheme="minorBidi"/>
          <w:b/>
          <w:bCs/>
          <w:iCs/>
          <w:lang w:val="en-US" w:eastAsia="en-US"/>
        </w:rPr>
        <w:fldChar w:fldCharType="separate"/>
      </w:r>
      <w:r w:rsidR="00891F5D" w:rsidRPr="00880EA5">
        <w:rPr>
          <w:rStyle w:val="Hyperlink"/>
          <w:rFonts w:asciiTheme="minorBidi" w:hAnsiTheme="minorBidi"/>
          <w:b/>
          <w:bCs/>
          <w:iCs/>
          <w:lang w:val="en-US" w:eastAsia="en-US"/>
        </w:rPr>
        <w:t>2.4 Theme Two: Motivations for Committing Accounting Fraud</w:t>
      </w:r>
      <w:r>
        <w:rPr>
          <w:rFonts w:asciiTheme="minorBidi" w:hAnsiTheme="minorBidi"/>
          <w:b/>
          <w:bCs/>
          <w:iCs/>
          <w:lang w:val="en-US" w:eastAsia="en-US"/>
        </w:rPr>
        <w:fldChar w:fldCharType="end"/>
      </w:r>
    </w:p>
    <w:bookmarkEnd w:id="435"/>
    <w:p w14:paraId="0D6CA456" w14:textId="63998F4E"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The literature concerning the motivations for management to perpetrate Accounting Fraud concentrates mainly on pay, attracting and/or maintaining finance, exceeding, or upholding market expectations, covering up financial problems or socioeconomic and psychological pressures. The </w:t>
      </w:r>
      <w:r w:rsidR="002C5674">
        <w:rPr>
          <w:rFonts w:ascii="Arial" w:eastAsiaTheme="minorHAnsi" w:hAnsi="Arial" w:cs="Arial"/>
          <w:kern w:val="0"/>
          <w:lang w:eastAsia="en-US"/>
          <w14:ligatures w14:val="none"/>
        </w:rPr>
        <w:t>researcher</w:t>
      </w:r>
      <w:r w:rsidRPr="00891F5D">
        <w:rPr>
          <w:rFonts w:ascii="Arial" w:eastAsiaTheme="minorHAnsi" w:hAnsi="Arial" w:cs="Arial"/>
          <w:kern w:val="0"/>
          <w:lang w:val="en-US" w:eastAsia="en-US"/>
          <w14:ligatures w14:val="none"/>
        </w:rPr>
        <w:t xml:space="preserve"> will now explore each in turn beginning with </w:t>
      </w:r>
      <w:r w:rsidRPr="00891F5D">
        <w:rPr>
          <w:rFonts w:ascii="Arial" w:eastAsiaTheme="minorHAnsi" w:hAnsi="Arial" w:cs="Arial"/>
          <w:i/>
          <w:iCs/>
          <w:kern w:val="0"/>
          <w:lang w:val="en-US" w:eastAsia="en-US"/>
          <w14:ligatures w14:val="none"/>
        </w:rPr>
        <w:t>pay</w:t>
      </w:r>
      <w:r w:rsidRPr="00891F5D">
        <w:rPr>
          <w:rFonts w:ascii="Arial" w:eastAsiaTheme="minorHAnsi" w:hAnsi="Arial" w:cs="Arial"/>
          <w:kern w:val="0"/>
          <w:lang w:val="en-US" w:eastAsia="en-US"/>
          <w14:ligatures w14:val="none"/>
        </w:rPr>
        <w:t>.</w:t>
      </w:r>
    </w:p>
    <w:p w14:paraId="1BE93B0E" w14:textId="77777777" w:rsidR="00891F5D" w:rsidRPr="00891F5D" w:rsidRDefault="00891F5D" w:rsidP="00911121">
      <w:pPr>
        <w:autoSpaceDE w:val="0"/>
        <w:autoSpaceDN w:val="0"/>
        <w:adjustRightInd w:val="0"/>
        <w:spacing w:after="0" w:line="240" w:lineRule="auto"/>
        <w:jc w:val="both"/>
        <w:rPr>
          <w:rFonts w:ascii="Arial" w:eastAsiaTheme="minorHAnsi" w:hAnsi="Arial" w:cs="Arial"/>
          <w:kern w:val="0"/>
          <w:lang w:val="en-US" w:eastAsia="en-US"/>
          <w14:ligatures w14:val="none"/>
        </w:rPr>
      </w:pPr>
    </w:p>
    <w:bookmarkStart w:id="436" w:name="T"/>
    <w:bookmarkStart w:id="437" w:name="D33"/>
    <w:p w14:paraId="5D8B4A52" w14:textId="1C3A07F9" w:rsidR="00891F5D" w:rsidRPr="00891F5D" w:rsidRDefault="00E769FA" w:rsidP="00911121">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"C33"</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E769FA">
        <w:rPr>
          <w:rStyle w:val="Hyperlink"/>
          <w:rFonts w:ascii="Arial" w:eastAsiaTheme="minorHAnsi" w:hAnsi="Arial" w:cs="Arial"/>
          <w:b/>
          <w:bCs/>
          <w:kern w:val="0"/>
          <w:lang w:val="en-US" w:eastAsia="en-US"/>
          <w14:ligatures w14:val="none"/>
        </w:rPr>
        <w:t>2.4.1 Pay</w:t>
      </w:r>
      <w:r>
        <w:rPr>
          <w:rFonts w:ascii="Arial" w:eastAsiaTheme="minorHAnsi" w:hAnsi="Arial" w:cs="Arial"/>
          <w:b/>
          <w:bCs/>
          <w:kern w:val="0"/>
          <w:lang w:val="en-US" w:eastAsia="en-US"/>
          <w14:ligatures w14:val="none"/>
        </w:rPr>
        <w:fldChar w:fldCharType="end"/>
      </w:r>
    </w:p>
    <w:bookmarkEnd w:id="436"/>
    <w:bookmarkEnd w:id="437"/>
    <w:p w14:paraId="39F1129B" w14:textId="77777777" w:rsidR="00911121" w:rsidRDefault="00911121" w:rsidP="00911121">
      <w:pPr>
        <w:autoSpaceDE w:val="0"/>
        <w:autoSpaceDN w:val="0"/>
        <w:adjustRightInd w:val="0"/>
        <w:spacing w:after="0" w:line="240" w:lineRule="auto"/>
        <w:jc w:val="both"/>
        <w:rPr>
          <w:rFonts w:ascii="Arial" w:eastAsiaTheme="minorHAnsi" w:hAnsi="Arial" w:cs="Arial"/>
          <w:kern w:val="0"/>
          <w:lang w:val="en-US" w:eastAsia="en-US"/>
          <w14:ligatures w14:val="none"/>
        </w:rPr>
      </w:pPr>
    </w:p>
    <w:p w14:paraId="43AF1B82" w14:textId="040E76D2"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Senior management remuneration contracts usually cover all or a mixture of share options, cash compensation, including bonuses, and share ownership. Share options allow holders to purchase company shares at an option exercise price that may be, but is not always, below the stock market price.</w:t>
      </w:r>
      <w:r w:rsidRPr="00891F5D">
        <w:rPr>
          <w:rFonts w:ascii="Arial" w:eastAsia="TimesNewRomanPSMT" w:hAnsi="Arial" w:cs="Arial"/>
          <w:kern w:val="0"/>
          <w:lang w:val="en-US" w:eastAsia="en-US"/>
          <w14:ligatures w14:val="none"/>
        </w:rPr>
        <w:t xml:space="preserve"> An investigation of recent </w:t>
      </w:r>
      <w:r w:rsidRPr="00891F5D">
        <w:rPr>
          <w:rFonts w:ascii="Arial" w:eastAsiaTheme="minorHAnsi" w:hAnsi="Arial" w:cs="Arial"/>
          <w:kern w:val="0"/>
          <w:lang w:val="en-US" w:eastAsia="en-US"/>
          <w14:ligatures w14:val="none"/>
        </w:rPr>
        <w:t xml:space="preserve">accounting scandals by Albrecht et al. (2007) concluded that the major factor in such unprecedented frauds was exaggerated management compensation. Ryan and Wiggins (2004) argued that executives’ pay that is based on options tends to engage in higher risk. It was discovered by Rezaee and Riley (2010) that senior management of publicly listed companies such as AIG were highly remunerated but made poor judgments, and, in some instances, there was alleged Accounting Fraud. It is suggested by Jones (2011) that management can be under immense pressure, especially when company success is directly correlated with their compensation plan, which can make them select accounting policies that may result in Accounting Fraud. This has also been noted by the Financial Services Authority (2009), who observed </w:t>
      </w:r>
      <w:r w:rsidRPr="00891F5D">
        <w:rPr>
          <w:rFonts w:ascii="Arial" w:eastAsiaTheme="minorHAnsi" w:hAnsi="Arial" w:cs="Arial"/>
          <w:kern w:val="0"/>
          <w:lang w:val="en-US" w:eastAsia="en-US"/>
          <w14:ligatures w14:val="none"/>
        </w:rPr>
        <w:lastRenderedPageBreak/>
        <w:t xml:space="preserve">that executive pay contracts in British banks can encourage some managers to take unjustified risks that apparently, in the short term, generated exorbitant windfalls but eventually jeopardized the entire banking system. Further studies including </w:t>
      </w:r>
      <w:r w:rsidRPr="00891F5D">
        <w:rPr>
          <w:rFonts w:ascii="Arial" w:eastAsiaTheme="minorHAnsi" w:hAnsi="Arial" w:cs="Arial"/>
          <w:kern w:val="0"/>
          <w:lang w:eastAsia="en-US"/>
          <w14:ligatures w14:val="none"/>
        </w:rPr>
        <w:t>Cheffins (2009</w:t>
      </w:r>
      <w:proofErr w:type="gramStart"/>
      <w:r w:rsidRPr="00891F5D">
        <w:rPr>
          <w:rFonts w:ascii="Arial" w:eastAsiaTheme="minorHAnsi" w:hAnsi="Arial" w:cs="Arial"/>
          <w:kern w:val="0"/>
          <w:lang w:eastAsia="en-US"/>
          <w14:ligatures w14:val="none"/>
        </w:rPr>
        <w:t>)</w:t>
      </w:r>
      <w:proofErr w:type="gramEnd"/>
      <w:r w:rsidRPr="00891F5D">
        <w:rPr>
          <w:rFonts w:ascii="Arial" w:eastAsiaTheme="minorHAnsi" w:hAnsi="Arial" w:cs="Arial"/>
          <w:kern w:val="0"/>
          <w:lang w:eastAsia="en-US"/>
          <w14:ligatures w14:val="none"/>
        </w:rPr>
        <w:t xml:space="preserve"> and Chowdhury and Wang (2009) </w:t>
      </w:r>
      <w:r w:rsidRPr="00891F5D">
        <w:rPr>
          <w:rFonts w:ascii="Arial" w:eastAsiaTheme="minorHAnsi" w:hAnsi="Arial" w:cs="Arial"/>
          <w:kern w:val="0"/>
          <w:lang w:val="en-US" w:eastAsia="en-US"/>
          <w14:ligatures w14:val="none"/>
        </w:rPr>
        <w:t>have found that pay contracts could engender short-termism including profit growth, a high share price, and, ultimately, a higher stock-option value at the expense of shareholder wealth. Hence, Jones (2011) argues when bona fide results no longer support the share price, some managers will resort to accounting misapplication and fraud to maintain the façade of short-term profit growth and stock and option values.</w:t>
      </w:r>
    </w:p>
    <w:p w14:paraId="2FBF1D66"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51D79D5B" w14:textId="77777777" w:rsid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Even where cash is the major constituent of the pay contract, this may still not guarantee or lessen Accounting Fraud if there is a culture of corruption and management is not concerned with shareholder welfare (Chowdhury and Wang, 2009).</w:t>
      </w:r>
    </w:p>
    <w:p w14:paraId="5E76C052" w14:textId="77777777" w:rsidR="003E44A1" w:rsidRDefault="003E44A1"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57BC9AF4" w14:textId="29F19025"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According to Agency Theory, increasing </w:t>
      </w:r>
      <w:r w:rsidRPr="00891F5D">
        <w:rPr>
          <w:rFonts w:ascii="Arial" w:eastAsia="TimesNewRomanPSMT" w:hAnsi="Arial" w:cs="Arial"/>
          <w:kern w:val="0"/>
          <w:lang w:val="en-US" w:eastAsia="en-US"/>
          <w14:ligatures w14:val="none"/>
        </w:rPr>
        <w:t>company ownership should diminish a manager’s desire to engage in Accounting Fraud. Therefore, according to Davis eta al. (1997) e</w:t>
      </w:r>
      <w:r w:rsidRPr="00891F5D">
        <w:rPr>
          <w:rFonts w:ascii="Arial" w:eastAsiaTheme="minorHAnsi" w:hAnsi="Arial" w:cs="Arial"/>
          <w:kern w:val="0"/>
          <w:lang w:val="en-US" w:eastAsia="en-US"/>
          <w14:ligatures w14:val="none"/>
        </w:rPr>
        <w:t xml:space="preserve">quity-based compensation has become a favored technique to reduce the gap between management and shareholders and expand the value of the company. However, Mckee and Santore (2008) highlight those recent frauds, including Enron and post-Enron, have been executed by managers who had material ownership of the company. A sophisticated model developed by Chesney and Gibson-Asner (2005) was used </w:t>
      </w:r>
      <w:r w:rsidRPr="00891F5D">
        <w:rPr>
          <w:rFonts w:ascii="Arial" w:eastAsia="TimesNewRomanPSMT" w:hAnsi="Arial" w:cs="Arial"/>
          <w:kern w:val="0"/>
          <w:lang w:val="en-US" w:eastAsia="en-US"/>
          <w14:ligatures w14:val="none"/>
        </w:rPr>
        <w:t xml:space="preserve">to investigate managers’ </w:t>
      </w:r>
      <w:r w:rsidRPr="00891F5D">
        <w:rPr>
          <w:rFonts w:ascii="Arial" w:eastAsiaTheme="minorHAnsi" w:hAnsi="Arial" w:cs="Arial"/>
          <w:kern w:val="0"/>
          <w:lang w:val="en-US" w:eastAsia="en-US"/>
          <w14:ligatures w14:val="none"/>
        </w:rPr>
        <w:t>equity-based remuneration contracts and discovered that managers will usually deceive the company earlier with stock options rather than with a comparable cash pay package consisting of shares.</w:t>
      </w:r>
    </w:p>
    <w:p w14:paraId="5798B7BC"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lastRenderedPageBreak/>
        <w:t>On the other hand, Sen (2007) has reported that higher ownership or equity-based remuneration will not necessarily reduce the propensity to undertake fraud unless the advantage from fraud is completely mitigated via the penalty. Therefore, more managers may engage in a strategy to behave fraudulently when it suits them. An empirical study by Elayan and Meyer (2008) investigating the link between incentive-based remuneration packages and the probability of Accounting Fraud established that managers of companies with weak operating performance or results usually commit Accounting Fraud and have equity-based pay structures. Cullinan et al. (2008) suggest that remunerating nonexecutive directors in the UK context (FRC, 2019) with stock options may weaken their independent oversight and potentially motivate them to misstate financial results.</w:t>
      </w:r>
    </w:p>
    <w:p w14:paraId="18CD9239"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216F4FE7" w14:textId="77777777" w:rsidR="00891F5D" w:rsidRPr="00891F5D" w:rsidRDefault="00891F5D" w:rsidP="00891F5D">
      <w:pPr>
        <w:autoSpaceDE w:val="0"/>
        <w:autoSpaceDN w:val="0"/>
        <w:adjustRightInd w:val="0"/>
        <w:spacing w:after="0" w:line="480" w:lineRule="auto"/>
        <w:jc w:val="both"/>
        <w:rPr>
          <w:rFonts w:ascii="Arial" w:eastAsia="TimesNewRomanPSMT" w:hAnsi="Arial" w:cs="Arial"/>
          <w:kern w:val="0"/>
          <w:lang w:val="en-US" w:eastAsia="en-US"/>
          <w14:ligatures w14:val="none"/>
        </w:rPr>
      </w:pPr>
      <w:r w:rsidRPr="00891F5D">
        <w:rPr>
          <w:rFonts w:ascii="Arial" w:eastAsiaTheme="minorHAnsi" w:hAnsi="Arial" w:cs="Arial"/>
          <w:kern w:val="0"/>
          <w:lang w:val="en-US" w:eastAsia="en-US"/>
          <w14:ligatures w14:val="none"/>
        </w:rPr>
        <w:t xml:space="preserve">Johnson et al. (2008) has been found that the likelihood of fraud is positively correlated with unlimited share incentives. This was confirmed by a study by Mckee and Santore (2008) that investigated the connection between equity-based compensation and the frequency of fraud and found that raising the level of equity-based remuneration results in a higher instance of Accounting Fraud. This result was further confirmed by a study, Troy et al. (2011) and Boyle et al. (2012), that established a positive correlation between management stock options and Accounting Fraud. In contrast, there are other studies that show that there is no proven link between Accounting Fraud and pay contracts </w:t>
      </w:r>
      <w:r w:rsidRPr="00891F5D">
        <w:rPr>
          <w:rFonts w:ascii="Arial" w:eastAsiaTheme="minorHAnsi" w:hAnsi="Arial" w:cs="Arial"/>
          <w:kern w:val="0"/>
          <w:lang w:eastAsia="en-US"/>
          <w14:ligatures w14:val="none"/>
        </w:rPr>
        <w:t>(Dechow et al. 2010; Gerety and Lehn 1997; Uddin 2000)</w:t>
      </w:r>
      <w:r w:rsidRPr="00891F5D">
        <w:rPr>
          <w:rFonts w:ascii="Arial" w:eastAsiaTheme="minorHAnsi" w:hAnsi="Arial" w:cs="Arial"/>
          <w:kern w:val="0"/>
          <w:lang w:val="en-US" w:eastAsia="en-US"/>
          <w14:ligatures w14:val="none"/>
        </w:rPr>
        <w:t xml:space="preserve">, although it is important to note that these are from the pre-Enron era. A study by Erickson et al (2006) evaluated management equity incentives of companies suspected of Accounting Fraud by the Securities and Exchange Commission (SEC) (1996 to 2003) but could not establish any relationship between Accounting Fraud and </w:t>
      </w:r>
      <w:r w:rsidRPr="00891F5D">
        <w:rPr>
          <w:rFonts w:ascii="Arial" w:eastAsiaTheme="minorHAnsi" w:hAnsi="Arial" w:cs="Arial"/>
          <w:kern w:val="0"/>
          <w:lang w:val="en-US" w:eastAsia="en-US"/>
          <w14:ligatures w14:val="none"/>
        </w:rPr>
        <w:lastRenderedPageBreak/>
        <w:t xml:space="preserve">pay. A logistic regression model was created (Persons, 2012) to study if there was a relationship between the probability of Accounting Fraud </w:t>
      </w:r>
      <w:r w:rsidRPr="00891F5D">
        <w:rPr>
          <w:rFonts w:ascii="Arial" w:eastAsia="TimesNewRomanPSMT" w:hAnsi="Arial" w:cs="Arial"/>
          <w:kern w:val="0"/>
          <w:lang w:val="en-US" w:eastAsia="en-US"/>
          <w14:ligatures w14:val="none"/>
        </w:rPr>
        <w:t xml:space="preserve">and managers’ share options and cash remuneration. This study </w:t>
      </w:r>
      <w:r w:rsidRPr="00891F5D">
        <w:rPr>
          <w:rFonts w:ascii="Arial" w:eastAsiaTheme="minorHAnsi" w:hAnsi="Arial" w:cs="Arial"/>
          <w:kern w:val="0"/>
          <w:lang w:val="en-US" w:eastAsia="en-US"/>
          <w14:ligatures w14:val="none"/>
        </w:rPr>
        <w:t xml:space="preserve">found no correlation between the possibility of fraud and </w:t>
      </w:r>
      <w:r w:rsidRPr="00891F5D">
        <w:rPr>
          <w:rFonts w:ascii="Arial" w:eastAsia="TimesNewRomanPSMT" w:hAnsi="Arial" w:cs="Arial"/>
          <w:kern w:val="0"/>
          <w:lang w:val="en-US" w:eastAsia="en-US"/>
          <w14:ligatures w14:val="none"/>
        </w:rPr>
        <w:t>managers’ cash compensation and share ownership.</w:t>
      </w:r>
    </w:p>
    <w:p w14:paraId="4659176D"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62E48783"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imesNewRomanPSMT" w:hAnsi="Arial" w:cs="Arial"/>
          <w:kern w:val="0"/>
          <w:lang w:val="en-US" w:eastAsia="en-US"/>
          <w14:ligatures w14:val="none"/>
        </w:rPr>
        <w:t xml:space="preserve">It is apparent from the discussion that prior </w:t>
      </w:r>
      <w:r w:rsidRPr="00891F5D">
        <w:rPr>
          <w:rFonts w:ascii="Arial" w:eastAsiaTheme="minorHAnsi" w:hAnsi="Arial" w:cs="Arial"/>
          <w:kern w:val="0"/>
          <w:lang w:val="en-US" w:eastAsia="en-US"/>
          <w14:ligatures w14:val="none"/>
        </w:rPr>
        <w:t>research on pay, as a determinant of Accounting Fraud, is at best mixed and that further specific research needs to be conducted, for example, on the type of industry, but this is outside the scope of the current study.</w:t>
      </w:r>
    </w:p>
    <w:p w14:paraId="742FA166"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bookmarkStart w:id="438" w:name="U"/>
    <w:bookmarkStart w:id="439" w:name="D34"/>
    <w:p w14:paraId="624FCD13" w14:textId="1311D755" w:rsidR="00891F5D" w:rsidRPr="00891F5D" w:rsidRDefault="00E769FA" w:rsidP="00911121">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"C34"</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E769FA">
        <w:rPr>
          <w:rStyle w:val="Hyperlink"/>
          <w:rFonts w:ascii="Arial" w:eastAsiaTheme="minorHAnsi" w:hAnsi="Arial" w:cs="Arial"/>
          <w:b/>
          <w:bCs/>
          <w:kern w:val="0"/>
          <w:lang w:val="en-US" w:eastAsia="en-US"/>
          <w14:ligatures w14:val="none"/>
        </w:rPr>
        <w:t>2.4.2 The Need to Obtain Finance</w:t>
      </w:r>
      <w:r>
        <w:rPr>
          <w:rFonts w:ascii="Arial" w:eastAsiaTheme="minorHAnsi" w:hAnsi="Arial" w:cs="Arial"/>
          <w:b/>
          <w:bCs/>
          <w:kern w:val="0"/>
          <w:lang w:val="en-US" w:eastAsia="en-US"/>
          <w14:ligatures w14:val="none"/>
        </w:rPr>
        <w:fldChar w:fldCharType="end"/>
      </w:r>
    </w:p>
    <w:bookmarkEnd w:id="438"/>
    <w:bookmarkEnd w:id="439"/>
    <w:p w14:paraId="7EFF0B07" w14:textId="77777777" w:rsidR="00911121" w:rsidRDefault="00911121" w:rsidP="00911121">
      <w:pPr>
        <w:autoSpaceDE w:val="0"/>
        <w:autoSpaceDN w:val="0"/>
        <w:adjustRightInd w:val="0"/>
        <w:spacing w:after="0" w:line="240" w:lineRule="auto"/>
        <w:jc w:val="both"/>
        <w:rPr>
          <w:rFonts w:ascii="Arial" w:eastAsiaTheme="minorHAnsi" w:hAnsi="Arial" w:cs="Arial"/>
          <w:kern w:val="0"/>
          <w:lang w:val="en-US" w:eastAsia="en-US"/>
          <w14:ligatures w14:val="none"/>
        </w:rPr>
      </w:pPr>
    </w:p>
    <w:p w14:paraId="5421547C" w14:textId="20768CAA" w:rsidR="00891F5D" w:rsidRPr="00891F5D" w:rsidRDefault="00E940F6"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Pr>
          <w:rFonts w:ascii="Arial" w:eastAsiaTheme="minorHAnsi" w:hAnsi="Arial" w:cs="Arial"/>
          <w:kern w:val="0"/>
          <w:lang w:val="en-US" w:eastAsia="en-US"/>
          <w14:ligatures w14:val="none"/>
        </w:rPr>
        <w:t>R</w:t>
      </w:r>
      <w:r w:rsidR="00891F5D" w:rsidRPr="00891F5D">
        <w:rPr>
          <w:rFonts w:ascii="Arial" w:eastAsiaTheme="minorHAnsi" w:hAnsi="Arial" w:cs="Arial"/>
          <w:kern w:val="0"/>
          <w:lang w:val="en-US" w:eastAsia="en-US"/>
          <w14:ligatures w14:val="none"/>
        </w:rPr>
        <w:t>esearch suggests that the need to obtain finance can be a trigger for senior management to execute accounting fraud. For example, there may be a need to raise more capital or alternative lines of credit, and Accounting Fraud may be the only mechanism to achieve these financial goals.</w:t>
      </w:r>
    </w:p>
    <w:p w14:paraId="1DB30120"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773EE790" w14:textId="7A3F71E5"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A pre-Enron study by Dunn (1999) established that the key determinant of Accounting Fraud was the requirement to raise further capital. The need for cheap outside finance, coupled with the requirement to sidestep debt covenant limits, can induce management to maliciously influence earnings (Dechow et al, 1996). Beasley et al. (1999) ascertained that the need to secure higher cash amounts when issuing fresh stock/shares can be a purported reason for management to commit Accounting Fraud. It is argued by Anderson and Tirrell (2004) that senior management may encounter intense pressure to continuously issue suitable results; otherwise, external stakeholders may lose confidence or jeopardize access to additional capital. It has </w:t>
      </w:r>
      <w:r w:rsidRPr="00891F5D">
        <w:rPr>
          <w:rFonts w:ascii="Arial" w:eastAsiaTheme="minorHAnsi" w:hAnsi="Arial" w:cs="Arial"/>
          <w:kern w:val="0"/>
          <w:lang w:val="en-US" w:eastAsia="en-US"/>
          <w14:ligatures w14:val="none"/>
        </w:rPr>
        <w:lastRenderedPageBreak/>
        <w:t xml:space="preserve">been suggested by </w:t>
      </w:r>
      <w:r w:rsidR="00881293" w:rsidRPr="00891F5D">
        <w:rPr>
          <w:rFonts w:ascii="Arial" w:eastAsiaTheme="minorHAnsi" w:hAnsi="Arial" w:cs="Arial"/>
          <w:kern w:val="0"/>
          <w:lang w:val="en-US" w:eastAsia="en-US"/>
          <w14:ligatures w14:val="none"/>
        </w:rPr>
        <w:t>Beasley</w:t>
      </w:r>
      <w:r w:rsidRPr="00891F5D">
        <w:rPr>
          <w:rFonts w:ascii="Arial" w:eastAsiaTheme="minorHAnsi" w:hAnsi="Arial" w:cs="Arial"/>
          <w:kern w:val="0"/>
          <w:lang w:val="en-US" w:eastAsia="en-US"/>
          <w14:ligatures w14:val="none"/>
        </w:rPr>
        <w:t xml:space="preserve"> et al. (2010) that pending long-term finance, including debt or equity, may be a motive for companies to engage in Accounting Fraud. It has been suggested by Firth et al. (2011) determined that if management wants to issue equity at a reasonable cost, they may be more inclined to engage in earnings management.</w:t>
      </w:r>
    </w:p>
    <w:p w14:paraId="43466F55" w14:textId="1574890C" w:rsidR="00891F5D" w:rsidRPr="00E769FA" w:rsidRDefault="00E769FA" w:rsidP="00911121">
      <w:pPr>
        <w:autoSpaceDE w:val="0"/>
        <w:autoSpaceDN w:val="0"/>
        <w:adjustRightInd w:val="0"/>
        <w:spacing w:after="0" w:line="240" w:lineRule="auto"/>
        <w:jc w:val="both"/>
        <w:rPr>
          <w:rStyle w:val="Hyperlink"/>
          <w:rFonts w:ascii="Arial" w:eastAsiaTheme="minorHAnsi" w:hAnsi="Arial" w:cs="Arial"/>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"C35"</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p>
    <w:p w14:paraId="0029D8A3" w14:textId="29F81846" w:rsidR="00891F5D" w:rsidRPr="00891F5D" w:rsidRDefault="00891F5D" w:rsidP="00911121">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both"/>
        <w:rPr>
          <w:rFonts w:ascii="Arial" w:eastAsiaTheme="minorHAnsi" w:hAnsi="Arial" w:cs="Arial"/>
          <w:b/>
          <w:bCs/>
          <w:kern w:val="0"/>
          <w:lang w:val="en-US" w:eastAsia="en-US"/>
          <w14:ligatures w14:val="none"/>
        </w:rPr>
      </w:pPr>
      <w:bookmarkStart w:id="440" w:name="W"/>
      <w:bookmarkStart w:id="441" w:name="D35"/>
      <w:r w:rsidRPr="00E769FA">
        <w:rPr>
          <w:rStyle w:val="Hyperlink"/>
          <w:rFonts w:ascii="Arial" w:eastAsiaTheme="minorHAnsi" w:hAnsi="Arial" w:cs="Arial"/>
          <w:b/>
          <w:bCs/>
          <w:kern w:val="0"/>
          <w:lang w:val="en-US" w:eastAsia="en-US"/>
          <w14:ligatures w14:val="none"/>
        </w:rPr>
        <w:t>2.4.3 Exceeding or Upholding Market Expectations</w:t>
      </w:r>
      <w:r w:rsidR="00E769FA">
        <w:rPr>
          <w:rFonts w:ascii="Arial" w:eastAsiaTheme="minorHAnsi" w:hAnsi="Arial" w:cs="Arial"/>
          <w:b/>
          <w:bCs/>
          <w:kern w:val="0"/>
          <w:lang w:val="en-US" w:eastAsia="en-US"/>
          <w14:ligatures w14:val="none"/>
        </w:rPr>
        <w:fldChar w:fldCharType="end"/>
      </w:r>
    </w:p>
    <w:bookmarkEnd w:id="440"/>
    <w:bookmarkEnd w:id="441"/>
    <w:p w14:paraId="27F71D69" w14:textId="77777777" w:rsidR="00911121" w:rsidRDefault="00911121" w:rsidP="00911121">
      <w:pPr>
        <w:autoSpaceDE w:val="0"/>
        <w:autoSpaceDN w:val="0"/>
        <w:adjustRightInd w:val="0"/>
        <w:spacing w:after="0" w:line="240" w:lineRule="auto"/>
        <w:jc w:val="both"/>
        <w:rPr>
          <w:rFonts w:ascii="Arial" w:eastAsiaTheme="minorHAnsi" w:hAnsi="Arial" w:cs="Arial"/>
          <w:kern w:val="0"/>
          <w:lang w:val="en-US" w:eastAsia="en-US"/>
          <w14:ligatures w14:val="none"/>
        </w:rPr>
      </w:pPr>
    </w:p>
    <w:p w14:paraId="29DB9746" w14:textId="0FDCE2D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Previous literature indicates that exceeding or maintaining market expectations </w:t>
      </w:r>
      <w:r w:rsidRPr="00891F5D">
        <w:rPr>
          <w:rFonts w:ascii="Arial" w:eastAsia="TimesNewRomanPSMT" w:hAnsi="Arial" w:cs="Arial"/>
          <w:kern w:val="0"/>
          <w:lang w:val="en-US" w:eastAsia="en-US"/>
          <w14:ligatures w14:val="none"/>
        </w:rPr>
        <w:t>can potentially motivate management to undertake Accounting Fraud</w:t>
      </w:r>
      <w:r w:rsidRPr="00891F5D">
        <w:rPr>
          <w:rFonts w:ascii="Arial" w:eastAsiaTheme="minorHAnsi" w:hAnsi="Arial" w:cs="Arial"/>
          <w:kern w:val="0"/>
          <w:lang w:val="en-US" w:eastAsia="en-US"/>
          <w14:ligatures w14:val="none"/>
        </w:rPr>
        <w:t>. For example, it may desire long-term finance from an initial public offering (IPO), achieve corporate objectives, or beat market analysts. It is argued by Albrecht et al (2008) that senior management is aware that not maintaining analysts’ forecasts can have a detrimental effect on company share price performance and that thus there is pressure on it to alter earnings through Accounting Fraud. Rezaee and Riley (2010) report that listed companies are under intense pressure to issue earnings reports that, at a minimum, meet market expectation rather than maximizing shareholder wealth because senior pay would be jeopardized.</w:t>
      </w:r>
    </w:p>
    <w:p w14:paraId="68472C59"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0D7D3CF5"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The C R I M E (Cooks, Recipes. Incentives, Monitoring, End Results) created by Rezaee (2008) established those incentives</w:t>
      </w:r>
      <w:r w:rsidRPr="00891F5D">
        <w:rPr>
          <w:rFonts w:ascii="Arial" w:eastAsia="TimesNewRomanPSMT" w:hAnsi="Arial" w:cs="Arial"/>
          <w:kern w:val="0"/>
          <w:lang w:val="en-US" w:eastAsia="en-US"/>
          <w14:ligatures w14:val="none"/>
        </w:rPr>
        <w:t xml:space="preserve"> for Accounting Fraud included upholding market expectations by exaggerating the company results</w:t>
      </w:r>
      <w:r w:rsidRPr="00891F5D">
        <w:rPr>
          <w:rFonts w:ascii="Arial" w:eastAsiaTheme="minorHAnsi" w:hAnsi="Arial" w:cs="Arial"/>
          <w:kern w:val="0"/>
          <w:lang w:val="en-US" w:eastAsia="en-US"/>
          <w14:ligatures w14:val="none"/>
        </w:rPr>
        <w:t xml:space="preserve">, </w:t>
      </w:r>
      <w:r w:rsidRPr="00891F5D">
        <w:rPr>
          <w:rFonts w:ascii="Arial" w:eastAsia="TimesNewRomanPSMT" w:hAnsi="Arial" w:cs="Arial"/>
          <w:kern w:val="0"/>
          <w:lang w:val="en-US" w:eastAsia="en-US"/>
          <w14:ligatures w14:val="none"/>
        </w:rPr>
        <w:t xml:space="preserve">raising additional cash through an IPO, achieving corporate objectives, and manipulating share prices to raise the demand for issuance of more share capital. </w:t>
      </w:r>
      <w:r w:rsidRPr="00891F5D">
        <w:rPr>
          <w:rFonts w:ascii="Arial" w:eastAsiaTheme="minorHAnsi" w:hAnsi="Arial" w:cs="Arial"/>
          <w:kern w:val="0"/>
          <w:lang w:val="en-US" w:eastAsia="en-US"/>
          <w14:ligatures w14:val="none"/>
        </w:rPr>
        <w:t xml:space="preserve">On the other hand, it is contended by Albrecht et al. (2008) that it is improbable, if not unrealistic, Wall Street expectations encourage senior management to execute Accounting Fraud. However, it has been established by Beasley et al. (2010) that the desire to meet outside earnings targets </w:t>
      </w:r>
      <w:r w:rsidRPr="00891F5D">
        <w:rPr>
          <w:rFonts w:ascii="Arial" w:eastAsiaTheme="minorHAnsi" w:hAnsi="Arial" w:cs="Arial"/>
          <w:kern w:val="0"/>
          <w:lang w:val="en-US" w:eastAsia="en-US"/>
          <w14:ligatures w14:val="none"/>
        </w:rPr>
        <w:lastRenderedPageBreak/>
        <w:t>causes Accounting Fraud, especially in the short term which was also substantiated by the Centre for Audit Quality (2010). Perols and Lougee (2010) argued that “meet or beat analyst forecasts” are probably forcing companies to commit Accounting Fraud even when there is no evidence of previous earnings management or Accounting Fraud.</w:t>
      </w:r>
    </w:p>
    <w:p w14:paraId="189848B1" w14:textId="77777777" w:rsidR="00891F5D" w:rsidRPr="00891F5D" w:rsidRDefault="00891F5D" w:rsidP="00891F5D">
      <w:pPr>
        <w:autoSpaceDE w:val="0"/>
        <w:autoSpaceDN w:val="0"/>
        <w:adjustRightInd w:val="0"/>
        <w:spacing w:after="0" w:line="480" w:lineRule="auto"/>
        <w:jc w:val="both"/>
        <w:rPr>
          <w:rFonts w:ascii="Arial" w:eastAsia="TimesNewRomanPSMT" w:hAnsi="Arial" w:cs="Arial"/>
          <w:kern w:val="0"/>
          <w:lang w:val="en-US" w:eastAsia="en-US"/>
          <w14:ligatures w14:val="none"/>
        </w:rPr>
      </w:pPr>
    </w:p>
    <w:bookmarkStart w:id="442" w:name="X"/>
    <w:bookmarkStart w:id="443" w:name="D36"/>
    <w:p w14:paraId="25295EEE" w14:textId="3F8F91BD" w:rsidR="00891F5D" w:rsidRPr="00891F5D" w:rsidRDefault="00E769FA" w:rsidP="00911121">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"C36"</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E769FA">
        <w:rPr>
          <w:rStyle w:val="Hyperlink"/>
          <w:rFonts w:ascii="Arial" w:eastAsiaTheme="minorHAnsi" w:hAnsi="Arial" w:cs="Arial"/>
          <w:b/>
          <w:bCs/>
          <w:kern w:val="0"/>
          <w:lang w:val="en-US" w:eastAsia="en-US"/>
          <w14:ligatures w14:val="none"/>
        </w:rPr>
        <w:t>2.4.4 Covering Up Company Financial Problems</w:t>
      </w:r>
      <w:r>
        <w:rPr>
          <w:rFonts w:ascii="Arial" w:eastAsiaTheme="minorHAnsi" w:hAnsi="Arial" w:cs="Arial"/>
          <w:b/>
          <w:bCs/>
          <w:kern w:val="0"/>
          <w:lang w:val="en-US" w:eastAsia="en-US"/>
          <w14:ligatures w14:val="none"/>
        </w:rPr>
        <w:fldChar w:fldCharType="end"/>
      </w:r>
    </w:p>
    <w:bookmarkEnd w:id="442"/>
    <w:bookmarkEnd w:id="443"/>
    <w:p w14:paraId="4721A8C7" w14:textId="77777777" w:rsidR="00911121" w:rsidRDefault="00911121" w:rsidP="00911121">
      <w:pPr>
        <w:autoSpaceDE w:val="0"/>
        <w:autoSpaceDN w:val="0"/>
        <w:adjustRightInd w:val="0"/>
        <w:spacing w:after="0" w:line="240" w:lineRule="auto"/>
        <w:jc w:val="both"/>
        <w:rPr>
          <w:rFonts w:ascii="Arial" w:eastAsiaTheme="minorHAnsi" w:hAnsi="Arial" w:cs="Arial"/>
          <w:kern w:val="0"/>
          <w:lang w:val="en-US" w:eastAsia="en-US"/>
          <w14:ligatures w14:val="none"/>
        </w:rPr>
      </w:pPr>
    </w:p>
    <w:p w14:paraId="08878547" w14:textId="1C781DF3" w:rsid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According to an in-depth study involving 200 companies, by Beasley et al. (1999), senior </w:t>
      </w:r>
      <w:r w:rsidRPr="00891F5D">
        <w:rPr>
          <w:rFonts w:ascii="Arial" w:eastAsia="TimesNewRomanPSMT" w:hAnsi="Arial" w:cs="Arial"/>
          <w:kern w:val="0"/>
          <w:lang w:val="en-US" w:eastAsia="en-US"/>
          <w14:ligatures w14:val="none"/>
        </w:rPr>
        <w:t>management may have undertaken Accounting Fraud to improve declining</w:t>
      </w:r>
      <w:r w:rsidRPr="00891F5D">
        <w:rPr>
          <w:rFonts w:ascii="Arial" w:eastAsiaTheme="minorHAnsi" w:hAnsi="Arial" w:cs="Arial"/>
          <w:kern w:val="0"/>
          <w:lang w:val="en-US" w:eastAsia="en-US"/>
          <w14:ligatures w14:val="none"/>
        </w:rPr>
        <w:t xml:space="preserve"> results, to maintain or increase share prices, avoid delisting, or conceal the fact that company assets were stolen or utilized for personal use. </w:t>
      </w:r>
      <w:r w:rsidRPr="00891F5D">
        <w:rPr>
          <w:rFonts w:ascii="Arial" w:eastAsia="TimesNewRomanPSMT" w:hAnsi="Arial" w:cs="Arial"/>
          <w:kern w:val="0"/>
          <w:lang w:val="en-US" w:eastAsia="en-US"/>
          <w14:ligatures w14:val="none"/>
        </w:rPr>
        <w:t xml:space="preserve">The companies in the study were either experiencing material losses or were close to </w:t>
      </w:r>
      <w:proofErr w:type="gramStart"/>
      <w:r w:rsidRPr="00891F5D">
        <w:rPr>
          <w:rFonts w:ascii="Arial" w:eastAsia="TimesNewRomanPSMT" w:hAnsi="Arial" w:cs="Arial"/>
          <w:kern w:val="0"/>
          <w:lang w:val="en-US" w:eastAsia="en-US"/>
          <w14:ligatures w14:val="none"/>
        </w:rPr>
        <w:t>break-even</w:t>
      </w:r>
      <w:proofErr w:type="gramEnd"/>
      <w:r w:rsidRPr="00891F5D">
        <w:rPr>
          <w:rFonts w:ascii="Arial" w:eastAsia="TimesNewRomanPSMT" w:hAnsi="Arial" w:cs="Arial"/>
          <w:kern w:val="0"/>
          <w:lang w:val="en-US" w:eastAsia="en-US"/>
          <w14:ligatures w14:val="none"/>
        </w:rPr>
        <w:t xml:space="preserve">. </w:t>
      </w:r>
      <w:r w:rsidRPr="00891F5D">
        <w:rPr>
          <w:rFonts w:ascii="Arial" w:eastAsiaTheme="minorHAnsi" w:hAnsi="Arial" w:cs="Arial"/>
          <w:kern w:val="0"/>
          <w:lang w:val="en-US" w:eastAsia="en-US"/>
          <w14:ligatures w14:val="none"/>
        </w:rPr>
        <w:t>This suggests that poor company results may incentivize Accounting Fraud (Beasley et al., 2010).</w:t>
      </w:r>
    </w:p>
    <w:p w14:paraId="30B4911C" w14:textId="77777777" w:rsidR="00911121" w:rsidRPr="00891F5D" w:rsidRDefault="00911121"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5210B4C8"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It has been noted by Kapardi (2002) that companies experiencing severe financial distress were more likely to commit Accounting Fraud and that, consequently, external auditors should remain vigilant. This pattern has also been established in bankrupt firms, by Rosner (2003), which may be more prone to undertake Accounting Fraud to cover up financial problems and engage in aggressive earnings management before company failure. After studying the most notorious accounting scandals of the early 2000s, such as Enron, researchers; Albrecht et al (2008), concluded that the most important motivator to commit Accounting Fraud was growing debt and the need to conceal it. Further research by Johnson et al. (2008) suggests that senior management who commit Accounting Fraud are usually attempting to avoid major corrections to the company share price. A multiple regression model created by </w:t>
      </w:r>
      <w:r w:rsidRPr="00891F5D">
        <w:rPr>
          <w:rFonts w:ascii="Arial" w:eastAsiaTheme="minorHAnsi" w:hAnsi="Arial" w:cs="Arial"/>
          <w:kern w:val="0"/>
          <w:lang w:val="en-US" w:eastAsia="en-US"/>
          <w14:ligatures w14:val="none"/>
        </w:rPr>
        <w:lastRenderedPageBreak/>
        <w:t>Hasnan et al. (2008), using a sample of Malaysian companies in 2008 to ascertain the drivers of Accounting Fraud, found that severe financial problems were the primary variable. A study in 2011 by Firth et al. (2011) of fraudulent financial statements by listed Chinese companies, using multiple regression analysis, showed that companies used earning management techniques to conceal losses to avoid being de-listed from the stock exchange. In the Egyptian context, Kamel and El Banna (2010) found that the senior management need to maintain, if not exceed, previous financial results was the major motivation to engage in Accounting Fraud.</w:t>
      </w:r>
    </w:p>
    <w:p w14:paraId="65F43B24" w14:textId="77777777" w:rsid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Now that we understand the motivations for Accounting Fraud the next section explores the relationship between Accounting Fraud and Corporate Governance or Theme Three. </w:t>
      </w:r>
    </w:p>
    <w:p w14:paraId="0F2EAC99" w14:textId="77777777" w:rsidR="00DA5550" w:rsidRPr="00891F5D" w:rsidRDefault="00DA5550"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bookmarkStart w:id="444" w:name="D37"/>
    <w:p w14:paraId="658DAFCA" w14:textId="69963915" w:rsidR="00891F5D" w:rsidRPr="00891F5D" w:rsidRDefault="004F5A30" w:rsidP="00891F5D">
      <w:pPr>
        <w:pBdr>
          <w:top w:val="single" w:sz="4" w:space="1" w:color="auto"/>
          <w:left w:val="single" w:sz="4" w:space="4" w:color="auto"/>
          <w:bottom w:val="single" w:sz="4" w:space="1" w:color="auto"/>
          <w:right w:val="single" w:sz="4" w:space="4" w:color="auto"/>
        </w:pBdr>
        <w:spacing w:line="256" w:lineRule="auto"/>
        <w:rPr>
          <w:rFonts w:asciiTheme="minorBidi" w:hAnsiTheme="minorBidi"/>
          <w:b/>
          <w:bCs/>
          <w:lang w:val="en-US" w:eastAsia="en-US"/>
        </w:rPr>
      </w:pPr>
      <w:r>
        <w:rPr>
          <w:rFonts w:asciiTheme="minorBidi" w:hAnsiTheme="minorBidi"/>
          <w:b/>
          <w:bCs/>
          <w:lang w:val="en-US" w:eastAsia="en-US"/>
        </w:rPr>
        <w:fldChar w:fldCharType="begin"/>
      </w:r>
      <w:r>
        <w:rPr>
          <w:rFonts w:asciiTheme="minorBidi" w:hAnsiTheme="minorBidi"/>
          <w:b/>
          <w:bCs/>
          <w:lang w:val="en-US" w:eastAsia="en-US"/>
        </w:rPr>
        <w:instrText>HYPERLINK  \l "C37"</w:instrText>
      </w:r>
      <w:r>
        <w:rPr>
          <w:rFonts w:asciiTheme="minorBidi" w:hAnsiTheme="minorBidi"/>
          <w:b/>
          <w:bCs/>
          <w:lang w:val="en-US" w:eastAsia="en-US"/>
        </w:rPr>
      </w:r>
      <w:r>
        <w:rPr>
          <w:rFonts w:asciiTheme="minorBidi" w:hAnsiTheme="minorBidi"/>
          <w:b/>
          <w:bCs/>
          <w:lang w:val="en-US" w:eastAsia="en-US"/>
        </w:rPr>
        <w:fldChar w:fldCharType="separate"/>
      </w:r>
      <w:r w:rsidR="00891F5D" w:rsidRPr="004F5A30">
        <w:rPr>
          <w:rStyle w:val="Hyperlink"/>
          <w:rFonts w:asciiTheme="minorBidi" w:hAnsiTheme="minorBidi"/>
          <w:b/>
          <w:bCs/>
          <w:lang w:val="en-US" w:eastAsia="en-US"/>
        </w:rPr>
        <w:t>2.5 Theme Three: Corporate Governance and Accounting Fraud</w:t>
      </w:r>
      <w:r>
        <w:rPr>
          <w:rFonts w:asciiTheme="minorBidi" w:hAnsiTheme="minorBidi"/>
          <w:b/>
          <w:bCs/>
          <w:lang w:val="en-US" w:eastAsia="en-US"/>
        </w:rPr>
        <w:fldChar w:fldCharType="end"/>
      </w:r>
    </w:p>
    <w:bookmarkEnd w:id="444"/>
    <w:p w14:paraId="079DBED0" w14:textId="217E06A7" w:rsidR="00891F5D" w:rsidRPr="00891F5D" w:rsidRDefault="00891F5D" w:rsidP="00891F5D">
      <w:pPr>
        <w:spacing w:before="100" w:beforeAutospacing="1" w:after="100" w:afterAutospacing="1"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According to the Financial Reporting Council (2016), Corporate Governance is the method by which </w:t>
      </w:r>
      <w:r w:rsidR="00881293" w:rsidRPr="00891F5D">
        <w:rPr>
          <w:rFonts w:ascii="Arial" w:eastAsiaTheme="minorHAnsi" w:hAnsi="Arial" w:cs="Arial"/>
          <w:kern w:val="0"/>
          <w:lang w:val="en-US" w:eastAsia="en-US"/>
          <w14:ligatures w14:val="none"/>
        </w:rPr>
        <w:t>organizations</w:t>
      </w:r>
      <w:r w:rsidRPr="00891F5D">
        <w:rPr>
          <w:rFonts w:ascii="Arial" w:eastAsiaTheme="minorHAnsi" w:hAnsi="Arial" w:cs="Arial"/>
          <w:kern w:val="0"/>
          <w:lang w:val="en-US" w:eastAsia="en-US"/>
          <w14:ligatures w14:val="none"/>
        </w:rPr>
        <w:t xml:space="preserve"> are directed and controlled. Boards of directors are accountable for the governance of their companies by creating official and clear protocols for ensuring equitable financial reporting, coupled with strong risk management and internal control systems/culture</w:t>
      </w:r>
      <w:r w:rsidRPr="00891F5D">
        <w:rPr>
          <w:rFonts w:ascii="Arial" w:eastAsia="TimesNewRomanPSMT" w:hAnsi="Arial" w:cs="Arial"/>
          <w:kern w:val="0"/>
          <w:lang w:val="en-US" w:eastAsia="en-US"/>
          <w14:ligatures w14:val="none"/>
        </w:rPr>
        <w:t xml:space="preserve">. Shareholders engage with </w:t>
      </w:r>
      <w:r w:rsidRPr="00891F5D">
        <w:rPr>
          <w:rFonts w:ascii="Arial" w:eastAsiaTheme="minorHAnsi" w:hAnsi="Arial" w:cs="Arial"/>
          <w:kern w:val="0"/>
          <w:lang w:val="en-US" w:eastAsia="en-US"/>
          <w14:ligatures w14:val="none"/>
        </w:rPr>
        <w:t xml:space="preserve">the directors and the auditors to ensure that a suitable governance model is established. </w:t>
      </w:r>
      <w:r w:rsidRPr="00891F5D">
        <w:rPr>
          <w:rFonts w:asciiTheme="minorBidi" w:eastAsia="Times New Roman" w:hAnsiTheme="minorBidi"/>
          <w:kern w:val="0"/>
          <w14:ligatures w14:val="none"/>
        </w:rPr>
        <w:t xml:space="preserve">The relationship between Corporate Governance and Accounting Fraud is a crucial area of study (Anagnostopoulou, &amp; Tsekrekos, A. E. 2017, García-Sánchez&amp; García-Meca, 2017). Since it is argued that strong Corporate Governance mechanisms can considerably lower the incidence of Accounting Fraud (Chen &amp; Srinidhi, 2020). </w:t>
      </w:r>
    </w:p>
    <w:p w14:paraId="49ADF0A7"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A weak internal control system coupled with poor governance could increase the likelihood of Accounting Fraud, which is supported by the global 2018 ACFE fraud </w:t>
      </w:r>
      <w:r w:rsidRPr="00891F5D">
        <w:rPr>
          <w:rFonts w:ascii="Arial" w:eastAsiaTheme="minorHAnsi" w:hAnsi="Arial" w:cs="Arial"/>
          <w:kern w:val="0"/>
          <w:lang w:val="en-US" w:eastAsia="en-US"/>
          <w14:ligatures w14:val="none"/>
        </w:rPr>
        <w:lastRenderedPageBreak/>
        <w:t>study. This also highlighted another significant factor, ‘ineffective board leadership’, which could increase the risk of fraud. Several studies including Hasnan et al (2013, 2008) and Rezaee (2005) established a positive correlation between poor corporate governance and Accounting Fraud. It was discovered that the risk of Accounting Fraud dampens when there are more external directors on the board with vested interests in the company (Dunn, 1999). Accounting Fraud is more likely to happen when power remains solely in the hands of insiders because they have access to asymmetric information, which informs decision making (Dunn, 2004).</w:t>
      </w:r>
    </w:p>
    <w:p w14:paraId="2E873F0A" w14:textId="42994CBC" w:rsidR="00911121" w:rsidRPr="00891F5D" w:rsidRDefault="00891F5D" w:rsidP="003E44A1">
      <w:pPr>
        <w:spacing w:before="100" w:beforeAutospacing="1" w:after="100" w:afterAutospacing="1" w:line="480" w:lineRule="auto"/>
        <w:jc w:val="both"/>
        <w:rPr>
          <w:rFonts w:asciiTheme="minorBidi" w:eastAsia="Times New Roman" w:hAnsiTheme="minorBidi"/>
          <w:kern w:val="0"/>
          <w14:ligatures w14:val="none"/>
        </w:rPr>
      </w:pPr>
      <w:r w:rsidRPr="00891F5D">
        <w:rPr>
          <w:rFonts w:asciiTheme="minorBidi" w:eastAsia="Times New Roman" w:hAnsiTheme="minorBidi"/>
          <w:kern w:val="0"/>
          <w14:ligatures w14:val="none"/>
        </w:rPr>
        <w:t xml:space="preserve">The researcher believes that the major components of Corporate Governance are </w:t>
      </w:r>
      <w:proofErr w:type="spellStart"/>
      <w:r w:rsidRPr="00891F5D">
        <w:rPr>
          <w:rFonts w:asciiTheme="minorBidi" w:eastAsia="Times New Roman" w:hAnsiTheme="minorBidi"/>
          <w:kern w:val="0"/>
          <w14:ligatures w14:val="none"/>
        </w:rPr>
        <w:t>board</w:t>
      </w:r>
      <w:proofErr w:type="spellEnd"/>
      <w:r w:rsidRPr="00891F5D">
        <w:rPr>
          <w:rFonts w:asciiTheme="minorBidi" w:eastAsia="Times New Roman" w:hAnsiTheme="minorBidi"/>
          <w:kern w:val="0"/>
          <w14:ligatures w14:val="none"/>
        </w:rPr>
        <w:t xml:space="preserve"> impartiality, audit committees, executive pay, and ownership formation which play significant roles in facilitating transparency and accountability in the financial reporting function, see Figure 2.6</w:t>
      </w:r>
    </w:p>
    <w:p w14:paraId="6A8DE0C7" w14:textId="77777777" w:rsidR="00891F5D" w:rsidRPr="00891F5D" w:rsidRDefault="00891F5D" w:rsidP="00891F5D">
      <w:pPr>
        <w:spacing w:before="100" w:beforeAutospacing="1" w:after="100" w:afterAutospacing="1" w:line="480" w:lineRule="auto"/>
        <w:jc w:val="both"/>
        <w:rPr>
          <w:rFonts w:asciiTheme="minorBidi" w:eastAsia="Times New Roman" w:hAnsiTheme="minorBidi"/>
          <w:b/>
          <w:bCs/>
          <w:kern w:val="0"/>
          <w14:ligatures w14:val="none"/>
        </w:rPr>
      </w:pPr>
      <w:r w:rsidRPr="00891F5D">
        <w:rPr>
          <w:rFonts w:asciiTheme="minorBidi" w:eastAsia="Times New Roman" w:hAnsiTheme="minorBidi"/>
          <w:b/>
          <w:bCs/>
          <w:kern w:val="0"/>
          <w14:ligatures w14:val="none"/>
        </w:rPr>
        <w:t>Fig 2.6 Chief Components of Corporate Governance</w:t>
      </w:r>
    </w:p>
    <w:p w14:paraId="5FF51439" w14:textId="77777777" w:rsidR="00891F5D" w:rsidRPr="00891F5D" w:rsidRDefault="00891F5D" w:rsidP="00891F5D">
      <w:pPr>
        <w:spacing w:before="100" w:beforeAutospacing="1" w:after="100" w:afterAutospacing="1" w:line="480" w:lineRule="auto"/>
        <w:jc w:val="both"/>
        <w:rPr>
          <w:rFonts w:asciiTheme="minorBidi" w:eastAsia="Times New Roman" w:hAnsiTheme="minorBidi"/>
          <w:kern w:val="0"/>
          <w14:ligatures w14:val="none"/>
        </w:rPr>
      </w:pPr>
      <w:r w:rsidRPr="00891F5D">
        <w:rPr>
          <w:rFonts w:asciiTheme="minorBidi" w:eastAsia="Times New Roman" w:hAnsiTheme="minorBidi"/>
          <w:noProof/>
          <w:kern w:val="0"/>
        </w:rPr>
        <w:drawing>
          <wp:inline distT="0" distB="0" distL="0" distR="0" wp14:anchorId="7D57F78A" wp14:editId="6A9C9D48">
            <wp:extent cx="5486400" cy="3200400"/>
            <wp:effectExtent l="0" t="0" r="0" b="19050"/>
            <wp:docPr id="21478851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inline>
        </w:drawing>
      </w:r>
    </w:p>
    <w:p w14:paraId="3DC5AE53" w14:textId="77777777" w:rsidR="003E44A1" w:rsidRDefault="003E44A1" w:rsidP="00891F5D">
      <w:pPr>
        <w:spacing w:before="100" w:beforeAutospacing="1" w:after="100" w:afterAutospacing="1" w:line="480" w:lineRule="auto"/>
        <w:jc w:val="both"/>
        <w:outlineLvl w:val="2"/>
        <w:rPr>
          <w:rFonts w:asciiTheme="minorBidi" w:eastAsia="Times New Roman" w:hAnsiTheme="minorBidi"/>
          <w:kern w:val="0"/>
          <w14:ligatures w14:val="none"/>
        </w:rPr>
      </w:pPr>
    </w:p>
    <w:p w14:paraId="5815B80E" w14:textId="0E21B266" w:rsidR="00891F5D" w:rsidRPr="00891F5D" w:rsidRDefault="00891F5D" w:rsidP="00891F5D">
      <w:pPr>
        <w:spacing w:before="100" w:beforeAutospacing="1" w:after="100" w:afterAutospacing="1" w:line="480" w:lineRule="auto"/>
        <w:jc w:val="both"/>
        <w:outlineLvl w:val="2"/>
        <w:rPr>
          <w:rFonts w:asciiTheme="minorBidi" w:eastAsia="Times New Roman" w:hAnsiTheme="minorBidi"/>
          <w:kern w:val="0"/>
          <w14:ligatures w14:val="none"/>
        </w:rPr>
      </w:pPr>
      <w:r w:rsidRPr="00891F5D">
        <w:rPr>
          <w:rFonts w:asciiTheme="minorBidi" w:eastAsia="Times New Roman" w:hAnsiTheme="minorBidi"/>
          <w:kern w:val="0"/>
          <w14:ligatures w14:val="none"/>
        </w:rPr>
        <w:lastRenderedPageBreak/>
        <w:t>Key Characteristics of the relationship:</w:t>
      </w:r>
    </w:p>
    <w:p w14:paraId="5442D9C3" w14:textId="77777777" w:rsidR="00891F5D" w:rsidRPr="00891F5D" w:rsidRDefault="00891F5D">
      <w:pPr>
        <w:numPr>
          <w:ilvl w:val="0"/>
          <w:numId w:val="4"/>
        </w:numPr>
        <w:spacing w:before="100" w:beforeAutospacing="1" w:after="100" w:afterAutospacing="1" w:line="480" w:lineRule="auto"/>
        <w:jc w:val="both"/>
        <w:rPr>
          <w:rFonts w:asciiTheme="minorBidi" w:eastAsia="Times New Roman" w:hAnsiTheme="minorBidi"/>
          <w:b/>
          <w:bCs/>
          <w:kern w:val="0"/>
          <w14:ligatures w14:val="none"/>
        </w:rPr>
      </w:pPr>
      <w:r w:rsidRPr="00891F5D">
        <w:rPr>
          <w:rFonts w:asciiTheme="minorBidi" w:eastAsia="Times New Roman" w:hAnsiTheme="minorBidi"/>
          <w:b/>
          <w:bCs/>
          <w:kern w:val="0"/>
          <w14:ligatures w14:val="none"/>
        </w:rPr>
        <w:t>Board Impartiality:</w:t>
      </w:r>
    </w:p>
    <w:p w14:paraId="23A8DE2A" w14:textId="77777777" w:rsidR="00891F5D" w:rsidRPr="00891F5D" w:rsidRDefault="00891F5D">
      <w:pPr>
        <w:numPr>
          <w:ilvl w:val="1"/>
          <w:numId w:val="4"/>
        </w:numPr>
        <w:spacing w:before="100" w:beforeAutospacing="1" w:after="100" w:afterAutospacing="1" w:line="480" w:lineRule="auto"/>
        <w:jc w:val="both"/>
        <w:rPr>
          <w:rFonts w:asciiTheme="minorBidi" w:eastAsia="Times New Roman" w:hAnsiTheme="minorBidi"/>
          <w:kern w:val="0"/>
          <w14:ligatures w14:val="none"/>
        </w:rPr>
      </w:pPr>
      <w:r w:rsidRPr="00891F5D">
        <w:rPr>
          <w:rFonts w:asciiTheme="minorBidi" w:eastAsia="Times New Roman" w:hAnsiTheme="minorBidi"/>
          <w:kern w:val="0"/>
          <w14:ligatures w14:val="none"/>
        </w:rPr>
        <w:t xml:space="preserve">Independent directors will probably supply impartial oversight, lowering the chance of Accounting Fraud </w:t>
      </w:r>
      <w:r w:rsidRPr="00891F5D">
        <w:rPr>
          <w:rFonts w:asciiTheme="minorBidi" w:hAnsiTheme="minorBidi"/>
        </w:rPr>
        <w:t>(Eldenburg et al., 2021; Alareeni &amp; Hamdan, 2022).</w:t>
      </w:r>
    </w:p>
    <w:p w14:paraId="205FC04F" w14:textId="77777777" w:rsidR="00891F5D" w:rsidRPr="00891F5D" w:rsidRDefault="00891F5D">
      <w:pPr>
        <w:numPr>
          <w:ilvl w:val="0"/>
          <w:numId w:val="4"/>
        </w:numPr>
        <w:spacing w:before="100" w:beforeAutospacing="1" w:after="100" w:afterAutospacing="1" w:line="480" w:lineRule="auto"/>
        <w:jc w:val="both"/>
        <w:rPr>
          <w:rFonts w:asciiTheme="minorBidi" w:eastAsia="Times New Roman" w:hAnsiTheme="minorBidi"/>
          <w:b/>
          <w:bCs/>
          <w:kern w:val="0"/>
          <w14:ligatures w14:val="none"/>
        </w:rPr>
      </w:pPr>
      <w:r w:rsidRPr="00891F5D">
        <w:rPr>
          <w:rFonts w:asciiTheme="minorBidi" w:eastAsia="Times New Roman" w:hAnsiTheme="minorBidi"/>
          <w:b/>
          <w:bCs/>
          <w:kern w:val="0"/>
          <w14:ligatures w14:val="none"/>
        </w:rPr>
        <w:t>Audit Committees:</w:t>
      </w:r>
    </w:p>
    <w:p w14:paraId="7707E83F" w14:textId="0220EA0A" w:rsidR="00891F5D" w:rsidRPr="00891F5D" w:rsidRDefault="00891F5D">
      <w:pPr>
        <w:numPr>
          <w:ilvl w:val="1"/>
          <w:numId w:val="4"/>
        </w:numPr>
        <w:spacing w:before="100" w:beforeAutospacing="1" w:after="100" w:afterAutospacing="1" w:line="480" w:lineRule="auto"/>
        <w:jc w:val="both"/>
        <w:rPr>
          <w:rFonts w:asciiTheme="minorBidi" w:eastAsia="Times New Roman" w:hAnsiTheme="minorBidi"/>
          <w:kern w:val="0"/>
          <w14:ligatures w14:val="none"/>
        </w:rPr>
      </w:pPr>
      <w:r w:rsidRPr="00891F5D">
        <w:rPr>
          <w:rFonts w:asciiTheme="minorBidi" w:eastAsia="Times New Roman" w:hAnsiTheme="minorBidi"/>
          <w:kern w:val="0"/>
          <w14:ligatures w14:val="none"/>
        </w:rPr>
        <w:t>Effective audit committees improve the quality of the financial reporting function and ensure robust internal controls, thus moderating the risk from Accounting Fraud (</w:t>
      </w:r>
      <w:r w:rsidRPr="00891F5D">
        <w:rPr>
          <w:rFonts w:asciiTheme="minorBidi" w:hAnsiTheme="minorBidi"/>
        </w:rPr>
        <w:t>Boubakri et al., 2020; Chen &amp; Srinidhi, 2020).</w:t>
      </w:r>
    </w:p>
    <w:p w14:paraId="05659DE5" w14:textId="77777777" w:rsidR="00891F5D" w:rsidRPr="00891F5D" w:rsidRDefault="00891F5D">
      <w:pPr>
        <w:numPr>
          <w:ilvl w:val="0"/>
          <w:numId w:val="4"/>
        </w:numPr>
        <w:spacing w:before="100" w:beforeAutospacing="1" w:after="100" w:afterAutospacing="1" w:line="480" w:lineRule="auto"/>
        <w:jc w:val="both"/>
        <w:rPr>
          <w:rFonts w:asciiTheme="minorBidi" w:eastAsia="Times New Roman" w:hAnsiTheme="minorBidi"/>
          <w:kern w:val="0"/>
          <w14:ligatures w14:val="none"/>
        </w:rPr>
      </w:pPr>
      <w:r w:rsidRPr="00891F5D">
        <w:rPr>
          <w:rFonts w:asciiTheme="minorBidi" w:eastAsia="Times New Roman" w:hAnsiTheme="minorBidi"/>
          <w:b/>
          <w:bCs/>
          <w:kern w:val="0"/>
          <w14:ligatures w14:val="none"/>
        </w:rPr>
        <w:t>Executive Pay</w:t>
      </w:r>
      <w:r w:rsidRPr="00891F5D">
        <w:rPr>
          <w:rFonts w:asciiTheme="minorBidi" w:eastAsia="Times New Roman" w:hAnsiTheme="minorBidi"/>
          <w:kern w:val="0"/>
          <w14:ligatures w14:val="none"/>
        </w:rPr>
        <w:t>:</w:t>
      </w:r>
    </w:p>
    <w:p w14:paraId="266707F9" w14:textId="77777777" w:rsidR="00891F5D" w:rsidRPr="00891F5D" w:rsidRDefault="00891F5D">
      <w:pPr>
        <w:numPr>
          <w:ilvl w:val="1"/>
          <w:numId w:val="4"/>
        </w:numPr>
        <w:spacing w:before="100" w:beforeAutospacing="1" w:after="100" w:afterAutospacing="1" w:line="480" w:lineRule="auto"/>
        <w:jc w:val="both"/>
        <w:rPr>
          <w:rFonts w:asciiTheme="minorBidi" w:eastAsia="Times New Roman" w:hAnsiTheme="minorBidi"/>
          <w:kern w:val="0"/>
          <w14:ligatures w14:val="none"/>
        </w:rPr>
      </w:pPr>
      <w:r w:rsidRPr="00891F5D">
        <w:rPr>
          <w:rFonts w:asciiTheme="minorBidi" w:eastAsia="Times New Roman" w:hAnsiTheme="minorBidi"/>
          <w:kern w:val="0"/>
          <w14:ligatures w14:val="none"/>
        </w:rPr>
        <w:t xml:space="preserve">Connecting executive pay to long-term performance rather than short-term KPIs can prevent managers from engaging in Accounting Fraud to enhance short-term results </w:t>
      </w:r>
      <w:r w:rsidRPr="00891F5D">
        <w:rPr>
          <w:rFonts w:asciiTheme="minorBidi" w:hAnsiTheme="minorBidi"/>
        </w:rPr>
        <w:t>(Boubakri et al., 2020; Eldenburg et al., 2021).</w:t>
      </w:r>
    </w:p>
    <w:p w14:paraId="59A9B49F" w14:textId="77777777" w:rsidR="00891F5D" w:rsidRPr="00891F5D" w:rsidRDefault="00891F5D">
      <w:pPr>
        <w:numPr>
          <w:ilvl w:val="0"/>
          <w:numId w:val="4"/>
        </w:numPr>
        <w:spacing w:before="100" w:beforeAutospacing="1" w:after="100" w:afterAutospacing="1" w:line="480" w:lineRule="auto"/>
        <w:jc w:val="both"/>
        <w:rPr>
          <w:rFonts w:asciiTheme="minorBidi" w:eastAsia="Times New Roman" w:hAnsiTheme="minorBidi"/>
          <w:b/>
          <w:bCs/>
          <w:kern w:val="0"/>
          <w14:ligatures w14:val="none"/>
        </w:rPr>
      </w:pPr>
      <w:r w:rsidRPr="00891F5D">
        <w:rPr>
          <w:rFonts w:asciiTheme="minorBidi" w:eastAsia="Times New Roman" w:hAnsiTheme="minorBidi"/>
          <w:b/>
          <w:bCs/>
          <w:kern w:val="0"/>
          <w14:ligatures w14:val="none"/>
        </w:rPr>
        <w:t>Ownership Formation:</w:t>
      </w:r>
    </w:p>
    <w:p w14:paraId="5E831772" w14:textId="77777777" w:rsidR="00891F5D" w:rsidRPr="00891F5D" w:rsidRDefault="00891F5D">
      <w:pPr>
        <w:numPr>
          <w:ilvl w:val="1"/>
          <w:numId w:val="4"/>
        </w:numPr>
        <w:spacing w:before="100" w:beforeAutospacing="1" w:after="100" w:afterAutospacing="1" w:line="480" w:lineRule="auto"/>
        <w:jc w:val="both"/>
        <w:rPr>
          <w:rFonts w:asciiTheme="minorBidi" w:eastAsia="Times New Roman" w:hAnsiTheme="minorBidi"/>
          <w:kern w:val="0"/>
          <w14:ligatures w14:val="none"/>
        </w:rPr>
      </w:pPr>
      <w:r w:rsidRPr="00891F5D">
        <w:rPr>
          <w:rFonts w:asciiTheme="minorBidi" w:eastAsia="Times New Roman" w:hAnsiTheme="minorBidi"/>
          <w:kern w:val="0"/>
          <w14:ligatures w14:val="none"/>
        </w:rPr>
        <w:t xml:space="preserve">Rigorous ownership, where key shareholders have important stakes, can either constrain or aggravate Accounting Fraud depending on the alignment of personal interests between owners and managers </w:t>
      </w:r>
      <w:r w:rsidRPr="00891F5D">
        <w:rPr>
          <w:rFonts w:asciiTheme="minorBidi" w:hAnsiTheme="minorBidi"/>
        </w:rPr>
        <w:t>(Zhang, Zhou, &amp; Zhou, 2022; Alareeni &amp; Hamdan, 2022).</w:t>
      </w:r>
    </w:p>
    <w:p w14:paraId="70D79B4D" w14:textId="62E3182E" w:rsidR="00911121" w:rsidRPr="003E44A1" w:rsidRDefault="00891F5D" w:rsidP="003E44A1">
      <w:pPr>
        <w:autoSpaceDE w:val="0"/>
        <w:autoSpaceDN w:val="0"/>
        <w:adjustRightInd w:val="0"/>
        <w:spacing w:before="240" w:after="0" w:line="480" w:lineRule="auto"/>
        <w:jc w:val="both"/>
        <w:rPr>
          <w:rFonts w:ascii="Arial" w:eastAsia="Times New Roman" w:hAnsi="Arial" w:cs="Arial"/>
          <w:b/>
          <w:bCs/>
          <w:i/>
          <w:iCs/>
          <w:kern w:val="0"/>
          <w:lang w:val="en-US" w:eastAsia="en-GB"/>
          <w14:ligatures w14:val="none"/>
        </w:rPr>
      </w:pPr>
      <w:bookmarkStart w:id="445" w:name="54"/>
      <w:bookmarkStart w:id="446" w:name="_Hlk171789180"/>
      <w:bookmarkStart w:id="447" w:name="112"/>
      <w:r w:rsidRPr="00891F5D">
        <w:rPr>
          <w:rFonts w:ascii="Arial" w:eastAsiaTheme="minorHAnsi" w:hAnsi="Arial" w:cs="Arial"/>
          <w:kern w:val="0"/>
          <w:lang w:val="en-US" w:eastAsia="en-US"/>
          <w14:ligatures w14:val="none"/>
        </w:rPr>
        <w:t xml:space="preserve">The researcher, Sheikh (2017) created a useful framework to examine Corporate </w:t>
      </w:r>
      <w:r w:rsidR="00881293">
        <w:rPr>
          <w:rFonts w:ascii="Arial" w:eastAsiaTheme="minorHAnsi" w:hAnsi="Arial" w:cs="Arial"/>
          <w:kern w:val="0"/>
          <w:lang w:val="en-US" w:eastAsia="en-US"/>
          <w14:ligatures w14:val="none"/>
        </w:rPr>
        <w:t>G</w:t>
      </w:r>
      <w:r w:rsidRPr="00891F5D">
        <w:rPr>
          <w:rFonts w:ascii="Arial" w:eastAsiaTheme="minorHAnsi" w:hAnsi="Arial" w:cs="Arial"/>
          <w:kern w:val="0"/>
          <w:lang w:val="en-US" w:eastAsia="en-US"/>
          <w14:ligatures w14:val="none"/>
        </w:rPr>
        <w:t xml:space="preserve">overnance salient to the study of Accounting Fraud, entitled the Corporate Governance Cosmos; see Figure 2.7. </w:t>
      </w:r>
      <w:r w:rsidRPr="00891F5D">
        <w:rPr>
          <w:rFonts w:ascii="Arial" w:eastAsia="Times New Roman" w:hAnsi="Arial" w:cs="Arial"/>
          <w:kern w:val="0"/>
          <w:lang w:val="en-US" w:eastAsia="en-GB"/>
          <w14:ligatures w14:val="none"/>
        </w:rPr>
        <w:t xml:space="preserve">it is contended that the primary objective of a company is to </w:t>
      </w:r>
      <w:r w:rsidR="003E4021" w:rsidRPr="00891F5D">
        <w:rPr>
          <w:rFonts w:ascii="Arial" w:eastAsia="Times New Roman" w:hAnsi="Arial" w:cs="Arial"/>
          <w:kern w:val="0"/>
          <w:lang w:val="en-US" w:eastAsia="en-GB"/>
          <w14:ligatures w14:val="none"/>
        </w:rPr>
        <w:t>maximize</w:t>
      </w:r>
      <w:r w:rsidRPr="00891F5D">
        <w:rPr>
          <w:rFonts w:ascii="Arial" w:eastAsia="Times New Roman" w:hAnsi="Arial" w:cs="Arial"/>
          <w:kern w:val="0"/>
          <w:lang w:val="en-US" w:eastAsia="en-GB"/>
          <w14:ligatures w14:val="none"/>
        </w:rPr>
        <w:t xml:space="preserve"> profits and therefore enhance the wealth of its shareholders. This is achieved by </w:t>
      </w:r>
      <w:r w:rsidR="003E4021" w:rsidRPr="00891F5D">
        <w:rPr>
          <w:rFonts w:ascii="Arial" w:eastAsia="Times New Roman" w:hAnsi="Arial" w:cs="Arial"/>
          <w:kern w:val="0"/>
          <w:lang w:val="en-US" w:eastAsia="en-GB"/>
          <w14:ligatures w14:val="none"/>
        </w:rPr>
        <w:t>utilizing</w:t>
      </w:r>
      <w:r w:rsidRPr="00891F5D">
        <w:rPr>
          <w:rFonts w:ascii="Arial" w:eastAsia="Times New Roman" w:hAnsi="Arial" w:cs="Arial"/>
          <w:kern w:val="0"/>
          <w:lang w:val="en-US" w:eastAsia="en-GB"/>
          <w14:ligatures w14:val="none"/>
        </w:rPr>
        <w:t xml:space="preserve"> internally generated accounting information, which informs </w:t>
      </w:r>
      <w:r w:rsidRPr="00891F5D">
        <w:rPr>
          <w:rFonts w:ascii="Arial" w:eastAsia="Times New Roman" w:hAnsi="Arial" w:cs="Arial"/>
          <w:kern w:val="0"/>
          <w:lang w:val="en-US" w:eastAsia="en-GB"/>
          <w14:ligatures w14:val="none"/>
        </w:rPr>
        <w:lastRenderedPageBreak/>
        <w:t xml:space="preserve">decision making. The important questions that arise during the potentially incongruent pursuit of profit and wealth </w:t>
      </w:r>
      <w:r w:rsidR="003E4021" w:rsidRPr="00891F5D">
        <w:rPr>
          <w:rFonts w:ascii="Arial" w:eastAsia="Times New Roman" w:hAnsi="Arial" w:cs="Arial"/>
          <w:kern w:val="0"/>
          <w:lang w:val="en-US" w:eastAsia="en-GB"/>
          <w14:ligatures w14:val="none"/>
        </w:rPr>
        <w:t>maximization</w:t>
      </w:r>
      <w:r w:rsidRPr="00891F5D">
        <w:rPr>
          <w:rFonts w:ascii="Arial" w:eastAsia="Times New Roman" w:hAnsi="Arial" w:cs="Arial"/>
          <w:kern w:val="0"/>
          <w:lang w:val="en-US" w:eastAsia="en-GB"/>
          <w14:ligatures w14:val="none"/>
        </w:rPr>
        <w:t xml:space="preserve"> are who exercises responsibility and accountability, and what relationships and possible conflicts exist between ‘principals’ and their ‘agents’, i.e., the </w:t>
      </w:r>
      <w:r w:rsidRPr="00891F5D">
        <w:rPr>
          <w:rFonts w:ascii="Arial" w:eastAsia="Times New Roman" w:hAnsi="Arial" w:cs="Arial"/>
          <w:b/>
          <w:bCs/>
          <w:i/>
          <w:iCs/>
          <w:kern w:val="0"/>
          <w:lang w:val="en-US" w:eastAsia="en-GB"/>
          <w14:ligatures w14:val="none"/>
        </w:rPr>
        <w:t>agency problem.</w:t>
      </w:r>
    </w:p>
    <w:p w14:paraId="42416C55" w14:textId="158A2C71" w:rsidR="00891F5D" w:rsidRPr="00891F5D" w:rsidRDefault="00891F5D" w:rsidP="00891F5D">
      <w:pPr>
        <w:spacing w:line="480" w:lineRule="auto"/>
        <w:jc w:val="both"/>
        <w:rPr>
          <w:rFonts w:ascii="Arial" w:hAnsi="Arial" w:cs="Arial"/>
          <w:b/>
          <w:bCs/>
        </w:rPr>
      </w:pPr>
      <w:r w:rsidRPr="00891F5D">
        <w:rPr>
          <w:rFonts w:ascii="Arial" w:hAnsi="Arial" w:cs="Arial"/>
          <w:b/>
          <w:bCs/>
        </w:rPr>
        <w:t>Figure 2.7 Corporate Governance Cosmos</w:t>
      </w:r>
    </w:p>
    <w:p w14:paraId="62E5D50A" w14:textId="77777777" w:rsidR="00891F5D" w:rsidRPr="00891F5D" w:rsidRDefault="00891F5D" w:rsidP="00891F5D">
      <w:pPr>
        <w:spacing w:line="480" w:lineRule="auto"/>
        <w:jc w:val="both"/>
        <w:rPr>
          <w:rFonts w:ascii="Arial" w:hAnsi="Arial" w:cs="Arial"/>
        </w:rPr>
      </w:pPr>
      <w:r w:rsidRPr="00891F5D">
        <w:rPr>
          <w:rFonts w:ascii="Arial" w:hAnsi="Arial" w:cs="Arial"/>
          <w:noProof/>
          <w:lang w:eastAsia="en-GB"/>
        </w:rPr>
        <mc:AlternateContent>
          <mc:Choice Requires="wps">
            <w:drawing>
              <wp:anchor distT="0" distB="0" distL="114300" distR="114300" simplePos="0" relativeHeight="251682816" behindDoc="0" locked="0" layoutInCell="1" allowOverlap="1" wp14:anchorId="1776BDF2" wp14:editId="4161A1AA">
                <wp:simplePos x="0" y="0"/>
                <wp:positionH relativeFrom="column">
                  <wp:posOffset>2210637</wp:posOffset>
                </wp:positionH>
                <wp:positionV relativeFrom="paragraph">
                  <wp:posOffset>194143</wp:posOffset>
                </wp:positionV>
                <wp:extent cx="3072765" cy="1245995"/>
                <wp:effectExtent l="0" t="0" r="13335" b="11430"/>
                <wp:wrapNone/>
                <wp:docPr id="3"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72765" cy="1245995"/>
                        </a:xfrm>
                        <a:prstGeom prst="ellipse">
                          <a:avLst/>
                        </a:prstGeom>
                        <a:solidFill>
                          <a:srgbClr val="FFFFFF"/>
                        </a:solidFill>
                        <a:ln w="9525">
                          <a:solidFill>
                            <a:srgbClr val="000000"/>
                          </a:solidFill>
                          <a:round/>
                          <a:headEnd/>
                          <a:tailEnd/>
                        </a:ln>
                      </wps:spPr>
                      <wps:txbx>
                        <w:txbxContent>
                          <w:p w14:paraId="699766C9" w14:textId="77777777" w:rsidR="00891F5D" w:rsidRPr="00816551" w:rsidRDefault="00891F5D" w:rsidP="00891F5D">
                            <w:pPr>
                              <w:jc w:val="center"/>
                              <w:rPr>
                                <w:rFonts w:ascii="Arial" w:hAnsi="Arial" w:cs="Arial"/>
                                <w:b/>
                              </w:rPr>
                            </w:pPr>
                            <w:r w:rsidRPr="00816551">
                              <w:rPr>
                                <w:rFonts w:ascii="Arial" w:hAnsi="Arial" w:cs="Arial"/>
                                <w:b/>
                              </w:rPr>
                              <w:t>S/</w:t>
                            </w:r>
                            <w:r>
                              <w:rPr>
                                <w:rFonts w:ascii="Arial" w:hAnsi="Arial" w:cs="Arial"/>
                                <w:b/>
                              </w:rPr>
                              <w:t xml:space="preserve"> </w:t>
                            </w:r>
                            <w:r w:rsidRPr="00816551">
                              <w:rPr>
                                <w:rFonts w:ascii="Arial" w:hAnsi="Arial" w:cs="Arial"/>
                                <w:b/>
                              </w:rPr>
                              <w:t>HOLDERS</w:t>
                            </w:r>
                          </w:p>
                          <w:p w14:paraId="704F1C83" w14:textId="77777777" w:rsidR="00891F5D" w:rsidRPr="00816551" w:rsidRDefault="00891F5D" w:rsidP="00891F5D">
                            <w:pPr>
                              <w:jc w:val="center"/>
                              <w:rPr>
                                <w:rFonts w:ascii="Arial" w:hAnsi="Arial" w:cs="Arial"/>
                                <w:b/>
                              </w:rPr>
                            </w:pPr>
                            <w:r w:rsidRPr="00816551">
                              <w:rPr>
                                <w:rFonts w:ascii="Arial" w:hAnsi="Arial" w:cs="Arial"/>
                                <w:b/>
                              </w:rPr>
                              <w:t>/</w:t>
                            </w:r>
                          </w:p>
                          <w:p w14:paraId="2605B238" w14:textId="77777777" w:rsidR="00891F5D" w:rsidRPr="00816551" w:rsidRDefault="00891F5D" w:rsidP="00891F5D">
                            <w:pPr>
                              <w:jc w:val="center"/>
                              <w:rPr>
                                <w:rFonts w:ascii="Arial" w:hAnsi="Arial" w:cs="Arial"/>
                                <w:b/>
                              </w:rPr>
                            </w:pPr>
                            <w:r w:rsidRPr="00816551">
                              <w:rPr>
                                <w:rFonts w:ascii="Arial" w:hAnsi="Arial" w:cs="Arial"/>
                                <w:b/>
                              </w:rPr>
                              <w:t>PRINCIPAL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776BDF2" id="Oval 2" o:spid="_x0000_s1026" style="position:absolute;left:0;text-align:left;margin-left:174.05pt;margin-top:15.3pt;width:241.95pt;height:98.1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">
                <v:textbox>
                  <w:txbxContent>
                    <w:p w14:paraId="699766C9" w14:textId="77777777" w:rsidR="00891F5D" w:rsidRPr="00816551" w:rsidRDefault="00891F5D" w:rsidP="00891F5D">
                      <w:pPr>
                        <w:jc w:val="center"/>
                        <w:rPr>
                          <w:rFonts w:ascii="Arial" w:hAnsi="Arial" w:cs="Arial"/>
                          <w:b/>
                        </w:rPr>
                      </w:pPr>
                      <w:r w:rsidRPr="00816551">
                        <w:rPr>
                          <w:rFonts w:ascii="Arial" w:hAnsi="Arial" w:cs="Arial"/>
                          <w:b/>
                        </w:rPr>
                        <w:t>S/</w:t>
                      </w:r>
                      <w:r>
                        <w:rPr>
                          <w:rFonts w:ascii="Arial" w:hAnsi="Arial" w:cs="Arial"/>
                          <w:b/>
                        </w:rPr>
                        <w:t xml:space="preserve"> </w:t>
                      </w:r>
                      <w:r w:rsidRPr="00816551">
                        <w:rPr>
                          <w:rFonts w:ascii="Arial" w:hAnsi="Arial" w:cs="Arial"/>
                          <w:b/>
                        </w:rPr>
                        <w:t>HOLDERS</w:t>
                      </w:r>
                    </w:p>
                    <w:p w14:paraId="704F1C83" w14:textId="77777777" w:rsidR="00891F5D" w:rsidRPr="00816551" w:rsidRDefault="00891F5D" w:rsidP="00891F5D">
                      <w:pPr>
                        <w:jc w:val="center"/>
                        <w:rPr>
                          <w:rFonts w:ascii="Arial" w:hAnsi="Arial" w:cs="Arial"/>
                          <w:b/>
                        </w:rPr>
                      </w:pPr>
                      <w:r w:rsidRPr="00816551">
                        <w:rPr>
                          <w:rFonts w:ascii="Arial" w:hAnsi="Arial" w:cs="Arial"/>
                          <w:b/>
                        </w:rPr>
                        <w:t>/</w:t>
                      </w:r>
                    </w:p>
                    <w:p w14:paraId="2605B238" w14:textId="77777777" w:rsidR="00891F5D" w:rsidRPr="00816551" w:rsidRDefault="00891F5D" w:rsidP="00891F5D">
                      <w:pPr>
                        <w:jc w:val="center"/>
                        <w:rPr>
                          <w:rFonts w:ascii="Arial" w:hAnsi="Arial" w:cs="Arial"/>
                          <w:b/>
                        </w:rPr>
                      </w:pPr>
                      <w:r w:rsidRPr="00816551">
                        <w:rPr>
                          <w:rFonts w:ascii="Arial" w:hAnsi="Arial" w:cs="Arial"/>
                          <w:b/>
                        </w:rPr>
                        <w:t>PRINCIPAL</w:t>
                      </w:r>
                    </w:p>
                  </w:txbxContent>
                </v:textbox>
              </v:oval>
            </w:pict>
          </mc:Fallback>
        </mc:AlternateContent>
      </w:r>
    </w:p>
    <w:p w14:paraId="262ACA82" w14:textId="77777777" w:rsidR="00891F5D" w:rsidRPr="00891F5D" w:rsidRDefault="00891F5D" w:rsidP="00891F5D">
      <w:pPr>
        <w:spacing w:line="480" w:lineRule="auto"/>
        <w:jc w:val="center"/>
        <w:rPr>
          <w:rFonts w:ascii="Arial" w:hAnsi="Arial" w:cs="Arial"/>
        </w:rPr>
      </w:pPr>
    </w:p>
    <w:p w14:paraId="52A7A9F4" w14:textId="77777777" w:rsidR="00891F5D" w:rsidRPr="00891F5D" w:rsidRDefault="00891F5D" w:rsidP="00891F5D">
      <w:pPr>
        <w:spacing w:line="480" w:lineRule="auto"/>
        <w:jc w:val="both"/>
        <w:rPr>
          <w:rFonts w:ascii="Arial" w:hAnsi="Arial" w:cs="Arial"/>
        </w:rPr>
      </w:pPr>
    </w:p>
    <w:p w14:paraId="052FCF7C" w14:textId="77777777" w:rsidR="00891F5D" w:rsidRPr="00891F5D" w:rsidRDefault="00891F5D" w:rsidP="00891F5D">
      <w:pPr>
        <w:spacing w:line="480" w:lineRule="auto"/>
        <w:jc w:val="both"/>
        <w:rPr>
          <w:rFonts w:ascii="Arial" w:hAnsi="Arial" w:cs="Arial"/>
        </w:rPr>
      </w:pPr>
      <w:r w:rsidRPr="00891F5D">
        <w:rPr>
          <w:rFonts w:ascii="Arial" w:hAnsi="Arial" w:cs="Arial"/>
          <w:noProof/>
          <w:lang w:eastAsia="en-GB"/>
        </w:rPr>
        <mc:AlternateContent>
          <mc:Choice Requires="wps">
            <w:drawing>
              <wp:anchor distT="0" distB="0" distL="114300" distR="114300" simplePos="0" relativeHeight="251688960" behindDoc="0" locked="0" layoutInCell="1" allowOverlap="1" wp14:anchorId="5983CBCD" wp14:editId="302E5788">
                <wp:simplePos x="0" y="0"/>
                <wp:positionH relativeFrom="column">
                  <wp:posOffset>3764915</wp:posOffset>
                </wp:positionH>
                <wp:positionV relativeFrom="paragraph">
                  <wp:posOffset>368300</wp:posOffset>
                </wp:positionV>
                <wp:extent cx="0" cy="537845"/>
                <wp:effectExtent l="59690" t="7620" r="54610" b="16510"/>
                <wp:wrapNone/>
                <wp:docPr id="4" name="AutoShap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3784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4DAA1E4" id="AutoShape 13" o:spid="_x0000_s1026" type="#_x0000_t32" style="position:absolute;margin-left:296.45pt;margin-top:29pt;width:0;height:42.3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">
                <v:stroke endarrow="block"/>
              </v:shape>
            </w:pict>
          </mc:Fallback>
        </mc:AlternateContent>
      </w:r>
    </w:p>
    <w:p w14:paraId="1637735C" w14:textId="77777777" w:rsidR="00891F5D" w:rsidRPr="00891F5D" w:rsidRDefault="00891F5D" w:rsidP="00891F5D">
      <w:pPr>
        <w:spacing w:line="480" w:lineRule="auto"/>
        <w:jc w:val="both"/>
        <w:rPr>
          <w:rFonts w:ascii="Arial" w:hAnsi="Arial" w:cs="Arial"/>
        </w:rPr>
      </w:pPr>
    </w:p>
    <w:p w14:paraId="68514372" w14:textId="77777777" w:rsidR="00891F5D" w:rsidRPr="00891F5D" w:rsidRDefault="00891F5D" w:rsidP="00891F5D">
      <w:pPr>
        <w:spacing w:line="480" w:lineRule="auto"/>
        <w:jc w:val="center"/>
        <w:rPr>
          <w:rFonts w:ascii="Arial" w:hAnsi="Arial" w:cs="Arial"/>
        </w:rPr>
      </w:pPr>
      <w:r w:rsidRPr="00891F5D">
        <w:rPr>
          <w:rFonts w:ascii="Arial" w:hAnsi="Arial" w:cs="Arial"/>
          <w:noProof/>
          <w:lang w:eastAsia="en-GB"/>
        </w:rPr>
        <mc:AlternateContent>
          <mc:Choice Requires="wps">
            <w:drawing>
              <wp:anchor distT="0" distB="0" distL="114300" distR="114300" simplePos="0" relativeHeight="251686912" behindDoc="0" locked="0" layoutInCell="1" allowOverlap="1" wp14:anchorId="7CE0D0FF" wp14:editId="57BEC99C">
                <wp:simplePos x="0" y="0"/>
                <wp:positionH relativeFrom="column">
                  <wp:posOffset>217365</wp:posOffset>
                </wp:positionH>
                <wp:positionV relativeFrom="paragraph">
                  <wp:posOffset>258989</wp:posOffset>
                </wp:positionV>
                <wp:extent cx="1459230" cy="834125"/>
                <wp:effectExtent l="0" t="0" r="26670" b="23495"/>
                <wp:wrapNone/>
                <wp:docPr id="6" name="Oval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59230" cy="834125"/>
                        </a:xfrm>
                        <a:prstGeom prst="ellipse">
                          <a:avLst/>
                        </a:prstGeom>
                        <a:solidFill>
                          <a:srgbClr val="FFFFFF"/>
                        </a:solidFill>
                        <a:ln w="9525">
                          <a:solidFill>
                            <a:srgbClr val="000000"/>
                          </a:solidFill>
                          <a:round/>
                          <a:headEnd/>
                          <a:tailEnd/>
                        </a:ln>
                      </wps:spPr>
                      <wps:txbx>
                        <w:txbxContent>
                          <w:p w14:paraId="7591A85D" w14:textId="77777777" w:rsidR="00891F5D" w:rsidRPr="00816551" w:rsidRDefault="00891F5D" w:rsidP="00891F5D">
                            <w:pPr>
                              <w:jc w:val="center"/>
                              <w:rPr>
                                <w:rFonts w:ascii="Arial" w:hAnsi="Arial" w:cs="Arial"/>
                                <w:b/>
                              </w:rPr>
                            </w:pPr>
                            <w:r w:rsidRPr="00816551">
                              <w:rPr>
                                <w:rFonts w:ascii="Arial" w:hAnsi="Arial" w:cs="Arial"/>
                                <w:b/>
                              </w:rPr>
                              <w:t>EXTERNAL AUDIT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CE0D0FF" id="Oval 6" o:spid="_x0000_s1027" style="position:absolute;left:0;text-align:left;margin-left:17.1pt;margin-top:20.4pt;width:114.9pt;height:65.7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">
                <v:textbox>
                  <w:txbxContent>
                    <w:p w14:paraId="7591A85D" w14:textId="77777777" w:rsidR="00891F5D" w:rsidRPr="00816551" w:rsidRDefault="00891F5D" w:rsidP="00891F5D">
                      <w:pPr>
                        <w:jc w:val="center"/>
                        <w:rPr>
                          <w:rFonts w:ascii="Arial" w:hAnsi="Arial" w:cs="Arial"/>
                          <w:b/>
                        </w:rPr>
                      </w:pPr>
                      <w:r w:rsidRPr="00816551">
                        <w:rPr>
                          <w:rFonts w:ascii="Arial" w:hAnsi="Arial" w:cs="Arial"/>
                          <w:b/>
                        </w:rPr>
                        <w:t>EXTERNAL AUDIT</w:t>
                      </w:r>
                    </w:p>
                  </w:txbxContent>
                </v:textbox>
              </v:oval>
            </w:pict>
          </mc:Fallback>
        </mc:AlternateContent>
      </w:r>
      <w:r w:rsidRPr="00891F5D">
        <w:rPr>
          <w:rFonts w:ascii="Arial" w:hAnsi="Arial" w:cs="Arial"/>
          <w:noProof/>
          <w:lang w:eastAsia="en-GB"/>
        </w:rPr>
        <mc:AlternateContent>
          <mc:Choice Requires="wps">
            <w:drawing>
              <wp:anchor distT="0" distB="0" distL="114300" distR="114300" simplePos="0" relativeHeight="251683840" behindDoc="0" locked="0" layoutInCell="1" allowOverlap="1" wp14:anchorId="4D4952FE" wp14:editId="1101B4A4">
                <wp:simplePos x="0" y="0"/>
                <wp:positionH relativeFrom="column">
                  <wp:posOffset>2651125</wp:posOffset>
                </wp:positionH>
                <wp:positionV relativeFrom="paragraph">
                  <wp:posOffset>126365</wp:posOffset>
                </wp:positionV>
                <wp:extent cx="2327910" cy="1044575"/>
                <wp:effectExtent l="12700" t="11430" r="12065" b="10795"/>
                <wp:wrapNone/>
                <wp:docPr id="5" name="Oval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27910" cy="1044575"/>
                        </a:xfrm>
                        <a:prstGeom prst="ellipse">
                          <a:avLst/>
                        </a:prstGeom>
                        <a:solidFill>
                          <a:srgbClr val="FFFFFF"/>
                        </a:solidFill>
                        <a:ln w="9525">
                          <a:solidFill>
                            <a:srgbClr val="000000"/>
                          </a:solidFill>
                          <a:round/>
                          <a:headEnd/>
                          <a:tailEnd/>
                        </a:ln>
                      </wps:spPr>
                      <wps:txbx>
                        <w:txbxContent>
                          <w:p w14:paraId="23D4B6EB" w14:textId="77777777" w:rsidR="00891F5D" w:rsidRPr="00816551" w:rsidRDefault="00891F5D" w:rsidP="00891F5D">
                            <w:pPr>
                              <w:jc w:val="center"/>
                              <w:rPr>
                                <w:rFonts w:ascii="Arial" w:hAnsi="Arial" w:cs="Arial"/>
                                <w:b/>
                              </w:rPr>
                            </w:pPr>
                            <w:r w:rsidRPr="00816551">
                              <w:rPr>
                                <w:rFonts w:ascii="Arial" w:hAnsi="Arial" w:cs="Arial"/>
                                <w:b/>
                              </w:rPr>
                              <w:t>BOARD OF DIRECTORS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D4952FE" id="Oval 3" o:spid="_x0000_s1028" style="position:absolute;left:0;text-align:left;margin-left:208.75pt;margin-top:9.95pt;width:183.3pt;height:82.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">
                <v:textbox>
                  <w:txbxContent>
                    <w:p w14:paraId="23D4B6EB" w14:textId="77777777" w:rsidR="00891F5D" w:rsidRPr="00816551" w:rsidRDefault="00891F5D" w:rsidP="00891F5D">
                      <w:pPr>
                        <w:jc w:val="center"/>
                        <w:rPr>
                          <w:rFonts w:ascii="Arial" w:hAnsi="Arial" w:cs="Arial"/>
                          <w:b/>
                        </w:rPr>
                      </w:pPr>
                      <w:r w:rsidRPr="00816551">
                        <w:rPr>
                          <w:rFonts w:ascii="Arial" w:hAnsi="Arial" w:cs="Arial"/>
                          <w:b/>
                        </w:rPr>
                        <w:t>BOARD OF DIRECTORS</w:t>
                      </w:r>
                    </w:p>
                  </w:txbxContent>
                </v:textbox>
              </v:oval>
            </w:pict>
          </mc:Fallback>
        </mc:AlternateContent>
      </w:r>
    </w:p>
    <w:p w14:paraId="10956101" w14:textId="77777777" w:rsidR="00891F5D" w:rsidRPr="00891F5D" w:rsidRDefault="00891F5D" w:rsidP="00891F5D">
      <w:pPr>
        <w:spacing w:line="480" w:lineRule="auto"/>
        <w:jc w:val="both"/>
        <w:rPr>
          <w:rFonts w:ascii="Arial" w:hAnsi="Arial" w:cs="Arial"/>
        </w:rPr>
      </w:pPr>
    </w:p>
    <w:p w14:paraId="4DB72F1E" w14:textId="77777777" w:rsidR="00891F5D" w:rsidRPr="00891F5D" w:rsidRDefault="00891F5D" w:rsidP="00891F5D">
      <w:pPr>
        <w:spacing w:line="480" w:lineRule="auto"/>
        <w:jc w:val="both"/>
        <w:rPr>
          <w:rFonts w:ascii="Arial" w:hAnsi="Arial" w:cs="Arial"/>
        </w:rPr>
      </w:pPr>
    </w:p>
    <w:p w14:paraId="07975DE1" w14:textId="77777777" w:rsidR="00891F5D" w:rsidRPr="00891F5D" w:rsidRDefault="00891F5D" w:rsidP="00891F5D">
      <w:pPr>
        <w:spacing w:line="480" w:lineRule="auto"/>
        <w:jc w:val="both"/>
        <w:rPr>
          <w:rFonts w:ascii="Arial" w:hAnsi="Arial" w:cs="Arial"/>
        </w:rPr>
      </w:pPr>
      <w:r w:rsidRPr="00891F5D">
        <w:rPr>
          <w:rFonts w:ascii="Arial" w:hAnsi="Arial" w:cs="Arial"/>
          <w:noProof/>
          <w:lang w:eastAsia="en-GB"/>
        </w:rPr>
        <mc:AlternateContent>
          <mc:Choice Requires="wps">
            <w:drawing>
              <wp:anchor distT="0" distB="0" distL="114300" distR="114300" simplePos="0" relativeHeight="251691008" behindDoc="0" locked="0" layoutInCell="1" allowOverlap="1" wp14:anchorId="097BAD4E" wp14:editId="68B445E0">
                <wp:simplePos x="0" y="0"/>
                <wp:positionH relativeFrom="column">
                  <wp:posOffset>3764915</wp:posOffset>
                </wp:positionH>
                <wp:positionV relativeFrom="paragraph">
                  <wp:posOffset>1905</wp:posOffset>
                </wp:positionV>
                <wp:extent cx="635" cy="617220"/>
                <wp:effectExtent l="59690" t="18415" r="53975" b="21590"/>
                <wp:wrapNone/>
                <wp:docPr id="7" name="AutoShap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61722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752AC7B" id="AutoShape 18" o:spid="_x0000_s1026" type="#_x0000_t32" style="position:absolute;margin-left:296.45pt;margin-top:.15pt;width:.05pt;height:48.6pt;flip:y;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">
                <v:stroke startarrow="block" endarrow="block"/>
              </v:shape>
            </w:pict>
          </mc:Fallback>
        </mc:AlternateContent>
      </w:r>
      <w:r w:rsidRPr="00891F5D">
        <w:rPr>
          <w:rFonts w:ascii="Arial" w:hAnsi="Arial" w:cs="Arial"/>
          <w:noProof/>
          <w:lang w:eastAsia="en-GB"/>
        </w:rPr>
        <mc:AlternateContent>
          <mc:Choice Requires="wps">
            <w:drawing>
              <wp:anchor distT="0" distB="0" distL="114300" distR="114300" simplePos="0" relativeHeight="251687936" behindDoc="0" locked="0" layoutInCell="1" allowOverlap="1" wp14:anchorId="66E99995" wp14:editId="2AB5E8F5">
                <wp:simplePos x="0" y="0"/>
                <wp:positionH relativeFrom="column">
                  <wp:posOffset>960755</wp:posOffset>
                </wp:positionH>
                <wp:positionV relativeFrom="paragraph">
                  <wp:posOffset>635</wp:posOffset>
                </wp:positionV>
                <wp:extent cx="0" cy="617855"/>
                <wp:effectExtent l="55880" t="7620" r="58420" b="22225"/>
                <wp:wrapNone/>
                <wp:docPr id="8" name="AutoShap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178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B5B2992" id="AutoShape 12" o:spid="_x0000_s1026" type="#_x0000_t32" style="position:absolute;margin-left:75.65pt;margin-top:.05pt;width:0;height:48.6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">
                <v:stroke endarrow="block"/>
              </v:shape>
            </w:pict>
          </mc:Fallback>
        </mc:AlternateContent>
      </w:r>
    </w:p>
    <w:p w14:paraId="54F93B42" w14:textId="01961534" w:rsidR="00891F5D" w:rsidRPr="00891F5D" w:rsidRDefault="00F52B31" w:rsidP="00891F5D">
      <w:pPr>
        <w:spacing w:line="480" w:lineRule="auto"/>
        <w:jc w:val="both"/>
        <w:rPr>
          <w:rFonts w:ascii="Arial" w:hAnsi="Arial" w:cs="Arial"/>
        </w:rPr>
      </w:pPr>
      <w:r w:rsidRPr="00891F5D">
        <w:rPr>
          <w:rFonts w:ascii="Arial" w:hAnsi="Arial" w:cs="Arial"/>
          <w:noProof/>
          <w:lang w:eastAsia="en-GB"/>
        </w:rPr>
        <mc:AlternateContent>
          <mc:Choice Requires="wps">
            <w:drawing>
              <wp:anchor distT="0" distB="0" distL="114300" distR="114300" simplePos="0" relativeHeight="251685888" behindDoc="0" locked="0" layoutInCell="1" allowOverlap="1" wp14:anchorId="0696A140" wp14:editId="13F90477">
                <wp:simplePos x="0" y="0"/>
                <wp:positionH relativeFrom="column">
                  <wp:posOffset>33020</wp:posOffset>
                </wp:positionH>
                <wp:positionV relativeFrom="paragraph">
                  <wp:posOffset>232410</wp:posOffset>
                </wp:positionV>
                <wp:extent cx="1743075" cy="1149985"/>
                <wp:effectExtent l="0" t="0" r="28575" b="12065"/>
                <wp:wrapNone/>
                <wp:docPr id="10" name="Oval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3075" cy="1149985"/>
                        </a:xfrm>
                        <a:prstGeom prst="ellipse">
                          <a:avLst/>
                        </a:prstGeom>
                        <a:solidFill>
                          <a:srgbClr val="FFFFFF"/>
                        </a:solidFill>
                        <a:ln w="9525">
                          <a:solidFill>
                            <a:srgbClr val="000000"/>
                          </a:solidFill>
                          <a:round/>
                          <a:headEnd/>
                          <a:tailEnd/>
                        </a:ln>
                      </wps:spPr>
                      <wps:txbx>
                        <w:txbxContent>
                          <w:p w14:paraId="77B7D404" w14:textId="77777777" w:rsidR="00891F5D" w:rsidRPr="00816551" w:rsidRDefault="00891F5D" w:rsidP="00891F5D">
                            <w:pPr>
                              <w:jc w:val="center"/>
                              <w:rPr>
                                <w:rFonts w:ascii="Arial" w:hAnsi="Arial" w:cs="Arial"/>
                                <w:b/>
                              </w:rPr>
                            </w:pPr>
                            <w:r w:rsidRPr="00816551">
                              <w:rPr>
                                <w:rFonts w:ascii="Arial" w:hAnsi="Arial" w:cs="Arial"/>
                                <w:b/>
                              </w:rPr>
                              <w:t>ACCOUNTING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696A140" id="Oval 5" o:spid="_x0000_s1029" style="position:absolute;left:0;text-align:left;margin-left:2.6pt;margin-top:18.3pt;width:137.25pt;height:90.5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">
                <v:textbox>
                  <w:txbxContent>
                    <w:p w14:paraId="77B7D404" w14:textId="77777777" w:rsidR="00891F5D" w:rsidRPr="00816551" w:rsidRDefault="00891F5D" w:rsidP="00891F5D">
                      <w:pPr>
                        <w:jc w:val="center"/>
                        <w:rPr>
                          <w:rFonts w:ascii="Arial" w:hAnsi="Arial" w:cs="Arial"/>
                          <w:b/>
                        </w:rPr>
                      </w:pPr>
                      <w:r w:rsidRPr="00816551">
                        <w:rPr>
                          <w:rFonts w:ascii="Arial" w:hAnsi="Arial" w:cs="Arial"/>
                          <w:b/>
                        </w:rPr>
                        <w:t>ACCOUNTING</w:t>
                      </w:r>
                    </w:p>
                  </w:txbxContent>
                </v:textbox>
              </v:oval>
            </w:pict>
          </mc:Fallback>
        </mc:AlternateContent>
      </w:r>
      <w:r w:rsidR="00891F5D" w:rsidRPr="00891F5D">
        <w:rPr>
          <w:rFonts w:ascii="Arial" w:hAnsi="Arial" w:cs="Arial"/>
          <w:noProof/>
          <w:lang w:eastAsia="en-GB"/>
        </w:rPr>
        <mc:AlternateContent>
          <mc:Choice Requires="wps">
            <w:drawing>
              <wp:anchor distT="0" distB="0" distL="114300" distR="114300" simplePos="0" relativeHeight="251684864" behindDoc="0" locked="0" layoutInCell="1" allowOverlap="1" wp14:anchorId="1FB6D433" wp14:editId="3E283485">
                <wp:simplePos x="0" y="0"/>
                <wp:positionH relativeFrom="column">
                  <wp:posOffset>2282190</wp:posOffset>
                </wp:positionH>
                <wp:positionV relativeFrom="paragraph">
                  <wp:posOffset>229870</wp:posOffset>
                </wp:positionV>
                <wp:extent cx="2842895" cy="1198880"/>
                <wp:effectExtent l="5715" t="7620" r="8890" b="12700"/>
                <wp:wrapNone/>
                <wp:docPr id="9" name="Oval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42895" cy="1198880"/>
                        </a:xfrm>
                        <a:prstGeom prst="ellipse">
                          <a:avLst/>
                        </a:prstGeom>
                        <a:solidFill>
                          <a:srgbClr val="FFFFFF"/>
                        </a:solidFill>
                        <a:ln w="9525">
                          <a:solidFill>
                            <a:srgbClr val="000000"/>
                          </a:solidFill>
                          <a:round/>
                          <a:headEnd/>
                          <a:tailEnd/>
                        </a:ln>
                      </wps:spPr>
                      <wps:txbx>
                        <w:txbxContent>
                          <w:p w14:paraId="10EB64E7" w14:textId="77777777" w:rsidR="00891F5D" w:rsidRPr="00816551" w:rsidRDefault="00891F5D" w:rsidP="00891F5D">
                            <w:pPr>
                              <w:jc w:val="center"/>
                              <w:rPr>
                                <w:rFonts w:ascii="Arial" w:hAnsi="Arial" w:cs="Arial"/>
                                <w:b/>
                              </w:rPr>
                            </w:pPr>
                            <w:r w:rsidRPr="00816551">
                              <w:rPr>
                                <w:rFonts w:ascii="Arial" w:hAnsi="Arial" w:cs="Arial"/>
                                <w:b/>
                              </w:rPr>
                              <w:t>MANAGERS</w:t>
                            </w:r>
                          </w:p>
                          <w:p w14:paraId="318A9A9B" w14:textId="77777777" w:rsidR="00891F5D" w:rsidRPr="00816551" w:rsidRDefault="00891F5D" w:rsidP="00891F5D">
                            <w:pPr>
                              <w:jc w:val="center"/>
                              <w:rPr>
                                <w:rFonts w:ascii="Arial" w:hAnsi="Arial" w:cs="Arial"/>
                                <w:b/>
                              </w:rPr>
                            </w:pPr>
                            <w:r w:rsidRPr="00816551">
                              <w:rPr>
                                <w:rFonts w:ascii="Arial" w:hAnsi="Arial" w:cs="Arial"/>
                                <w:b/>
                              </w:rPr>
                              <w:t>/</w:t>
                            </w:r>
                          </w:p>
                          <w:p w14:paraId="2D59F7FD" w14:textId="77777777" w:rsidR="00891F5D" w:rsidRPr="00816551" w:rsidRDefault="00891F5D" w:rsidP="00891F5D">
                            <w:pPr>
                              <w:jc w:val="center"/>
                              <w:rPr>
                                <w:rFonts w:ascii="Arial" w:hAnsi="Arial" w:cs="Arial"/>
                                <w:b/>
                              </w:rPr>
                            </w:pPr>
                            <w:r w:rsidRPr="00816551">
                              <w:rPr>
                                <w:rFonts w:ascii="Arial" w:hAnsi="Arial" w:cs="Arial"/>
                                <w:b/>
                              </w:rPr>
                              <w:t>AGENT</w:t>
                            </w:r>
                          </w:p>
                          <w:p w14:paraId="6F8B69EB" w14:textId="77777777" w:rsidR="00891F5D" w:rsidRDefault="00891F5D" w:rsidP="00891F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FB6D433" id="Oval 4" o:spid="_x0000_s1030" style="position:absolute;left:0;text-align:left;margin-left:179.7pt;margin-top:18.1pt;width:223.85pt;height:94.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">
                <v:textbox>
                  <w:txbxContent>
                    <w:p w14:paraId="10EB64E7" w14:textId="77777777" w:rsidR="00891F5D" w:rsidRPr="00816551" w:rsidRDefault="00891F5D" w:rsidP="00891F5D">
                      <w:pPr>
                        <w:jc w:val="center"/>
                        <w:rPr>
                          <w:rFonts w:ascii="Arial" w:hAnsi="Arial" w:cs="Arial"/>
                          <w:b/>
                        </w:rPr>
                      </w:pPr>
                      <w:r w:rsidRPr="00816551">
                        <w:rPr>
                          <w:rFonts w:ascii="Arial" w:hAnsi="Arial" w:cs="Arial"/>
                          <w:b/>
                        </w:rPr>
                        <w:t>MANAGERS</w:t>
                      </w:r>
                    </w:p>
                    <w:p w14:paraId="318A9A9B" w14:textId="77777777" w:rsidR="00891F5D" w:rsidRPr="00816551" w:rsidRDefault="00891F5D" w:rsidP="00891F5D">
                      <w:pPr>
                        <w:jc w:val="center"/>
                        <w:rPr>
                          <w:rFonts w:ascii="Arial" w:hAnsi="Arial" w:cs="Arial"/>
                          <w:b/>
                        </w:rPr>
                      </w:pPr>
                      <w:r w:rsidRPr="00816551">
                        <w:rPr>
                          <w:rFonts w:ascii="Arial" w:hAnsi="Arial" w:cs="Arial"/>
                          <w:b/>
                        </w:rPr>
                        <w:t>/</w:t>
                      </w:r>
                    </w:p>
                    <w:p w14:paraId="2D59F7FD" w14:textId="77777777" w:rsidR="00891F5D" w:rsidRPr="00816551" w:rsidRDefault="00891F5D" w:rsidP="00891F5D">
                      <w:pPr>
                        <w:jc w:val="center"/>
                        <w:rPr>
                          <w:rFonts w:ascii="Arial" w:hAnsi="Arial" w:cs="Arial"/>
                          <w:b/>
                        </w:rPr>
                      </w:pPr>
                      <w:r w:rsidRPr="00816551">
                        <w:rPr>
                          <w:rFonts w:ascii="Arial" w:hAnsi="Arial" w:cs="Arial"/>
                          <w:b/>
                        </w:rPr>
                        <w:t>AGENT</w:t>
                      </w:r>
                    </w:p>
                    <w:p w14:paraId="6F8B69EB" w14:textId="77777777" w:rsidR="00891F5D" w:rsidRDefault="00891F5D" w:rsidP="00891F5D"/>
                  </w:txbxContent>
                </v:textbox>
              </v:oval>
            </w:pict>
          </mc:Fallback>
        </mc:AlternateContent>
      </w:r>
    </w:p>
    <w:p w14:paraId="7863277E" w14:textId="77777777" w:rsidR="00891F5D" w:rsidRPr="00891F5D" w:rsidRDefault="00891F5D" w:rsidP="00891F5D">
      <w:pPr>
        <w:spacing w:line="480" w:lineRule="auto"/>
        <w:jc w:val="both"/>
        <w:rPr>
          <w:rFonts w:ascii="Arial" w:hAnsi="Arial" w:cs="Arial"/>
        </w:rPr>
      </w:pPr>
      <w:r w:rsidRPr="00891F5D">
        <w:rPr>
          <w:rFonts w:ascii="Arial" w:hAnsi="Arial" w:cs="Arial"/>
          <w:noProof/>
          <w:lang w:eastAsia="en-GB"/>
        </w:rPr>
        <mc:AlternateContent>
          <mc:Choice Requires="wps">
            <w:drawing>
              <wp:anchor distT="0" distB="0" distL="114300" distR="114300" simplePos="0" relativeHeight="251689984" behindDoc="0" locked="0" layoutInCell="1" allowOverlap="1" wp14:anchorId="41E6162A" wp14:editId="32ED20C6">
                <wp:simplePos x="0" y="0"/>
                <wp:positionH relativeFrom="column">
                  <wp:posOffset>1736725</wp:posOffset>
                </wp:positionH>
                <wp:positionV relativeFrom="paragraph">
                  <wp:posOffset>415290</wp:posOffset>
                </wp:positionV>
                <wp:extent cx="561340" cy="7620"/>
                <wp:effectExtent l="22225" t="59055" r="16510" b="57150"/>
                <wp:wrapNone/>
                <wp:docPr id="11"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1340" cy="762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0AA50E8" id="AutoShape 15" o:spid="_x0000_s1026" type="#_x0000_t32" style="position:absolute;margin-left:136.75pt;margin-top:32.7pt;width:44.2pt;height:.6pt;flip:y;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">
                <v:stroke startarrow="block" endarrow="block"/>
              </v:shape>
            </w:pict>
          </mc:Fallback>
        </mc:AlternateContent>
      </w:r>
    </w:p>
    <w:p w14:paraId="0EEF08C8" w14:textId="77777777" w:rsidR="00891F5D" w:rsidRPr="00891F5D" w:rsidRDefault="00891F5D" w:rsidP="00891F5D">
      <w:pPr>
        <w:shd w:val="clear" w:color="auto" w:fill="FFFFFF"/>
        <w:spacing w:after="150" w:line="480" w:lineRule="auto"/>
        <w:jc w:val="both"/>
        <w:textAlignment w:val="baseline"/>
        <w:rPr>
          <w:rFonts w:ascii="Arial" w:eastAsia="Times New Roman" w:hAnsi="Arial" w:cs="Arial"/>
          <w:kern w:val="0"/>
          <w:lang w:eastAsia="en-GB"/>
          <w14:ligatures w14:val="none"/>
        </w:rPr>
      </w:pPr>
      <w:bookmarkStart w:id="448" w:name="55"/>
      <w:bookmarkEnd w:id="445"/>
    </w:p>
    <w:p w14:paraId="0330ABD0" w14:textId="77777777" w:rsidR="00891F5D" w:rsidRPr="00891F5D" w:rsidRDefault="00891F5D" w:rsidP="00891F5D">
      <w:pPr>
        <w:shd w:val="clear" w:color="auto" w:fill="FFFFFF"/>
        <w:spacing w:after="150" w:line="480" w:lineRule="auto"/>
        <w:jc w:val="both"/>
        <w:textAlignment w:val="baseline"/>
        <w:rPr>
          <w:rFonts w:ascii="Arial" w:eastAsia="Times New Roman" w:hAnsi="Arial" w:cs="Arial"/>
          <w:kern w:val="0"/>
          <w:lang w:eastAsia="en-GB"/>
          <w14:ligatures w14:val="none"/>
        </w:rPr>
      </w:pPr>
    </w:p>
    <w:p w14:paraId="7D3C0527" w14:textId="481287DF" w:rsidR="00891F5D" w:rsidRPr="00891F5D" w:rsidRDefault="00891F5D" w:rsidP="00891F5D">
      <w:pPr>
        <w:shd w:val="clear" w:color="auto" w:fill="FFFFFF"/>
        <w:spacing w:after="150" w:line="480" w:lineRule="auto"/>
        <w:jc w:val="both"/>
        <w:textAlignment w:val="baseline"/>
        <w:rPr>
          <w:rFonts w:ascii="Arial" w:eastAsia="Times New Roman" w:hAnsi="Arial" w:cs="Arial"/>
          <w:kern w:val="0"/>
          <w:lang w:val="en-US" w:eastAsia="en-GB"/>
          <w14:ligatures w14:val="none"/>
        </w:rPr>
      </w:pPr>
      <w:r w:rsidRPr="00891F5D">
        <w:rPr>
          <w:rFonts w:ascii="Arial" w:eastAsia="Times New Roman" w:hAnsi="Arial" w:cs="Arial"/>
          <w:kern w:val="0"/>
          <w:lang w:val="en-US" w:eastAsia="en-GB"/>
          <w14:ligatures w14:val="none"/>
        </w:rPr>
        <w:t>Shareholders are known as the ‘principal’, and the directors are the ‘</w:t>
      </w:r>
      <w:r w:rsidR="003E4021" w:rsidRPr="00891F5D">
        <w:rPr>
          <w:rFonts w:ascii="Arial" w:eastAsia="Times New Roman" w:hAnsi="Arial" w:cs="Arial"/>
          <w:kern w:val="0"/>
          <w:lang w:val="en-US" w:eastAsia="en-GB"/>
          <w14:ligatures w14:val="none"/>
        </w:rPr>
        <w:t>agents</w:t>
      </w:r>
      <w:r w:rsidR="003E4021">
        <w:rPr>
          <w:rFonts w:ascii="Arial" w:eastAsia="Times New Roman" w:hAnsi="Arial" w:cs="Arial"/>
          <w:kern w:val="0"/>
          <w:lang w:val="en-US" w:eastAsia="en-GB"/>
          <w14:ligatures w14:val="none"/>
        </w:rPr>
        <w:t>’</w:t>
      </w:r>
      <w:r w:rsidRPr="00891F5D">
        <w:rPr>
          <w:rFonts w:ascii="Arial" w:eastAsia="Times New Roman" w:hAnsi="Arial" w:cs="Arial"/>
          <w:kern w:val="0"/>
          <w:lang w:val="en-US" w:eastAsia="en-GB"/>
          <w14:ligatures w14:val="none"/>
        </w:rPr>
        <w:t xml:space="preserve">. Gray et al (1996) suggest that the extent to which boards of directors’ act in the interests of shareholders and in the execution of their fiduciary duties such as wealth </w:t>
      </w:r>
      <w:r w:rsidR="003E4021" w:rsidRPr="00891F5D">
        <w:rPr>
          <w:rFonts w:ascii="Arial" w:eastAsia="Times New Roman" w:hAnsi="Arial" w:cs="Arial"/>
          <w:kern w:val="0"/>
          <w:lang w:val="en-US" w:eastAsia="en-GB"/>
          <w14:ligatures w14:val="none"/>
        </w:rPr>
        <w:t>maximization</w:t>
      </w:r>
      <w:r w:rsidRPr="00891F5D">
        <w:rPr>
          <w:rFonts w:ascii="Arial" w:eastAsia="Times New Roman" w:hAnsi="Arial" w:cs="Arial"/>
          <w:kern w:val="0"/>
          <w:lang w:val="en-US" w:eastAsia="en-GB"/>
          <w14:ligatures w14:val="none"/>
        </w:rPr>
        <w:t xml:space="preserve"> </w:t>
      </w:r>
      <w:r w:rsidRPr="00891F5D">
        <w:rPr>
          <w:rFonts w:ascii="Arial" w:eastAsia="Times New Roman" w:hAnsi="Arial" w:cs="Arial"/>
          <w:kern w:val="0"/>
          <w:lang w:val="en-US" w:eastAsia="en-GB"/>
          <w14:ligatures w14:val="none"/>
        </w:rPr>
        <w:lastRenderedPageBreak/>
        <w:t>is established by which of the seven perspectives is taken on corporate social responsibility.</w:t>
      </w:r>
      <w:bookmarkStart w:id="449" w:name="56"/>
      <w:bookmarkEnd w:id="448"/>
    </w:p>
    <w:p w14:paraId="029EAB06" w14:textId="3E5147A9" w:rsidR="00891F5D" w:rsidRDefault="00891F5D" w:rsidP="00891F5D">
      <w:pPr>
        <w:shd w:val="clear" w:color="auto" w:fill="FFFFFF"/>
        <w:spacing w:after="150" w:line="480" w:lineRule="auto"/>
        <w:jc w:val="both"/>
        <w:textAlignment w:val="baseline"/>
        <w:rPr>
          <w:rFonts w:ascii="Arial" w:eastAsiaTheme="minorHAnsi" w:hAnsi="Arial" w:cs="Arial"/>
          <w:kern w:val="0"/>
          <w:lang w:val="en-US" w:eastAsia="en-US"/>
          <w14:ligatures w14:val="none"/>
        </w:rPr>
      </w:pPr>
      <w:r w:rsidRPr="00891F5D">
        <w:rPr>
          <w:rFonts w:ascii="Arial" w:eastAsia="Times New Roman" w:hAnsi="Arial" w:cs="Arial"/>
          <w:kern w:val="0"/>
          <w:lang w:val="en-US" w:eastAsia="en-GB"/>
          <w14:ligatures w14:val="none"/>
        </w:rPr>
        <w:t xml:space="preserve">The groundbreaking study of Jensen and Meckling (1976) established that the principal–agent problem arises when a principal produces an environment in which an agent’s incentives are incongruous with those of the principal. The burden is on the principal to create incentives or mechanisms for the agent to make certain that they behave as the principal desires, for example, to </w:t>
      </w:r>
      <w:r w:rsidR="00720D1C" w:rsidRPr="00891F5D">
        <w:rPr>
          <w:rFonts w:ascii="Arial" w:eastAsia="Times New Roman" w:hAnsi="Arial" w:cs="Arial"/>
          <w:kern w:val="0"/>
          <w:lang w:val="en-US" w:eastAsia="en-GB"/>
          <w14:ligatures w14:val="none"/>
        </w:rPr>
        <w:t>maximize</w:t>
      </w:r>
      <w:r w:rsidRPr="00891F5D">
        <w:rPr>
          <w:rFonts w:ascii="Arial" w:eastAsia="Times New Roman" w:hAnsi="Arial" w:cs="Arial"/>
          <w:kern w:val="0"/>
          <w:lang w:val="en-US" w:eastAsia="en-GB"/>
          <w14:ligatures w14:val="none"/>
        </w:rPr>
        <w:t xml:space="preserve"> shareholder wealth. This includes financial incentives to avoid </w:t>
      </w:r>
      <w:hyperlink r:id="rId19" w:history="1">
        <w:r w:rsidRPr="00891F5D">
          <w:rPr>
            <w:rFonts w:ascii="Arial" w:eastAsia="Times New Roman" w:hAnsi="Arial" w:cs="Arial"/>
            <w:kern w:val="0"/>
            <w:lang w:val="en-US" w:eastAsia="en-GB"/>
            <w14:ligatures w14:val="none"/>
          </w:rPr>
          <w:t>information asymmetry</w:t>
        </w:r>
      </w:hyperlink>
      <w:r w:rsidRPr="00891F5D">
        <w:rPr>
          <w:rFonts w:ascii="Arial" w:eastAsia="Times New Roman" w:hAnsi="Arial" w:cs="Arial"/>
          <w:kern w:val="0"/>
          <w:lang w:val="en-US" w:eastAsia="en-GB"/>
          <w14:ligatures w14:val="none"/>
        </w:rPr>
        <w:t xml:space="preserve"> such as overvalued equity (Jensen, 2005). It is argued that </w:t>
      </w:r>
      <w:r w:rsidRPr="00891F5D">
        <w:rPr>
          <w:rFonts w:asciiTheme="minorBidi" w:eastAsiaTheme="minorHAnsi" w:hAnsiTheme="minorBidi"/>
          <w:kern w:val="0"/>
          <w:lang w:eastAsia="en-US"/>
          <w14:ligatures w14:val="none"/>
        </w:rPr>
        <w:t>managerial opportunism</w:t>
      </w:r>
      <w:r w:rsidRPr="00891F5D">
        <w:rPr>
          <w:rFonts w:eastAsiaTheme="minorHAnsi"/>
          <w:kern w:val="0"/>
          <w:sz w:val="22"/>
          <w:szCs w:val="22"/>
          <w:lang w:eastAsia="en-US"/>
          <w14:ligatures w14:val="none"/>
        </w:rPr>
        <w:t xml:space="preserve"> </w:t>
      </w:r>
      <w:r w:rsidRPr="00891F5D">
        <w:rPr>
          <w:rFonts w:ascii="Arial" w:eastAsiaTheme="minorHAnsi" w:hAnsi="Arial" w:cs="Arial"/>
          <w:kern w:val="0"/>
          <w:lang w:val="en-US" w:eastAsia="en-US"/>
          <w14:ligatures w14:val="none"/>
        </w:rPr>
        <w:t>is a major determinant in accounting scandals, for example, managers who are remunerated for short-term results will potentially report misleading information, i.e., Accounting Fraud, because short-term gains outweigh the long-term ones such as pension obligations (Cunningham, 2004). An extreme example of asymmetric information and agency cost is highlighted by Baofu (2014) when an executive is aware of a takeover and secretly facilitates the sale of the company at a reduced price by engineering a lower share price by releasing poor results to the market or convincing shareholders regarding the sale. Later, the executive is handsomely rewarded by a golden handshake for managing the sale.</w:t>
      </w:r>
    </w:p>
    <w:p w14:paraId="1C13C758" w14:textId="0D02EEC5" w:rsidR="00891F5D" w:rsidRDefault="00891F5D" w:rsidP="00891F5D">
      <w:pPr>
        <w:spacing w:after="200" w:line="480" w:lineRule="auto"/>
        <w:jc w:val="both"/>
        <w:rPr>
          <w:rFonts w:ascii="Arial" w:eastAsiaTheme="minorHAnsi" w:hAnsi="Arial" w:cs="Arial"/>
          <w:kern w:val="0"/>
          <w:lang w:val="en-US" w:eastAsia="en-US"/>
          <w14:ligatures w14:val="none"/>
        </w:rPr>
      </w:pPr>
      <w:bookmarkStart w:id="450" w:name="60"/>
      <w:bookmarkEnd w:id="449"/>
      <w:r w:rsidRPr="00891F5D">
        <w:rPr>
          <w:rFonts w:ascii="Arial" w:eastAsiaTheme="minorHAnsi" w:hAnsi="Arial" w:cs="Arial"/>
          <w:kern w:val="0"/>
          <w:lang w:val="en-US" w:eastAsia="en-US"/>
          <w14:ligatures w14:val="none"/>
        </w:rPr>
        <w:t xml:space="preserve">As noted earlier, accounting information is generated internally, and therefore the role of external audit is to dampen moral hazard and the abuse of asymmetric information by the agents, i.e., Accounting Fraud. It is not the role of external auditors to detect fraud, but it is considered the norm that they have an active appreciation of it. External audit promotes assurance and </w:t>
      </w:r>
      <w:r w:rsidR="00720D1C" w:rsidRPr="00891F5D">
        <w:rPr>
          <w:rFonts w:ascii="Arial" w:eastAsiaTheme="minorHAnsi" w:hAnsi="Arial" w:cs="Arial"/>
          <w:kern w:val="0"/>
          <w:lang w:val="en-US" w:eastAsia="en-US"/>
          <w14:ligatures w14:val="none"/>
        </w:rPr>
        <w:t>emphasizes</w:t>
      </w:r>
      <w:r w:rsidRPr="00891F5D">
        <w:rPr>
          <w:rFonts w:ascii="Arial" w:eastAsiaTheme="minorHAnsi" w:hAnsi="Arial" w:cs="Arial"/>
          <w:kern w:val="0"/>
          <w:lang w:val="en-US" w:eastAsia="en-US"/>
          <w14:ligatures w14:val="none"/>
        </w:rPr>
        <w:t xml:space="preserve"> trust in the financial information produced by companies </w:t>
      </w:r>
      <w:r w:rsidRPr="00891F5D">
        <w:rPr>
          <w:rFonts w:ascii="Arial" w:eastAsiaTheme="minorHAnsi" w:hAnsi="Arial" w:cs="Arial"/>
          <w:kern w:val="0"/>
          <w:lang w:eastAsia="en-US"/>
          <w14:ligatures w14:val="none"/>
        </w:rPr>
        <w:t xml:space="preserve">(ACCA, 2017; Chen et al., 2013). </w:t>
      </w:r>
      <w:r w:rsidRPr="00891F5D">
        <w:rPr>
          <w:rFonts w:ascii="Arial" w:eastAsiaTheme="minorHAnsi" w:hAnsi="Arial" w:cs="Arial"/>
          <w:kern w:val="0"/>
          <w:lang w:val="en-US" w:eastAsia="en-US"/>
          <w14:ligatures w14:val="none"/>
        </w:rPr>
        <w:t xml:space="preserve">On the other hand, external auditors may be held liable if an Accounting Fraud case is not discovered </w:t>
      </w:r>
      <w:r w:rsidRPr="00891F5D">
        <w:rPr>
          <w:rFonts w:ascii="Arial" w:eastAsiaTheme="minorHAnsi" w:hAnsi="Arial" w:cs="Arial"/>
          <w:kern w:val="0"/>
          <w:lang w:eastAsia="en-US"/>
          <w14:ligatures w14:val="none"/>
        </w:rPr>
        <w:t xml:space="preserve">(Cooper and Fargher, </w:t>
      </w:r>
      <w:r w:rsidRPr="00891F5D">
        <w:rPr>
          <w:rFonts w:ascii="Arial" w:eastAsiaTheme="minorHAnsi" w:hAnsi="Arial" w:cs="Arial"/>
          <w:kern w:val="0"/>
          <w:lang w:eastAsia="en-US"/>
          <w14:ligatures w14:val="none"/>
        </w:rPr>
        <w:lastRenderedPageBreak/>
        <w:t>2011; Kassem and Higson, 2016)</w:t>
      </w:r>
      <w:r w:rsidRPr="00891F5D">
        <w:rPr>
          <w:rFonts w:ascii="Arial" w:eastAsiaTheme="minorHAnsi" w:hAnsi="Arial" w:cs="Arial"/>
          <w:kern w:val="0"/>
          <w:lang w:val="en-US" w:eastAsia="en-US"/>
          <w14:ligatures w14:val="none"/>
        </w:rPr>
        <w:t>, and this phenomenon is known as the ‘audit expectations gap’ (</w:t>
      </w:r>
      <w:r w:rsidRPr="00891F5D">
        <w:rPr>
          <w:rFonts w:ascii="Arial" w:eastAsiaTheme="minorHAnsi" w:hAnsi="Arial" w:cs="Arial"/>
          <w:kern w:val="0"/>
          <w:lang w:eastAsia="en-US"/>
          <w14:ligatures w14:val="none"/>
        </w:rPr>
        <w:t>Dewing and Russell, 2002; Alleyne and Howard, 2005).</w:t>
      </w:r>
      <w:r w:rsidRPr="00891F5D">
        <w:rPr>
          <w:rFonts w:ascii="Arial" w:eastAsiaTheme="minorHAnsi" w:hAnsi="Arial" w:cs="Arial"/>
          <w:kern w:val="0"/>
          <w:lang w:val="en-US" w:eastAsia="en-US"/>
          <w14:ligatures w14:val="none"/>
        </w:rPr>
        <w:t xml:space="preserve"> In view of a growing number of Accounting Fraud scandals, there is significant demand on the audit profession, by professional accountancy bodies, to improve audit quality and, by extension,</w:t>
      </w:r>
      <w:r w:rsidRPr="00891F5D">
        <w:rPr>
          <w:rFonts w:eastAsiaTheme="minorHAnsi"/>
          <w:kern w:val="0"/>
          <w:sz w:val="22"/>
          <w:szCs w:val="22"/>
          <w:lang w:eastAsia="en-US"/>
          <w14:ligatures w14:val="none"/>
        </w:rPr>
        <w:t xml:space="preserve"> </w:t>
      </w:r>
      <w:r w:rsidRPr="00891F5D">
        <w:rPr>
          <w:rFonts w:ascii="Arial" w:eastAsiaTheme="minorHAnsi" w:hAnsi="Arial" w:cs="Arial"/>
          <w:kern w:val="0"/>
          <w:lang w:val="en-US" w:eastAsia="en-US"/>
          <w14:ligatures w14:val="none"/>
        </w:rPr>
        <w:t>Accounting Fraud detection (ACCA, 2015). Despite this, research suggests that the external auditors are still deficient at assessing Accounting Fraud. (Brazel et al, 2014; Kassem and Higson, 2012)</w:t>
      </w:r>
    </w:p>
    <w:bookmarkEnd w:id="450"/>
    <w:p w14:paraId="3DD33D5C" w14:textId="77777777" w:rsidR="00891F5D" w:rsidRPr="00891F5D" w:rsidRDefault="00891F5D" w:rsidP="00891F5D">
      <w:pPr>
        <w:autoSpaceDE w:val="0"/>
        <w:autoSpaceDN w:val="0"/>
        <w:adjustRightInd w:val="0"/>
        <w:spacing w:after="0" w:line="480" w:lineRule="auto"/>
        <w:jc w:val="both"/>
        <w:rPr>
          <w:rFonts w:ascii="Arial" w:eastAsiaTheme="minorHAnsi" w:hAnsi="Arial" w:cs="Arial"/>
          <w:i/>
          <w:iCs/>
          <w:kern w:val="0"/>
          <w:lang w:val="en-US" w:eastAsia="en-US"/>
          <w14:ligatures w14:val="none"/>
        </w:rPr>
      </w:pPr>
      <w:r w:rsidRPr="00891F5D">
        <w:rPr>
          <w:rFonts w:ascii="Arial" w:eastAsiaTheme="minorHAnsi" w:hAnsi="Arial" w:cs="Arial"/>
          <w:kern w:val="0"/>
          <w:lang w:val="en-US" w:eastAsia="en-US"/>
          <w14:ligatures w14:val="none"/>
        </w:rPr>
        <w:t xml:space="preserve">In recent years the study of Accounting Fraud has grown significantly, and therefore the detection of financial fraud has become an ever more demanding and important task. Dorminey et al (2012) argue that Accounting Fraud detection requires the collective work of ‘corporate governance professionals’, namely, the board of directors, the audit committee, senior management, and internal and external auditors. It is suggested that understanding the various strands of Accounting Fraud should enable external auditors to better gauge the fraud risks inherent in an economic entity </w:t>
      </w:r>
      <w:r w:rsidRPr="00891F5D">
        <w:rPr>
          <w:rFonts w:ascii="Arial" w:eastAsiaTheme="minorHAnsi" w:hAnsi="Arial" w:cs="Arial"/>
          <w:kern w:val="0"/>
          <w:lang w:eastAsia="en-US"/>
          <w14:ligatures w14:val="none"/>
        </w:rPr>
        <w:t>(Jo-Kranacher and Stern, 2004; Wells, 2005; Lister, 2007; Carpenter,2008; Vona, 2008; Chemuturi, 2008; Jones, 2011)</w:t>
      </w:r>
      <w:r w:rsidRPr="00891F5D">
        <w:rPr>
          <w:rFonts w:ascii="Arial" w:eastAsiaTheme="minorHAnsi" w:hAnsi="Arial" w:cs="Arial"/>
          <w:kern w:val="0"/>
          <w:lang w:val="en-US" w:eastAsia="en-US"/>
          <w14:ligatures w14:val="none"/>
        </w:rPr>
        <w:t xml:space="preserve">. </w:t>
      </w:r>
    </w:p>
    <w:p w14:paraId="6BE5BA5A" w14:textId="2072794F" w:rsidR="00891F5D" w:rsidRPr="00891F5D" w:rsidRDefault="00891F5D" w:rsidP="00891F5D">
      <w:pPr>
        <w:autoSpaceDE w:val="0"/>
        <w:autoSpaceDN w:val="0"/>
        <w:adjustRightInd w:val="0"/>
        <w:spacing w:before="240"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Accounting Fraud occurs when financial reports materially misrepresent the information or when material facts are not fully disclosed in such reports. Accounting Fraud has also been referred to as ‘management fraud’ because it is probably undertaken by management </w:t>
      </w:r>
      <w:r w:rsidRPr="00891F5D">
        <w:rPr>
          <w:rFonts w:ascii="Arial" w:eastAsiaTheme="minorHAnsi" w:hAnsi="Arial" w:cs="Arial"/>
          <w:kern w:val="0"/>
          <w:lang w:eastAsia="en-US"/>
          <w14:ligatures w14:val="none"/>
        </w:rPr>
        <w:t xml:space="preserve">(Goel and Gangolly, 2012; Brennan and </w:t>
      </w:r>
      <w:r w:rsidR="001D6927" w:rsidRPr="00891F5D">
        <w:rPr>
          <w:rFonts w:ascii="Arial" w:eastAsiaTheme="minorHAnsi" w:hAnsi="Arial" w:cs="Arial"/>
          <w:kern w:val="0"/>
          <w:lang w:eastAsia="en-US"/>
          <w14:ligatures w14:val="none"/>
        </w:rPr>
        <w:t>McGrath</w:t>
      </w:r>
      <w:r w:rsidRPr="00891F5D">
        <w:rPr>
          <w:rFonts w:ascii="Arial" w:eastAsiaTheme="minorHAnsi" w:hAnsi="Arial" w:cs="Arial"/>
          <w:kern w:val="0"/>
          <w:lang w:eastAsia="en-US"/>
          <w14:ligatures w14:val="none"/>
        </w:rPr>
        <w:t>, 2007; Wells, 2005),</w:t>
      </w:r>
      <w:r w:rsidRPr="00891F5D">
        <w:rPr>
          <w:rFonts w:ascii="Arial" w:eastAsiaTheme="minorHAnsi" w:hAnsi="Arial" w:cs="Arial"/>
          <w:kern w:val="0"/>
          <w:lang w:val="en-US" w:eastAsia="en-US"/>
          <w14:ligatures w14:val="none"/>
        </w:rPr>
        <w:t xml:space="preserve"> for example in Enron, where executives were charged with creating complex accounting schemes to make Enron look more profitable to facilitate personal gains. This has been acknowledged by International Standard on Auditing (ISA) No. </w:t>
      </w:r>
      <w:r w:rsidRPr="00891F5D">
        <w:rPr>
          <w:rFonts w:ascii="Arial" w:eastAsiaTheme="minorHAnsi" w:hAnsi="Arial" w:cs="Arial"/>
          <w:kern w:val="0"/>
          <w:lang w:val="en-US" w:eastAsia="en-US"/>
          <w14:ligatures w14:val="none"/>
        </w:rPr>
        <w:lastRenderedPageBreak/>
        <w:t xml:space="preserve">240, </w:t>
      </w:r>
      <w:r w:rsidRPr="00891F5D">
        <w:rPr>
          <w:rFonts w:ascii="Arial" w:eastAsiaTheme="minorHAnsi" w:hAnsi="Arial" w:cs="Arial"/>
          <w:kern w:val="0"/>
          <w:shd w:val="clear" w:color="auto" w:fill="FFFFFF"/>
          <w:lang w:val="en-US" w:eastAsia="en-US"/>
          <w14:ligatures w14:val="none"/>
        </w:rPr>
        <w:t>The Auditor’s Responsibilities Relating to Fraud in an Audit of Financial Statements</w:t>
      </w:r>
      <w:r w:rsidRPr="00891F5D">
        <w:rPr>
          <w:rFonts w:ascii="Arial" w:eastAsiaTheme="minorHAnsi" w:hAnsi="Arial" w:cs="Arial"/>
          <w:kern w:val="0"/>
          <w:lang w:val="en-US" w:eastAsia="en-US"/>
          <w14:ligatures w14:val="none"/>
        </w:rPr>
        <w:t>:</w:t>
      </w:r>
    </w:p>
    <w:p w14:paraId="672AF6EB"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‘‘Management is in a unique position to </w:t>
      </w:r>
      <w:r w:rsidRPr="00891F5D">
        <w:rPr>
          <w:rFonts w:ascii="Arial" w:eastAsia="TimesNewRomanPSMT" w:hAnsi="Arial" w:cs="Arial"/>
          <w:kern w:val="0"/>
          <w:lang w:val="en-US" w:eastAsia="en-US"/>
          <w14:ligatures w14:val="none"/>
        </w:rPr>
        <w:t xml:space="preserve">perpetrate fraud because of management’s ability to manipulate accounting </w:t>
      </w:r>
      <w:r w:rsidRPr="00891F5D">
        <w:rPr>
          <w:rFonts w:ascii="Arial" w:eastAsiaTheme="minorHAnsi" w:hAnsi="Arial" w:cs="Arial"/>
          <w:kern w:val="0"/>
          <w:lang w:val="en-US" w:eastAsia="en-US"/>
          <w14:ligatures w14:val="none"/>
        </w:rPr>
        <w:t>records and prepare fraudulent financial statements by overriding controls that otherwise appear to be operating effectively. Due to the unpredictable way in which such override could occur, it is regarded as a significant risk of material misstatement due to fraud’’ (2009:31).</w:t>
      </w:r>
    </w:p>
    <w:p w14:paraId="764F88AF"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Accounting Fraud involves deliberate omissions or nondisclosures in financial statements that are intended to mislead users of financial statements </w:t>
      </w:r>
      <w:r w:rsidRPr="00891F5D">
        <w:rPr>
          <w:rFonts w:ascii="Arial" w:eastAsiaTheme="minorHAnsi" w:hAnsi="Arial" w:cs="Arial"/>
          <w:kern w:val="0"/>
          <w:lang w:eastAsia="en-US"/>
          <w14:ligatures w14:val="none"/>
        </w:rPr>
        <w:t>(Soltani, 2007; Hopwood et al, 2008; Elder, et al., 2010; Rezaee, 2005)</w:t>
      </w:r>
      <w:r w:rsidRPr="00891F5D">
        <w:rPr>
          <w:rFonts w:ascii="Arial" w:eastAsiaTheme="minorHAnsi" w:hAnsi="Arial" w:cs="Arial"/>
          <w:kern w:val="0"/>
          <w:lang w:val="en-US" w:eastAsia="en-US"/>
          <w14:ligatures w14:val="none"/>
        </w:rPr>
        <w:t>. Researchers such as Rezaee (2005) argue that Accounting Fraud is the intentional attempt by companies to mislead users of financial statements by producing materially misstated company financial statements.</w:t>
      </w:r>
    </w:p>
    <w:p w14:paraId="643B9051"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5C1C5F3F"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Bernnan and Macgrath (2007) found that the share price of a company fell steeply once it became public knowledge that it had engaged in Accounting Fraud, such as with the UK listed company Tesco in 2017 (Guardian, 2017), which admitted that its 2014 profits were overstated by £250 million. The consequences of Accounting Fraud are far-reaching and can lead to erosion of investors’ confidence in the audit profession and the capital markets, damaging companies and forcing them to hire new managers (Rezaee and Riley, 2010), with overall harm to the economy and society </w:t>
      </w:r>
      <w:r w:rsidRPr="00891F5D">
        <w:rPr>
          <w:rFonts w:ascii="Arial" w:eastAsiaTheme="minorHAnsi" w:hAnsi="Arial" w:cs="Arial"/>
          <w:kern w:val="0"/>
          <w:lang w:eastAsia="en-US"/>
          <w14:ligatures w14:val="none"/>
        </w:rPr>
        <w:t>(Kalbers, 2009; Centre for Audit Quality, 2010)</w:t>
      </w:r>
    </w:p>
    <w:p w14:paraId="477EDC56"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68D7B105"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The ACFE (2016) study highlighted that Accounting Fraud usually occurs in larger companies, particularly in construction, banking and financial services, health care, </w:t>
      </w:r>
      <w:r w:rsidRPr="00891F5D">
        <w:rPr>
          <w:rFonts w:ascii="Arial" w:eastAsiaTheme="minorHAnsi" w:hAnsi="Arial" w:cs="Arial"/>
          <w:kern w:val="0"/>
          <w:lang w:val="en-US" w:eastAsia="en-US"/>
          <w14:ligatures w14:val="none"/>
        </w:rPr>
        <w:lastRenderedPageBreak/>
        <w:t xml:space="preserve">and manufacturing. The report also, worryingly, stated that the number of Accounting Fraud cases has risen since the previous report in 2014. </w:t>
      </w:r>
      <w:r w:rsidRPr="00891F5D">
        <w:rPr>
          <w:rFonts w:ascii="Arial" w:eastAsiaTheme="minorHAnsi" w:hAnsi="Arial" w:cs="Arial"/>
          <w:kern w:val="0"/>
          <w:lang w:eastAsia="en-US"/>
          <w14:ligatures w14:val="none"/>
        </w:rPr>
        <w:t xml:space="preserve">The ACFE global fraud study also established that although Accounting Fraud was the lowest category of occupational fraud it resulted in the highest median loss of $975,000. </w:t>
      </w:r>
      <w:r w:rsidRPr="00891F5D">
        <w:rPr>
          <w:rFonts w:ascii="Arial" w:eastAsiaTheme="minorHAnsi" w:hAnsi="Arial" w:cs="Arial"/>
          <w:kern w:val="0"/>
          <w:lang w:val="en-US" w:eastAsia="en-US"/>
          <w14:ligatures w14:val="none"/>
        </w:rPr>
        <w:t>To protect the global capital markets from recurring fraud, rules and regulations are required. Moreover, for capital markets to operate efficiently, the quality, reliability, and integrity of financial statements supplied by companies to the market must be true and fair.</w:t>
      </w:r>
      <w:bookmarkEnd w:id="446"/>
    </w:p>
    <w:p w14:paraId="35AF0E98"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17CFA7C6" w14:textId="77777777" w:rsidR="00891F5D" w:rsidRPr="00891F5D" w:rsidRDefault="00891F5D" w:rsidP="00891F5D">
      <w:pPr>
        <w:autoSpaceDE w:val="0"/>
        <w:autoSpaceDN w:val="0"/>
        <w:adjustRightInd w:val="0"/>
        <w:spacing w:after="0" w:line="480" w:lineRule="auto"/>
        <w:jc w:val="both"/>
        <w:rPr>
          <w:rFonts w:ascii="Arial" w:eastAsia="TimesNewRomanPSMT" w:hAnsi="Arial" w:cs="Arial"/>
          <w:kern w:val="0"/>
          <w:lang w:val="en-US" w:eastAsia="en-US"/>
          <w14:ligatures w14:val="none"/>
        </w:rPr>
      </w:pPr>
      <w:r w:rsidRPr="00891F5D">
        <w:rPr>
          <w:rFonts w:ascii="Arial" w:eastAsiaTheme="minorHAnsi" w:hAnsi="Arial" w:cs="Arial"/>
          <w:kern w:val="0"/>
          <w:lang w:val="en-US" w:eastAsia="en-US"/>
          <w14:ligatures w14:val="none"/>
        </w:rPr>
        <w:t>According to International Standard on Auditing 240 (The Auditors Responsibility Relating to Fraud in an Audit of Financial Statements) (2010), external auditors have several objectives in relation to fraud:</w:t>
      </w:r>
    </w:p>
    <w:p w14:paraId="14642682" w14:textId="62A492A8" w:rsidR="00891F5D" w:rsidRPr="00891F5D" w:rsidRDefault="00891F5D">
      <w:pPr>
        <w:numPr>
          <w:ilvl w:val="0"/>
          <w:numId w:val="5"/>
        </w:numPr>
        <w:autoSpaceDE w:val="0"/>
        <w:autoSpaceDN w:val="0"/>
        <w:adjustRightInd w:val="0"/>
        <w:spacing w:after="0" w:line="480" w:lineRule="auto"/>
        <w:contextualSpacing/>
        <w:jc w:val="both"/>
        <w:rPr>
          <w:rFonts w:ascii="Arial" w:eastAsiaTheme="minorHAnsi" w:hAnsi="Arial" w:cs="Arial"/>
          <w:kern w:val="0"/>
          <w:lang w:val="en-US" w:eastAsia="en-US"/>
          <w14:ligatures w14:val="none"/>
        </w:rPr>
      </w:pPr>
      <w:bookmarkStart w:id="451" w:name="113"/>
      <w:bookmarkEnd w:id="447"/>
      <w:r w:rsidRPr="00891F5D">
        <w:rPr>
          <w:rFonts w:ascii="Arial" w:eastAsiaTheme="minorHAnsi" w:hAnsi="Arial" w:cs="Arial"/>
          <w:kern w:val="0"/>
          <w:lang w:val="en-US" w:eastAsia="en-US"/>
          <w14:ligatures w14:val="none"/>
        </w:rPr>
        <w:t>To identify and assess the risks of material misstatement of the financial statements due to fraud</w:t>
      </w:r>
      <w:bookmarkStart w:id="452" w:name="114"/>
      <w:bookmarkEnd w:id="451"/>
    </w:p>
    <w:p w14:paraId="6125F8F4" w14:textId="77777777" w:rsidR="00891F5D" w:rsidRPr="00891F5D" w:rsidRDefault="00891F5D" w:rsidP="00891F5D">
      <w:pPr>
        <w:autoSpaceDE w:val="0"/>
        <w:autoSpaceDN w:val="0"/>
        <w:adjustRightInd w:val="0"/>
        <w:spacing w:after="0" w:line="480" w:lineRule="auto"/>
        <w:ind w:left="780"/>
        <w:contextualSpacing/>
        <w:jc w:val="both"/>
        <w:rPr>
          <w:rFonts w:ascii="Arial" w:eastAsiaTheme="minorHAnsi" w:hAnsi="Arial" w:cs="Arial"/>
          <w:kern w:val="0"/>
          <w:lang w:val="en-US" w:eastAsia="en-US"/>
          <w14:ligatures w14:val="none"/>
        </w:rPr>
      </w:pPr>
    </w:p>
    <w:p w14:paraId="08CC9D88" w14:textId="77777777" w:rsidR="00891F5D" w:rsidRPr="00891F5D" w:rsidRDefault="00891F5D">
      <w:pPr>
        <w:numPr>
          <w:ilvl w:val="0"/>
          <w:numId w:val="5"/>
        </w:numPr>
        <w:autoSpaceDE w:val="0"/>
        <w:autoSpaceDN w:val="0"/>
        <w:adjustRightInd w:val="0"/>
        <w:spacing w:after="0"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To obtain enough appropriate audit evidence regarding the assessed risks of material misstatement due to fraud, through designing and implementing appropriate responses; and</w:t>
      </w:r>
      <w:bookmarkStart w:id="453" w:name="115"/>
      <w:bookmarkEnd w:id="452"/>
    </w:p>
    <w:p w14:paraId="2CC42BAC" w14:textId="77777777" w:rsidR="00891F5D" w:rsidRPr="00891F5D" w:rsidRDefault="00891F5D" w:rsidP="00891F5D">
      <w:pPr>
        <w:autoSpaceDE w:val="0"/>
        <w:autoSpaceDN w:val="0"/>
        <w:adjustRightInd w:val="0"/>
        <w:spacing w:after="0" w:line="480" w:lineRule="auto"/>
        <w:contextualSpacing/>
        <w:jc w:val="both"/>
        <w:rPr>
          <w:rFonts w:ascii="Arial" w:eastAsiaTheme="minorHAnsi" w:hAnsi="Arial" w:cs="Arial"/>
          <w:kern w:val="0"/>
          <w:lang w:val="en-US" w:eastAsia="en-US"/>
          <w14:ligatures w14:val="none"/>
        </w:rPr>
      </w:pPr>
    </w:p>
    <w:p w14:paraId="7CCC20F9" w14:textId="77777777" w:rsidR="00891F5D" w:rsidRPr="00891F5D" w:rsidRDefault="00891F5D">
      <w:pPr>
        <w:numPr>
          <w:ilvl w:val="0"/>
          <w:numId w:val="5"/>
        </w:numPr>
        <w:autoSpaceDE w:val="0"/>
        <w:autoSpaceDN w:val="0"/>
        <w:adjustRightInd w:val="0"/>
        <w:spacing w:after="0"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To respond appropriately to fraud or suspected fraud identified during the audit.</w:t>
      </w:r>
    </w:p>
    <w:p w14:paraId="3E19F934"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bookmarkStart w:id="454" w:name="116"/>
      <w:bookmarkEnd w:id="453"/>
    </w:p>
    <w:p w14:paraId="057A0667"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ISA 240 also requires external auditors to assess and respond to the risk of Accounting Fraud and to categorize that risk into three categories: risk of motives/pressure to commit fraud, risk of opportunity to commit fraud, and risk of rationalization of fraud (187:A125), i.e., the Fraud Triangle, which will be extensively discussed when exploring the motivations for fraud.</w:t>
      </w:r>
    </w:p>
    <w:p w14:paraId="7E4017E7"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bookmarkStart w:id="455" w:name="117"/>
      <w:bookmarkEnd w:id="454"/>
      <w:r w:rsidRPr="00891F5D">
        <w:rPr>
          <w:rFonts w:ascii="Arial" w:eastAsiaTheme="minorHAnsi" w:hAnsi="Arial" w:cs="Arial"/>
          <w:kern w:val="0"/>
          <w:lang w:val="en-US" w:eastAsia="en-US"/>
          <w14:ligatures w14:val="none"/>
        </w:rPr>
        <w:lastRenderedPageBreak/>
        <w:t xml:space="preserve">External auditors may be held liable if companies unexpectedly go out of business or if it is found that important personnel are involved in fraud (Cooper and Fargher, 2011); Kassem and Higson, 2016). However, it is important to acknowledge that there is an </w:t>
      </w:r>
      <w:r w:rsidRPr="00891F5D">
        <w:rPr>
          <w:rFonts w:ascii="Arial" w:eastAsia="TimesNewRomanPSMT" w:hAnsi="Arial" w:cs="Arial"/>
          <w:i/>
          <w:kern w:val="0"/>
          <w:lang w:val="en-US" w:eastAsia="en-US"/>
          <w14:ligatures w14:val="none"/>
        </w:rPr>
        <w:t xml:space="preserve">audit expectations gap, </w:t>
      </w:r>
      <w:r w:rsidRPr="00891F5D">
        <w:rPr>
          <w:rFonts w:ascii="Arial" w:eastAsia="TimesNewRomanPSMT" w:hAnsi="Arial" w:cs="Arial"/>
          <w:kern w:val="0"/>
          <w:lang w:val="en-US" w:eastAsia="en-US"/>
          <w14:ligatures w14:val="none"/>
        </w:rPr>
        <w:t>which is</w:t>
      </w:r>
      <w:r w:rsidRPr="00891F5D">
        <w:rPr>
          <w:rFonts w:ascii="Arial" w:eastAsiaTheme="minorHAnsi" w:hAnsi="Arial" w:cs="Arial"/>
          <w:kern w:val="0"/>
          <w:lang w:val="en-US" w:eastAsia="en-US"/>
          <w14:ligatures w14:val="none"/>
        </w:rPr>
        <w:t xml:space="preserve"> defined as the gap between what the society expects from external auditors and what it gains </w:t>
      </w:r>
      <w:r w:rsidRPr="00891F5D">
        <w:rPr>
          <w:rFonts w:ascii="Arial" w:eastAsiaTheme="minorHAnsi" w:hAnsi="Arial" w:cs="Arial"/>
          <w:kern w:val="0"/>
          <w:lang w:eastAsia="en-US"/>
          <w14:ligatures w14:val="none"/>
        </w:rPr>
        <w:t>(Alleyne and Howard, 2005; Dewing and Russell, 2002)</w:t>
      </w:r>
      <w:r w:rsidRPr="00891F5D">
        <w:rPr>
          <w:rFonts w:ascii="Arial" w:eastAsiaTheme="minorHAnsi" w:hAnsi="Arial" w:cs="Arial"/>
          <w:kern w:val="0"/>
          <w:lang w:val="en-US" w:eastAsia="en-US"/>
          <w14:ligatures w14:val="none"/>
        </w:rPr>
        <w:t xml:space="preserve">, although ISAs supply little guidance to external auditors with respect to the risk assessment of fraud (Kassem and Higson, 2012). They can act as a valuable buffer against fraud because most fraudsters are afraid of being exposed and of the related penalties </w:t>
      </w:r>
      <w:r w:rsidRPr="00891F5D">
        <w:rPr>
          <w:rFonts w:ascii="Arial" w:eastAsiaTheme="minorHAnsi" w:hAnsi="Arial" w:cs="Arial"/>
          <w:kern w:val="0"/>
          <w:lang w:eastAsia="en-US"/>
          <w14:ligatures w14:val="none"/>
        </w:rPr>
        <w:t>(Rezaee and Riley, 2010; Dorminey et al., 2012)</w:t>
      </w:r>
      <w:r w:rsidRPr="00891F5D">
        <w:rPr>
          <w:rFonts w:ascii="Arial" w:eastAsiaTheme="minorHAnsi" w:hAnsi="Arial" w:cs="Arial"/>
          <w:kern w:val="0"/>
          <w:lang w:val="en-US" w:eastAsia="en-US"/>
          <w14:ligatures w14:val="none"/>
        </w:rPr>
        <w:t>. A recent study by Owens-Jackson et. Al (2009) established the link between audit committee features and the consistency of financial reporting. The study also found that the risk of Accounting Fraud reporting is negatively correlated with audit committee independence and frequency of audit committee meetings, i.e., the latter mechanism deters Accounting Fraud.</w:t>
      </w:r>
      <w:bookmarkEnd w:id="455"/>
    </w:p>
    <w:p w14:paraId="7BE1FFEF" w14:textId="3392CB80"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It is argued that the audit expectation gap can be reduced by enhancing fraud risk assessment and employing better fraud detection methods </w:t>
      </w:r>
      <w:r w:rsidRPr="00891F5D">
        <w:rPr>
          <w:rFonts w:ascii="Arial" w:eastAsiaTheme="minorHAnsi" w:hAnsi="Arial" w:cs="Arial"/>
          <w:kern w:val="0"/>
          <w:lang w:eastAsia="en-US"/>
          <w14:ligatures w14:val="none"/>
        </w:rPr>
        <w:t>(</w:t>
      </w:r>
      <w:r w:rsidR="00720D1C" w:rsidRPr="00891F5D">
        <w:rPr>
          <w:rFonts w:ascii="Arial" w:eastAsiaTheme="minorHAnsi" w:hAnsi="Arial" w:cs="Arial"/>
          <w:kern w:val="0"/>
          <w:lang w:eastAsia="en-US"/>
          <w14:ligatures w14:val="none"/>
        </w:rPr>
        <w:t>Jayalakshmi</w:t>
      </w:r>
      <w:r w:rsidRPr="00891F5D">
        <w:rPr>
          <w:rFonts w:ascii="Arial" w:eastAsiaTheme="minorHAnsi" w:hAnsi="Arial" w:cs="Arial"/>
          <w:kern w:val="0"/>
          <w:lang w:eastAsia="en-US"/>
          <w14:ligatures w14:val="none"/>
        </w:rPr>
        <w:t xml:space="preserve"> et al., 2005; Rezaee and Riley, 2010; Kassem and Higson, 2012a)</w:t>
      </w:r>
      <w:r w:rsidRPr="00891F5D">
        <w:rPr>
          <w:rFonts w:ascii="Arial" w:eastAsiaTheme="minorHAnsi" w:hAnsi="Arial" w:cs="Arial"/>
          <w:kern w:val="0"/>
          <w:lang w:val="en-US" w:eastAsia="en-US"/>
          <w14:ligatures w14:val="none"/>
        </w:rPr>
        <w:t>. ISA 240 insists that external auditors utilize professional skepticism or doubt while ascertaining the risk of fraud. However, Higson (2011) contends that professional doubt is not enough and that the external auditors need to</w:t>
      </w:r>
      <w:r w:rsidRPr="00891F5D">
        <w:rPr>
          <w:rFonts w:ascii="Arial" w:eastAsia="TimesNewRomanPSMT" w:hAnsi="Arial" w:cs="Arial"/>
          <w:kern w:val="0"/>
          <w:lang w:val="en-US" w:eastAsia="en-US"/>
          <w14:ligatures w14:val="none"/>
        </w:rPr>
        <w:t xml:space="preserve"> use ‘critical thinking’, which necessitates an appreciation of the </w:t>
      </w:r>
      <w:r w:rsidRPr="00891F5D">
        <w:rPr>
          <w:rFonts w:ascii="Arial" w:eastAsiaTheme="minorHAnsi" w:hAnsi="Arial" w:cs="Arial"/>
          <w:kern w:val="0"/>
          <w:lang w:val="en-US" w:eastAsia="en-US"/>
          <w14:ligatures w14:val="none"/>
        </w:rPr>
        <w:t xml:space="preserve">motivations behind Accounting Fraud. </w:t>
      </w:r>
    </w:p>
    <w:p w14:paraId="1B5B6D15" w14:textId="7DE5251C" w:rsidR="00891F5D" w:rsidRDefault="00891F5D" w:rsidP="00911121">
      <w:pPr>
        <w:autoSpaceDE w:val="0"/>
        <w:autoSpaceDN w:val="0"/>
        <w:adjustRightInd w:val="0"/>
        <w:spacing w:after="0" w:line="480" w:lineRule="auto"/>
        <w:jc w:val="both"/>
        <w:rPr>
          <w:rFonts w:ascii="Arial" w:eastAsiaTheme="minorHAnsi" w:hAnsi="Arial" w:cs="Arial"/>
          <w:b/>
          <w:bCs/>
          <w:kern w:val="0"/>
          <w:lang w:val="en-US" w:eastAsia="en-US"/>
          <w14:ligatures w14:val="none"/>
        </w:rPr>
      </w:pPr>
      <w:r w:rsidRPr="00891F5D">
        <w:rPr>
          <w:rFonts w:ascii="Arial" w:eastAsiaTheme="minorHAnsi" w:hAnsi="Arial" w:cs="Arial"/>
          <w:kern w:val="0"/>
          <w:lang w:val="en-US" w:eastAsia="en-US"/>
          <w14:ligatures w14:val="none"/>
        </w:rPr>
        <w:t>It is clear thus far that Corporate Governance has a role and if applied properly can mitigate Accounting Fraud. The next section explores the specifically how Accounting Fraud can be prevented, deterred, and detected.</w:t>
      </w:r>
      <w:r w:rsidRPr="00891F5D">
        <w:rPr>
          <w:rFonts w:ascii="Arial" w:eastAsiaTheme="minorHAnsi" w:hAnsi="Arial" w:cs="Arial"/>
          <w:b/>
          <w:bCs/>
          <w:kern w:val="0"/>
          <w:lang w:val="en-US" w:eastAsia="en-US"/>
          <w14:ligatures w14:val="none"/>
        </w:rPr>
        <w:t xml:space="preserve"> </w:t>
      </w:r>
    </w:p>
    <w:p w14:paraId="1B097A1B" w14:textId="77777777" w:rsidR="003E44A1" w:rsidRPr="00891F5D" w:rsidRDefault="003E44A1" w:rsidP="00911121">
      <w:pPr>
        <w:autoSpaceDE w:val="0"/>
        <w:autoSpaceDN w:val="0"/>
        <w:adjustRightInd w:val="0"/>
        <w:spacing w:after="0" w:line="480" w:lineRule="auto"/>
        <w:jc w:val="both"/>
        <w:rPr>
          <w:rFonts w:ascii="Arial" w:eastAsiaTheme="minorHAnsi" w:hAnsi="Arial" w:cs="Arial"/>
          <w:kern w:val="0"/>
          <w:lang w:val="en-US" w:eastAsia="en-US"/>
          <w14:ligatures w14:val="none"/>
        </w:rPr>
      </w:pPr>
    </w:p>
    <w:bookmarkStart w:id="456" w:name="Z"/>
    <w:bookmarkStart w:id="457" w:name="D38"/>
    <w:p w14:paraId="1D748750" w14:textId="74C60505" w:rsidR="00891F5D" w:rsidRPr="00891F5D" w:rsidRDefault="00E769FA" w:rsidP="00911121">
      <w:pPr>
        <w:pBdr>
          <w:top w:val="single" w:sz="4" w:space="1" w:color="auto"/>
          <w:left w:val="single" w:sz="4" w:space="4" w:color="auto"/>
          <w:bottom w:val="single" w:sz="4" w:space="1" w:color="auto"/>
          <w:right w:val="single" w:sz="4" w:space="4" w:color="auto"/>
        </w:pBdr>
        <w:spacing w:after="200" w:line="24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lastRenderedPageBreak/>
        <w:fldChar w:fldCharType="begin"/>
      </w:r>
      <w:r>
        <w:rPr>
          <w:rFonts w:ascii="Arial" w:eastAsiaTheme="minorHAnsi" w:hAnsi="Arial" w:cs="Arial"/>
          <w:b/>
          <w:bCs/>
          <w:kern w:val="0"/>
          <w:lang w:val="en-US" w:eastAsia="en-US"/>
          <w14:ligatures w14:val="none"/>
        </w:rPr>
        <w:instrText>HYPERLINK  \l "C38"</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E769FA">
        <w:rPr>
          <w:rStyle w:val="Hyperlink"/>
          <w:rFonts w:ascii="Arial" w:eastAsiaTheme="minorHAnsi" w:hAnsi="Arial" w:cs="Arial"/>
          <w:b/>
          <w:bCs/>
          <w:kern w:val="0"/>
          <w:lang w:val="en-US" w:eastAsia="en-US"/>
          <w14:ligatures w14:val="none"/>
        </w:rPr>
        <w:t>2.5.1 Prevention, Deterrence, and Detection</w:t>
      </w:r>
      <w:r>
        <w:rPr>
          <w:rFonts w:ascii="Arial" w:eastAsiaTheme="minorHAnsi" w:hAnsi="Arial" w:cs="Arial"/>
          <w:b/>
          <w:bCs/>
          <w:kern w:val="0"/>
          <w:lang w:val="en-US" w:eastAsia="en-US"/>
          <w14:ligatures w14:val="none"/>
        </w:rPr>
        <w:fldChar w:fldCharType="end"/>
      </w:r>
    </w:p>
    <w:bookmarkEnd w:id="456"/>
    <w:bookmarkEnd w:id="457"/>
    <w:p w14:paraId="1A77C2E2"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Prevention and deterrence protocols are designed to lessen the opportunity for fraudsters while detection occurs post fraud. It has been argued that when an organization has robust mandates, this sends strong signals to potential internal and external fraudsters (KPMG, 2006a). According to Dorminey et al. (2012:573), fraud deterrence works when “(1) the perception of deterrence is present and (2) potential perpetrators recognize that they will be punished when caught.”</w:t>
      </w:r>
    </w:p>
    <w:p w14:paraId="7F7C2221" w14:textId="627CB156"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Dorminey et. al (2012) states that if the potential fraudsters must believe that detection is highly probable, otherwise fraudulent activities will not lessen. </w:t>
      </w:r>
      <w:r w:rsidR="001D6927" w:rsidRPr="00891F5D">
        <w:rPr>
          <w:rFonts w:ascii="Arial" w:eastAsiaTheme="minorHAnsi" w:hAnsi="Arial" w:cs="Arial"/>
          <w:kern w:val="0"/>
          <w:lang w:val="en-US" w:eastAsia="en-US"/>
          <w14:ligatures w14:val="none"/>
        </w:rPr>
        <w:t>Kranacher</w:t>
      </w:r>
      <w:r w:rsidRPr="00891F5D">
        <w:rPr>
          <w:rFonts w:ascii="Arial" w:eastAsiaTheme="minorHAnsi" w:hAnsi="Arial" w:cs="Arial"/>
          <w:kern w:val="0"/>
          <w:lang w:val="en-US" w:eastAsia="en-US"/>
          <w14:ligatures w14:val="none"/>
        </w:rPr>
        <w:t xml:space="preserve"> et. al. (2011) states that detection comprises of three parts, namely, financial statement audit, focused risk assessment, and examination of management overrides. However, Accounting Fraud remains a significant concern for the audit profession (</w:t>
      </w:r>
      <w:r w:rsidR="001D6927" w:rsidRPr="00891F5D">
        <w:rPr>
          <w:rFonts w:ascii="Arial" w:eastAsiaTheme="minorHAnsi" w:hAnsi="Arial" w:cs="Arial"/>
          <w:kern w:val="0"/>
          <w:lang w:val="en-US" w:eastAsia="en-US"/>
          <w14:ligatures w14:val="none"/>
        </w:rPr>
        <w:t>Kranacher</w:t>
      </w:r>
      <w:r w:rsidRPr="00891F5D">
        <w:rPr>
          <w:rFonts w:ascii="Arial" w:eastAsiaTheme="minorHAnsi" w:hAnsi="Arial" w:cs="Arial"/>
          <w:kern w:val="0"/>
          <w:lang w:val="en-US" w:eastAsia="en-US"/>
          <w14:ligatures w14:val="none"/>
        </w:rPr>
        <w:t xml:space="preserve"> et. al, 2010). Hence, it is vital to create an audit plan that will enable the auditor to discover any deficiencies in the system that may permit fraud (Dorminey et. al, 2012). The established methods for helping audit planning are maintenance of a fraud policy, a fraud vulnerability review, an anonymous hotline, and extensive background checks.</w:t>
      </w:r>
    </w:p>
    <w:p w14:paraId="58363782"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Bierstaker et al. (2006) suggests that employees should attest to having understood the fraud policy, which should be underpinned with training workshops and periodic reviews. Fraud vulnerability reviews analyze the extent of fraud risk to the company, including location of assets and how they could be stolen (Bierstaker et al, 2006). In addition, there should be an anonymous hotline where internal and external stakeholders can report fraudulent activities in a safe space (Holtfreter 2005, Rezaee 2005). Unfortunately, personnel files are not adequately maintained, so there should be secondary checks to ensure that initial information supplied at application, such as </w:t>
      </w:r>
      <w:r w:rsidRPr="00891F5D">
        <w:rPr>
          <w:rFonts w:ascii="Arial" w:eastAsiaTheme="minorHAnsi" w:hAnsi="Arial" w:cs="Arial"/>
          <w:kern w:val="0"/>
          <w:lang w:val="en-US" w:eastAsia="en-US"/>
          <w14:ligatures w14:val="none"/>
        </w:rPr>
        <w:lastRenderedPageBreak/>
        <w:t>education or work experience, is correct (Bierstaker et al, 2006), as a measure to weed out potential fraudsters.</w:t>
      </w:r>
    </w:p>
    <w:p w14:paraId="185E4266" w14:textId="1F7ECDC7" w:rsidR="00891F5D" w:rsidRPr="00891F5D" w:rsidRDefault="00891F5D" w:rsidP="00911121">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It is the function of management to create a system of prevention and detection, which is best achieved when compliance systems are at the heart of the business (Biegelman and Bartow, 2012). Schnatterly (2010) argues that if the following conditions are implemented, namely, transparency of policies and procedures, effective communication, and performance-related pay for all employees, then the risk of fraud should fall drastically. However, management override is viewed as the “Achilles’s heel” of fraud prevention (AICPA, 2005) and results in damaging collusive fraud such as Enron. Therefore, Biegelman and Bartow (2012) argue that fraud prevention must be instituted at all levels in the organization, including senior management. The detection of management override usually results from anonymous tips (Dellaportas, 2013), underscoring the importance of an anonymous hotline.</w:t>
      </w:r>
    </w:p>
    <w:bookmarkStart w:id="458" w:name="AA"/>
    <w:bookmarkStart w:id="459" w:name="D39"/>
    <w:p w14:paraId="7325F27B" w14:textId="236E6914" w:rsidR="00891F5D" w:rsidRPr="00891F5D" w:rsidRDefault="00E769FA" w:rsidP="00911121">
      <w:pPr>
        <w:pBdr>
          <w:top w:val="single" w:sz="4" w:space="1" w:color="auto"/>
          <w:left w:val="single" w:sz="4" w:space="4" w:color="auto"/>
          <w:bottom w:val="single" w:sz="4" w:space="1" w:color="auto"/>
          <w:right w:val="single" w:sz="4" w:space="4" w:color="auto"/>
        </w:pBdr>
        <w:spacing w:after="200" w:line="24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"C39"</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E769FA">
        <w:rPr>
          <w:rStyle w:val="Hyperlink"/>
          <w:rFonts w:ascii="Arial" w:eastAsiaTheme="minorHAnsi" w:hAnsi="Arial" w:cs="Arial"/>
          <w:b/>
          <w:bCs/>
          <w:kern w:val="0"/>
          <w:lang w:val="en-US" w:eastAsia="en-US"/>
          <w14:ligatures w14:val="none"/>
        </w:rPr>
        <w:t>2.5.2 Internal Controls</w:t>
      </w:r>
      <w:r>
        <w:rPr>
          <w:rFonts w:ascii="Arial" w:eastAsiaTheme="minorHAnsi" w:hAnsi="Arial" w:cs="Arial"/>
          <w:b/>
          <w:bCs/>
          <w:kern w:val="0"/>
          <w:lang w:val="en-US" w:eastAsia="en-US"/>
          <w14:ligatures w14:val="none"/>
        </w:rPr>
        <w:fldChar w:fldCharType="end"/>
      </w:r>
    </w:p>
    <w:bookmarkEnd w:id="458"/>
    <w:bookmarkEnd w:id="459"/>
    <w:p w14:paraId="11D45811"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Accounting information, or, more precisely, financial statements, allow the allocation of scarce resources in an economy (Rezaee, 2005) underpinned by internal controls, which is associated with the opportunity side of the Fraud Triangle (Nijenhuis, 2016). Hence, Dorminey et al (2012) suggests even if an opportunity is discovered appropriate internal controls can help detect a fraud.</w:t>
      </w:r>
    </w:p>
    <w:p w14:paraId="1A432F90"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Power (2013) and Shanmugan et al. (2014) maintain that an internal control is part of a system of internal controls for an organization that is established by senior management, including internal checking, auditing, and other controls that allow the reliable functioning of a business. Nijenhuis (2016) describes five key features that are present in most internal control systems, namely, control environment, risk </w:t>
      </w:r>
      <w:r w:rsidRPr="00891F5D">
        <w:rPr>
          <w:rFonts w:ascii="Arial" w:eastAsiaTheme="minorHAnsi" w:hAnsi="Arial" w:cs="Arial"/>
          <w:kern w:val="0"/>
          <w:lang w:val="en-US" w:eastAsia="en-US"/>
          <w14:ligatures w14:val="none"/>
        </w:rPr>
        <w:lastRenderedPageBreak/>
        <w:t>assessment, control activities, information and communication, and monitoring, which collectively lead to a strong internal control system. The correct application of an internal control system ensures the safeguarding of assets and veracity of records and leads to an efficient and effective control environment (Shanmugan et al, 2014). Albrecht (2004) argues that an effective internal control system is one of the major steps taken by an entity toward the prevention of fraud.</w:t>
      </w:r>
    </w:p>
    <w:p w14:paraId="1E84614F"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It has been established by Peterson and Zikmund (2004) that a robust internal control system enhances corporate governance, raises management performance, and dampens fraud, because the entire workforce is involved in the detection of fraud. In contrast, weak internal controls not only lead to fraud (Dellaportas, 2013) but also raise the control risk (Hribar et al, 2014). Control risk is the risk of internal controls not preventing or detecting misstatements that provide assurance for an organization’s assets and records.</w:t>
      </w:r>
    </w:p>
    <w:bookmarkStart w:id="460" w:name="BB"/>
    <w:bookmarkStart w:id="461" w:name="D40"/>
    <w:p w14:paraId="5795DDCD" w14:textId="69C452D0" w:rsidR="00891F5D" w:rsidRPr="00891F5D" w:rsidRDefault="00876DB5" w:rsidP="00C12BEA">
      <w:pPr>
        <w:pBdr>
          <w:top w:val="single" w:sz="4" w:space="1" w:color="auto"/>
          <w:left w:val="single" w:sz="4" w:space="4" w:color="auto"/>
          <w:bottom w:val="single" w:sz="4" w:space="1" w:color="auto"/>
          <w:right w:val="single" w:sz="4" w:space="4" w:color="auto"/>
        </w:pBdr>
        <w:spacing w:after="200" w:line="24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"C40"</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876DB5">
        <w:rPr>
          <w:rStyle w:val="Hyperlink"/>
          <w:rFonts w:ascii="Arial" w:eastAsiaTheme="minorHAnsi" w:hAnsi="Arial" w:cs="Arial"/>
          <w:b/>
          <w:bCs/>
          <w:kern w:val="0"/>
          <w:lang w:val="en-US" w:eastAsia="en-US"/>
          <w14:ligatures w14:val="none"/>
        </w:rPr>
        <w:t>2.5.3 Ethical Culture</w:t>
      </w:r>
      <w:r>
        <w:rPr>
          <w:rFonts w:ascii="Arial" w:eastAsiaTheme="minorHAnsi" w:hAnsi="Arial" w:cs="Arial"/>
          <w:b/>
          <w:bCs/>
          <w:kern w:val="0"/>
          <w:lang w:val="en-US" w:eastAsia="en-US"/>
          <w14:ligatures w14:val="none"/>
        </w:rPr>
        <w:fldChar w:fldCharType="end"/>
      </w:r>
    </w:p>
    <w:bookmarkEnd w:id="460"/>
    <w:bookmarkEnd w:id="461"/>
    <w:p w14:paraId="2B6AF3F7" w14:textId="3C191F1B"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Kaptein (2011:846) reminds us that an ethical culture can be defined as “the perception about the conditions that are in place in the organization to comply or not comply with what constitutes unethical and ethical </w:t>
      </w:r>
      <w:r w:rsidR="001D6927" w:rsidRPr="00891F5D">
        <w:rPr>
          <w:rFonts w:ascii="Arial" w:eastAsiaTheme="minorHAnsi" w:hAnsi="Arial" w:cs="Arial"/>
          <w:kern w:val="0"/>
          <w:lang w:val="en-US" w:eastAsia="en-US"/>
          <w14:ligatures w14:val="none"/>
        </w:rPr>
        <w:t>behavior</w:t>
      </w:r>
      <w:r w:rsidRPr="00891F5D">
        <w:rPr>
          <w:rFonts w:ascii="Arial" w:eastAsiaTheme="minorHAnsi" w:hAnsi="Arial" w:cs="Arial"/>
          <w:kern w:val="0"/>
          <w:lang w:val="en-US" w:eastAsia="en-US"/>
          <w14:ligatures w14:val="none"/>
        </w:rPr>
        <w:t>.” An ethical culture in conjunction with sound internal controls ensures a greater degree of prevention (Dorminey et al, 2012). Internal control provides the tools to detect fraud, whereas an ethical culture creates an environment where it is perceived by everyone that fraud is wrong (Nijenhuis, 2016). An ethical culture undermines the rationalization of fraud, as per the Fraud Triangle, as it signals to employees that fraud is erroneous (Murphy and Dacin, 2011). Ethical business environments provide deterrence, because hiding fraudulent acts will become increasingly challenging and punishment is guaranteed once the fraudster is apprehended.</w:t>
      </w:r>
    </w:p>
    <w:p w14:paraId="411E1330"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lastRenderedPageBreak/>
        <w:t>A study by KPMG Forensic (2014) stated that a CEO should lead by example and create a highly ethical and honest culture that will pay dividends in the long run. A study undertaken by Verschoor (1998) found a strong correlation between companies that had an ethical culture and stronger performance in comparison with their competitors. Arjoon (2005:349) states that “ethics is truly an essential ingredient for business success,” as demonstrated by another study, by Chun et al. (2013) which suggested that employee commitment increases.</w:t>
      </w:r>
    </w:p>
    <w:bookmarkStart w:id="462" w:name="CC"/>
    <w:bookmarkStart w:id="463" w:name="D41"/>
    <w:p w14:paraId="39D2E4B7" w14:textId="3FD2458A" w:rsidR="00891F5D" w:rsidRPr="00891F5D" w:rsidRDefault="00E769FA" w:rsidP="00C12BEA">
      <w:pPr>
        <w:pBdr>
          <w:top w:val="single" w:sz="4" w:space="1" w:color="auto"/>
          <w:left w:val="single" w:sz="4" w:space="4" w:color="auto"/>
          <w:bottom w:val="single" w:sz="4" w:space="1" w:color="auto"/>
          <w:right w:val="single" w:sz="4" w:space="4" w:color="auto"/>
        </w:pBdr>
        <w:spacing w:before="240" w:after="200" w:line="24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"C41"</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E769FA">
        <w:rPr>
          <w:rStyle w:val="Hyperlink"/>
          <w:rFonts w:ascii="Arial" w:eastAsiaTheme="minorHAnsi" w:hAnsi="Arial" w:cs="Arial"/>
          <w:b/>
          <w:bCs/>
          <w:kern w:val="0"/>
          <w:lang w:val="en-US" w:eastAsia="en-US"/>
          <w14:ligatures w14:val="none"/>
        </w:rPr>
        <w:t>2.5.4 Red Flags of Accounting Fraud</w:t>
      </w:r>
      <w:r>
        <w:rPr>
          <w:rFonts w:ascii="Arial" w:eastAsiaTheme="minorHAnsi" w:hAnsi="Arial" w:cs="Arial"/>
          <w:b/>
          <w:bCs/>
          <w:kern w:val="0"/>
          <w:lang w:val="en-US" w:eastAsia="en-US"/>
          <w14:ligatures w14:val="none"/>
        </w:rPr>
        <w:fldChar w:fldCharType="end"/>
      </w:r>
    </w:p>
    <w:bookmarkEnd w:id="462"/>
    <w:bookmarkEnd w:id="463"/>
    <w:p w14:paraId="6A9D16DF"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As discussed earlier, all three conditions of the Fraud Triangle, namely pressure, opportunity, and rationalization, must exist before a fraud will potentially take place. Consequently, the key to preventing fraud is </w:t>
      </w:r>
      <w:r w:rsidRPr="00891F5D">
        <w:rPr>
          <w:rFonts w:ascii="Arial" w:eastAsiaTheme="minorHAnsi" w:hAnsi="Arial" w:cs="Arial"/>
          <w:i/>
          <w:iCs/>
          <w:kern w:val="0"/>
          <w:lang w:val="en-US" w:eastAsia="en-US"/>
          <w14:ligatures w14:val="none"/>
        </w:rPr>
        <w:t>breaking</w:t>
      </w:r>
      <w:r w:rsidRPr="00891F5D">
        <w:rPr>
          <w:rFonts w:ascii="Arial" w:eastAsiaTheme="minorHAnsi" w:hAnsi="Arial" w:cs="Arial"/>
          <w:kern w:val="0"/>
          <w:lang w:val="en-US" w:eastAsia="en-US"/>
          <w14:ligatures w14:val="none"/>
        </w:rPr>
        <w:t xml:space="preserve"> the Fraud Triangle.</w:t>
      </w:r>
    </w:p>
    <w:p w14:paraId="27835369" w14:textId="3228AD86"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A red flag is one or more conditions that are abnormal in nature or differ from the norm. It is an indication that something is wrong and should be further investigated. </w:t>
      </w:r>
      <w:proofErr w:type="gramStart"/>
      <w:r w:rsidRPr="00891F5D">
        <w:rPr>
          <w:rFonts w:ascii="Arial" w:eastAsiaTheme="minorHAnsi" w:hAnsi="Arial" w:cs="Arial"/>
          <w:kern w:val="0"/>
          <w:lang w:val="en-US" w:eastAsia="en-US"/>
          <w14:ligatures w14:val="none"/>
        </w:rPr>
        <w:t xml:space="preserve">The  </w:t>
      </w:r>
      <w:r w:rsidR="001D0436">
        <w:rPr>
          <w:rFonts w:ascii="Arial" w:eastAsiaTheme="minorHAnsi" w:hAnsi="Arial" w:cs="Arial"/>
          <w:kern w:val="0"/>
          <w:lang w:eastAsia="en-US"/>
          <w14:ligatures w14:val="none"/>
        </w:rPr>
        <w:t>researcher</w:t>
      </w:r>
      <w:proofErr w:type="gramEnd"/>
      <w:r w:rsidR="001D0436" w:rsidRPr="00891F5D">
        <w:rPr>
          <w:rFonts w:ascii="Arial" w:eastAsiaTheme="minorHAnsi" w:hAnsi="Arial" w:cs="Arial"/>
          <w:kern w:val="0"/>
          <w:lang w:eastAsia="en-US"/>
          <w14:ligatures w14:val="none"/>
        </w:rPr>
        <w:t xml:space="preserve"> </w:t>
      </w:r>
      <w:r w:rsidRPr="00891F5D">
        <w:rPr>
          <w:rFonts w:ascii="Arial" w:eastAsiaTheme="minorHAnsi" w:hAnsi="Arial" w:cs="Arial"/>
          <w:kern w:val="0"/>
          <w:lang w:val="en-US" w:eastAsia="en-US"/>
          <w14:ligatures w14:val="none"/>
        </w:rPr>
        <w:t xml:space="preserve">will begin with generalities, or what are referred to as </w:t>
      </w:r>
      <w:r w:rsidRPr="00891F5D">
        <w:rPr>
          <w:rFonts w:ascii="Arial" w:eastAsiaTheme="minorHAnsi" w:hAnsi="Arial" w:cs="Arial"/>
          <w:i/>
          <w:kern w:val="0"/>
          <w:lang w:val="en-US" w:eastAsia="en-US"/>
          <w14:ligatures w14:val="none"/>
        </w:rPr>
        <w:t>soft red flags,</w:t>
      </w:r>
      <w:r w:rsidRPr="00891F5D">
        <w:rPr>
          <w:rFonts w:ascii="Arial" w:eastAsiaTheme="minorHAnsi" w:hAnsi="Arial" w:cs="Arial"/>
          <w:kern w:val="0"/>
          <w:lang w:val="en-US" w:eastAsia="en-US"/>
          <w14:ligatures w14:val="none"/>
        </w:rPr>
        <w:t xml:space="preserve"> and move on to specific accounting or what the</w:t>
      </w:r>
      <w:r w:rsidR="001D0436" w:rsidRPr="001D0436">
        <w:rPr>
          <w:rFonts w:ascii="Arial" w:eastAsiaTheme="minorHAnsi" w:hAnsi="Arial" w:cs="Arial"/>
          <w:kern w:val="0"/>
          <w:lang w:eastAsia="en-US"/>
          <w14:ligatures w14:val="none"/>
        </w:rPr>
        <w:t xml:space="preserve"> </w:t>
      </w:r>
      <w:r w:rsidR="001D0436">
        <w:rPr>
          <w:rFonts w:ascii="Arial" w:eastAsiaTheme="minorHAnsi" w:hAnsi="Arial" w:cs="Arial"/>
          <w:kern w:val="0"/>
          <w:lang w:eastAsia="en-US"/>
          <w14:ligatures w14:val="none"/>
        </w:rPr>
        <w:t>researcher</w:t>
      </w:r>
      <w:r w:rsidRPr="00891F5D">
        <w:rPr>
          <w:rFonts w:ascii="Arial" w:eastAsiaTheme="minorHAnsi" w:hAnsi="Arial" w:cs="Arial"/>
          <w:kern w:val="0"/>
          <w:lang w:val="en-US" w:eastAsia="en-US"/>
          <w14:ligatures w14:val="none"/>
        </w:rPr>
        <w:t xml:space="preserve"> regards as </w:t>
      </w:r>
      <w:r w:rsidRPr="00891F5D">
        <w:rPr>
          <w:rFonts w:ascii="Arial" w:eastAsiaTheme="minorHAnsi" w:hAnsi="Arial" w:cs="Arial"/>
          <w:i/>
          <w:kern w:val="0"/>
          <w:lang w:val="en-US" w:eastAsia="en-US"/>
          <w14:ligatures w14:val="none"/>
        </w:rPr>
        <w:t>hard red flags.</w:t>
      </w:r>
    </w:p>
    <w:p w14:paraId="7423BA49"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Common internal control weaknesses that can operate as red flags include:</w:t>
      </w:r>
    </w:p>
    <w:p w14:paraId="19AE65E1" w14:textId="2ACB1B2A" w:rsidR="00891F5D" w:rsidRPr="00891F5D" w:rsidRDefault="00891F5D">
      <w:pPr>
        <w:numPr>
          <w:ilvl w:val="0"/>
          <w:numId w:val="6"/>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deficient segregation of duties</w:t>
      </w:r>
    </w:p>
    <w:p w14:paraId="528716D2" w14:textId="4CDDD141" w:rsidR="00891F5D" w:rsidRPr="00891F5D" w:rsidRDefault="00891F5D">
      <w:pPr>
        <w:numPr>
          <w:ilvl w:val="0"/>
          <w:numId w:val="6"/>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inadequate physical safeguards</w:t>
      </w:r>
    </w:p>
    <w:p w14:paraId="238344F7" w14:textId="74B190E3" w:rsidR="00891F5D" w:rsidRPr="00891F5D" w:rsidRDefault="00891F5D">
      <w:pPr>
        <w:numPr>
          <w:ilvl w:val="0"/>
          <w:numId w:val="6"/>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unsatisfactory independent checks</w:t>
      </w:r>
    </w:p>
    <w:p w14:paraId="7DF986ED" w14:textId="5B105258" w:rsidR="00891F5D" w:rsidRPr="00891F5D" w:rsidRDefault="00891F5D">
      <w:pPr>
        <w:numPr>
          <w:ilvl w:val="0"/>
          <w:numId w:val="6"/>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improper authorization of documents and records</w:t>
      </w:r>
    </w:p>
    <w:p w14:paraId="68BA3213" w14:textId="1C33D9CE" w:rsidR="00891F5D" w:rsidRPr="00891F5D" w:rsidRDefault="00891F5D">
      <w:pPr>
        <w:numPr>
          <w:ilvl w:val="0"/>
          <w:numId w:val="6"/>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override of existing controls</w:t>
      </w:r>
    </w:p>
    <w:p w14:paraId="4A1FE608" w14:textId="77777777" w:rsidR="00891F5D" w:rsidRDefault="00891F5D">
      <w:pPr>
        <w:numPr>
          <w:ilvl w:val="0"/>
          <w:numId w:val="6"/>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and a faulty accounting system.</w:t>
      </w:r>
    </w:p>
    <w:p w14:paraId="78AE8816" w14:textId="77777777" w:rsidR="002B3F52" w:rsidRPr="00891F5D" w:rsidRDefault="002B3F52" w:rsidP="002B3F52">
      <w:pPr>
        <w:spacing w:line="480" w:lineRule="auto"/>
        <w:ind w:left="720"/>
        <w:contextualSpacing/>
        <w:jc w:val="both"/>
        <w:rPr>
          <w:rFonts w:ascii="Arial" w:eastAsiaTheme="minorHAnsi" w:hAnsi="Arial" w:cs="Arial"/>
          <w:kern w:val="0"/>
          <w:lang w:val="en-US" w:eastAsia="en-US"/>
          <w14:ligatures w14:val="none"/>
        </w:rPr>
      </w:pPr>
    </w:p>
    <w:p w14:paraId="44C8A6A9"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lastRenderedPageBreak/>
        <w:t>Analytical irregularities are relationships that do not make sense and that appear to be unreasonable. These include large or small transactions that occur at strange times that may involve personnel not normally associated with them. Examples of analytical irregularities include</w:t>
      </w:r>
    </w:p>
    <w:p w14:paraId="60AE6E7E" w14:textId="0C377387" w:rsidR="00891F5D" w:rsidRPr="00891F5D" w:rsidRDefault="00891F5D">
      <w:pPr>
        <w:numPr>
          <w:ilvl w:val="0"/>
          <w:numId w:val="7"/>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company assets sold below market value</w:t>
      </w:r>
    </w:p>
    <w:p w14:paraId="1ED1D475" w14:textId="7A048EC8" w:rsidR="00891F5D" w:rsidRPr="00891F5D" w:rsidRDefault="00891F5D">
      <w:pPr>
        <w:numPr>
          <w:ilvl w:val="0"/>
          <w:numId w:val="7"/>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many </w:t>
      </w:r>
      <w:proofErr w:type="gramStart"/>
      <w:r w:rsidR="001F5C7F">
        <w:rPr>
          <w:rFonts w:ascii="Arial" w:eastAsiaTheme="minorHAnsi" w:hAnsi="Arial" w:cs="Arial"/>
          <w:kern w:val="0"/>
          <w:lang w:val="en-US" w:eastAsia="en-US"/>
          <w14:ligatures w14:val="none"/>
        </w:rPr>
        <w:t>B</w:t>
      </w:r>
      <w:r w:rsidRPr="00891F5D">
        <w:rPr>
          <w:rFonts w:ascii="Arial" w:eastAsiaTheme="minorHAnsi" w:hAnsi="Arial" w:cs="Arial"/>
          <w:kern w:val="0"/>
          <w:lang w:val="en-US" w:eastAsia="en-US"/>
          <w14:ligatures w14:val="none"/>
        </w:rPr>
        <w:t>ank</w:t>
      </w:r>
      <w:proofErr w:type="gramEnd"/>
      <w:r w:rsidRPr="00891F5D">
        <w:rPr>
          <w:rFonts w:ascii="Arial" w:eastAsiaTheme="minorHAnsi" w:hAnsi="Arial" w:cs="Arial"/>
          <w:kern w:val="0"/>
          <w:lang w:val="en-US" w:eastAsia="en-US"/>
          <w14:ligatures w14:val="none"/>
        </w:rPr>
        <w:t xml:space="preserve"> accounts</w:t>
      </w:r>
    </w:p>
    <w:p w14:paraId="72D04991" w14:textId="2E89F828" w:rsidR="00891F5D" w:rsidRPr="00891F5D" w:rsidRDefault="00891F5D">
      <w:pPr>
        <w:numPr>
          <w:ilvl w:val="0"/>
          <w:numId w:val="7"/>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downsizing in a healthy economy</w:t>
      </w:r>
    </w:p>
    <w:p w14:paraId="3BA3414D" w14:textId="77777777" w:rsidR="00891F5D" w:rsidRDefault="00891F5D">
      <w:pPr>
        <w:numPr>
          <w:ilvl w:val="0"/>
          <w:numId w:val="7"/>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and unexpected overdrafts or shortages of cash.</w:t>
      </w:r>
    </w:p>
    <w:p w14:paraId="6FCF874A" w14:textId="77777777" w:rsidR="002B3F52" w:rsidRPr="00891F5D" w:rsidRDefault="002B3F52" w:rsidP="002B3F52">
      <w:pPr>
        <w:spacing w:line="480" w:lineRule="auto"/>
        <w:ind w:left="720"/>
        <w:contextualSpacing/>
        <w:jc w:val="both"/>
        <w:rPr>
          <w:rFonts w:ascii="Arial" w:eastAsiaTheme="minorHAnsi" w:hAnsi="Arial" w:cs="Arial"/>
          <w:kern w:val="0"/>
          <w:lang w:val="en-US" w:eastAsia="en-US"/>
          <w14:ligatures w14:val="none"/>
        </w:rPr>
      </w:pPr>
    </w:p>
    <w:p w14:paraId="010D0A1B"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Operational anomalies are curious events concerning a company’s operations. Although they may not be within the control of management, they warrant attention as a red flag for possible fraud. Some of these anomalies are:</w:t>
      </w:r>
    </w:p>
    <w:p w14:paraId="6C496D32" w14:textId="1BE6783C" w:rsidR="00891F5D" w:rsidRPr="00891F5D" w:rsidRDefault="00891F5D">
      <w:pPr>
        <w:numPr>
          <w:ilvl w:val="0"/>
          <w:numId w:val="8"/>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shortage of capital</w:t>
      </w:r>
    </w:p>
    <w:p w14:paraId="57EF0AA1" w14:textId="739F46B9" w:rsidR="00891F5D" w:rsidRPr="00891F5D" w:rsidRDefault="00891F5D">
      <w:pPr>
        <w:numPr>
          <w:ilvl w:val="0"/>
          <w:numId w:val="8"/>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repeated changes in lawyers or seeking multiple expert opinions</w:t>
      </w:r>
    </w:p>
    <w:p w14:paraId="0877A46C" w14:textId="40691880" w:rsidR="00891F5D" w:rsidRPr="00891F5D" w:rsidRDefault="00891F5D">
      <w:pPr>
        <w:numPr>
          <w:ilvl w:val="0"/>
          <w:numId w:val="8"/>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frequent changes in senior management</w:t>
      </w:r>
    </w:p>
    <w:p w14:paraId="70EB8638" w14:textId="1ADDB28E" w:rsidR="00891F5D" w:rsidRPr="00891F5D" w:rsidRDefault="00891F5D">
      <w:pPr>
        <w:numPr>
          <w:ilvl w:val="0"/>
          <w:numId w:val="8"/>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high staff turnover</w:t>
      </w:r>
    </w:p>
    <w:p w14:paraId="1688FB05" w14:textId="77777777" w:rsidR="00891F5D" w:rsidRDefault="00891F5D">
      <w:pPr>
        <w:numPr>
          <w:ilvl w:val="0"/>
          <w:numId w:val="8"/>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and significant changes in employee attitude or lifestyle.</w:t>
      </w:r>
    </w:p>
    <w:p w14:paraId="3D5B3465" w14:textId="77777777" w:rsidR="002B3F52" w:rsidRPr="00891F5D" w:rsidRDefault="002B3F52" w:rsidP="002B3F52">
      <w:pPr>
        <w:spacing w:line="480" w:lineRule="auto"/>
        <w:ind w:left="720"/>
        <w:contextualSpacing/>
        <w:jc w:val="both"/>
        <w:rPr>
          <w:rFonts w:ascii="Arial" w:eastAsiaTheme="minorHAnsi" w:hAnsi="Arial" w:cs="Arial"/>
          <w:kern w:val="0"/>
          <w:lang w:val="en-US" w:eastAsia="en-US"/>
          <w14:ligatures w14:val="none"/>
        </w:rPr>
      </w:pPr>
    </w:p>
    <w:p w14:paraId="2012BF37"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As cash is the most stolen asset, accountants should focus attention on the red flags of cash embezzlement and accounts receivable, and these may include</w:t>
      </w:r>
    </w:p>
    <w:p w14:paraId="0A3E7700" w14:textId="4617B313" w:rsidR="00891F5D" w:rsidRPr="00891F5D" w:rsidRDefault="00891F5D">
      <w:pPr>
        <w:numPr>
          <w:ilvl w:val="0"/>
          <w:numId w:val="9"/>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an unnecessary number of voids</w:t>
      </w:r>
    </w:p>
    <w:p w14:paraId="1968028F" w14:textId="163DB04E" w:rsidR="00891F5D" w:rsidRPr="00891F5D" w:rsidRDefault="00891F5D">
      <w:pPr>
        <w:numPr>
          <w:ilvl w:val="0"/>
          <w:numId w:val="9"/>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discounts, and returns</w:t>
      </w:r>
    </w:p>
    <w:p w14:paraId="4636ED55" w14:textId="57A14FFD" w:rsidR="00891F5D" w:rsidRPr="00891F5D" w:rsidRDefault="00891F5D">
      <w:pPr>
        <w:numPr>
          <w:ilvl w:val="0"/>
          <w:numId w:val="9"/>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unexpected activity in an inactive bank account</w:t>
      </w:r>
    </w:p>
    <w:p w14:paraId="443BB75C" w14:textId="62868AD4" w:rsidR="00891F5D" w:rsidRPr="00891F5D" w:rsidRDefault="00891F5D">
      <w:pPr>
        <w:numPr>
          <w:ilvl w:val="0"/>
          <w:numId w:val="9"/>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customer complaints about notices for defaulting or nonpayment of accounts</w:t>
      </w:r>
    </w:p>
    <w:p w14:paraId="41F62A53" w14:textId="5E88D2C3" w:rsidR="00891F5D" w:rsidRPr="00891F5D" w:rsidRDefault="00891F5D">
      <w:pPr>
        <w:numPr>
          <w:ilvl w:val="0"/>
          <w:numId w:val="9"/>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lastRenderedPageBreak/>
        <w:t>inconsistencies between bank deposits and deposits posted to the company records</w:t>
      </w:r>
    </w:p>
    <w:p w14:paraId="1BC28D31" w14:textId="420A6452" w:rsidR="00891F5D" w:rsidRPr="00891F5D" w:rsidRDefault="00891F5D">
      <w:pPr>
        <w:numPr>
          <w:ilvl w:val="0"/>
          <w:numId w:val="9"/>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an unusual quantity or extent of expense items or reimbursements to staff or senior management</w:t>
      </w:r>
    </w:p>
    <w:p w14:paraId="11AF5EE1" w14:textId="23B783B2" w:rsidR="00891F5D" w:rsidRPr="00891F5D" w:rsidRDefault="00891F5D">
      <w:pPr>
        <w:numPr>
          <w:ilvl w:val="0"/>
          <w:numId w:val="9"/>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unusual cash transactions</w:t>
      </w:r>
    </w:p>
    <w:p w14:paraId="0FD79B8F" w14:textId="5243F856" w:rsidR="00891F5D" w:rsidRPr="00891F5D" w:rsidRDefault="00891F5D">
      <w:pPr>
        <w:numPr>
          <w:ilvl w:val="0"/>
          <w:numId w:val="9"/>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frequent write-offs of accounts receivable</w:t>
      </w:r>
    </w:p>
    <w:p w14:paraId="5D776ACE" w14:textId="77777777" w:rsidR="00891F5D" w:rsidRDefault="00891F5D">
      <w:pPr>
        <w:numPr>
          <w:ilvl w:val="0"/>
          <w:numId w:val="9"/>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and an increase in the allowance of doubtful accounts.</w:t>
      </w:r>
    </w:p>
    <w:p w14:paraId="6A3AACFF" w14:textId="77777777" w:rsidR="002B3F52" w:rsidRPr="00891F5D" w:rsidRDefault="002B3F52" w:rsidP="002B3F52">
      <w:pPr>
        <w:spacing w:line="480" w:lineRule="auto"/>
        <w:ind w:left="720"/>
        <w:contextualSpacing/>
        <w:jc w:val="both"/>
        <w:rPr>
          <w:rFonts w:ascii="Arial" w:eastAsiaTheme="minorHAnsi" w:hAnsi="Arial" w:cs="Arial"/>
          <w:kern w:val="0"/>
          <w:lang w:val="en-US" w:eastAsia="en-US"/>
          <w14:ligatures w14:val="none"/>
        </w:rPr>
      </w:pPr>
    </w:p>
    <w:p w14:paraId="494940F8"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Payroll is normally an automated or outsourced function that is open to collusion and fraud. Red flags in this area include</w:t>
      </w:r>
    </w:p>
    <w:p w14:paraId="1A4E45A9" w14:textId="19C25E22" w:rsidR="00891F5D" w:rsidRPr="00891F5D" w:rsidRDefault="00891F5D">
      <w:pPr>
        <w:numPr>
          <w:ilvl w:val="0"/>
          <w:numId w:val="10"/>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overtime claimed during a quiet period or by staff who would not normally do so</w:t>
      </w:r>
    </w:p>
    <w:p w14:paraId="47D31685" w14:textId="14A25FD7" w:rsidR="00891F5D" w:rsidRPr="00891F5D" w:rsidRDefault="00891F5D">
      <w:pPr>
        <w:numPr>
          <w:ilvl w:val="0"/>
          <w:numId w:val="10"/>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negative and material variations between standard and actual wages</w:t>
      </w:r>
    </w:p>
    <w:p w14:paraId="0813DA04" w14:textId="34436D3C" w:rsidR="00891F5D" w:rsidRPr="00891F5D" w:rsidRDefault="00891F5D">
      <w:pPr>
        <w:numPr>
          <w:ilvl w:val="0"/>
          <w:numId w:val="10"/>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staff with little or no payroll deductions</w:t>
      </w:r>
    </w:p>
    <w:p w14:paraId="7C9F7BEE" w14:textId="50A1EED4" w:rsidR="00891F5D" w:rsidRDefault="00891F5D">
      <w:pPr>
        <w:numPr>
          <w:ilvl w:val="0"/>
          <w:numId w:val="10"/>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and “ghost employees.</w:t>
      </w:r>
    </w:p>
    <w:p w14:paraId="238277A9" w14:textId="77777777" w:rsidR="002B3F52" w:rsidRPr="00891F5D" w:rsidRDefault="002B3F52" w:rsidP="002B3F52">
      <w:pPr>
        <w:spacing w:line="480" w:lineRule="auto"/>
        <w:ind w:left="720"/>
        <w:contextualSpacing/>
        <w:jc w:val="both"/>
        <w:rPr>
          <w:rFonts w:ascii="Arial" w:eastAsiaTheme="minorHAnsi" w:hAnsi="Arial" w:cs="Arial"/>
          <w:kern w:val="0"/>
          <w:lang w:val="en-US" w:eastAsia="en-US"/>
          <w14:ligatures w14:val="none"/>
        </w:rPr>
      </w:pPr>
    </w:p>
    <w:p w14:paraId="0D62474F"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Purchasing or procurement results in a significant outflow of monies within most companies and is susceptible to fraud. Similarly, an organization’s inventory can be vulnerable to theft. Red flags indicating that the procurement and inventory functions are being manipulated include</w:t>
      </w:r>
    </w:p>
    <w:p w14:paraId="0E566045" w14:textId="6F5428DC" w:rsidR="00891F5D" w:rsidRPr="00891F5D" w:rsidRDefault="00891F5D">
      <w:pPr>
        <w:numPr>
          <w:ilvl w:val="0"/>
          <w:numId w:val="11"/>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a rising number of complaints regarding products or services</w:t>
      </w:r>
    </w:p>
    <w:p w14:paraId="22B7DDE2" w14:textId="0AB064B4" w:rsidR="00891F5D" w:rsidRPr="00891F5D" w:rsidRDefault="00891F5D">
      <w:pPr>
        <w:numPr>
          <w:ilvl w:val="0"/>
          <w:numId w:val="11"/>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an increase in the purchasing of inventory but no growth in sales</w:t>
      </w:r>
    </w:p>
    <w:p w14:paraId="02C7DE07" w14:textId="2C140CB5" w:rsidR="00891F5D" w:rsidRPr="00891F5D" w:rsidRDefault="00891F5D">
      <w:pPr>
        <w:numPr>
          <w:ilvl w:val="0"/>
          <w:numId w:val="11"/>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peculiar inventory reduction</w:t>
      </w:r>
    </w:p>
    <w:p w14:paraId="489D6B7D" w14:textId="183841E4" w:rsidR="00891F5D" w:rsidRPr="00891F5D" w:rsidRDefault="00891F5D">
      <w:pPr>
        <w:numPr>
          <w:ilvl w:val="0"/>
          <w:numId w:val="11"/>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the proliferation of scrap items and reorders for the same materials</w:t>
      </w:r>
    </w:p>
    <w:p w14:paraId="5A31760C" w14:textId="77777777" w:rsidR="00891F5D" w:rsidRDefault="00891F5D">
      <w:pPr>
        <w:numPr>
          <w:ilvl w:val="0"/>
          <w:numId w:val="11"/>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and surplus or slow-moving inventory.</w:t>
      </w:r>
    </w:p>
    <w:p w14:paraId="368AA0D2"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lastRenderedPageBreak/>
        <w:t>As noted in earlier sections, the rationale for manipulating the financial reporting function or engaging in Accounting Fraud is different from the embezzlement of company assets. Accounting Fraud does not result in an explicit financial advantage to one individual. Instead, it supplies an implicit gain in the shape of higher share prices, superior stock options for managers, and continued lines of credit. However, red flags are often present in Accounting Fraud, just as they are in asset misuse schemes. The following are some of the red flags seen in Accounting Fraud:</w:t>
      </w:r>
    </w:p>
    <w:p w14:paraId="7F4878CB" w14:textId="41447BE7" w:rsidR="00891F5D" w:rsidRPr="00891F5D" w:rsidRDefault="00891F5D">
      <w:pPr>
        <w:numPr>
          <w:ilvl w:val="0"/>
          <w:numId w:val="12"/>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aggressive revenue recognition</w:t>
      </w:r>
    </w:p>
    <w:p w14:paraId="1A4F0227" w14:textId="7B522FF8" w:rsidR="00891F5D" w:rsidRPr="00891F5D" w:rsidRDefault="00891F5D">
      <w:pPr>
        <w:numPr>
          <w:ilvl w:val="0"/>
          <w:numId w:val="12"/>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extraordinary and profitable transactions toward the end of reporting periods</w:t>
      </w:r>
    </w:p>
    <w:p w14:paraId="64125620" w14:textId="1B07423E" w:rsidR="00891F5D" w:rsidRPr="00891F5D" w:rsidRDefault="00891F5D">
      <w:pPr>
        <w:numPr>
          <w:ilvl w:val="0"/>
          <w:numId w:val="12"/>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boosting profits by selling undervalued assets or recording one-time events as operating income</w:t>
      </w:r>
    </w:p>
    <w:p w14:paraId="2E7F002A" w14:textId="008515D3" w:rsidR="00891F5D" w:rsidRPr="00891F5D" w:rsidRDefault="00891F5D">
      <w:pPr>
        <w:numPr>
          <w:ilvl w:val="0"/>
          <w:numId w:val="12"/>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persistent negative cash flows while reporting positive or growing profits</w:t>
      </w:r>
    </w:p>
    <w:p w14:paraId="59360C5F" w14:textId="0CA2F634" w:rsidR="00891F5D" w:rsidRPr="00891F5D" w:rsidRDefault="00891F5D">
      <w:pPr>
        <w:numPr>
          <w:ilvl w:val="0"/>
          <w:numId w:val="12"/>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expenses rising quicker than revenues or sales</w:t>
      </w:r>
    </w:p>
    <w:p w14:paraId="09856C6F" w14:textId="62CBE55B" w:rsidR="00891F5D" w:rsidRPr="00891F5D" w:rsidRDefault="00891F5D">
      <w:pPr>
        <w:numPr>
          <w:ilvl w:val="0"/>
          <w:numId w:val="12"/>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use of misleading classifications</w:t>
      </w:r>
    </w:p>
    <w:p w14:paraId="5E9DA295" w14:textId="432ACFCE" w:rsidR="00891F5D" w:rsidRPr="00891F5D" w:rsidRDefault="00891F5D">
      <w:pPr>
        <w:numPr>
          <w:ilvl w:val="0"/>
          <w:numId w:val="12"/>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capitalizing operating costs</w:t>
      </w:r>
    </w:p>
    <w:p w14:paraId="60731A2D" w14:textId="5C72D7AB" w:rsidR="00891F5D" w:rsidRPr="00891F5D" w:rsidRDefault="00891F5D">
      <w:pPr>
        <w:numPr>
          <w:ilvl w:val="0"/>
          <w:numId w:val="12"/>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pressure to report positive or growing profits</w:t>
      </w:r>
    </w:p>
    <w:p w14:paraId="3AC00757" w14:textId="3CC8A00D" w:rsidR="00891F5D" w:rsidRPr="00891F5D" w:rsidRDefault="00891F5D">
      <w:pPr>
        <w:numPr>
          <w:ilvl w:val="0"/>
          <w:numId w:val="12"/>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material and growing transactions with related parties</w:t>
      </w:r>
    </w:p>
    <w:p w14:paraId="73E66A05" w14:textId="77B0DFE5" w:rsidR="00891F5D" w:rsidRPr="00891F5D" w:rsidRDefault="00891F5D">
      <w:pPr>
        <w:numPr>
          <w:ilvl w:val="0"/>
          <w:numId w:val="12"/>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regularly changing accounting policies such as depreciation technique</w:t>
      </w:r>
    </w:p>
    <w:p w14:paraId="697E44B7" w14:textId="77777777" w:rsidR="00891F5D" w:rsidRDefault="00891F5D">
      <w:pPr>
        <w:numPr>
          <w:ilvl w:val="0"/>
          <w:numId w:val="12"/>
        </w:numPr>
        <w:spacing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and using SPEs to improve gearing.</w:t>
      </w:r>
    </w:p>
    <w:p w14:paraId="70AC92DA" w14:textId="77777777" w:rsidR="002B3F52" w:rsidRPr="00891F5D" w:rsidRDefault="002B3F52" w:rsidP="002B3F52">
      <w:pPr>
        <w:spacing w:line="480" w:lineRule="auto"/>
        <w:ind w:left="720"/>
        <w:contextualSpacing/>
        <w:jc w:val="both"/>
        <w:rPr>
          <w:rFonts w:ascii="Arial" w:eastAsiaTheme="minorHAnsi" w:hAnsi="Arial" w:cs="Arial"/>
          <w:kern w:val="0"/>
          <w:lang w:val="en-US" w:eastAsia="en-US"/>
          <w14:ligatures w14:val="none"/>
        </w:rPr>
      </w:pPr>
    </w:p>
    <w:p w14:paraId="2C1F06E9" w14:textId="77777777" w:rsidR="00891F5D" w:rsidRPr="00891F5D" w:rsidRDefault="00891F5D" w:rsidP="001F5C7F">
      <w:pPr>
        <w:spacing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As an early warning system (EWS), the above red flags indicate the potential for Accounting Fraud. A useful but rather dated study by Sorenson and Sorenson (1980) confirms that red flags are a cost-effective EWS that may be used to detect and thwart Accounting Fraud.</w:t>
      </w:r>
    </w:p>
    <w:p w14:paraId="2C53475E" w14:textId="311835EE" w:rsidR="00216279" w:rsidRPr="00F73FD6" w:rsidRDefault="00891F5D" w:rsidP="00F73FD6">
      <w:pPr>
        <w:spacing w:before="100" w:beforeAutospacing="1" w:after="100" w:afterAutospacing="1" w:line="480" w:lineRule="auto"/>
        <w:jc w:val="both"/>
        <w:rPr>
          <w:rFonts w:ascii="Arial" w:eastAsiaTheme="minorHAnsi" w:hAnsi="Arial" w:cs="Arial"/>
          <w:kern w:val="0"/>
          <w:lang w:val="en-US" w:eastAsia="en-US"/>
          <w14:ligatures w14:val="none"/>
        </w:rPr>
      </w:pPr>
      <w:r w:rsidRPr="00891F5D">
        <w:rPr>
          <w:rFonts w:asciiTheme="minorBidi" w:eastAsia="Times New Roman" w:hAnsiTheme="minorBidi"/>
          <w:kern w:val="0"/>
          <w14:ligatures w14:val="none"/>
        </w:rPr>
        <w:lastRenderedPageBreak/>
        <w:t xml:space="preserve">It is evident that </w:t>
      </w:r>
      <w:r w:rsidRPr="00891F5D">
        <w:rPr>
          <w:rFonts w:ascii="Arial" w:eastAsia="Times New Roman" w:hAnsi="Arial" w:cs="Arial"/>
          <w:kern w:val="0"/>
          <w14:ligatures w14:val="none"/>
        </w:rPr>
        <w:t xml:space="preserve">robust corporate governance practices are linked to a lower incidence of Accounting Fraud (Beasley et al, 2000) and it can be </w:t>
      </w:r>
      <w:r w:rsidRPr="00891F5D">
        <w:rPr>
          <w:rFonts w:ascii="Arial" w:hAnsi="Arial" w:cs="Arial"/>
          <w:lang w:val="en-US"/>
        </w:rPr>
        <w:t>p</w:t>
      </w:r>
      <w:r w:rsidRPr="00891F5D">
        <w:rPr>
          <w:rFonts w:ascii="Arial" w:eastAsiaTheme="minorHAnsi" w:hAnsi="Arial" w:cs="Arial"/>
          <w:kern w:val="0"/>
          <w:lang w:val="en-US" w:eastAsia="en-US"/>
          <w14:ligatures w14:val="none"/>
        </w:rPr>
        <w:t>revent</w:t>
      </w:r>
      <w:r w:rsidRPr="00891F5D">
        <w:rPr>
          <w:rFonts w:ascii="Arial" w:hAnsi="Arial" w:cs="Arial"/>
          <w:lang w:val="en-US"/>
        </w:rPr>
        <w:t>ed</w:t>
      </w:r>
      <w:r w:rsidRPr="00891F5D">
        <w:rPr>
          <w:rFonts w:ascii="Arial" w:eastAsiaTheme="minorHAnsi" w:hAnsi="Arial" w:cs="Arial"/>
          <w:kern w:val="0"/>
          <w:lang w:val="en-US" w:eastAsia="en-US"/>
          <w14:ligatures w14:val="none"/>
        </w:rPr>
        <w:t xml:space="preserve">, </w:t>
      </w:r>
      <w:r w:rsidRPr="00891F5D">
        <w:rPr>
          <w:rFonts w:ascii="Arial" w:hAnsi="Arial" w:cs="Arial"/>
          <w:lang w:val="en-US"/>
        </w:rPr>
        <w:t>deterred</w:t>
      </w:r>
      <w:r w:rsidRPr="00891F5D">
        <w:rPr>
          <w:rFonts w:ascii="Arial" w:eastAsiaTheme="minorHAnsi" w:hAnsi="Arial" w:cs="Arial"/>
          <w:kern w:val="0"/>
          <w:lang w:val="en-US" w:eastAsia="en-US"/>
          <w14:ligatures w14:val="none"/>
        </w:rPr>
        <w:t xml:space="preserve">, and </w:t>
      </w:r>
      <w:r w:rsidRPr="00891F5D">
        <w:rPr>
          <w:rFonts w:ascii="Arial" w:hAnsi="Arial" w:cs="Arial"/>
          <w:lang w:val="en-US"/>
        </w:rPr>
        <w:t xml:space="preserve">detected. However, the phenomenon continues consequently, </w:t>
      </w:r>
      <w:r w:rsidRPr="00891F5D">
        <w:rPr>
          <w:rFonts w:ascii="Arial" w:eastAsiaTheme="minorHAnsi" w:hAnsi="Arial" w:cs="Arial"/>
          <w:kern w:val="0"/>
          <w:lang w:val="en-US" w:eastAsia="en-US"/>
          <w14:ligatures w14:val="none"/>
        </w:rPr>
        <w:t>the next section explores whether socio-economic or psychological pressures may be playing a part or Theme Four.</w:t>
      </w:r>
    </w:p>
    <w:bookmarkStart w:id="464" w:name="D42"/>
    <w:p w14:paraId="14591EE4" w14:textId="09F7EDFA" w:rsidR="00891F5D" w:rsidRPr="00891F5D" w:rsidRDefault="000F5F61" w:rsidP="00F73FD6">
      <w:pPr>
        <w:pBdr>
          <w:top w:val="single" w:sz="4" w:space="1" w:color="auto"/>
          <w:left w:val="single" w:sz="4" w:space="4" w:color="auto"/>
          <w:bottom w:val="single" w:sz="4" w:space="1" w:color="auto"/>
          <w:right w:val="single" w:sz="4" w:space="4" w:color="auto"/>
        </w:pBdr>
        <w:spacing w:line="240" w:lineRule="auto"/>
        <w:jc w:val="both"/>
        <w:rPr>
          <w:rFonts w:asciiTheme="minorBidi" w:hAnsiTheme="minorBidi"/>
          <w:b/>
          <w:bCs/>
          <w:lang w:val="en-US" w:eastAsia="en-US"/>
        </w:rPr>
      </w:pPr>
      <w:r>
        <w:rPr>
          <w:rFonts w:asciiTheme="minorBidi" w:hAnsiTheme="minorBidi"/>
          <w:b/>
          <w:bCs/>
          <w:lang w:val="en-US" w:eastAsia="en-US"/>
        </w:rPr>
        <w:fldChar w:fldCharType="begin"/>
      </w:r>
      <w:r>
        <w:rPr>
          <w:rFonts w:asciiTheme="minorBidi" w:hAnsiTheme="minorBidi"/>
          <w:b/>
          <w:bCs/>
          <w:lang w:val="en-US" w:eastAsia="en-US"/>
        </w:rPr>
        <w:instrText>HYPERLINK  \l "C42"</w:instrText>
      </w:r>
      <w:r>
        <w:rPr>
          <w:rFonts w:asciiTheme="minorBidi" w:hAnsiTheme="minorBidi"/>
          <w:b/>
          <w:bCs/>
          <w:lang w:val="en-US" w:eastAsia="en-US"/>
        </w:rPr>
      </w:r>
      <w:r>
        <w:rPr>
          <w:rFonts w:asciiTheme="minorBidi" w:hAnsiTheme="minorBidi"/>
          <w:b/>
          <w:bCs/>
          <w:lang w:val="en-US" w:eastAsia="en-US"/>
        </w:rPr>
        <w:fldChar w:fldCharType="separate"/>
      </w:r>
      <w:r w:rsidR="00891F5D" w:rsidRPr="000F5F61">
        <w:rPr>
          <w:rStyle w:val="Hyperlink"/>
          <w:rFonts w:asciiTheme="minorBidi" w:hAnsiTheme="minorBidi"/>
          <w:b/>
          <w:bCs/>
          <w:lang w:val="en-US" w:eastAsia="en-US"/>
        </w:rPr>
        <w:t xml:space="preserve">2.6 Theme Four: </w:t>
      </w:r>
      <w:r w:rsidR="00891F5D" w:rsidRPr="000F5F61">
        <w:rPr>
          <w:rStyle w:val="Hyperlink"/>
          <w:rFonts w:asciiTheme="minorBidi" w:eastAsiaTheme="minorHAnsi" w:hAnsiTheme="minorBidi"/>
          <w:b/>
          <w:bCs/>
          <w:kern w:val="0"/>
          <w:lang w:val="en-US" w:eastAsia="en-US"/>
          <w14:ligatures w14:val="none"/>
        </w:rPr>
        <w:t xml:space="preserve">Socio-Economic and Psychological </w:t>
      </w:r>
      <w:r w:rsidR="009404E4">
        <w:rPr>
          <w:rStyle w:val="Hyperlink"/>
          <w:rFonts w:asciiTheme="minorBidi" w:eastAsiaTheme="minorHAnsi" w:hAnsiTheme="minorBidi"/>
          <w:b/>
          <w:bCs/>
          <w:kern w:val="0"/>
          <w:lang w:val="en-US" w:eastAsia="en-US"/>
          <w14:ligatures w14:val="none"/>
        </w:rPr>
        <w:t>P</w:t>
      </w:r>
      <w:r w:rsidR="00891F5D" w:rsidRPr="000F5F61">
        <w:rPr>
          <w:rStyle w:val="Hyperlink"/>
          <w:rFonts w:asciiTheme="minorBidi" w:eastAsiaTheme="minorHAnsi" w:hAnsiTheme="minorBidi"/>
          <w:b/>
          <w:bCs/>
          <w:kern w:val="0"/>
          <w:lang w:val="en-US" w:eastAsia="en-US"/>
          <w14:ligatures w14:val="none"/>
        </w:rPr>
        <w:t xml:space="preserve">ressures </w:t>
      </w:r>
      <w:r w:rsidR="009404E4">
        <w:rPr>
          <w:rStyle w:val="Hyperlink"/>
          <w:rFonts w:asciiTheme="minorBidi" w:eastAsiaTheme="minorHAnsi" w:hAnsiTheme="minorBidi"/>
          <w:b/>
          <w:bCs/>
          <w:kern w:val="0"/>
          <w:lang w:val="en-US" w:eastAsia="en-US"/>
          <w14:ligatures w14:val="none"/>
        </w:rPr>
        <w:t>C</w:t>
      </w:r>
      <w:r w:rsidR="00891F5D" w:rsidRPr="000F5F61">
        <w:rPr>
          <w:rStyle w:val="Hyperlink"/>
          <w:rFonts w:asciiTheme="minorBidi" w:eastAsiaTheme="minorHAnsi" w:hAnsiTheme="minorBidi"/>
          <w:b/>
          <w:bCs/>
          <w:kern w:val="0"/>
          <w:lang w:val="en-US" w:eastAsia="en-US"/>
          <w14:ligatures w14:val="none"/>
        </w:rPr>
        <w:t>ausing Accounting Fraud.</w:t>
      </w:r>
      <w:r>
        <w:rPr>
          <w:rFonts w:asciiTheme="minorBidi" w:hAnsiTheme="minorBidi"/>
          <w:b/>
          <w:bCs/>
          <w:lang w:val="en-US" w:eastAsia="en-US"/>
        </w:rPr>
        <w:fldChar w:fldCharType="end"/>
      </w:r>
    </w:p>
    <w:bookmarkEnd w:id="464"/>
    <w:p w14:paraId="3A02D144" w14:textId="77777777" w:rsidR="00891F5D" w:rsidRPr="00891F5D" w:rsidRDefault="00891F5D" w:rsidP="00891F5D">
      <w:pPr>
        <w:spacing w:before="100" w:beforeAutospacing="1" w:after="100" w:afterAutospacing="1" w:line="480" w:lineRule="auto"/>
        <w:jc w:val="both"/>
        <w:rPr>
          <w:rFonts w:ascii="Arial" w:eastAsia="Times New Roman" w:hAnsi="Arial" w:cs="Arial"/>
          <w:kern w:val="0"/>
          <w14:ligatures w14:val="none"/>
        </w:rPr>
      </w:pPr>
      <w:r w:rsidRPr="00891F5D">
        <w:rPr>
          <w:rFonts w:ascii="Arial" w:eastAsia="Times New Roman" w:hAnsi="Arial" w:cs="Arial"/>
          <w:kern w:val="0"/>
          <w14:ligatures w14:val="none"/>
        </w:rPr>
        <w:t>As already noted, Accounting Fraud, involves the intentional manipulation of financial statements to produce a fictitious reality of an organisations financial health, which has serious consequences society and the economy at large. This section begins by exploring the socioeconomic and then psychological pressures that may contribute to Accounting Fraud</w:t>
      </w:r>
    </w:p>
    <w:p w14:paraId="1922FFA3" w14:textId="77777777" w:rsidR="00891F5D" w:rsidRPr="00891F5D" w:rsidRDefault="00891F5D" w:rsidP="00891F5D">
      <w:pPr>
        <w:spacing w:before="100" w:beforeAutospacing="1" w:after="100" w:afterAutospacing="1" w:line="480" w:lineRule="auto"/>
        <w:jc w:val="both"/>
        <w:outlineLvl w:val="3"/>
        <w:rPr>
          <w:rFonts w:ascii="Arial" w:eastAsia="Times New Roman" w:hAnsi="Arial" w:cs="Arial"/>
          <w:b/>
          <w:bCs/>
          <w:kern w:val="0"/>
          <w14:ligatures w14:val="none"/>
        </w:rPr>
      </w:pPr>
      <w:r w:rsidRPr="00891F5D">
        <w:rPr>
          <w:rFonts w:ascii="Arial" w:eastAsia="Times New Roman" w:hAnsi="Arial" w:cs="Arial"/>
          <w:b/>
          <w:bCs/>
          <w:kern w:val="0"/>
          <w14:ligatures w14:val="none"/>
        </w:rPr>
        <w:t>Socioeconomic Pressures:</w:t>
      </w:r>
    </w:p>
    <w:p w14:paraId="6EB5D333" w14:textId="77777777" w:rsidR="00891F5D" w:rsidRPr="00891F5D" w:rsidRDefault="00891F5D">
      <w:pPr>
        <w:numPr>
          <w:ilvl w:val="0"/>
          <w:numId w:val="13"/>
        </w:numPr>
        <w:spacing w:before="100" w:beforeAutospacing="1" w:after="100" w:afterAutospacing="1" w:line="480" w:lineRule="auto"/>
        <w:jc w:val="both"/>
        <w:rPr>
          <w:rFonts w:ascii="Arial" w:eastAsia="Times New Roman" w:hAnsi="Arial" w:cs="Arial"/>
          <w:kern w:val="0"/>
          <w14:ligatures w14:val="none"/>
        </w:rPr>
      </w:pPr>
      <w:r w:rsidRPr="00891F5D">
        <w:rPr>
          <w:rFonts w:ascii="Arial" w:eastAsia="Times New Roman" w:hAnsi="Arial" w:cs="Arial"/>
          <w:b/>
          <w:bCs/>
          <w:kern w:val="0"/>
          <w14:ligatures w14:val="none"/>
        </w:rPr>
        <w:t>Economic Depressions and Uncertainty</w:t>
      </w:r>
    </w:p>
    <w:p w14:paraId="3087BB76" w14:textId="39E41FC7" w:rsidR="003E44A1" w:rsidRPr="00891F5D" w:rsidRDefault="00891F5D" w:rsidP="003B2655">
      <w:pPr>
        <w:spacing w:before="100" w:beforeAutospacing="1" w:after="100" w:afterAutospacing="1" w:line="480" w:lineRule="auto"/>
        <w:ind w:left="720"/>
        <w:jc w:val="both"/>
        <w:rPr>
          <w:rFonts w:ascii="Arial" w:eastAsia="Times New Roman" w:hAnsi="Arial" w:cs="Arial"/>
          <w:kern w:val="0"/>
          <w14:ligatures w14:val="none"/>
        </w:rPr>
      </w:pPr>
      <w:r w:rsidRPr="00891F5D">
        <w:rPr>
          <w:rFonts w:ascii="Arial" w:eastAsia="Times New Roman" w:hAnsi="Arial" w:cs="Arial"/>
          <w:kern w:val="0"/>
          <w14:ligatures w14:val="none"/>
        </w:rPr>
        <w:t>Depressions often put pressure on companies to sustain financial stability and ensure stakeholder expectations. Consequently, companies may undertake Accounting Fraud to paint a stable financial position. According to Kassem and Higson (2016), severe economic problems can heighten the motivation to engage in Accounting Fraud as companies fight to meet KPIs and maintain liquidity.</w:t>
      </w:r>
    </w:p>
    <w:p w14:paraId="15037F4B" w14:textId="77777777" w:rsidR="00891F5D" w:rsidRPr="00891F5D" w:rsidRDefault="00891F5D">
      <w:pPr>
        <w:numPr>
          <w:ilvl w:val="0"/>
          <w:numId w:val="13"/>
        </w:numPr>
        <w:spacing w:before="100" w:beforeAutospacing="1" w:after="100" w:afterAutospacing="1" w:line="480" w:lineRule="auto"/>
        <w:jc w:val="both"/>
        <w:rPr>
          <w:rFonts w:ascii="Arial" w:eastAsia="Times New Roman" w:hAnsi="Arial" w:cs="Arial"/>
          <w:kern w:val="0"/>
          <w14:ligatures w14:val="none"/>
        </w:rPr>
      </w:pPr>
      <w:r w:rsidRPr="00891F5D">
        <w:rPr>
          <w:rFonts w:ascii="Arial" w:eastAsia="Times New Roman" w:hAnsi="Arial" w:cs="Arial"/>
          <w:b/>
          <w:bCs/>
          <w:kern w:val="0"/>
          <w14:ligatures w14:val="none"/>
        </w:rPr>
        <w:t>Competitive Market Place</w:t>
      </w:r>
    </w:p>
    <w:p w14:paraId="42370FE7" w14:textId="77777777" w:rsidR="00891F5D" w:rsidRPr="00891F5D" w:rsidRDefault="00891F5D" w:rsidP="00891F5D">
      <w:pPr>
        <w:spacing w:before="100" w:beforeAutospacing="1" w:after="100" w:afterAutospacing="1" w:line="480" w:lineRule="auto"/>
        <w:ind w:left="720"/>
        <w:jc w:val="both"/>
        <w:rPr>
          <w:rFonts w:ascii="Arial" w:eastAsia="Times New Roman" w:hAnsi="Arial" w:cs="Arial"/>
          <w:kern w:val="0"/>
          <w14:ligatures w14:val="none"/>
        </w:rPr>
      </w:pPr>
      <w:r w:rsidRPr="00891F5D">
        <w:rPr>
          <w:rFonts w:ascii="Arial" w:eastAsia="Times New Roman" w:hAnsi="Arial" w:cs="Arial"/>
          <w:kern w:val="0"/>
          <w14:ligatures w14:val="none"/>
        </w:rPr>
        <w:t xml:space="preserve">In tough or competitive markets, the pressure to beat rivals can be severe. Consequently, companies may engage in Accounting Fraud to look more </w:t>
      </w:r>
      <w:r w:rsidRPr="00891F5D">
        <w:rPr>
          <w:rFonts w:ascii="Arial" w:eastAsia="Times New Roman" w:hAnsi="Arial" w:cs="Arial"/>
          <w:kern w:val="0"/>
          <w14:ligatures w14:val="none"/>
        </w:rPr>
        <w:lastRenderedPageBreak/>
        <w:t xml:space="preserve">successful than they really are. Francis et al. (2013) established that companies trading in competitive industries are more likely to resort to Accounting Fraud as the stakes are high in maintaining a competitive market edge. </w:t>
      </w:r>
    </w:p>
    <w:p w14:paraId="5569D879" w14:textId="77777777" w:rsidR="00891F5D" w:rsidRPr="00891F5D" w:rsidRDefault="00891F5D">
      <w:pPr>
        <w:numPr>
          <w:ilvl w:val="0"/>
          <w:numId w:val="13"/>
        </w:numPr>
        <w:spacing w:before="100" w:beforeAutospacing="1" w:after="100" w:afterAutospacing="1" w:line="480" w:lineRule="auto"/>
        <w:jc w:val="both"/>
        <w:rPr>
          <w:rFonts w:ascii="Arial" w:eastAsia="Times New Roman" w:hAnsi="Arial" w:cs="Arial"/>
          <w:kern w:val="0"/>
          <w14:ligatures w14:val="none"/>
        </w:rPr>
      </w:pPr>
      <w:r w:rsidRPr="00891F5D">
        <w:rPr>
          <w:rFonts w:ascii="Arial" w:eastAsia="Times New Roman" w:hAnsi="Arial" w:cs="Arial"/>
          <w:b/>
          <w:bCs/>
          <w:kern w:val="0"/>
          <w14:ligatures w14:val="none"/>
        </w:rPr>
        <w:t>Performance-Based Pay</w:t>
      </w:r>
    </w:p>
    <w:p w14:paraId="58A285B4" w14:textId="77777777" w:rsidR="00891F5D" w:rsidRPr="00891F5D" w:rsidRDefault="00891F5D" w:rsidP="00891F5D">
      <w:pPr>
        <w:spacing w:before="100" w:beforeAutospacing="1" w:after="100" w:afterAutospacing="1" w:line="480" w:lineRule="auto"/>
        <w:ind w:left="720"/>
        <w:jc w:val="both"/>
        <w:rPr>
          <w:rFonts w:ascii="Arial" w:eastAsia="Times New Roman" w:hAnsi="Arial" w:cs="Arial"/>
          <w:kern w:val="0"/>
          <w14:ligatures w14:val="none"/>
        </w:rPr>
      </w:pPr>
      <w:r w:rsidRPr="00891F5D">
        <w:rPr>
          <w:rFonts w:ascii="Arial" w:eastAsia="Times New Roman" w:hAnsi="Arial" w:cs="Arial"/>
          <w:kern w:val="0"/>
          <w14:ligatures w14:val="none"/>
        </w:rPr>
        <w:t>Performance-based pay schemes, that are linked to financial performance KPIs, can create strong motivations to commit Accounting Fraud. It has been note that when senior managements pay is skewed towards achieving specific KPIs, the risk of Accounting Fraud increases. Burns and Kedia (2006) suggest that that stock-based incentives can lead to Accounting Fraud as top management attempt to manipulate stock prices for purely personal gain.</w:t>
      </w:r>
    </w:p>
    <w:p w14:paraId="6DF02BDF" w14:textId="77777777" w:rsidR="00891F5D" w:rsidRPr="00891F5D" w:rsidRDefault="00891F5D">
      <w:pPr>
        <w:numPr>
          <w:ilvl w:val="0"/>
          <w:numId w:val="13"/>
        </w:numPr>
        <w:spacing w:before="100" w:beforeAutospacing="1" w:after="100" w:afterAutospacing="1" w:line="480" w:lineRule="auto"/>
        <w:jc w:val="both"/>
        <w:rPr>
          <w:rFonts w:ascii="Arial" w:eastAsia="Times New Roman" w:hAnsi="Arial" w:cs="Arial"/>
          <w:kern w:val="0"/>
          <w14:ligatures w14:val="none"/>
        </w:rPr>
      </w:pPr>
      <w:r w:rsidRPr="00891F5D">
        <w:rPr>
          <w:rFonts w:ascii="Arial" w:eastAsia="Times New Roman" w:hAnsi="Arial" w:cs="Arial"/>
          <w:b/>
          <w:bCs/>
          <w:kern w:val="0"/>
          <w14:ligatures w14:val="none"/>
        </w:rPr>
        <w:t>Regulatory and Compliance Challenges</w:t>
      </w:r>
    </w:p>
    <w:p w14:paraId="75E62373" w14:textId="7FA3D9D9" w:rsidR="003E44A1" w:rsidRPr="003B2655" w:rsidRDefault="00891F5D" w:rsidP="003B2655">
      <w:pPr>
        <w:spacing w:before="100" w:beforeAutospacing="1" w:after="100" w:afterAutospacing="1" w:line="480" w:lineRule="auto"/>
        <w:ind w:left="720"/>
        <w:jc w:val="both"/>
        <w:rPr>
          <w:rFonts w:ascii="Arial" w:eastAsia="Times New Roman" w:hAnsi="Arial" w:cs="Arial"/>
          <w:kern w:val="0"/>
          <w14:ligatures w14:val="none"/>
        </w:rPr>
      </w:pPr>
      <w:r w:rsidRPr="00891F5D">
        <w:rPr>
          <w:rFonts w:ascii="Arial" w:eastAsia="Times New Roman" w:hAnsi="Arial" w:cs="Arial"/>
          <w:kern w:val="0"/>
          <w14:ligatures w14:val="none"/>
        </w:rPr>
        <w:t>Companies trading in highly regulated industries may face stringent compliance costs and pressures. Hence, some companies may commit Accounting Fraud to ensure regulatory protocols and so avoid potentially heavy penalties. Lennox et al (2013) argue that the unintended consequences of highly regulated environments may raise increase the probability of Accounting Fraud as companies attempt to evade complicated regulations.</w:t>
      </w:r>
    </w:p>
    <w:p w14:paraId="1133BF0D" w14:textId="3842CE03" w:rsidR="00891F5D" w:rsidRPr="00891F5D" w:rsidRDefault="00891F5D" w:rsidP="00891F5D">
      <w:pPr>
        <w:spacing w:before="100" w:beforeAutospacing="1" w:after="100" w:afterAutospacing="1" w:line="480" w:lineRule="auto"/>
        <w:jc w:val="both"/>
        <w:outlineLvl w:val="3"/>
        <w:rPr>
          <w:rFonts w:ascii="Arial" w:eastAsia="Times New Roman" w:hAnsi="Arial" w:cs="Arial"/>
          <w:b/>
          <w:bCs/>
          <w:kern w:val="0"/>
          <w14:ligatures w14:val="none"/>
        </w:rPr>
      </w:pPr>
      <w:r w:rsidRPr="00891F5D">
        <w:rPr>
          <w:rFonts w:ascii="Arial" w:eastAsia="Times New Roman" w:hAnsi="Arial" w:cs="Arial"/>
          <w:b/>
          <w:bCs/>
          <w:kern w:val="0"/>
          <w14:ligatures w14:val="none"/>
        </w:rPr>
        <w:t>Psychological Pressures</w:t>
      </w:r>
    </w:p>
    <w:p w14:paraId="0934FD70" w14:textId="77777777" w:rsidR="00891F5D" w:rsidRPr="00891F5D" w:rsidRDefault="00891F5D">
      <w:pPr>
        <w:numPr>
          <w:ilvl w:val="0"/>
          <w:numId w:val="14"/>
        </w:numPr>
        <w:spacing w:before="100" w:beforeAutospacing="1" w:after="100" w:afterAutospacing="1" w:line="480" w:lineRule="auto"/>
        <w:jc w:val="both"/>
        <w:rPr>
          <w:rFonts w:ascii="Arial" w:eastAsia="Times New Roman" w:hAnsi="Arial" w:cs="Arial"/>
          <w:kern w:val="0"/>
          <w14:ligatures w14:val="none"/>
        </w:rPr>
      </w:pPr>
      <w:r w:rsidRPr="00891F5D">
        <w:rPr>
          <w:rFonts w:ascii="Arial" w:eastAsia="Times New Roman" w:hAnsi="Arial" w:cs="Arial"/>
          <w:b/>
          <w:bCs/>
          <w:kern w:val="0"/>
          <w14:ligatures w14:val="none"/>
        </w:rPr>
        <w:t>Cognitive Dissonance</w:t>
      </w:r>
    </w:p>
    <w:p w14:paraId="50EB6F81" w14:textId="77777777" w:rsidR="00891F5D" w:rsidRPr="00891F5D" w:rsidRDefault="00891F5D" w:rsidP="00891F5D">
      <w:pPr>
        <w:spacing w:before="100" w:beforeAutospacing="1" w:after="100" w:afterAutospacing="1" w:line="480" w:lineRule="auto"/>
        <w:ind w:left="720"/>
        <w:jc w:val="both"/>
        <w:rPr>
          <w:rFonts w:ascii="Arial" w:eastAsia="Times New Roman" w:hAnsi="Arial" w:cs="Arial"/>
          <w:kern w:val="0"/>
          <w14:ligatures w14:val="none"/>
        </w:rPr>
      </w:pPr>
      <w:r w:rsidRPr="00891F5D">
        <w:rPr>
          <w:rFonts w:ascii="Arial" w:eastAsia="Times New Roman" w:hAnsi="Arial" w:cs="Arial"/>
          <w:kern w:val="0"/>
          <w14:ligatures w14:val="none"/>
        </w:rPr>
        <w:t xml:space="preserve">The seminal work of Festinger (1957) on theory of cognitive dissonance explains how individuals may alter their beliefs to better align with their actions, which may lead to unethical behaviour or Accounting Fraud. It is possible when </w:t>
      </w:r>
      <w:r w:rsidRPr="00891F5D">
        <w:rPr>
          <w:rFonts w:ascii="Arial" w:eastAsia="Times New Roman" w:hAnsi="Arial" w:cs="Arial"/>
          <w:kern w:val="0"/>
          <w14:ligatures w14:val="none"/>
        </w:rPr>
        <w:lastRenderedPageBreak/>
        <w:t>managers face the predicament of reporting challenging financial performance, may be tempted to rationalise Accounting Fraud as a short-term measure to conserve the company's interests.</w:t>
      </w:r>
    </w:p>
    <w:p w14:paraId="73217C14" w14:textId="77777777" w:rsidR="00891F5D" w:rsidRPr="00891F5D" w:rsidRDefault="00891F5D">
      <w:pPr>
        <w:numPr>
          <w:ilvl w:val="0"/>
          <w:numId w:val="14"/>
        </w:numPr>
        <w:spacing w:before="100" w:beforeAutospacing="1" w:after="100" w:afterAutospacing="1" w:line="480" w:lineRule="auto"/>
        <w:jc w:val="both"/>
        <w:rPr>
          <w:rFonts w:ascii="Arial" w:eastAsia="Times New Roman" w:hAnsi="Arial" w:cs="Arial"/>
          <w:kern w:val="0"/>
          <w14:ligatures w14:val="none"/>
        </w:rPr>
      </w:pPr>
      <w:r w:rsidRPr="00891F5D">
        <w:rPr>
          <w:rFonts w:ascii="Arial" w:eastAsia="Times New Roman" w:hAnsi="Arial" w:cs="Arial"/>
          <w:b/>
          <w:bCs/>
          <w:kern w:val="0"/>
          <w14:ligatures w14:val="none"/>
        </w:rPr>
        <w:t>Ethical Relativism</w:t>
      </w:r>
    </w:p>
    <w:p w14:paraId="5D88C9CF" w14:textId="4BE961C0" w:rsidR="003E44A1" w:rsidRPr="00891F5D" w:rsidRDefault="00891F5D" w:rsidP="003B2655">
      <w:pPr>
        <w:spacing w:before="100" w:beforeAutospacing="1" w:after="100" w:afterAutospacing="1" w:line="480" w:lineRule="auto"/>
        <w:ind w:left="720"/>
        <w:jc w:val="both"/>
        <w:rPr>
          <w:rFonts w:ascii="Arial" w:eastAsia="Times New Roman" w:hAnsi="Arial" w:cs="Arial"/>
          <w:kern w:val="0"/>
          <w14:ligatures w14:val="none"/>
        </w:rPr>
      </w:pPr>
      <w:r w:rsidRPr="00891F5D">
        <w:rPr>
          <w:rFonts w:ascii="Arial" w:eastAsia="Times New Roman" w:hAnsi="Arial" w:cs="Arial"/>
          <w:kern w:val="0"/>
          <w14:ligatures w14:val="none"/>
        </w:rPr>
        <w:t>According to Wong (2020) ethical relativism, is the belief that ethical principles are not supreme but fluctuate across cultures and situations, which can lead to Accounting Fraud. Thus, managers working in a culture that tolerates ethical relativism may justify Accounting Fraud in the context of achieving or maintaining business goals. Jones (1991), states that ethical decision-making in business is underpinned by the cultural values of the organisation, thus, a business culture tolerant of unethical practices will be prone to Accounting Fraud. Treviño et al (2006) highlights the significance of ethical leadership in facilitating organisational behaviour and preventing Accounting Fraud. Thus, the tone at the top, plays a critical role in influencing employee behaviour and encouraging or discouraging Accounting Fraud</w:t>
      </w:r>
      <w:r w:rsidR="003E44A1">
        <w:rPr>
          <w:rFonts w:ascii="Arial" w:eastAsia="Times New Roman" w:hAnsi="Arial" w:cs="Arial"/>
          <w:kern w:val="0"/>
          <w14:ligatures w14:val="none"/>
        </w:rPr>
        <w:t>.</w:t>
      </w:r>
    </w:p>
    <w:p w14:paraId="72904179" w14:textId="77777777" w:rsidR="00891F5D" w:rsidRPr="00891F5D" w:rsidRDefault="00891F5D">
      <w:pPr>
        <w:numPr>
          <w:ilvl w:val="0"/>
          <w:numId w:val="14"/>
        </w:numPr>
        <w:spacing w:before="100" w:beforeAutospacing="1" w:after="100" w:afterAutospacing="1" w:line="480" w:lineRule="auto"/>
        <w:jc w:val="both"/>
        <w:rPr>
          <w:rFonts w:ascii="Arial" w:eastAsia="Times New Roman" w:hAnsi="Arial" w:cs="Arial"/>
          <w:kern w:val="0"/>
          <w14:ligatures w14:val="none"/>
        </w:rPr>
      </w:pPr>
      <w:r w:rsidRPr="00891F5D">
        <w:rPr>
          <w:rFonts w:ascii="Arial" w:eastAsia="Times New Roman" w:hAnsi="Arial" w:cs="Arial"/>
          <w:b/>
          <w:bCs/>
          <w:kern w:val="0"/>
          <w14:ligatures w14:val="none"/>
        </w:rPr>
        <w:t>Anxiety of Failure</w:t>
      </w:r>
    </w:p>
    <w:p w14:paraId="0DBFEE6E" w14:textId="63B2E430" w:rsidR="002B3F52" w:rsidRDefault="00891F5D" w:rsidP="003E44A1">
      <w:pPr>
        <w:spacing w:before="100" w:beforeAutospacing="1" w:after="100" w:afterAutospacing="1" w:line="480" w:lineRule="auto"/>
        <w:ind w:left="720"/>
        <w:contextualSpacing/>
        <w:jc w:val="both"/>
        <w:rPr>
          <w:rFonts w:ascii="Arial" w:eastAsia="Times New Roman" w:hAnsi="Arial" w:cs="Arial"/>
          <w:kern w:val="0"/>
          <w14:ligatures w14:val="none"/>
        </w:rPr>
      </w:pPr>
      <w:r w:rsidRPr="00891F5D">
        <w:rPr>
          <w:rFonts w:ascii="Arial" w:eastAsia="Times New Roman" w:hAnsi="Arial" w:cs="Arial"/>
          <w:kern w:val="0"/>
          <w14:ligatures w14:val="none"/>
        </w:rPr>
        <w:t xml:space="preserve">Sweeney (1995), states that threat of dismissal or status can be a powerful motivator for unethical behaviour, including Accounting Fraud. </w:t>
      </w:r>
    </w:p>
    <w:p w14:paraId="61A7CE81" w14:textId="77777777" w:rsidR="003E44A1" w:rsidRDefault="003E44A1" w:rsidP="003E44A1">
      <w:pPr>
        <w:spacing w:before="100" w:beforeAutospacing="1" w:after="100" w:afterAutospacing="1" w:line="480" w:lineRule="auto"/>
        <w:ind w:left="720"/>
        <w:contextualSpacing/>
        <w:jc w:val="both"/>
        <w:rPr>
          <w:rFonts w:ascii="Arial" w:eastAsia="Times New Roman" w:hAnsi="Arial" w:cs="Arial"/>
          <w:kern w:val="0"/>
          <w14:ligatures w14:val="none"/>
        </w:rPr>
      </w:pPr>
    </w:p>
    <w:p w14:paraId="0785F005" w14:textId="278AAA9C"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Researchers agree that personality type is a significant factor that plays a major role in the fraudster profile. For example, a passive person is less likely to engage in fraud than an active person. Anderson and Tirrell’s (2004) study suggest that executives are motivated to engage in Accounting Fraud for the following reasons: excessive may be </w:t>
      </w:r>
      <w:r w:rsidRPr="00891F5D">
        <w:rPr>
          <w:rFonts w:ascii="Arial" w:eastAsiaTheme="minorHAnsi" w:hAnsi="Arial" w:cs="Arial"/>
          <w:kern w:val="0"/>
          <w:lang w:val="en-US" w:eastAsia="en-US"/>
          <w14:ligatures w14:val="none"/>
        </w:rPr>
        <w:lastRenderedPageBreak/>
        <w:t>extreme association with the business, a huge ego, familial pressures, company expansion strategies, and concern for company existence. Zahra et al. (2005) took a multidisciplinary approach to their study utilizing the lens of criminology, economics, psychology and sociology, economics, and criminology to establish the likelihood of Accounting Fraud. They found ‘socio-level’ factors such as ‘differential association and strain’, ‘industry-level factors’ such as culture and values, and ‘firm-level factors’ such as board structure that had an impact on the likelihood of Accounting Fraud.</w:t>
      </w:r>
    </w:p>
    <w:p w14:paraId="5A060C66" w14:textId="6A586D29" w:rsidR="00216279" w:rsidRDefault="00891F5D" w:rsidP="00F73FD6">
      <w:pPr>
        <w:spacing w:before="100" w:beforeAutospacing="1" w:after="100" w:afterAutospacing="1" w:line="480" w:lineRule="auto"/>
        <w:contextualSpacing/>
        <w:jc w:val="both"/>
        <w:rPr>
          <w:rFonts w:ascii="Arial" w:eastAsiaTheme="minorHAnsi" w:hAnsi="Arial" w:cs="Arial"/>
          <w:kern w:val="0"/>
          <w:lang w:val="en-US" w:eastAsia="en-US"/>
          <w14:ligatures w14:val="none"/>
        </w:rPr>
      </w:pPr>
      <w:r w:rsidRPr="00891F5D">
        <w:rPr>
          <w:rFonts w:ascii="Arial" w:eastAsia="TimesNewRomanPSMT" w:hAnsi="Arial" w:cs="Arial"/>
          <w:kern w:val="0"/>
          <w:lang w:val="en-US" w:eastAsia="en-US"/>
          <w14:ligatures w14:val="none"/>
        </w:rPr>
        <w:t xml:space="preserve">Undoubtedly, as noted by </w:t>
      </w:r>
      <w:r w:rsidR="00D56F16" w:rsidRPr="00891F5D">
        <w:rPr>
          <w:rFonts w:ascii="Arial" w:eastAsia="TimesNewRomanPSMT" w:hAnsi="Arial" w:cs="Arial"/>
          <w:kern w:val="0"/>
          <w:lang w:val="en-US" w:eastAsia="en-US"/>
          <w14:ligatures w14:val="none"/>
        </w:rPr>
        <w:t>Albrecht</w:t>
      </w:r>
      <w:r w:rsidRPr="00891F5D">
        <w:rPr>
          <w:rFonts w:ascii="Arial" w:eastAsia="TimesNewRomanPSMT" w:hAnsi="Arial" w:cs="Arial"/>
          <w:kern w:val="0"/>
          <w:lang w:val="en-US" w:eastAsia="en-US"/>
          <w14:ligatures w14:val="none"/>
        </w:rPr>
        <w:t xml:space="preserve"> et al (2008) greed is an important motive for undertaking accounting</w:t>
      </w:r>
      <w:r w:rsidRPr="00891F5D">
        <w:rPr>
          <w:rFonts w:ascii="Arial" w:eastAsiaTheme="minorHAnsi" w:hAnsi="Arial" w:cs="Arial"/>
          <w:kern w:val="0"/>
          <w:lang w:val="en-US" w:eastAsia="en-US"/>
          <w14:ligatures w14:val="none"/>
        </w:rPr>
        <w:t xml:space="preserve"> fraud. Ball (2009) argued that executives whose identity is constructed around the company are prone to commit Accounting Fraud on account of poor results as a ‘protective mechanism’. Rezaee and Riley (2010) suggest that notions of ‘self-esteem’ can also encourage senior management to engage in accounting fraud.</w:t>
      </w:r>
    </w:p>
    <w:p w14:paraId="1355507C" w14:textId="77777777" w:rsidR="00F73FD6" w:rsidRPr="00891F5D" w:rsidRDefault="00F73FD6" w:rsidP="00F73FD6">
      <w:pPr>
        <w:spacing w:before="100" w:beforeAutospacing="1" w:after="100" w:afterAutospacing="1" w:line="480" w:lineRule="auto"/>
        <w:contextualSpacing/>
        <w:jc w:val="both"/>
        <w:rPr>
          <w:rFonts w:ascii="Arial" w:eastAsiaTheme="minorHAnsi" w:hAnsi="Arial" w:cs="Arial"/>
          <w:kern w:val="0"/>
          <w:lang w:val="en-US" w:eastAsia="en-US"/>
          <w14:ligatures w14:val="none"/>
        </w:rPr>
      </w:pPr>
    </w:p>
    <w:p w14:paraId="0BCB99FA" w14:textId="7DAA2033" w:rsidR="00216279" w:rsidRDefault="00891F5D" w:rsidP="003E44A1">
      <w:pPr>
        <w:spacing w:before="100" w:beforeAutospacing="1" w:after="100" w:afterAutospacing="1"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The following are several examples of recent accounting scandals that have been examined through the lens of psychological pressure:</w:t>
      </w:r>
    </w:p>
    <w:p w14:paraId="25E0429C" w14:textId="77777777" w:rsidR="003B2655" w:rsidRPr="00891F5D" w:rsidRDefault="003B2655" w:rsidP="003E44A1">
      <w:pPr>
        <w:spacing w:before="100" w:beforeAutospacing="1" w:after="100" w:afterAutospacing="1" w:line="480" w:lineRule="auto"/>
        <w:contextualSpacing/>
        <w:jc w:val="both"/>
        <w:rPr>
          <w:rFonts w:ascii="Arial" w:eastAsiaTheme="minorHAnsi" w:hAnsi="Arial" w:cs="Arial"/>
          <w:kern w:val="0"/>
          <w:lang w:val="en-US" w:eastAsia="en-US"/>
          <w14:ligatures w14:val="none"/>
        </w:rPr>
      </w:pPr>
    </w:p>
    <w:p w14:paraId="221D9741" w14:textId="77777777" w:rsidR="00891F5D" w:rsidRPr="00891F5D" w:rsidRDefault="00891F5D" w:rsidP="00891F5D">
      <w:pPr>
        <w:spacing w:before="100" w:beforeAutospacing="1" w:after="100" w:afterAutospacing="1" w:line="480" w:lineRule="auto"/>
        <w:jc w:val="both"/>
        <w:outlineLvl w:val="2"/>
        <w:rPr>
          <w:rFonts w:asciiTheme="minorBidi" w:eastAsia="Times New Roman" w:hAnsiTheme="minorBidi"/>
          <w:b/>
          <w:bCs/>
          <w:kern w:val="0"/>
          <w14:ligatures w14:val="none"/>
        </w:rPr>
      </w:pPr>
      <w:r w:rsidRPr="00891F5D">
        <w:rPr>
          <w:rFonts w:asciiTheme="minorBidi" w:eastAsia="Times New Roman" w:hAnsiTheme="minorBidi"/>
          <w:b/>
          <w:bCs/>
          <w:kern w:val="0"/>
          <w14:ligatures w14:val="none"/>
        </w:rPr>
        <w:t>1. Wells Fargo Scandal</w:t>
      </w:r>
    </w:p>
    <w:p w14:paraId="644052AE" w14:textId="77777777" w:rsidR="00891F5D" w:rsidRPr="00891F5D" w:rsidRDefault="00891F5D" w:rsidP="00891F5D">
      <w:pPr>
        <w:spacing w:before="100" w:beforeAutospacing="1" w:after="100" w:afterAutospacing="1" w:line="480" w:lineRule="auto"/>
        <w:jc w:val="both"/>
        <w:rPr>
          <w:rFonts w:asciiTheme="minorBidi" w:eastAsia="Times New Roman" w:hAnsiTheme="minorBidi"/>
          <w:kern w:val="0"/>
          <w14:ligatures w14:val="none"/>
        </w:rPr>
      </w:pPr>
      <w:r w:rsidRPr="00891F5D">
        <w:rPr>
          <w:rFonts w:asciiTheme="minorBidi" w:eastAsia="Times New Roman" w:hAnsiTheme="minorBidi"/>
          <w:kern w:val="0"/>
          <w14:ligatures w14:val="none"/>
        </w:rPr>
        <w:t xml:space="preserve">In 2016, Wells Fargo noted American bank was involved in an epic scandal where employees produced millions of unsanctioned bank and credit card accounts. According to Blinder (2016) this was caused by an intense pressure to achieve sales targets and the anxiety of job loss forced employees to engage in fraudulent activities. It is clear that psychological stress of extreme performance expectations and an </w:t>
      </w:r>
      <w:r w:rsidRPr="00891F5D">
        <w:rPr>
          <w:rFonts w:asciiTheme="minorBidi" w:eastAsia="Times New Roman" w:hAnsiTheme="minorBidi"/>
          <w:kern w:val="0"/>
          <w14:ligatures w14:val="none"/>
        </w:rPr>
        <w:lastRenderedPageBreak/>
        <w:t>uncompromising sales culture promoted an environment where unethical behaviour was tolerated (Milligan, 2017).</w:t>
      </w:r>
    </w:p>
    <w:p w14:paraId="12B0D4A6" w14:textId="77777777" w:rsidR="00891F5D" w:rsidRPr="00891F5D" w:rsidRDefault="00891F5D" w:rsidP="00891F5D">
      <w:pPr>
        <w:spacing w:before="100" w:beforeAutospacing="1" w:after="100" w:afterAutospacing="1" w:line="480" w:lineRule="auto"/>
        <w:jc w:val="both"/>
        <w:outlineLvl w:val="2"/>
        <w:rPr>
          <w:rFonts w:asciiTheme="minorBidi" w:eastAsia="Times New Roman" w:hAnsiTheme="minorBidi"/>
          <w:b/>
          <w:bCs/>
          <w:kern w:val="0"/>
          <w14:ligatures w14:val="none"/>
        </w:rPr>
      </w:pPr>
      <w:r w:rsidRPr="00891F5D">
        <w:rPr>
          <w:rFonts w:asciiTheme="minorBidi" w:eastAsia="Times New Roman" w:hAnsiTheme="minorBidi"/>
          <w:b/>
          <w:bCs/>
          <w:kern w:val="0"/>
          <w14:ligatures w14:val="none"/>
        </w:rPr>
        <w:t>2. Toshiba Accounting Scandal</w:t>
      </w:r>
    </w:p>
    <w:p w14:paraId="0A4D6E89" w14:textId="172A9794" w:rsidR="00F73FD6" w:rsidRPr="00891F5D" w:rsidRDefault="00891F5D" w:rsidP="002B3F52">
      <w:pPr>
        <w:spacing w:before="100" w:beforeAutospacing="1" w:after="100" w:afterAutospacing="1" w:line="480" w:lineRule="auto"/>
        <w:jc w:val="both"/>
        <w:rPr>
          <w:rFonts w:asciiTheme="minorBidi" w:eastAsia="Times New Roman" w:hAnsiTheme="minorBidi"/>
          <w:kern w:val="0"/>
          <w14:ligatures w14:val="none"/>
        </w:rPr>
      </w:pPr>
      <w:r w:rsidRPr="00891F5D">
        <w:rPr>
          <w:rFonts w:asciiTheme="minorBidi" w:eastAsia="Times New Roman" w:hAnsiTheme="minorBidi"/>
          <w:kern w:val="0"/>
          <w14:ligatures w14:val="none"/>
        </w:rPr>
        <w:t xml:space="preserve">As noted in previous sections the Toshiba Corporation fraudulently inflated its profits by $1.2 billion over several years. The scandal was supported by an intense corporate culture that favoured achieving short-term goals. Senior management suffered extreme psychological tension to manipulate financial data that ensured the company's preeminent market position (Ball, 2016, Schoenberg, 2016). </w:t>
      </w:r>
    </w:p>
    <w:p w14:paraId="741141E4" w14:textId="77777777" w:rsidR="00891F5D" w:rsidRPr="00891F5D" w:rsidRDefault="00891F5D" w:rsidP="00891F5D">
      <w:pPr>
        <w:spacing w:before="100" w:beforeAutospacing="1" w:after="100" w:afterAutospacing="1" w:line="480" w:lineRule="auto"/>
        <w:jc w:val="both"/>
        <w:outlineLvl w:val="2"/>
        <w:rPr>
          <w:rFonts w:asciiTheme="minorBidi" w:eastAsia="Times New Roman" w:hAnsiTheme="minorBidi"/>
          <w:b/>
          <w:bCs/>
          <w:kern w:val="0"/>
          <w14:ligatures w14:val="none"/>
        </w:rPr>
      </w:pPr>
      <w:r w:rsidRPr="00891F5D">
        <w:rPr>
          <w:rFonts w:asciiTheme="minorBidi" w:eastAsia="Times New Roman" w:hAnsiTheme="minorBidi"/>
          <w:b/>
          <w:bCs/>
          <w:kern w:val="0"/>
          <w14:ligatures w14:val="none"/>
        </w:rPr>
        <w:t>3. Luckin Coffee Scandal</w:t>
      </w:r>
    </w:p>
    <w:p w14:paraId="2E950A50" w14:textId="276824A1" w:rsidR="003E44A1" w:rsidRPr="00891F5D" w:rsidRDefault="00891F5D" w:rsidP="003B2655">
      <w:pPr>
        <w:spacing w:before="100" w:beforeAutospacing="1" w:after="100" w:afterAutospacing="1" w:line="480" w:lineRule="auto"/>
        <w:jc w:val="both"/>
        <w:rPr>
          <w:rFonts w:asciiTheme="minorBidi" w:eastAsia="Times New Roman" w:hAnsiTheme="minorBidi"/>
          <w:kern w:val="0"/>
          <w14:ligatures w14:val="none"/>
        </w:rPr>
      </w:pPr>
      <w:r w:rsidRPr="00891F5D">
        <w:rPr>
          <w:rFonts w:asciiTheme="minorBidi" w:eastAsia="Times New Roman" w:hAnsiTheme="minorBidi"/>
          <w:kern w:val="0"/>
          <w14:ligatures w14:val="none"/>
        </w:rPr>
        <w:t xml:space="preserve">In 2020, Luckin Coffee was incriminated in an Accounting Fraud scandal where the company fraudulently magnified its revenue by $310 million (Davidoff, 2020). The pressure to hastily expand and compete with established companies such as Starbucks resulted in Accounting Fraud. It is maintained that the psychological stress on top management to prove fast growth and success in the overcrowded coffee market played a </w:t>
      </w:r>
      <w:r w:rsidR="00D56F16" w:rsidRPr="00891F5D">
        <w:rPr>
          <w:rFonts w:asciiTheme="minorBidi" w:eastAsia="Times New Roman" w:hAnsiTheme="minorBidi"/>
          <w:kern w:val="0"/>
          <w14:ligatures w14:val="none"/>
        </w:rPr>
        <w:t>major role</w:t>
      </w:r>
      <w:r w:rsidRPr="00891F5D">
        <w:rPr>
          <w:rFonts w:asciiTheme="minorBidi" w:eastAsia="Times New Roman" w:hAnsiTheme="minorBidi"/>
          <w:kern w:val="0"/>
          <w14:ligatures w14:val="none"/>
        </w:rPr>
        <w:t xml:space="preserve"> in the Accounting Fraud (Su &amp; Qian, 2021).</w:t>
      </w:r>
    </w:p>
    <w:p w14:paraId="568C4A23" w14:textId="77777777" w:rsidR="00891F5D" w:rsidRPr="00891F5D" w:rsidRDefault="00891F5D" w:rsidP="00891F5D">
      <w:pPr>
        <w:spacing w:before="100" w:beforeAutospacing="1" w:after="100" w:afterAutospacing="1" w:line="480" w:lineRule="auto"/>
        <w:jc w:val="both"/>
        <w:outlineLvl w:val="2"/>
        <w:rPr>
          <w:rFonts w:asciiTheme="minorBidi" w:eastAsia="Times New Roman" w:hAnsiTheme="minorBidi"/>
          <w:b/>
          <w:bCs/>
          <w:kern w:val="0"/>
          <w14:ligatures w14:val="none"/>
        </w:rPr>
      </w:pPr>
      <w:r w:rsidRPr="00891F5D">
        <w:rPr>
          <w:rFonts w:asciiTheme="minorBidi" w:eastAsia="Times New Roman" w:hAnsiTheme="minorBidi"/>
          <w:b/>
          <w:bCs/>
          <w:kern w:val="0"/>
          <w14:ligatures w14:val="none"/>
        </w:rPr>
        <w:t>4. Wirecard Scandal</w:t>
      </w:r>
    </w:p>
    <w:p w14:paraId="5F0513F4" w14:textId="51758C3E" w:rsidR="00891F5D" w:rsidRPr="00891F5D" w:rsidRDefault="003E44A1" w:rsidP="00891F5D">
      <w:pPr>
        <w:spacing w:before="100" w:beforeAutospacing="1" w:after="100" w:afterAutospacing="1" w:line="480" w:lineRule="auto"/>
        <w:jc w:val="both"/>
        <w:rPr>
          <w:rFonts w:asciiTheme="minorBidi" w:eastAsia="Times New Roman" w:hAnsiTheme="minorBidi"/>
          <w:kern w:val="0"/>
          <w14:ligatures w14:val="none"/>
        </w:rPr>
      </w:pPr>
      <w:r w:rsidRPr="00891F5D">
        <w:rPr>
          <w:rFonts w:asciiTheme="minorBidi" w:eastAsia="Times New Roman" w:hAnsiTheme="minorBidi"/>
          <w:kern w:val="0"/>
          <w14:ligatures w14:val="none"/>
        </w:rPr>
        <w:t>Again,</w:t>
      </w:r>
      <w:r w:rsidR="00891F5D" w:rsidRPr="00891F5D">
        <w:rPr>
          <w:rFonts w:asciiTheme="minorBidi" w:eastAsia="Times New Roman" w:hAnsiTheme="minorBidi"/>
          <w:kern w:val="0"/>
          <w14:ligatures w14:val="none"/>
        </w:rPr>
        <w:t xml:space="preserve"> as discussed earlier Wirecard, was implicated in a major Accounting Fraud where an eye watering €1.9 million went missing from its accounts. It is argued that the fraud was underpinned by company executives who were under intense psychological pressure to ensure continuous and successful growth trajectory, in a bid to satisfy key stakeholders (Audretsch et al. 2021, Scholz &amp; Stein, 2020).  </w:t>
      </w:r>
    </w:p>
    <w:p w14:paraId="60DB5F6A" w14:textId="35032F2C"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Theme="minorBidi" w:eastAsia="Times New Roman" w:hAnsiTheme="minorBidi"/>
          <w:kern w:val="0"/>
          <w14:ligatures w14:val="none"/>
        </w:rPr>
        <w:lastRenderedPageBreak/>
        <w:t xml:space="preserve">At this juncture it is important to reflect whether the perpetrators of Accounting Fraud who are subject to socio-economic or psychological pressure are prone to this behaviour. </w:t>
      </w:r>
      <w:r w:rsidRPr="00891F5D">
        <w:rPr>
          <w:rFonts w:ascii="Arial" w:eastAsiaTheme="minorHAnsi" w:hAnsi="Arial" w:cs="Arial"/>
          <w:kern w:val="0"/>
          <w:lang w:val="en-US" w:eastAsia="en-US"/>
          <w14:ligatures w14:val="none"/>
        </w:rPr>
        <w:t xml:space="preserve">Schrand and Zechman (2012) discovered that 75 percent of fraud was committed by individuals who were usually honest, law abiding, and who in normal situations would never attempt to commit a crime, i.e., </w:t>
      </w:r>
      <w:r w:rsidRPr="00891F5D">
        <w:rPr>
          <w:rFonts w:ascii="Arial" w:eastAsiaTheme="minorHAnsi" w:hAnsi="Arial" w:cs="Arial"/>
          <w:i/>
          <w:iCs/>
          <w:kern w:val="0"/>
          <w:lang w:val="en-US" w:eastAsia="en-US"/>
          <w14:ligatures w14:val="none"/>
        </w:rPr>
        <w:t>The Accidental Fraudster.</w:t>
      </w:r>
      <w:r w:rsidRPr="00891F5D">
        <w:rPr>
          <w:rFonts w:ascii="Arial" w:eastAsiaTheme="minorHAnsi" w:hAnsi="Arial" w:cs="Arial"/>
          <w:kern w:val="0"/>
          <w:lang w:val="en-US" w:eastAsia="en-US"/>
          <w14:ligatures w14:val="none"/>
        </w:rPr>
        <w:t xml:space="preserve"> This type of fraudster fits the Fraud Triangle, discussed extensively in the next section. However, some people are predators who continuously break the law, and research suggests that after a first-time offense rationalization becomes much easier (Dorminey et. al, 2012), because the perpetrator becomes desensitized (Carcello et al, 2012) and will continue defrauding until apprehended. Therefore, for the predator, the Fraud Triangle collapses into opportunity, while pressure and rationalization change into arrogance and the fraudulent act transforms into a whim or desire (Dorminey et al, 2012). It is believed by </w:t>
      </w:r>
      <w:r w:rsidR="003B2655" w:rsidRPr="00891F5D">
        <w:rPr>
          <w:rFonts w:ascii="Arial" w:eastAsiaTheme="minorHAnsi" w:hAnsi="Arial" w:cs="Arial"/>
          <w:kern w:val="0"/>
          <w:lang w:val="en-US" w:eastAsia="en-US"/>
          <w14:ligatures w14:val="none"/>
        </w:rPr>
        <w:t>Kranacher</w:t>
      </w:r>
      <w:r w:rsidRPr="00891F5D">
        <w:rPr>
          <w:rFonts w:ascii="Arial" w:eastAsiaTheme="minorHAnsi" w:hAnsi="Arial" w:cs="Arial"/>
          <w:kern w:val="0"/>
          <w:lang w:val="en-US" w:eastAsia="en-US"/>
          <w14:ligatures w14:val="none"/>
        </w:rPr>
        <w:t xml:space="preserve"> et al. (2010) that predators are well organized and able to mislead auditors with their complex scheming.</w:t>
      </w:r>
    </w:p>
    <w:p w14:paraId="29CAA7DC" w14:textId="6E8A784B" w:rsidR="00216279" w:rsidRDefault="00891F5D" w:rsidP="003B2655">
      <w:pPr>
        <w:spacing w:before="100" w:beforeAutospacing="1" w:after="100" w:afterAutospacing="1" w:line="480" w:lineRule="auto"/>
        <w:jc w:val="both"/>
        <w:rPr>
          <w:rFonts w:ascii="Arial" w:eastAsiaTheme="minorHAnsi" w:hAnsi="Arial" w:cs="Arial"/>
          <w:kern w:val="0"/>
          <w:lang w:val="en-US" w:eastAsia="en-US"/>
          <w14:ligatures w14:val="none"/>
        </w:rPr>
      </w:pPr>
      <w:r w:rsidRPr="00891F5D">
        <w:rPr>
          <w:rFonts w:asciiTheme="minorBidi" w:eastAsia="Times New Roman" w:hAnsiTheme="minorBidi"/>
          <w:kern w:val="0"/>
          <w14:ligatures w14:val="none"/>
        </w:rPr>
        <w:t xml:space="preserve"> It is clear that despite that </w:t>
      </w:r>
      <w:r w:rsidRPr="00891F5D">
        <w:rPr>
          <w:rFonts w:ascii="Arial" w:eastAsia="Times New Roman" w:hAnsi="Arial" w:cs="Arial"/>
          <w:kern w:val="0"/>
          <w14:ligatures w14:val="none"/>
        </w:rPr>
        <w:t xml:space="preserve">robust corporate governance, better prevention, deterrence and prevention measures there are socio-economic and psychological factors that may be contributing to Accounting Fraud. Thus, it is important to ascertain the theoretical lens or construct that can help to better understand this malfeasance and </w:t>
      </w:r>
      <w:r w:rsidRPr="00891F5D">
        <w:rPr>
          <w:rFonts w:ascii="Arial" w:eastAsiaTheme="minorHAnsi" w:hAnsi="Arial" w:cs="Arial"/>
          <w:kern w:val="0"/>
          <w:lang w:val="en-US" w:eastAsia="en-US"/>
          <w14:ligatures w14:val="none"/>
        </w:rPr>
        <w:t>the next section explores the potential emergence of the Corporate Psychopath Accountant or Theme Five, who may be born to commit Accounting Fraud. This section begins with a detailed discussion and evaluation of the foremost fraud model namely The Fraud Triangle which is supported by ‘’differential association theory’’.</w:t>
      </w:r>
    </w:p>
    <w:p w14:paraId="147F05AD" w14:textId="77777777" w:rsidR="003B2655" w:rsidRDefault="003B2655" w:rsidP="003B2655">
      <w:pPr>
        <w:spacing w:before="100" w:beforeAutospacing="1" w:after="100" w:afterAutospacing="1" w:line="480" w:lineRule="auto"/>
        <w:jc w:val="both"/>
        <w:rPr>
          <w:rFonts w:ascii="Arial" w:eastAsiaTheme="minorHAnsi" w:hAnsi="Arial" w:cs="Arial"/>
          <w:kern w:val="0"/>
          <w:lang w:val="en-US" w:eastAsia="en-US"/>
          <w14:ligatures w14:val="none"/>
        </w:rPr>
      </w:pPr>
    </w:p>
    <w:p w14:paraId="14A4CE87" w14:textId="77777777" w:rsidR="003B2655" w:rsidRPr="00F73FD6" w:rsidRDefault="003B2655" w:rsidP="003B2655">
      <w:pPr>
        <w:spacing w:before="100" w:beforeAutospacing="1" w:after="100" w:afterAutospacing="1" w:line="480" w:lineRule="auto"/>
        <w:jc w:val="both"/>
        <w:rPr>
          <w:rFonts w:ascii="Arial" w:eastAsiaTheme="minorHAnsi" w:hAnsi="Arial" w:cs="Arial"/>
          <w:kern w:val="0"/>
          <w:lang w:val="en-US" w:eastAsia="en-US"/>
          <w14:ligatures w14:val="none"/>
        </w:rPr>
      </w:pPr>
    </w:p>
    <w:bookmarkStart w:id="465" w:name="D43"/>
    <w:p w14:paraId="1E1D451D" w14:textId="680AE76F" w:rsidR="00891F5D" w:rsidRPr="00891F5D" w:rsidRDefault="00E769FA" w:rsidP="00F73FD6">
      <w:pPr>
        <w:pBdr>
          <w:top w:val="single" w:sz="4" w:space="1" w:color="auto"/>
          <w:left w:val="single" w:sz="4" w:space="4" w:color="auto"/>
          <w:bottom w:val="single" w:sz="4" w:space="1" w:color="auto"/>
          <w:right w:val="single" w:sz="4" w:space="4" w:color="auto"/>
        </w:pBdr>
        <w:spacing w:before="100" w:beforeAutospacing="1" w:after="100" w:afterAutospacing="1" w:line="240" w:lineRule="auto"/>
        <w:jc w:val="both"/>
        <w:rPr>
          <w:rFonts w:asciiTheme="minorBidi" w:eastAsia="Times New Roman" w:hAnsiTheme="minorBidi"/>
          <w:b/>
          <w:bCs/>
          <w:kern w:val="0"/>
          <w14:ligatures w14:val="none"/>
        </w:rPr>
      </w:pPr>
      <w:r>
        <w:rPr>
          <w:rFonts w:ascii="Arial" w:eastAsiaTheme="minorHAnsi" w:hAnsi="Arial" w:cs="Arial"/>
          <w:b/>
          <w:bCs/>
          <w:kern w:val="0"/>
          <w:lang w:val="en-US" w:eastAsia="en-US"/>
          <w14:ligatures w14:val="none"/>
        </w:rPr>
        <w:lastRenderedPageBreak/>
        <w:fldChar w:fldCharType="begin"/>
      </w:r>
      <w:r>
        <w:rPr>
          <w:rFonts w:ascii="Arial" w:eastAsiaTheme="minorHAnsi" w:hAnsi="Arial" w:cs="Arial"/>
          <w:b/>
          <w:bCs/>
          <w:kern w:val="0"/>
          <w:lang w:val="en-US" w:eastAsia="en-US"/>
          <w14:ligatures w14:val="none"/>
        </w:rPr>
        <w:instrText>HYPERLINK  \l "C43"</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E769FA">
        <w:rPr>
          <w:rStyle w:val="Hyperlink"/>
          <w:rFonts w:ascii="Arial" w:eastAsiaTheme="minorHAnsi" w:hAnsi="Arial" w:cs="Arial"/>
          <w:b/>
          <w:bCs/>
          <w:kern w:val="0"/>
          <w:lang w:val="en-US" w:eastAsia="en-US"/>
          <w14:ligatures w14:val="none"/>
        </w:rPr>
        <w:t>2.7 Theme Five: Emergence of the Corporate Psychopa</w:t>
      </w:r>
      <w:r w:rsidR="00891F5D" w:rsidRPr="00E769FA">
        <w:rPr>
          <w:rStyle w:val="Hyperlink"/>
          <w:rFonts w:ascii="Arial" w:eastAsiaTheme="minorHAnsi" w:hAnsi="Arial" w:cs="Arial"/>
          <w:b/>
          <w:bCs/>
          <w:kern w:val="0"/>
          <w:lang w:val="en-US" w:eastAsia="en-US"/>
          <w14:ligatures w14:val="none"/>
        </w:rPr>
        <w:t>th Accountant</w:t>
      </w:r>
      <w:r>
        <w:rPr>
          <w:rFonts w:ascii="Arial" w:eastAsiaTheme="minorHAnsi" w:hAnsi="Arial" w:cs="Arial"/>
          <w:b/>
          <w:bCs/>
          <w:kern w:val="0"/>
          <w:lang w:val="en-US" w:eastAsia="en-US"/>
          <w14:ligatures w14:val="none"/>
        </w:rPr>
        <w:fldChar w:fldCharType="end"/>
      </w:r>
    </w:p>
    <w:p w14:paraId="63F130B7" w14:textId="28AB6EEB" w:rsidR="00891F5D" w:rsidRPr="00891F5D" w:rsidRDefault="00891F5D" w:rsidP="00891F5D">
      <w:pPr>
        <w:spacing w:after="200" w:line="480" w:lineRule="auto"/>
        <w:jc w:val="both"/>
        <w:rPr>
          <w:rFonts w:ascii="Arial" w:eastAsiaTheme="minorHAnsi" w:hAnsi="Arial" w:cs="Arial"/>
          <w:kern w:val="0"/>
          <w:lang w:val="en-US" w:eastAsia="en-US"/>
          <w14:ligatures w14:val="none"/>
        </w:rPr>
      </w:pPr>
      <w:bookmarkStart w:id="466" w:name="120"/>
      <w:bookmarkEnd w:id="465"/>
      <w:r w:rsidRPr="00891F5D">
        <w:rPr>
          <w:rFonts w:ascii="Arial" w:eastAsiaTheme="minorHAnsi" w:hAnsi="Arial" w:cs="Arial"/>
          <w:kern w:val="0"/>
          <w:lang w:val="en-US" w:eastAsia="en-US"/>
          <w14:ligatures w14:val="none"/>
        </w:rPr>
        <w:t xml:space="preserve">According to researchers Henry and Lanier (2006), the causes and deterrence studies of crime have been the subject of extensive research in the fields of biology, sociology, criminology, psychology, and law. Theoretical models of crime can be categorized in three ways: biological, sociological, and classical and rational choice </w:t>
      </w:r>
      <w:bookmarkStart w:id="467" w:name="_Hlk86437394"/>
      <w:r w:rsidRPr="00891F5D">
        <w:rPr>
          <w:rFonts w:ascii="Arial" w:eastAsiaTheme="minorHAnsi" w:hAnsi="Arial" w:cs="Arial"/>
          <w:kern w:val="0"/>
          <w:lang w:val="en-US" w:eastAsia="en-US"/>
          <w14:ligatures w14:val="none"/>
        </w:rPr>
        <w:t xml:space="preserve">(Gottfredson and Hirschi, 1990). </w:t>
      </w:r>
      <w:bookmarkEnd w:id="467"/>
      <w:r w:rsidRPr="00891F5D">
        <w:rPr>
          <w:rFonts w:ascii="Arial" w:eastAsiaTheme="minorHAnsi" w:hAnsi="Arial" w:cs="Arial"/>
          <w:kern w:val="0"/>
          <w:lang w:val="en-US" w:eastAsia="en-US"/>
          <w14:ligatures w14:val="none"/>
        </w:rPr>
        <w:t xml:space="preserve">Classical and rational choice theorists such as Cornish and </w:t>
      </w:r>
      <w:r w:rsidR="00D56F16" w:rsidRPr="00891F5D">
        <w:rPr>
          <w:rFonts w:ascii="Arial" w:eastAsiaTheme="minorHAnsi" w:hAnsi="Arial" w:cs="Arial"/>
          <w:kern w:val="0"/>
          <w:lang w:val="en-US" w:eastAsia="en-US"/>
          <w14:ligatures w14:val="none"/>
        </w:rPr>
        <w:t>Clarke</w:t>
      </w:r>
      <w:r w:rsidRPr="00891F5D">
        <w:rPr>
          <w:rFonts w:ascii="Arial" w:eastAsiaTheme="minorHAnsi" w:hAnsi="Arial" w:cs="Arial"/>
          <w:kern w:val="0"/>
          <w:lang w:val="en-US" w:eastAsia="en-US"/>
          <w14:ligatures w14:val="none"/>
        </w:rPr>
        <w:t xml:space="preserve"> (2014) argue that people have free will and are “rational calculators,” who conduct cost-benefit analyses whenever they act, including criminal activities, whereas biological theorists contend that some people are “born into crime” owing to genetics and a predisposition to violent or criminal behavior (Gottfredson and Hirschi, 1990). Finally, sociological theories of crime suggest that crime is caused by external factors, people’s relationships with other people and</w:t>
      </w:r>
      <w:bookmarkStart w:id="468" w:name="PreEditfn1009"/>
      <w:bookmarkStart w:id="469" w:name="PreEditfn997"/>
      <w:bookmarkStart w:id="470" w:name="PreEditfn1021"/>
      <w:r w:rsidRPr="00891F5D">
        <w:rPr>
          <w:rFonts w:ascii="Arial" w:eastAsiaTheme="minorHAnsi" w:hAnsi="Arial" w:cs="Arial"/>
          <w:kern w:val="0"/>
          <w:lang w:val="en-US" w:eastAsia="en-US"/>
          <w14:ligatures w14:val="none"/>
        </w:rPr>
        <w:t>/</w:t>
      </w:r>
      <w:bookmarkEnd w:id="468"/>
      <w:bookmarkEnd w:id="469"/>
      <w:bookmarkEnd w:id="470"/>
      <w:r w:rsidRPr="00891F5D">
        <w:rPr>
          <w:rFonts w:ascii="Arial" w:eastAsiaTheme="minorHAnsi" w:hAnsi="Arial" w:cs="Arial"/>
          <w:kern w:val="0"/>
          <w:lang w:val="en-US" w:eastAsia="en-US"/>
          <w14:ligatures w14:val="none"/>
        </w:rPr>
        <w:t>or organizations such as the school in their life (Gottfredson and Hirschi, 1990). The most important sociological theories range from social learning theory to differential association theory (Henry and Lanier, 2006). Differential association theory underpins the development of Cressey’s Fraud Triangle theory. Rationalisation, the third part of the Fraud Triangle, was derived from Sutherlands (1937) differential association theory (Morales et al, 2014), which argued that rationalisation helps a criminal to justify their act. However, this rationalisation was modified by Cressey (1953), who stated that fraudsters needed to satisfy themselves that they were behaving uprightly before they undertook the fraudulent act, which was theft, in Cressey’s study. Differential association theory is also important in this study because it was created to describe crime in general, including financial and organized (Matsueda, 1988), and is not restricted to merely explaining the phenomenon of delinquent crime (Bursik, 1988).</w:t>
      </w:r>
    </w:p>
    <w:p w14:paraId="36E6CBC0"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bookmarkStart w:id="471" w:name="121"/>
      <w:bookmarkEnd w:id="466"/>
      <w:r w:rsidRPr="00891F5D">
        <w:rPr>
          <w:rFonts w:ascii="Arial" w:eastAsiaTheme="minorHAnsi" w:hAnsi="Arial" w:cs="Arial"/>
          <w:kern w:val="0"/>
          <w:lang w:val="en-US" w:eastAsia="en-US"/>
          <w14:ligatures w14:val="none"/>
        </w:rPr>
        <w:lastRenderedPageBreak/>
        <w:t>The theory of differential association, as articulated by Sutherland in 1939, contends that aberrant behavior is “learned behavior” and, crucially, explains how people become criminals. It is a general causal theory of crime that identifies specific conditions or circumstances that must occur for any crime to take place and therefore not present when crime does not happen (Matsueda, 1988). Hence, the theory of differential association is comprised of the following interconnected notions: (a) normative conflict, (b) differential association, and (c) differential association organization (Cressey, 1960: 412), which function at the (</w:t>
      </w:r>
      <w:proofErr w:type="spellStart"/>
      <w:r w:rsidRPr="00891F5D">
        <w:rPr>
          <w:rFonts w:ascii="Arial" w:eastAsiaTheme="minorHAnsi" w:hAnsi="Arial" w:cs="Arial"/>
          <w:kern w:val="0"/>
          <w:lang w:val="en-US" w:eastAsia="en-US"/>
          <w14:ligatures w14:val="none"/>
        </w:rPr>
        <w:t>i</w:t>
      </w:r>
      <w:proofErr w:type="spellEnd"/>
      <w:r w:rsidRPr="00891F5D">
        <w:rPr>
          <w:rFonts w:ascii="Arial" w:eastAsiaTheme="minorHAnsi" w:hAnsi="Arial" w:cs="Arial"/>
          <w:kern w:val="0"/>
          <w:lang w:val="en-US" w:eastAsia="en-US"/>
          <w14:ligatures w14:val="none"/>
        </w:rPr>
        <w:t>) societal or macro and (ii) individual or micro levels.</w:t>
      </w:r>
    </w:p>
    <w:p w14:paraId="4F235479"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bookmarkStart w:id="472" w:name="122"/>
      <w:bookmarkEnd w:id="471"/>
      <w:r w:rsidRPr="00891F5D">
        <w:rPr>
          <w:rFonts w:ascii="Arial" w:eastAsiaTheme="minorHAnsi" w:hAnsi="Arial" w:cs="Arial"/>
          <w:kern w:val="0"/>
          <w:lang w:val="en-US" w:eastAsia="en-US"/>
          <w14:ligatures w14:val="none"/>
        </w:rPr>
        <w:t>According to the differential association theory, crime is initiated by normative conflicts, where various factions in society are in conflict regarding norms, values, and interests. According to Matsueda (1988), at the “macro level,” some groups accept that a certain rule should be adhered to no matter what the situation; in contrast, other groups state the exact rule should be breached in all circumstances, whereas other groups suggest that the same rule should be broken only in certain circumstances; this normative and legal conflict results in high crime rates. At the “micro level,” criminal conduct is learned in the process of differential association via interaction with other people, including contemporaries in close groups (Matsueda,1988).</w:t>
      </w:r>
    </w:p>
    <w:bookmarkEnd w:id="472"/>
    <w:p w14:paraId="1708F3DC" w14:textId="65AB679C" w:rsidR="00F73FD6" w:rsidRPr="00891F5D" w:rsidRDefault="00891F5D" w:rsidP="00F73FD6">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The curriculum of learning comprises of (a) the methods and competences of undertaking crimes and (b) the necessary reason, rationalization, and mindset. The second set of learning is very influential because it dictates the bases of whether a specific rule should be obeyed or defied. As the normative conflict is taking place at the macro level, people, deliberately or unintentionally, are related with and, importantly, learn from those explaining or defining whether the rule should be adhered to or not. Thus, Sutherland concluded that criminal behavior takes place when people </w:t>
      </w:r>
      <w:r w:rsidRPr="00891F5D">
        <w:rPr>
          <w:rFonts w:ascii="Arial" w:eastAsiaTheme="minorHAnsi" w:hAnsi="Arial" w:cs="Arial"/>
          <w:kern w:val="0"/>
          <w:lang w:val="en-US" w:eastAsia="en-US"/>
          <w14:ligatures w14:val="none"/>
        </w:rPr>
        <w:lastRenderedPageBreak/>
        <w:t>learn a surplus of explanations that support violating the rule (Sutherland and Cressey, 1960). However, it is important to note that these explanations are affected by occurrence, length, importance, and concentration. Thus, during differential association development, definitions will carry degrees of weight, so, for example, those explanations that are met more often, for a longer period, earlier in life, and from a significant person or a close associate will receive more credence and have more of an effect on someone’s behavior (Matsueda,1988). This body of literature has had a major impact on studies exploring adolescent delinquency located in “peer learning” (Piquero et al., 2005) and financial crimes based on differential association theory (Haynie and Osgood, 2005).</w:t>
      </w:r>
    </w:p>
    <w:p w14:paraId="2412D458" w14:textId="51A63D9A" w:rsidR="00091F12" w:rsidRPr="00891F5D" w:rsidRDefault="00891F5D" w:rsidP="00F73FD6">
      <w:pPr>
        <w:spacing w:after="200" w:line="480" w:lineRule="auto"/>
        <w:jc w:val="both"/>
        <w:rPr>
          <w:rFonts w:ascii="Arial" w:eastAsiaTheme="minorHAnsi" w:hAnsi="Arial" w:cs="Arial"/>
          <w:kern w:val="0"/>
          <w:lang w:val="en-US" w:eastAsia="en-US"/>
          <w14:ligatures w14:val="none"/>
        </w:rPr>
      </w:pPr>
      <w:bookmarkStart w:id="473" w:name="125"/>
      <w:r w:rsidRPr="00891F5D">
        <w:rPr>
          <w:rFonts w:ascii="Arial" w:eastAsiaTheme="minorHAnsi" w:hAnsi="Arial" w:cs="Arial"/>
          <w:kern w:val="0"/>
          <w:lang w:val="en-US" w:eastAsia="en-US"/>
          <w14:ligatures w14:val="none"/>
        </w:rPr>
        <w:t xml:space="preserve">It is an interesting fact that Donald Cressey was a student of Sutherland and began his research in 1950 when he was exploring “criminal violation of financial trust.” Cressey interviewed 250 prisoners over 5 months in the state of Illinois who fulfilled two criteria: (a) the person had accepted a position of trust and (b) the same person went on to violate this trust and undertake a crime (Cressey,1950). He was attempting to develop a general theory of criminal behavior, and his hypothesis was </w:t>
      </w:r>
      <w:r w:rsidRPr="00891F5D">
        <w:rPr>
          <w:rFonts w:ascii="Arial" w:eastAsiaTheme="minorHAnsi" w:hAnsi="Arial" w:cs="Arial"/>
          <w:b/>
          <w:bCs/>
          <w:i/>
          <w:kern w:val="0"/>
          <w:lang w:val="en-US" w:eastAsia="en-US"/>
          <w14:ligatures w14:val="none"/>
        </w:rPr>
        <w:t>underpinned by differential association theory:</w:t>
      </w:r>
      <w:r w:rsidRPr="00891F5D">
        <w:rPr>
          <w:rFonts w:ascii="Arial" w:eastAsiaTheme="minorHAnsi" w:hAnsi="Arial" w:cs="Arial"/>
          <w:kern w:val="0"/>
          <w:lang w:val="en-US" w:eastAsia="en-US"/>
          <w14:ligatures w14:val="none"/>
        </w:rPr>
        <w:t xml:space="preserve"> the violation of financial trust occurred because of learned behavior during the normal course of business or professional activities, or the misdemeanors resulted during business or professional activities and had not been learned (Cressey,1950). This hypothesis was rejected because social learning did not appear to explain the crimes. Furthermore, many of the prisoners stated that they knew what they were doing was unlawful and incorrect. Moreover, they explained that they had operated in isolation and did not know anybody else who had committed such crimes in their business or profession. Cressey adapted the original hypothesis and concluded that three factors were necessary for the criminal violation of trust to take </w:t>
      </w:r>
      <w:r w:rsidRPr="00891F5D">
        <w:rPr>
          <w:rFonts w:ascii="Arial" w:eastAsiaTheme="minorHAnsi" w:hAnsi="Arial" w:cs="Arial"/>
          <w:kern w:val="0"/>
          <w:lang w:val="en-US" w:eastAsia="en-US"/>
          <w14:ligatures w14:val="none"/>
        </w:rPr>
        <w:lastRenderedPageBreak/>
        <w:t xml:space="preserve">place: (a) a “non-shareable” financial difficulty, (b) an acknowledgment that the problem could be resolved by violating trust, (c) the capacity to verbalize or later rationalize the criminal act (Cressey,1950). This hypothesis later developed into the Fraud Triangle, namely “pressure,” “opportunity,” and “rationalization.”, </w:t>
      </w:r>
      <w:r w:rsidRPr="00891F5D">
        <w:rPr>
          <w:rFonts w:ascii="Arial" w:eastAsiaTheme="minorHAnsi" w:hAnsi="Arial" w:cs="Arial"/>
          <w:b/>
          <w:bCs/>
          <w:kern w:val="0"/>
          <w:lang w:val="en-US" w:eastAsia="en-US"/>
          <w14:ligatures w14:val="none"/>
        </w:rPr>
        <w:t>see Figure 2.8</w:t>
      </w:r>
      <w:r w:rsidRPr="00891F5D">
        <w:rPr>
          <w:rFonts w:ascii="Arial" w:eastAsiaTheme="minorHAnsi" w:hAnsi="Arial" w:cs="Arial"/>
          <w:kern w:val="0"/>
          <w:lang w:val="en-US" w:eastAsia="en-US"/>
          <w14:ligatures w14:val="none"/>
        </w:rPr>
        <w:t xml:space="preserve"> (Kassem and Higson, 2012)</w:t>
      </w:r>
      <w:bookmarkEnd w:id="473"/>
      <w:r w:rsidRPr="00891F5D">
        <w:rPr>
          <w:rFonts w:ascii="Arial" w:eastAsiaTheme="minorHAnsi" w:hAnsi="Arial" w:cs="Arial"/>
          <w:kern w:val="0"/>
          <w:lang w:val="en-US" w:eastAsia="en-US"/>
          <w14:ligatures w14:val="none"/>
        </w:rPr>
        <w:t>.</w:t>
      </w:r>
    </w:p>
    <w:p w14:paraId="50FAC12D" w14:textId="77777777" w:rsidR="00891F5D" w:rsidRPr="00891F5D" w:rsidRDefault="00891F5D" w:rsidP="00891F5D">
      <w:pPr>
        <w:spacing w:after="200" w:line="480" w:lineRule="auto"/>
        <w:jc w:val="both"/>
        <w:rPr>
          <w:rFonts w:ascii="Arial" w:eastAsiaTheme="minorHAnsi" w:hAnsi="Arial" w:cs="Arial"/>
          <w:b/>
          <w:bCs/>
          <w:kern w:val="0"/>
          <w:lang w:val="en-US" w:eastAsia="en-US"/>
          <w14:ligatures w14:val="none"/>
        </w:rPr>
      </w:pPr>
      <w:r w:rsidRPr="00891F5D">
        <w:rPr>
          <w:rFonts w:ascii="Arial" w:eastAsiaTheme="minorHAnsi" w:hAnsi="Arial" w:cs="Arial"/>
          <w:b/>
          <w:bCs/>
          <w:kern w:val="0"/>
          <w:lang w:val="en-US" w:eastAsia="en-US"/>
          <w14:ligatures w14:val="none"/>
        </w:rPr>
        <w:t xml:space="preserve">Figure 2.8 The Fraud Triangle </w:t>
      </w:r>
    </w:p>
    <w:p w14:paraId="0E49024D" w14:textId="71962D43" w:rsidR="00891F5D" w:rsidRPr="00891F5D" w:rsidRDefault="00891F5D" w:rsidP="00F73FD6">
      <w:pPr>
        <w:spacing w:after="0" w:line="480" w:lineRule="auto"/>
        <w:jc w:val="both"/>
        <w:rPr>
          <w:rFonts w:ascii="Arial" w:eastAsiaTheme="minorHAnsi" w:hAnsi="Arial" w:cs="Arial"/>
          <w:kern w:val="0"/>
          <w:sz w:val="22"/>
          <w:szCs w:val="22"/>
          <w:lang w:eastAsia="en-US"/>
          <w14:ligatures w14:val="none"/>
        </w:rPr>
      </w:pPr>
      <w:r w:rsidRPr="00891F5D">
        <w:rPr>
          <w:rFonts w:eastAsiaTheme="minorHAnsi"/>
          <w:noProof/>
          <w:kern w:val="0"/>
          <w:lang w:eastAsia="en-US"/>
          <w14:ligatures w14:val="none"/>
        </w:rPr>
        <w:drawing>
          <wp:inline distT="0" distB="0" distL="0" distR="0" wp14:anchorId="4E0F2BC3" wp14:editId="370EBDE5">
            <wp:extent cx="5730875" cy="3148314"/>
            <wp:effectExtent l="0" t="0" r="3175" b="0"/>
            <wp:docPr id="12" name="image" descr="http://www.internalauditor.me/jomiz-ia/wp-content/uploads/2016/06/Fraud-Triang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descr="http://www.internalauditor.me/jomiz-ia/wp-content/uploads/2016/06/Fraud-Triangle.pn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762744" cy="3165821"/>
                    </a:xfrm>
                    <a:prstGeom prst="rect">
                      <a:avLst/>
                    </a:prstGeom>
                    <a:noFill/>
                    <a:ln>
                      <a:noFill/>
                    </a:ln>
                  </pic:spPr>
                </pic:pic>
              </a:graphicData>
            </a:graphic>
          </wp:inline>
        </w:drawing>
      </w:r>
    </w:p>
    <w:p w14:paraId="21EA0A08" w14:textId="77777777" w:rsidR="00891F5D" w:rsidRPr="00891F5D" w:rsidRDefault="00891F5D" w:rsidP="00891F5D">
      <w:pPr>
        <w:spacing w:after="0" w:line="480" w:lineRule="auto"/>
        <w:jc w:val="both"/>
        <w:rPr>
          <w:rFonts w:ascii="Arial" w:eastAsiaTheme="minorHAnsi" w:hAnsi="Arial" w:cs="Arial"/>
          <w:kern w:val="0"/>
          <w:sz w:val="22"/>
          <w:szCs w:val="22"/>
          <w:lang w:eastAsia="en-US"/>
          <w14:ligatures w14:val="none"/>
        </w:rPr>
      </w:pPr>
      <w:r w:rsidRPr="00891F5D">
        <w:rPr>
          <w:rFonts w:ascii="Arial" w:eastAsiaTheme="minorHAnsi" w:hAnsi="Arial" w:cs="Arial"/>
          <w:kern w:val="0"/>
          <w:sz w:val="22"/>
          <w:szCs w:val="22"/>
          <w:lang w:eastAsia="en-US"/>
          <w14:ligatures w14:val="none"/>
        </w:rPr>
        <w:t>Source:</w:t>
      </w:r>
    </w:p>
    <w:p w14:paraId="52C79B22" w14:textId="75DA3B22" w:rsidR="00891F5D" w:rsidRDefault="00000000" w:rsidP="00F73FD6">
      <w:pPr>
        <w:spacing w:after="0" w:line="480" w:lineRule="auto"/>
        <w:jc w:val="both"/>
        <w:rPr>
          <w:rFonts w:ascii="Arial" w:eastAsiaTheme="minorHAnsi" w:hAnsi="Arial" w:cs="Arial"/>
          <w:kern w:val="0"/>
          <w:sz w:val="22"/>
          <w:szCs w:val="22"/>
          <w:lang w:eastAsia="en-US"/>
          <w14:ligatures w14:val="none"/>
        </w:rPr>
      </w:pPr>
      <w:hyperlink r:id="rId21" w:history="1">
        <w:r w:rsidR="00891F5D" w:rsidRPr="00891F5D">
          <w:rPr>
            <w:rFonts w:ascii="Arial" w:eastAsiaTheme="minorHAnsi" w:hAnsi="Arial" w:cs="Arial"/>
            <w:kern w:val="0"/>
            <w:sz w:val="22"/>
            <w:szCs w:val="22"/>
            <w:lang w:eastAsia="en-US"/>
            <w14:ligatures w14:val="none"/>
          </w:rPr>
          <w:t>http://www.internalauditor.me/jomizia/wpcontent/uploads/2016/06/FraudTriangle.png</w:t>
        </w:r>
      </w:hyperlink>
    </w:p>
    <w:p w14:paraId="44FE7D12" w14:textId="77777777" w:rsidR="003E44A1" w:rsidRDefault="003E44A1" w:rsidP="00F73FD6">
      <w:pPr>
        <w:spacing w:after="0" w:line="480" w:lineRule="auto"/>
        <w:jc w:val="both"/>
        <w:rPr>
          <w:rFonts w:ascii="Arial" w:eastAsiaTheme="minorHAnsi" w:hAnsi="Arial" w:cs="Arial"/>
          <w:kern w:val="0"/>
          <w:sz w:val="22"/>
          <w:szCs w:val="22"/>
          <w:lang w:eastAsia="en-US"/>
          <w14:ligatures w14:val="none"/>
        </w:rPr>
      </w:pPr>
    </w:p>
    <w:p w14:paraId="342A835F" w14:textId="77777777" w:rsidR="003B2655" w:rsidRDefault="003B2655" w:rsidP="00F73FD6">
      <w:pPr>
        <w:spacing w:after="0" w:line="480" w:lineRule="auto"/>
        <w:jc w:val="both"/>
        <w:rPr>
          <w:rFonts w:ascii="Arial" w:eastAsiaTheme="minorHAnsi" w:hAnsi="Arial" w:cs="Arial"/>
          <w:kern w:val="0"/>
          <w:sz w:val="22"/>
          <w:szCs w:val="22"/>
          <w:lang w:eastAsia="en-US"/>
          <w14:ligatures w14:val="none"/>
        </w:rPr>
      </w:pPr>
    </w:p>
    <w:p w14:paraId="0B000D64" w14:textId="77777777" w:rsidR="003B2655" w:rsidRDefault="003B2655" w:rsidP="00F73FD6">
      <w:pPr>
        <w:spacing w:after="0" w:line="480" w:lineRule="auto"/>
        <w:jc w:val="both"/>
        <w:rPr>
          <w:rFonts w:ascii="Arial" w:eastAsiaTheme="minorHAnsi" w:hAnsi="Arial" w:cs="Arial"/>
          <w:kern w:val="0"/>
          <w:sz w:val="22"/>
          <w:szCs w:val="22"/>
          <w:lang w:eastAsia="en-US"/>
          <w14:ligatures w14:val="none"/>
        </w:rPr>
      </w:pPr>
    </w:p>
    <w:p w14:paraId="347B487F" w14:textId="77777777" w:rsidR="003B2655" w:rsidRDefault="003B2655" w:rsidP="00F73FD6">
      <w:pPr>
        <w:spacing w:after="0" w:line="480" w:lineRule="auto"/>
        <w:jc w:val="both"/>
        <w:rPr>
          <w:rFonts w:ascii="Arial" w:eastAsiaTheme="minorHAnsi" w:hAnsi="Arial" w:cs="Arial"/>
          <w:kern w:val="0"/>
          <w:sz w:val="22"/>
          <w:szCs w:val="22"/>
          <w:lang w:eastAsia="en-US"/>
          <w14:ligatures w14:val="none"/>
        </w:rPr>
      </w:pPr>
    </w:p>
    <w:p w14:paraId="47475B36" w14:textId="77777777" w:rsidR="003B2655" w:rsidRDefault="003B2655" w:rsidP="00F73FD6">
      <w:pPr>
        <w:spacing w:after="0" w:line="480" w:lineRule="auto"/>
        <w:jc w:val="both"/>
        <w:rPr>
          <w:rFonts w:ascii="Arial" w:eastAsiaTheme="minorHAnsi" w:hAnsi="Arial" w:cs="Arial"/>
          <w:kern w:val="0"/>
          <w:sz w:val="22"/>
          <w:szCs w:val="22"/>
          <w:lang w:eastAsia="en-US"/>
          <w14:ligatures w14:val="none"/>
        </w:rPr>
      </w:pPr>
    </w:p>
    <w:p w14:paraId="4B1790AF" w14:textId="77777777" w:rsidR="003B2655" w:rsidRDefault="003B2655" w:rsidP="00F73FD6">
      <w:pPr>
        <w:spacing w:after="0" w:line="480" w:lineRule="auto"/>
        <w:jc w:val="both"/>
        <w:rPr>
          <w:rFonts w:ascii="Arial" w:eastAsiaTheme="minorHAnsi" w:hAnsi="Arial" w:cs="Arial"/>
          <w:kern w:val="0"/>
          <w:sz w:val="22"/>
          <w:szCs w:val="22"/>
          <w:lang w:eastAsia="en-US"/>
          <w14:ligatures w14:val="none"/>
        </w:rPr>
      </w:pPr>
    </w:p>
    <w:p w14:paraId="12A05E47" w14:textId="77777777" w:rsidR="003B2655" w:rsidRDefault="003B2655" w:rsidP="00F73FD6">
      <w:pPr>
        <w:spacing w:after="0" w:line="480" w:lineRule="auto"/>
        <w:jc w:val="both"/>
        <w:rPr>
          <w:rFonts w:ascii="Arial" w:eastAsiaTheme="minorHAnsi" w:hAnsi="Arial" w:cs="Arial"/>
          <w:kern w:val="0"/>
          <w:sz w:val="22"/>
          <w:szCs w:val="22"/>
          <w:lang w:eastAsia="en-US"/>
          <w14:ligatures w14:val="none"/>
        </w:rPr>
      </w:pPr>
    </w:p>
    <w:p w14:paraId="41D83BAD" w14:textId="77777777" w:rsidR="003B2655" w:rsidRPr="00891F5D" w:rsidRDefault="003B2655" w:rsidP="00F73FD6">
      <w:pPr>
        <w:spacing w:after="0" w:line="480" w:lineRule="auto"/>
        <w:jc w:val="both"/>
        <w:rPr>
          <w:rFonts w:ascii="Arial" w:eastAsiaTheme="minorHAnsi" w:hAnsi="Arial" w:cs="Arial"/>
          <w:kern w:val="0"/>
          <w:sz w:val="22"/>
          <w:szCs w:val="22"/>
          <w:lang w:eastAsia="en-US"/>
          <w14:ligatures w14:val="none"/>
        </w:rPr>
      </w:pPr>
    </w:p>
    <w:bookmarkStart w:id="474" w:name="EE"/>
    <w:bookmarkStart w:id="475" w:name="A31"/>
    <w:bookmarkStart w:id="476" w:name="D44"/>
    <w:p w14:paraId="4E973C18" w14:textId="7F3DA5DE" w:rsidR="00891F5D" w:rsidRPr="00891F5D" w:rsidRDefault="00E769FA" w:rsidP="00F73FD6">
      <w:pPr>
        <w:pBdr>
          <w:top w:val="single" w:sz="4" w:space="1" w:color="auto"/>
          <w:left w:val="single" w:sz="4" w:space="4" w:color="auto"/>
          <w:bottom w:val="single" w:sz="4" w:space="1" w:color="auto"/>
          <w:right w:val="single" w:sz="4" w:space="4" w:color="auto"/>
        </w:pBdr>
        <w:spacing w:after="200" w:line="24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lastRenderedPageBreak/>
        <w:fldChar w:fldCharType="begin"/>
      </w:r>
      <w:r>
        <w:rPr>
          <w:rFonts w:ascii="Arial" w:eastAsiaTheme="minorHAnsi" w:hAnsi="Arial" w:cs="Arial"/>
          <w:b/>
          <w:bCs/>
          <w:kern w:val="0"/>
          <w:lang w:val="en-US" w:eastAsia="en-US"/>
          <w14:ligatures w14:val="none"/>
        </w:rPr>
        <w:instrText>HYPERLINK  \l "C44"</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E769FA">
        <w:rPr>
          <w:rStyle w:val="Hyperlink"/>
          <w:rFonts w:ascii="Arial" w:eastAsiaTheme="minorHAnsi" w:hAnsi="Arial" w:cs="Arial"/>
          <w:b/>
          <w:bCs/>
          <w:kern w:val="0"/>
          <w:lang w:val="en-US" w:eastAsia="en-US"/>
          <w14:ligatures w14:val="none"/>
        </w:rPr>
        <w:t>2.7.1 Pre</w:t>
      </w:r>
      <w:r w:rsidR="00891F5D" w:rsidRPr="00E769FA">
        <w:rPr>
          <w:rStyle w:val="Hyperlink"/>
          <w:rFonts w:ascii="Arial" w:eastAsiaTheme="minorHAnsi" w:hAnsi="Arial" w:cs="Arial"/>
          <w:b/>
          <w:bCs/>
          <w:kern w:val="0"/>
          <w:lang w:val="en-US" w:eastAsia="en-US"/>
          <w14:ligatures w14:val="none"/>
        </w:rPr>
        <w:t>ssure</w:t>
      </w:r>
      <w:bookmarkStart w:id="477" w:name="127"/>
      <w:r>
        <w:rPr>
          <w:rFonts w:ascii="Arial" w:eastAsiaTheme="minorHAnsi" w:hAnsi="Arial" w:cs="Arial"/>
          <w:b/>
          <w:bCs/>
          <w:kern w:val="0"/>
          <w:lang w:val="en-US" w:eastAsia="en-US"/>
          <w14:ligatures w14:val="none"/>
        </w:rPr>
        <w:fldChar w:fldCharType="end"/>
      </w:r>
    </w:p>
    <w:bookmarkEnd w:id="474"/>
    <w:bookmarkEnd w:id="475"/>
    <w:bookmarkEnd w:id="476"/>
    <w:p w14:paraId="4E097B7B" w14:textId="7BB2B41E" w:rsidR="00F73FD6" w:rsidRPr="00891F5D" w:rsidRDefault="00891F5D" w:rsidP="00F73FD6">
      <w:pPr>
        <w:autoSpaceDE w:val="0"/>
        <w:autoSpaceDN w:val="0"/>
        <w:adjustRightInd w:val="0"/>
        <w:spacing w:after="0" w:line="480" w:lineRule="auto"/>
        <w:jc w:val="both"/>
        <w:rPr>
          <w:rFonts w:ascii="Arial" w:eastAsiaTheme="minorHAnsi" w:hAnsi="Arial" w:cs="Arial"/>
          <w:iCs/>
          <w:kern w:val="0"/>
          <w:lang w:val="en-US" w:eastAsia="en-US"/>
          <w14:ligatures w14:val="none"/>
        </w:rPr>
      </w:pPr>
      <w:r w:rsidRPr="00891F5D">
        <w:rPr>
          <w:rFonts w:ascii="Arial" w:eastAsiaTheme="minorHAnsi" w:hAnsi="Arial" w:cs="Arial"/>
          <w:kern w:val="0"/>
          <w:lang w:val="en-US" w:eastAsia="en-US"/>
          <w14:ligatures w14:val="none"/>
        </w:rPr>
        <w:t>Cressey (1950) originally limited the pressure side of the triangle to a non-shareable financial problem because, he argued, individuals in positions of financial trust also had an obligation to avoid gambling, excessive drinking, and having extramarital affairs in consideration of their social position. However, when these people began indulging in illicit activities, they would start piling up debts, which must be kept secret and, consequently, became a non-shareable financial problem. Rather than seeking help, these individuals violate their trusted positions and commit fraud. Cressey (1953) went on to refine and extend the non-shareable financial problem into six groups: (</w:t>
      </w:r>
      <w:r w:rsidRPr="00891F5D">
        <w:rPr>
          <w:rFonts w:ascii="Arial" w:eastAsiaTheme="minorHAnsi" w:hAnsi="Arial" w:cs="Arial"/>
          <w:i/>
          <w:kern w:val="0"/>
          <w:lang w:val="en-US" w:eastAsia="en-US"/>
          <w14:ligatures w14:val="none"/>
        </w:rPr>
        <w:t xml:space="preserve">a) </w:t>
      </w:r>
      <w:r w:rsidRPr="00891F5D">
        <w:rPr>
          <w:rFonts w:ascii="Arial" w:eastAsiaTheme="minorHAnsi" w:hAnsi="Arial" w:cs="Arial"/>
          <w:i/>
          <w:iCs/>
          <w:kern w:val="0"/>
          <w:lang w:val="en-US" w:eastAsia="en-US"/>
          <w14:ligatures w14:val="none"/>
        </w:rPr>
        <w:t>violation of an assigned responsibility</w:t>
      </w:r>
      <w:r w:rsidRPr="00891F5D">
        <w:rPr>
          <w:rFonts w:ascii="Arial" w:eastAsiaTheme="minorHAnsi" w:hAnsi="Arial" w:cs="Arial"/>
          <w:i/>
          <w:kern w:val="0"/>
          <w:lang w:val="en-US" w:eastAsia="en-US"/>
          <w14:ligatures w14:val="none"/>
        </w:rPr>
        <w:t xml:space="preserve">, (b) </w:t>
      </w:r>
      <w:r w:rsidRPr="00891F5D">
        <w:rPr>
          <w:rFonts w:ascii="Arial" w:eastAsiaTheme="minorHAnsi" w:hAnsi="Arial" w:cs="Arial"/>
          <w:i/>
          <w:iCs/>
          <w:kern w:val="0"/>
          <w:lang w:val="en-US" w:eastAsia="en-US"/>
          <w14:ligatures w14:val="none"/>
        </w:rPr>
        <w:t xml:space="preserve">problems stemming from personal setbacks, </w:t>
      </w:r>
      <w:r w:rsidRPr="00891F5D">
        <w:rPr>
          <w:rFonts w:ascii="Arial" w:eastAsiaTheme="minorHAnsi" w:hAnsi="Arial" w:cs="Arial"/>
          <w:i/>
          <w:kern w:val="0"/>
          <w:lang w:val="en-US" w:eastAsia="en-US"/>
          <w14:ligatures w14:val="none"/>
        </w:rPr>
        <w:t xml:space="preserve">(c) problems arising from business failures (d) </w:t>
      </w:r>
      <w:r w:rsidRPr="00891F5D">
        <w:rPr>
          <w:rFonts w:ascii="Arial" w:eastAsiaTheme="minorHAnsi" w:hAnsi="Arial" w:cs="Arial"/>
          <w:i/>
          <w:iCs/>
          <w:kern w:val="0"/>
          <w:lang w:val="en-US" w:eastAsia="en-US"/>
          <w14:ligatures w14:val="none"/>
        </w:rPr>
        <w:t>problems resulting from loneliness</w:t>
      </w:r>
      <w:r w:rsidRPr="00891F5D">
        <w:rPr>
          <w:rFonts w:ascii="Arial" w:eastAsiaTheme="minorHAnsi" w:hAnsi="Arial" w:cs="Arial"/>
          <w:i/>
          <w:kern w:val="0"/>
          <w:lang w:val="en-US" w:eastAsia="en-US"/>
          <w14:ligatures w14:val="none"/>
        </w:rPr>
        <w:t>, (e) problems caused by an incessant desire to achieve high social status,</w:t>
      </w:r>
      <w:r w:rsidRPr="00891F5D">
        <w:rPr>
          <w:rFonts w:ascii="Arial" w:eastAsiaTheme="minorHAnsi" w:hAnsi="Arial" w:cs="Arial"/>
          <w:i/>
          <w:iCs/>
          <w:kern w:val="0"/>
          <w:lang w:val="en-US" w:eastAsia="en-US"/>
          <w14:ligatures w14:val="none"/>
        </w:rPr>
        <w:t xml:space="preserve"> and, finally,</w:t>
      </w:r>
      <w:r w:rsidRPr="00891F5D">
        <w:rPr>
          <w:rFonts w:ascii="Arial" w:eastAsiaTheme="minorHAnsi" w:hAnsi="Arial" w:cs="Arial"/>
          <w:i/>
          <w:kern w:val="0"/>
          <w:lang w:val="en-US" w:eastAsia="en-US"/>
          <w14:ligatures w14:val="none"/>
        </w:rPr>
        <w:t xml:space="preserve"> (6) </w:t>
      </w:r>
      <w:r w:rsidRPr="00891F5D">
        <w:rPr>
          <w:rFonts w:ascii="Arial" w:eastAsiaTheme="minorHAnsi" w:hAnsi="Arial" w:cs="Arial"/>
          <w:i/>
          <w:iCs/>
          <w:kern w:val="0"/>
          <w:lang w:val="en-US" w:eastAsia="en-US"/>
          <w14:ligatures w14:val="none"/>
        </w:rPr>
        <w:t>problems resulting from poor employee–employer interactions</w:t>
      </w:r>
      <w:r w:rsidRPr="00891F5D">
        <w:rPr>
          <w:rFonts w:ascii="Arial" w:eastAsiaTheme="minorHAnsi" w:hAnsi="Arial" w:cs="Arial"/>
          <w:iCs/>
          <w:kern w:val="0"/>
          <w:lang w:val="en-US" w:eastAsia="en-US"/>
          <w14:ligatures w14:val="none"/>
        </w:rPr>
        <w:t xml:space="preserve"> (Kassem and Higson, 2012)</w:t>
      </w:r>
    </w:p>
    <w:p w14:paraId="0392C8C9" w14:textId="77777777" w:rsidR="00891F5D" w:rsidRDefault="00891F5D" w:rsidP="00891F5D">
      <w:pPr>
        <w:autoSpaceDE w:val="0"/>
        <w:autoSpaceDN w:val="0"/>
        <w:adjustRightInd w:val="0"/>
        <w:spacing w:after="0" w:line="480" w:lineRule="auto"/>
        <w:jc w:val="both"/>
        <w:rPr>
          <w:rFonts w:ascii="Arial" w:eastAsiaTheme="minorHAnsi" w:hAnsi="Arial" w:cs="Arial"/>
          <w:iCs/>
          <w:kern w:val="0"/>
          <w:lang w:val="en-US" w:eastAsia="en-US"/>
          <w14:ligatures w14:val="none"/>
        </w:rPr>
      </w:pPr>
      <w:bookmarkStart w:id="478" w:name="128"/>
      <w:bookmarkEnd w:id="477"/>
      <w:r w:rsidRPr="00891F5D">
        <w:rPr>
          <w:rFonts w:ascii="Arial" w:eastAsiaTheme="minorHAnsi" w:hAnsi="Arial" w:cs="Arial"/>
          <w:iCs/>
          <w:kern w:val="0"/>
          <w:lang w:val="en-US" w:eastAsia="en-US"/>
          <w14:ligatures w14:val="none"/>
        </w:rPr>
        <w:t xml:space="preserve">Regarding a violation of an assigned responsibility, Cressey observed that trusted individuals believed that they had to maintain a certain standard and uphold a high reputation in their social and professional gatherings. When they start engaging in illicit activities such as gambling, they do not seek help because they fear losing their social status and their trusted position, i.e., suffering from a vice. Secondly, problems stemming from personal setbacks become non-shareable because people in trusted positions believe that they will lose credibility even though they are aware that other associates could help them, i.e., poor judgment. Thirdly, business failure can be genuine, but it becomes a non-shareable problem that they must resolve themselves, even in an illegal manner. Fourthly, alienation breeds non-shareable problems because people cannot turn to a support network such as friends, to help resolve the </w:t>
      </w:r>
      <w:r w:rsidRPr="00891F5D">
        <w:rPr>
          <w:rFonts w:ascii="Arial" w:eastAsiaTheme="minorHAnsi" w:hAnsi="Arial" w:cs="Arial"/>
          <w:iCs/>
          <w:kern w:val="0"/>
          <w:lang w:val="en-US" w:eastAsia="en-US"/>
          <w14:ligatures w14:val="none"/>
        </w:rPr>
        <w:lastRenderedPageBreak/>
        <w:t>issue. Thus far, the problems have been about maintaining status, but an incessant desire to achieve a higher status usually occurs as individuals start living beyond their means, creating a non-shareable problem that must be financed by utilizing fraudulent methods. Although the person is in a trusted position, they may resent their employer because they feel underpaid, overworked, or not properly treated; however, they believe they must carry on working. This becomes a non-shareable problem because they cannot share their dissatisfaction with other colleagues, fearing they will lose their trusted position. The problems, individually or collectively, may lead a person to violate their trusted position and seek payback from their company. Lister (2007:63) defined pressure as the ‘source of heat for the fire</w:t>
      </w:r>
      <w:bookmarkStart w:id="479" w:name="129"/>
      <w:bookmarkEnd w:id="478"/>
      <w:r w:rsidRPr="00891F5D">
        <w:rPr>
          <w:rFonts w:ascii="Arial" w:eastAsiaTheme="minorHAnsi" w:hAnsi="Arial" w:cs="Arial"/>
          <w:iCs/>
          <w:kern w:val="0"/>
          <w:lang w:val="en-US" w:eastAsia="en-US"/>
          <w14:ligatures w14:val="none"/>
        </w:rPr>
        <w:t>’.</w:t>
      </w:r>
    </w:p>
    <w:p w14:paraId="27009D23" w14:textId="77777777" w:rsidR="003E44A1" w:rsidRPr="00891F5D" w:rsidRDefault="003E44A1" w:rsidP="00891F5D">
      <w:pPr>
        <w:autoSpaceDE w:val="0"/>
        <w:autoSpaceDN w:val="0"/>
        <w:adjustRightInd w:val="0"/>
        <w:spacing w:after="0" w:line="480" w:lineRule="auto"/>
        <w:jc w:val="both"/>
        <w:rPr>
          <w:rFonts w:ascii="Arial" w:eastAsiaTheme="minorHAnsi" w:hAnsi="Arial" w:cs="Arial"/>
          <w:iCs/>
          <w:kern w:val="0"/>
          <w:lang w:val="en-US" w:eastAsia="en-US"/>
          <w14:ligatures w14:val="none"/>
        </w:rPr>
      </w:pPr>
    </w:p>
    <w:p w14:paraId="312D7BC5" w14:textId="77777777" w:rsidR="00891F5D" w:rsidRPr="00891F5D" w:rsidRDefault="00891F5D" w:rsidP="00891F5D">
      <w:pPr>
        <w:autoSpaceDE w:val="0"/>
        <w:autoSpaceDN w:val="0"/>
        <w:adjustRightInd w:val="0"/>
        <w:spacing w:after="0" w:line="480" w:lineRule="auto"/>
        <w:jc w:val="both"/>
        <w:rPr>
          <w:rFonts w:ascii="Arial" w:eastAsiaTheme="minorHAnsi" w:hAnsi="Arial" w:cs="Arial"/>
          <w:b/>
          <w:bCs/>
          <w:iCs/>
          <w:kern w:val="0"/>
          <w:lang w:val="en-US" w:eastAsia="en-US"/>
          <w14:ligatures w14:val="none"/>
        </w:rPr>
      </w:pPr>
      <w:r w:rsidRPr="00891F5D">
        <w:rPr>
          <w:rFonts w:ascii="Arial" w:eastAsiaTheme="minorHAnsi" w:hAnsi="Arial" w:cs="Arial"/>
          <w:iCs/>
          <w:kern w:val="0"/>
          <w:lang w:val="en-US" w:eastAsia="en-US"/>
          <w14:ligatures w14:val="none"/>
        </w:rPr>
        <w:t xml:space="preserve">All the pressure variables result from a “non-shareable” problem by people in a position of financial trust. However, as will be demonstrated later, when the theory was applied to other scenarios or positions, Cressey’s understanding of pressure was flawed, and other factors could cause fraudulent behavior, such as an interesting typology by Kassem and Higson (2012), </w:t>
      </w:r>
      <w:r w:rsidRPr="00891F5D">
        <w:rPr>
          <w:rFonts w:ascii="Arial" w:eastAsiaTheme="minorHAnsi" w:hAnsi="Arial" w:cs="Arial"/>
          <w:b/>
          <w:bCs/>
          <w:iCs/>
          <w:kern w:val="0"/>
          <w:lang w:val="en-US" w:eastAsia="en-US"/>
          <w14:ligatures w14:val="none"/>
        </w:rPr>
        <w:t>Figure 2.</w:t>
      </w:r>
      <w:bookmarkStart w:id="480" w:name="130"/>
      <w:bookmarkEnd w:id="479"/>
      <w:r w:rsidRPr="00891F5D">
        <w:rPr>
          <w:rFonts w:ascii="Arial" w:eastAsiaTheme="minorHAnsi" w:hAnsi="Arial" w:cs="Arial"/>
          <w:b/>
          <w:bCs/>
          <w:iCs/>
          <w:kern w:val="0"/>
          <w:lang w:val="en-US" w:eastAsia="en-US"/>
          <w14:ligatures w14:val="none"/>
        </w:rPr>
        <w:t xml:space="preserve">9 </w:t>
      </w:r>
      <w:r w:rsidRPr="00891F5D">
        <w:rPr>
          <w:rFonts w:ascii="Arial" w:eastAsiaTheme="minorHAnsi" w:hAnsi="Arial" w:cs="Arial"/>
          <w:b/>
          <w:bCs/>
          <w:kern w:val="0"/>
          <w:shd w:val="clear" w:color="auto" w:fill="FFFFFF"/>
          <w:lang w:val="en-US" w:eastAsia="en-US"/>
          <w14:ligatures w14:val="none"/>
        </w:rPr>
        <w:t>Typology of Pressure:</w:t>
      </w:r>
    </w:p>
    <w:p w14:paraId="74714740" w14:textId="77777777" w:rsidR="0097370A" w:rsidRDefault="00891F5D" w:rsidP="0097370A">
      <w:pPr>
        <w:spacing w:after="200" w:line="480" w:lineRule="auto"/>
        <w:jc w:val="both"/>
        <w:rPr>
          <w:rFonts w:ascii="Arial" w:eastAsiaTheme="minorHAnsi" w:hAnsi="Arial" w:cs="Arial"/>
          <w:iCs/>
          <w:kern w:val="0"/>
          <w:lang w:val="en-US" w:eastAsia="en-US"/>
          <w14:ligatures w14:val="none"/>
        </w:rPr>
      </w:pPr>
      <w:r w:rsidRPr="00891F5D">
        <w:rPr>
          <w:rFonts w:ascii="Arial" w:eastAsiaTheme="minorHAnsi" w:hAnsi="Arial" w:cs="Arial"/>
          <w:noProof/>
          <w:kern w:val="0"/>
          <w:shd w:val="clear" w:color="auto" w:fill="FFFFFF"/>
          <w:lang w:val="en-US" w:eastAsia="en-US"/>
          <w14:ligatures w14:val="none"/>
        </w:rPr>
        <w:drawing>
          <wp:inline distT="0" distB="0" distL="0" distR="0" wp14:anchorId="4B97BCCD" wp14:editId="1732F0AC">
            <wp:extent cx="5486400" cy="3038475"/>
            <wp:effectExtent l="0" t="19050" r="38100" b="28575"/>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inline>
        </w:drawing>
      </w:r>
      <w:bookmarkEnd w:id="480"/>
    </w:p>
    <w:p w14:paraId="70219C09" w14:textId="5B9EC17A" w:rsidR="002B3F52" w:rsidRPr="00891F5D" w:rsidRDefault="00891F5D" w:rsidP="0097370A">
      <w:pPr>
        <w:spacing w:after="200" w:line="480" w:lineRule="auto"/>
        <w:jc w:val="both"/>
        <w:rPr>
          <w:rFonts w:ascii="Arial" w:eastAsiaTheme="minorHAnsi" w:hAnsi="Arial" w:cs="Arial"/>
          <w:iCs/>
          <w:kern w:val="0"/>
          <w:lang w:val="en-US" w:eastAsia="en-US"/>
          <w14:ligatures w14:val="none"/>
        </w:rPr>
      </w:pPr>
      <w:bookmarkStart w:id="481" w:name="131"/>
      <w:r w:rsidRPr="00891F5D">
        <w:rPr>
          <w:rFonts w:ascii="Arial" w:eastAsiaTheme="minorHAnsi" w:hAnsi="Arial" w:cs="Arial"/>
          <w:iCs/>
          <w:kern w:val="0"/>
          <w:lang w:val="en-US" w:eastAsia="en-US"/>
          <w14:ligatures w14:val="none"/>
        </w:rPr>
        <w:lastRenderedPageBreak/>
        <w:t xml:space="preserve">(Adapted by </w:t>
      </w:r>
      <w:r w:rsidR="001D0436">
        <w:rPr>
          <w:rFonts w:ascii="Arial" w:eastAsiaTheme="minorHAnsi" w:hAnsi="Arial" w:cs="Arial"/>
          <w:iCs/>
          <w:kern w:val="0"/>
          <w:lang w:val="en-US" w:eastAsia="en-US"/>
          <w14:ligatures w14:val="none"/>
        </w:rPr>
        <w:t>Researcher</w:t>
      </w:r>
      <w:r w:rsidRPr="00891F5D">
        <w:rPr>
          <w:rFonts w:ascii="Arial" w:eastAsiaTheme="minorHAnsi" w:hAnsi="Arial" w:cs="Arial"/>
          <w:iCs/>
          <w:kern w:val="0"/>
          <w:lang w:val="en-US" w:eastAsia="en-US"/>
          <w14:ligatures w14:val="none"/>
        </w:rPr>
        <w:t>)</w:t>
      </w:r>
    </w:p>
    <w:bookmarkStart w:id="482" w:name="FF"/>
    <w:bookmarkStart w:id="483" w:name="A32"/>
    <w:bookmarkStart w:id="484" w:name="D45"/>
    <w:bookmarkEnd w:id="481"/>
    <w:p w14:paraId="386785BB" w14:textId="4B0AC963" w:rsidR="00891F5D" w:rsidRPr="00891F5D" w:rsidRDefault="00E769FA" w:rsidP="00F73FD6">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both"/>
        <w:rPr>
          <w:rFonts w:ascii="Arial" w:eastAsiaTheme="minorHAnsi" w:hAnsi="Arial" w:cs="Arial"/>
          <w:b/>
          <w:bCs/>
          <w:iCs/>
          <w:kern w:val="0"/>
          <w:lang w:val="en-US" w:eastAsia="en-US"/>
          <w14:ligatures w14:val="none"/>
        </w:rPr>
      </w:pPr>
      <w:r>
        <w:rPr>
          <w:rFonts w:ascii="Arial" w:eastAsiaTheme="minorHAnsi" w:hAnsi="Arial" w:cs="Arial"/>
          <w:b/>
          <w:bCs/>
          <w:iCs/>
          <w:kern w:val="0"/>
          <w:lang w:val="en-US" w:eastAsia="en-US"/>
          <w14:ligatures w14:val="none"/>
        </w:rPr>
        <w:fldChar w:fldCharType="begin"/>
      </w:r>
      <w:r>
        <w:rPr>
          <w:rFonts w:ascii="Arial" w:eastAsiaTheme="minorHAnsi" w:hAnsi="Arial" w:cs="Arial"/>
          <w:b/>
          <w:bCs/>
          <w:iCs/>
          <w:kern w:val="0"/>
          <w:lang w:val="en-US" w:eastAsia="en-US"/>
          <w14:ligatures w14:val="none"/>
        </w:rPr>
        <w:instrText>HYPERLINK  \l "C45"</w:instrText>
      </w:r>
      <w:r>
        <w:rPr>
          <w:rFonts w:ascii="Arial" w:eastAsiaTheme="minorHAnsi" w:hAnsi="Arial" w:cs="Arial"/>
          <w:b/>
          <w:bCs/>
          <w:iCs/>
          <w:kern w:val="0"/>
          <w:lang w:val="en-US" w:eastAsia="en-US"/>
          <w14:ligatures w14:val="none"/>
        </w:rPr>
      </w:r>
      <w:r>
        <w:rPr>
          <w:rFonts w:ascii="Arial" w:eastAsiaTheme="minorHAnsi" w:hAnsi="Arial" w:cs="Arial"/>
          <w:b/>
          <w:bCs/>
          <w:iCs/>
          <w:kern w:val="0"/>
          <w:lang w:val="en-US" w:eastAsia="en-US"/>
          <w14:ligatures w14:val="none"/>
        </w:rPr>
        <w:fldChar w:fldCharType="separate"/>
      </w:r>
      <w:r w:rsidR="00891F5D" w:rsidRPr="00E769FA">
        <w:rPr>
          <w:rStyle w:val="Hyperlink"/>
          <w:rFonts w:ascii="Arial" w:eastAsiaTheme="minorHAnsi" w:hAnsi="Arial" w:cs="Arial"/>
          <w:b/>
          <w:bCs/>
          <w:iCs/>
          <w:kern w:val="0"/>
          <w:lang w:val="en-US" w:eastAsia="en-US"/>
          <w14:ligatures w14:val="none"/>
        </w:rPr>
        <w:t>2.7.2 Opportu</w:t>
      </w:r>
      <w:r w:rsidR="00891F5D" w:rsidRPr="00E769FA">
        <w:rPr>
          <w:rStyle w:val="Hyperlink"/>
          <w:rFonts w:ascii="Arial" w:eastAsiaTheme="minorHAnsi" w:hAnsi="Arial" w:cs="Arial"/>
          <w:b/>
          <w:bCs/>
          <w:iCs/>
          <w:kern w:val="0"/>
          <w:lang w:val="en-US" w:eastAsia="en-US"/>
          <w14:ligatures w14:val="none"/>
        </w:rPr>
        <w:t>nity</w:t>
      </w:r>
      <w:r>
        <w:rPr>
          <w:rFonts w:ascii="Arial" w:eastAsiaTheme="minorHAnsi" w:hAnsi="Arial" w:cs="Arial"/>
          <w:b/>
          <w:bCs/>
          <w:iCs/>
          <w:kern w:val="0"/>
          <w:lang w:val="en-US" w:eastAsia="en-US"/>
          <w14:ligatures w14:val="none"/>
        </w:rPr>
        <w:fldChar w:fldCharType="end"/>
      </w:r>
    </w:p>
    <w:p w14:paraId="76822B86" w14:textId="77777777" w:rsidR="00891F5D" w:rsidRPr="00891F5D" w:rsidRDefault="00891F5D" w:rsidP="00891F5D">
      <w:pPr>
        <w:autoSpaceDE w:val="0"/>
        <w:autoSpaceDN w:val="0"/>
        <w:adjustRightInd w:val="0"/>
        <w:spacing w:before="240" w:after="0" w:line="480" w:lineRule="auto"/>
        <w:jc w:val="both"/>
        <w:rPr>
          <w:rFonts w:ascii="Arial" w:eastAsiaTheme="minorHAnsi" w:hAnsi="Arial" w:cs="Arial"/>
          <w:iCs/>
          <w:kern w:val="0"/>
          <w:lang w:val="en-US" w:eastAsia="en-US"/>
          <w14:ligatures w14:val="none"/>
        </w:rPr>
      </w:pPr>
      <w:bookmarkStart w:id="485" w:name="133"/>
      <w:bookmarkEnd w:id="482"/>
      <w:bookmarkEnd w:id="483"/>
      <w:bookmarkEnd w:id="484"/>
      <w:r w:rsidRPr="00891F5D">
        <w:rPr>
          <w:rFonts w:ascii="Arial" w:eastAsiaTheme="minorHAnsi" w:hAnsi="Arial" w:cs="Arial"/>
          <w:iCs/>
          <w:kern w:val="0"/>
          <w:lang w:val="en-US" w:eastAsia="en-US"/>
          <w14:ligatures w14:val="none"/>
        </w:rPr>
        <w:t>The second side of the triangle is the opportunity to violate trust. Initially, when the position of trust is obtained, the individual may not perceive any opportunity; however, once the “non-shareable” problem becomes apparent, the trusted person will begin to recognize that there is an opportunity for a resolution, albeit fraudulently. Cressey argued that this shift in perception was based on experience and sources such as associates who engage in fraud or news stories. In addition, these trust violators need to possess the requisite skills and aptitude to commit and hide their fraudulent behavior. Albrecht (2010) suggested that the skill set that allows the trust violators to be hired is the same skill set that can be used to commit the fraud. Thus, a classic example is auditors or accountants who are trained to identify and remedy fraud, but when encountering a “non-shareable” problem they use their knowledge to take advantage of the control system, i.e., a loophole, and hide their fraudulent actions. Lister (2007:64) considered that opportunity as the ‘fuel that keeps the fire going’ and that even if a fraudster had a motive, they could not undertake a fraud without opportunity</w:t>
      </w:r>
      <w:bookmarkEnd w:id="485"/>
      <w:r w:rsidRPr="00891F5D">
        <w:rPr>
          <w:rFonts w:ascii="Arial" w:eastAsiaTheme="minorHAnsi" w:hAnsi="Arial" w:cs="Arial"/>
          <w:iCs/>
          <w:kern w:val="0"/>
          <w:lang w:val="en-US" w:eastAsia="en-US"/>
          <w14:ligatures w14:val="none"/>
        </w:rPr>
        <w:t xml:space="preserve"> which is the view or perception held by fraudsters that (a) trust violations can solve their financial problem, (b) a control weakness has been identified, and (c) the probability of their violation being discovered is low (Dorminey et al.,2012).</w:t>
      </w:r>
    </w:p>
    <w:p w14:paraId="7ACCB6A7" w14:textId="77777777" w:rsidR="00891F5D" w:rsidRPr="00891F5D" w:rsidRDefault="00891F5D" w:rsidP="00891F5D">
      <w:pPr>
        <w:autoSpaceDE w:val="0"/>
        <w:autoSpaceDN w:val="0"/>
        <w:adjustRightInd w:val="0"/>
        <w:spacing w:after="0" w:line="480" w:lineRule="auto"/>
        <w:jc w:val="both"/>
        <w:rPr>
          <w:rFonts w:ascii="Arial" w:eastAsiaTheme="minorHAnsi" w:hAnsi="Arial" w:cs="Arial"/>
          <w:iCs/>
          <w:kern w:val="0"/>
          <w:lang w:val="en-US" w:eastAsia="en-US"/>
          <w14:ligatures w14:val="none"/>
        </w:rPr>
      </w:pPr>
    </w:p>
    <w:bookmarkStart w:id="486" w:name="GG"/>
    <w:bookmarkStart w:id="487" w:name="A33"/>
    <w:bookmarkStart w:id="488" w:name="D46"/>
    <w:p w14:paraId="1A8811FE" w14:textId="42331143" w:rsidR="00891F5D" w:rsidRPr="00891F5D" w:rsidRDefault="00E769FA" w:rsidP="00F73FD6">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both"/>
        <w:rPr>
          <w:rFonts w:ascii="Arial" w:eastAsiaTheme="minorHAnsi" w:hAnsi="Arial" w:cs="Arial"/>
          <w:b/>
          <w:bCs/>
          <w:iCs/>
          <w:kern w:val="0"/>
          <w:lang w:val="en-US" w:eastAsia="en-US"/>
          <w14:ligatures w14:val="none"/>
        </w:rPr>
      </w:pPr>
      <w:r>
        <w:rPr>
          <w:rFonts w:ascii="Arial" w:eastAsiaTheme="minorHAnsi" w:hAnsi="Arial" w:cs="Arial"/>
          <w:b/>
          <w:bCs/>
          <w:iCs/>
          <w:kern w:val="0"/>
          <w:lang w:val="en-US" w:eastAsia="en-US"/>
          <w14:ligatures w14:val="none"/>
        </w:rPr>
        <w:fldChar w:fldCharType="begin"/>
      </w:r>
      <w:r>
        <w:rPr>
          <w:rFonts w:ascii="Arial" w:eastAsiaTheme="minorHAnsi" w:hAnsi="Arial" w:cs="Arial"/>
          <w:b/>
          <w:bCs/>
          <w:iCs/>
          <w:kern w:val="0"/>
          <w:lang w:val="en-US" w:eastAsia="en-US"/>
          <w14:ligatures w14:val="none"/>
        </w:rPr>
        <w:instrText>HYPERLINK  \l "C46"</w:instrText>
      </w:r>
      <w:r>
        <w:rPr>
          <w:rFonts w:ascii="Arial" w:eastAsiaTheme="minorHAnsi" w:hAnsi="Arial" w:cs="Arial"/>
          <w:b/>
          <w:bCs/>
          <w:iCs/>
          <w:kern w:val="0"/>
          <w:lang w:val="en-US" w:eastAsia="en-US"/>
          <w14:ligatures w14:val="none"/>
        </w:rPr>
      </w:r>
      <w:r>
        <w:rPr>
          <w:rFonts w:ascii="Arial" w:eastAsiaTheme="minorHAnsi" w:hAnsi="Arial" w:cs="Arial"/>
          <w:b/>
          <w:bCs/>
          <w:iCs/>
          <w:kern w:val="0"/>
          <w:lang w:val="en-US" w:eastAsia="en-US"/>
          <w14:ligatures w14:val="none"/>
        </w:rPr>
        <w:fldChar w:fldCharType="separate"/>
      </w:r>
      <w:r w:rsidR="00891F5D" w:rsidRPr="00E769FA">
        <w:rPr>
          <w:rStyle w:val="Hyperlink"/>
          <w:rFonts w:ascii="Arial" w:eastAsiaTheme="minorHAnsi" w:hAnsi="Arial" w:cs="Arial"/>
          <w:b/>
          <w:bCs/>
          <w:iCs/>
          <w:kern w:val="0"/>
          <w:lang w:val="en-US" w:eastAsia="en-US"/>
          <w14:ligatures w14:val="none"/>
        </w:rPr>
        <w:t>2.7.3 Rationalisation</w:t>
      </w:r>
      <w:bookmarkStart w:id="489" w:name="136"/>
      <w:r>
        <w:rPr>
          <w:rFonts w:ascii="Arial" w:eastAsiaTheme="minorHAnsi" w:hAnsi="Arial" w:cs="Arial"/>
          <w:b/>
          <w:bCs/>
          <w:iCs/>
          <w:kern w:val="0"/>
          <w:lang w:val="en-US" w:eastAsia="en-US"/>
          <w14:ligatures w14:val="none"/>
        </w:rPr>
        <w:fldChar w:fldCharType="end"/>
      </w:r>
    </w:p>
    <w:bookmarkEnd w:id="486"/>
    <w:bookmarkEnd w:id="487"/>
    <w:bookmarkEnd w:id="488"/>
    <w:p w14:paraId="7126F159" w14:textId="77777777" w:rsidR="00891F5D" w:rsidRPr="00891F5D" w:rsidRDefault="00891F5D" w:rsidP="00891F5D">
      <w:pPr>
        <w:spacing w:before="240"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The third side of the Fraud Triangle is characterized as rationalisation, which is the trust violator’s effort to dampen the inner conflict that occurs (Ramamoorti, 2008). This rationalization allows the fraudster to give expression such as “I am borrowing not stealing” or “All people steal when they get into a tight spot” (Cressey, 1953) to their </w:t>
      </w:r>
      <w:r w:rsidRPr="00891F5D">
        <w:rPr>
          <w:rFonts w:ascii="Arial" w:eastAsiaTheme="minorHAnsi" w:hAnsi="Arial" w:cs="Arial"/>
          <w:kern w:val="0"/>
          <w:lang w:val="en-US" w:eastAsia="en-US"/>
          <w14:ligatures w14:val="none"/>
        </w:rPr>
        <w:lastRenderedPageBreak/>
        <w:t>deed, thus allowing them to maneuver internally between the contradiction of the trusted person and abuse of that trust, to resolve their non-shareable problem. According to theorists, Dorminey et al. (2012) this expression allows fraudsters to justify their misdemeanors and stay within their comfort zone. According to Cressey (1953), many of the fraudsters acknowledged that they were committing a crime but denied any wrongdoing, enabling them to preserve their self-respect (</w:t>
      </w:r>
      <w:proofErr w:type="spellStart"/>
      <w:r w:rsidRPr="00891F5D">
        <w:rPr>
          <w:rFonts w:ascii="Arial" w:eastAsiaTheme="minorHAnsi" w:hAnsi="Arial" w:cs="Arial"/>
          <w:kern w:val="0"/>
          <w:lang w:val="en-US" w:eastAsia="en-US"/>
          <w14:ligatures w14:val="none"/>
        </w:rPr>
        <w:t>Willott</w:t>
      </w:r>
      <w:proofErr w:type="spellEnd"/>
      <w:r w:rsidRPr="00891F5D">
        <w:rPr>
          <w:rFonts w:ascii="Arial" w:eastAsiaTheme="minorHAnsi" w:hAnsi="Arial" w:cs="Arial"/>
          <w:kern w:val="0"/>
          <w:lang w:val="en-US" w:eastAsia="en-US"/>
          <w14:ligatures w14:val="none"/>
        </w:rPr>
        <w:t xml:space="preserve"> et al, 2006). Also, many were first-time offenders who believed that they were honest and had got themselves entangled into a problem (Kassem and Higson, 2012).</w:t>
      </w:r>
    </w:p>
    <w:p w14:paraId="7E05C662"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bookmarkStart w:id="490" w:name="137"/>
      <w:bookmarkEnd w:id="489"/>
      <w:r w:rsidRPr="00891F5D">
        <w:rPr>
          <w:rFonts w:ascii="Arial" w:eastAsiaTheme="minorHAnsi" w:hAnsi="Arial" w:cs="Arial"/>
          <w:kern w:val="0"/>
          <w:lang w:val="en-US" w:eastAsia="en-US"/>
          <w14:ligatures w14:val="none"/>
        </w:rPr>
        <w:t>Researchers, Anand et al (2004) and Piquero et al (2005), argue that rationalization can be further divided into denial of (a) responsibility, (b) injury, and (c) victimization. A denial of responsibility is the fraudsters’ justification that they are left with no options and that, consequently, blame is transferred to the victims, or denial of any personal benefit, making their fraudulent acts selfless. A denial of injury implies that the harm resulting from their trust violation will not hurt anyone, including people in big organizations, or if they are insured, i.e., moral hazard. Finally, denial of victimization occurs when the fraudsters believe that their victims deserve what they are getting or that their revenge is fully justified. The final type of denial is prevalent in toxic workplaces, and a study conducted by Hollinger and Clark (1984) highlighted that it was easier for employees to rationalize theft from disagreeable work environments. Lister (2007:64) defined rationalization as ‘oxygen that keeps the fire burning</w:t>
      </w:r>
      <w:bookmarkStart w:id="491" w:name="138"/>
      <w:bookmarkEnd w:id="490"/>
      <w:r w:rsidRPr="00891F5D">
        <w:rPr>
          <w:rFonts w:ascii="Arial" w:eastAsiaTheme="minorHAnsi" w:hAnsi="Arial" w:cs="Arial"/>
          <w:kern w:val="0"/>
          <w:lang w:val="en-US" w:eastAsia="en-US"/>
          <w14:ligatures w14:val="none"/>
        </w:rPr>
        <w:t>’.</w:t>
      </w:r>
    </w:p>
    <w:p w14:paraId="3E98A2E6" w14:textId="05755FAB"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Thus far the constituents of the Fraud Triangle have been discussed namely pressure, opportunity and rationalization which can be shown in </w:t>
      </w:r>
      <w:bookmarkStart w:id="492" w:name="_Hlk172299124"/>
      <w:r w:rsidRPr="00891F5D">
        <w:rPr>
          <w:rFonts w:ascii="Arial" w:eastAsiaTheme="minorHAnsi" w:hAnsi="Arial" w:cs="Arial"/>
          <w:b/>
          <w:bCs/>
          <w:kern w:val="0"/>
          <w:lang w:eastAsia="en-US"/>
          <w14:ligatures w14:val="none"/>
        </w:rPr>
        <w:t xml:space="preserve">Figure 2.10 Fraud Triangle (Adapted by </w:t>
      </w:r>
      <w:r w:rsidR="00356DF9" w:rsidRPr="00356DF9">
        <w:rPr>
          <w:rFonts w:ascii="Arial" w:eastAsiaTheme="minorHAnsi" w:hAnsi="Arial" w:cs="Arial"/>
          <w:b/>
          <w:bCs/>
          <w:kern w:val="0"/>
          <w:lang w:eastAsia="en-US"/>
          <w14:ligatures w14:val="none"/>
        </w:rPr>
        <w:t>Researcher</w:t>
      </w:r>
      <w:r w:rsidRPr="00356DF9">
        <w:rPr>
          <w:rFonts w:ascii="Arial" w:eastAsiaTheme="minorHAnsi" w:hAnsi="Arial" w:cs="Arial"/>
          <w:b/>
          <w:bCs/>
          <w:kern w:val="0"/>
          <w:lang w:eastAsia="en-US"/>
          <w14:ligatures w14:val="none"/>
        </w:rPr>
        <w:t>)</w:t>
      </w:r>
      <w:bookmarkEnd w:id="492"/>
      <w:r w:rsidRPr="00356DF9">
        <w:rPr>
          <w:rFonts w:ascii="Arial" w:eastAsiaTheme="minorHAnsi" w:hAnsi="Arial" w:cs="Arial"/>
          <w:b/>
          <w:bCs/>
          <w:kern w:val="0"/>
          <w:lang w:eastAsia="en-US"/>
          <w14:ligatures w14:val="none"/>
        </w:rPr>
        <w:t>:</w:t>
      </w:r>
    </w:p>
    <w:p w14:paraId="00AE30CB"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eastAsiaTheme="minorHAnsi"/>
          <w:b/>
          <w:bCs/>
          <w:noProof/>
          <w:kern w:val="0"/>
          <w:sz w:val="22"/>
          <w:szCs w:val="22"/>
          <w:lang w:eastAsia="en-US"/>
          <w14:ligatures w14:val="none"/>
        </w:rPr>
        <w:lastRenderedPageBreak/>
        <w:drawing>
          <wp:inline distT="0" distB="0" distL="0" distR="0" wp14:anchorId="1847B50D" wp14:editId="11F980E7">
            <wp:extent cx="5486400" cy="2761095"/>
            <wp:effectExtent l="0" t="19050" r="0" b="39370"/>
            <wp:docPr id="750083869" name="Diagram 75008386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inline>
        </w:drawing>
      </w:r>
    </w:p>
    <w:p w14:paraId="35928A0E" w14:textId="77777777" w:rsidR="00891F5D" w:rsidRPr="0097370A" w:rsidRDefault="00891F5D" w:rsidP="00891F5D">
      <w:pPr>
        <w:spacing w:after="200" w:line="480" w:lineRule="auto"/>
        <w:jc w:val="both"/>
        <w:rPr>
          <w:rFonts w:ascii="Arial" w:eastAsiaTheme="minorHAnsi" w:hAnsi="Arial" w:cs="Arial"/>
          <w:b/>
          <w:bCs/>
          <w:kern w:val="0"/>
          <w:shd w:val="clear" w:color="auto" w:fill="FFFFFF"/>
          <w:lang w:val="en-US" w:eastAsia="en-US"/>
          <w14:ligatures w14:val="none"/>
        </w:rPr>
      </w:pPr>
      <w:bookmarkStart w:id="493" w:name="139"/>
      <w:bookmarkEnd w:id="491"/>
      <w:r w:rsidRPr="0097370A">
        <w:rPr>
          <w:rFonts w:ascii="Arial" w:eastAsiaTheme="minorHAnsi" w:hAnsi="Arial" w:cs="Arial"/>
          <w:b/>
          <w:bCs/>
          <w:kern w:val="0"/>
          <w:shd w:val="clear" w:color="auto" w:fill="FFFFFF"/>
          <w:lang w:val="en-US" w:eastAsia="en-US"/>
          <w14:ligatures w14:val="none"/>
        </w:rPr>
        <w:t>Figure 2.10 The Fraud Triangle</w:t>
      </w:r>
    </w:p>
    <w:p w14:paraId="51C6F84E"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bookmarkStart w:id="494" w:name="140"/>
      <w:bookmarkEnd w:id="493"/>
      <w:r w:rsidRPr="00891F5D">
        <w:rPr>
          <w:rFonts w:ascii="Arial" w:eastAsiaTheme="minorHAnsi" w:hAnsi="Arial" w:cs="Arial"/>
          <w:kern w:val="0"/>
          <w:lang w:val="en-US" w:eastAsia="en-US"/>
          <w14:ligatures w14:val="none"/>
        </w:rPr>
        <w:t>In 2002 the AICPA incorporated the constituents of the Fraud Triangle into Statement on Auditing Standards 99:</w:t>
      </w:r>
    </w:p>
    <w:p w14:paraId="593096A3"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bookmarkStart w:id="495" w:name="141"/>
      <w:bookmarkEnd w:id="494"/>
      <w:r w:rsidRPr="00891F5D">
        <w:rPr>
          <w:rFonts w:ascii="Arial" w:eastAsiaTheme="minorHAnsi" w:hAnsi="Arial" w:cs="Arial"/>
          <w:kern w:val="0"/>
          <w:lang w:val="en-US" w:eastAsia="en-US"/>
          <w14:ligatures w14:val="none"/>
        </w:rPr>
        <w:t>‘Three conditions generally are present when fraud occurs. First, management or other employees have an incentive or are under pressure, which provides a reason to commit fraud. Second, circumstances exist…that provide for a fraud to be perpetrated. Third, those involved can rationalize committing a fraudulent act’ (AICPA, 2002; AU 316.07).</w:t>
      </w:r>
    </w:p>
    <w:p w14:paraId="380FBDF0"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bookmarkStart w:id="496" w:name="142"/>
      <w:bookmarkEnd w:id="495"/>
      <w:r w:rsidRPr="00891F5D">
        <w:rPr>
          <w:rFonts w:ascii="Arial" w:eastAsiaTheme="minorHAnsi" w:hAnsi="Arial" w:cs="Arial"/>
          <w:kern w:val="0"/>
          <w:lang w:val="en-US" w:eastAsia="en-US"/>
          <w14:ligatures w14:val="none"/>
        </w:rPr>
        <w:t xml:space="preserve">In 2009, the International Auditing and Assurance Standards Board (IAASB) issued an updated version of International Standard on Auditing 240 (ISA 240), which advised that external auditors consider the following three fraud risk factors: pressure to commit Accounting Fraud, which may exist when management is under pressure from external factors to achieve potentially unrealistic earnings; a key individual may exist who is in a position of trust or has knowledge of internal control deficiencies; and, finally, there may exist a culture that allows for the facilitation and therefore </w:t>
      </w:r>
      <w:r w:rsidRPr="00891F5D">
        <w:rPr>
          <w:rFonts w:ascii="Arial" w:eastAsiaTheme="minorHAnsi" w:hAnsi="Arial" w:cs="Arial"/>
          <w:kern w:val="0"/>
          <w:lang w:val="en-US" w:eastAsia="en-US"/>
          <w14:ligatures w14:val="none"/>
        </w:rPr>
        <w:lastRenderedPageBreak/>
        <w:t>rationalization of fraud. The Fraud Triangle underpins the work of the ACFE (ACFE 2016; Lokanan, 2015).</w:t>
      </w:r>
    </w:p>
    <w:bookmarkStart w:id="497" w:name="HH"/>
    <w:bookmarkStart w:id="498" w:name="A34"/>
    <w:bookmarkStart w:id="499" w:name="D47"/>
    <w:bookmarkEnd w:id="496"/>
    <w:p w14:paraId="4EF6680B" w14:textId="65208587" w:rsidR="00891F5D" w:rsidRPr="00891F5D" w:rsidRDefault="00B52F1A" w:rsidP="00F73FD6">
      <w:pPr>
        <w:pBdr>
          <w:top w:val="single" w:sz="4" w:space="1" w:color="auto"/>
          <w:left w:val="single" w:sz="4" w:space="4" w:color="auto"/>
          <w:bottom w:val="single" w:sz="4" w:space="1" w:color="auto"/>
          <w:right w:val="single" w:sz="4" w:space="4" w:color="auto"/>
        </w:pBdr>
        <w:spacing w:after="200" w:line="24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"C47"</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B52F1A">
        <w:rPr>
          <w:rStyle w:val="Hyperlink"/>
          <w:rFonts w:ascii="Arial" w:eastAsiaTheme="minorHAnsi" w:hAnsi="Arial" w:cs="Arial"/>
          <w:b/>
          <w:bCs/>
          <w:kern w:val="0"/>
          <w:lang w:val="en-US" w:eastAsia="en-US"/>
          <w14:ligatures w14:val="none"/>
        </w:rPr>
        <w:t>2.7.4 Evaluation of the Fraud Triangle</w:t>
      </w:r>
      <w:bookmarkStart w:id="500" w:name="144"/>
      <w:r>
        <w:rPr>
          <w:rFonts w:ascii="Arial" w:eastAsiaTheme="minorHAnsi" w:hAnsi="Arial" w:cs="Arial"/>
          <w:b/>
          <w:bCs/>
          <w:kern w:val="0"/>
          <w:lang w:val="en-US" w:eastAsia="en-US"/>
          <w14:ligatures w14:val="none"/>
        </w:rPr>
        <w:fldChar w:fldCharType="end"/>
      </w:r>
    </w:p>
    <w:bookmarkEnd w:id="497"/>
    <w:bookmarkEnd w:id="498"/>
    <w:bookmarkEnd w:id="499"/>
    <w:p w14:paraId="5E024F40" w14:textId="1D7876D6" w:rsidR="00891F5D" w:rsidRPr="00891F5D" w:rsidRDefault="00891F5D" w:rsidP="00891F5D">
      <w:pPr>
        <w:spacing w:after="200"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val="en-US" w:eastAsia="en-US"/>
          <w14:ligatures w14:val="none"/>
        </w:rPr>
        <w:t xml:space="preserve">The </w:t>
      </w:r>
      <w:r w:rsidR="008D2FA2">
        <w:rPr>
          <w:rFonts w:ascii="Arial" w:eastAsiaTheme="minorHAnsi" w:hAnsi="Arial" w:cs="Arial"/>
          <w:kern w:val="0"/>
          <w:lang w:eastAsia="en-US"/>
          <w14:ligatures w14:val="none"/>
        </w:rPr>
        <w:t>researcher</w:t>
      </w:r>
      <w:r w:rsidRPr="00891F5D">
        <w:rPr>
          <w:rFonts w:ascii="Arial" w:eastAsiaTheme="minorHAnsi" w:hAnsi="Arial" w:cs="Arial"/>
          <w:kern w:val="0"/>
          <w:lang w:val="en-US" w:eastAsia="en-US"/>
          <w14:ligatures w14:val="none"/>
        </w:rPr>
        <w:t xml:space="preserve"> will now examine literature that appears to support the Fraud Triangle. Loebbecke et al. (1989) developed a model that assessed the probability of significant Accounting Fraud or management fraud. Their model confirms that for fraud to take place it requires three important variables: motive, “a weak system or opportunity,” and fraudsters who can rationalize their actions. According to this model, if any of the latter conditions is missing, it is improbable that Accounting Fraud will take </w:t>
      </w:r>
      <w:bookmarkStart w:id="501" w:name="145"/>
      <w:bookmarkEnd w:id="500"/>
      <w:r w:rsidRPr="00891F5D">
        <w:rPr>
          <w:rFonts w:ascii="Arial" w:eastAsiaTheme="minorHAnsi" w:hAnsi="Arial" w:cs="Arial"/>
          <w:kern w:val="0"/>
          <w:lang w:val="en-US" w:eastAsia="en-US"/>
          <w14:ligatures w14:val="none"/>
        </w:rPr>
        <w:t>place.</w:t>
      </w:r>
      <w:r w:rsidRPr="00891F5D">
        <w:rPr>
          <w:rFonts w:ascii="Arial" w:eastAsiaTheme="minorHAnsi" w:hAnsi="Arial" w:cs="Arial"/>
          <w:kern w:val="0"/>
          <w:lang w:eastAsia="en-US"/>
          <w14:ligatures w14:val="none"/>
        </w:rPr>
        <w:t xml:space="preserve"> Bell and Carcello (2000) created a logistic regression model that predicted the frequency of fraud that supported all three conditions of the Fraud Triangle. This was validated by another academic, Rezaee (2005) who found Fraud Triangle conditions in his sample of fraudulent companies. A robust, 2006, fraud prediction model, Skousen and Wright (2006), based on Fraud Triangle conditions, correctly classified fraud and nonfraud approximately 70 percent of the time. The model incorporated factors that were substitutes for pressure, opportunity, and rationalization. However, Kassem (2016) argued that the rationalization variables in the latter study were weak. A similar Taiwanese study conducted by Chen and Elder 2007) found that all their pressure proxy variables for rationalization were linked to a higher probability of Accounting Fraud. An interesting conceptual study by Choo and Tan (2007) argued that corporate fraud could be better understood by combining the constituents of American Dream Theory (excessive focus on monetary success, exploitation of regulatory protocols, and the rationalization of fraudulent behaviour) and the Fraud Triangle (Pressure, Opportunity, and Rationalization).</w:t>
      </w:r>
    </w:p>
    <w:p w14:paraId="19A7419D"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bookmarkStart w:id="502" w:name="146"/>
      <w:bookmarkEnd w:id="501"/>
      <w:r w:rsidRPr="00891F5D">
        <w:rPr>
          <w:rFonts w:ascii="Arial" w:eastAsiaTheme="minorHAnsi" w:hAnsi="Arial" w:cs="Arial"/>
          <w:kern w:val="0"/>
          <w:lang w:val="en-US" w:eastAsia="en-US"/>
          <w14:ligatures w14:val="none"/>
        </w:rPr>
        <w:lastRenderedPageBreak/>
        <w:t>Albrecht et al. (2008) analyzed major accounting scandals utilizing the lens of the Fraud Triangle of the past 10 years. They concluded that greed, opportunities such as aggressive applications of GAAP, and, thirdly, rationalization such as a lack of ethics education, were the major reasons for such major Accounting Frauds. Albrecht et al.’s (2010) study of four major South Korean conglomerates found that they were vulnerable to fraud as per the Fraud Triangle variables of pressure, opportunity, and rationalization.</w:t>
      </w:r>
      <w:bookmarkStart w:id="503" w:name="147"/>
      <w:bookmarkEnd w:id="502"/>
    </w:p>
    <w:p w14:paraId="408CE513"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Before critiquing the individual constituents of the Fraud Triangle, a notable problem with the model is whether it is a general theory of financial crime because it originally studied embezzlers (</w:t>
      </w:r>
      <w:r w:rsidRPr="00891F5D">
        <w:rPr>
          <w:rFonts w:ascii="Arial" w:eastAsiaTheme="minorHAnsi" w:hAnsi="Arial" w:cs="Arial"/>
          <w:kern w:val="0"/>
          <w:lang w:eastAsia="en-US"/>
          <w14:ligatures w14:val="none"/>
        </w:rPr>
        <w:t>Piquero et al, 2005, Dorminey et al 2012)</w:t>
      </w:r>
      <w:r w:rsidRPr="00891F5D">
        <w:rPr>
          <w:rFonts w:ascii="Arial" w:eastAsiaTheme="minorHAnsi" w:hAnsi="Arial" w:cs="Arial"/>
          <w:kern w:val="0"/>
          <w:lang w:val="en-US" w:eastAsia="en-US"/>
          <w14:ligatures w14:val="none"/>
        </w:rPr>
        <w:t xml:space="preserve">. It is argued by Wall and Fogarty (2016) that the Fraud Triangle is a </w:t>
      </w:r>
      <w:r w:rsidRPr="00891F5D">
        <w:rPr>
          <w:rFonts w:ascii="Arial" w:eastAsiaTheme="minorHAnsi" w:hAnsi="Arial" w:cs="Arial"/>
          <w:i/>
          <w:iCs/>
          <w:kern w:val="0"/>
          <w:lang w:val="en-US" w:eastAsia="en-US"/>
          <w14:ligatures w14:val="none"/>
        </w:rPr>
        <w:t>framework</w:t>
      </w:r>
      <w:r w:rsidRPr="00891F5D">
        <w:rPr>
          <w:rFonts w:ascii="Arial" w:eastAsiaTheme="minorHAnsi" w:hAnsi="Arial" w:cs="Arial"/>
          <w:kern w:val="0"/>
          <w:lang w:val="en-US" w:eastAsia="en-US"/>
          <w14:ligatures w14:val="none"/>
        </w:rPr>
        <w:t xml:space="preserve"> rather than a </w:t>
      </w:r>
      <w:r w:rsidRPr="00891F5D">
        <w:rPr>
          <w:rFonts w:ascii="Arial" w:eastAsiaTheme="minorHAnsi" w:hAnsi="Arial" w:cs="Arial"/>
          <w:i/>
          <w:iCs/>
          <w:kern w:val="0"/>
          <w:lang w:val="en-US" w:eastAsia="en-US"/>
          <w14:ligatures w14:val="none"/>
        </w:rPr>
        <w:t>fraud theory</w:t>
      </w:r>
      <w:r w:rsidRPr="00891F5D">
        <w:rPr>
          <w:rFonts w:ascii="Arial" w:eastAsiaTheme="minorHAnsi" w:hAnsi="Arial" w:cs="Arial"/>
          <w:kern w:val="0"/>
          <w:lang w:val="en-US" w:eastAsia="en-US"/>
          <w14:ligatures w14:val="none"/>
        </w:rPr>
        <w:t xml:space="preserve"> and that there is therefore no fraud theory.</w:t>
      </w:r>
      <w:bookmarkStart w:id="504" w:name="148"/>
      <w:bookmarkEnd w:id="503"/>
    </w:p>
    <w:p w14:paraId="783CD6DA"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Apparently, Albrecht (2014) coined the phrase “Fraud Triangle,” in 1991, when he and his team of researchers conducted a 1979 study in which they generalized Cressey’s original model to relate to all types of fraud. Morales et al (2014) contacted the ACFE confirmed that “Dr. Cressey developed the three items (incentive, opportunity, and rationalization), but he did not call it the Fraud Triangle” (cited </w:t>
      </w:r>
      <w:bookmarkStart w:id="505" w:name="_Hlk42342669"/>
      <w:r w:rsidRPr="00891F5D">
        <w:rPr>
          <w:rFonts w:ascii="Arial" w:eastAsiaTheme="minorHAnsi" w:hAnsi="Arial" w:cs="Arial"/>
          <w:kern w:val="0"/>
          <w:lang w:val="en-US" w:eastAsia="en-US"/>
          <w14:ligatures w14:val="none"/>
        </w:rPr>
        <w:t>Huber, 2016</w:t>
      </w:r>
      <w:bookmarkEnd w:id="505"/>
      <w:r w:rsidRPr="00891F5D">
        <w:rPr>
          <w:rFonts w:ascii="Arial" w:eastAsiaTheme="minorHAnsi" w:hAnsi="Arial" w:cs="Arial"/>
          <w:kern w:val="0"/>
          <w:lang w:val="en-US" w:eastAsia="en-US"/>
          <w14:ligatures w14:val="none"/>
        </w:rPr>
        <w:t xml:space="preserve">). Huber (2016) argues that Cressey agreed to the promotion of the “Fraud Triangle” because it was constructed on his work, and the founder of the ACFE, Dr. Wells, required Cressey’s tacit endorsement for the creation of ACFE. Lokanan (2015:202) states that “the fraud triangle endorses a body of knowledge that lacks the objective criteria required to adequately address every occurrence of fraud.” He suggested that “[t]he ACFE’s discourse conceptualizes fraud as a dishonest act perpetuated by an individual for personal enrichment,” thus ignoring other influences. He further states that ACFE “perpetuates a discourse that presents a restricted version of fraud. Fraud </w:t>
      </w:r>
      <w:r w:rsidRPr="00891F5D">
        <w:rPr>
          <w:rFonts w:ascii="Arial" w:eastAsiaTheme="minorHAnsi" w:hAnsi="Arial" w:cs="Arial"/>
          <w:kern w:val="0"/>
          <w:lang w:val="en-US" w:eastAsia="en-US"/>
          <w14:ligatures w14:val="none"/>
        </w:rPr>
        <w:lastRenderedPageBreak/>
        <w:t>is a multifaceted phenomenon, whose contextual factors may not fit into a framework. Consequently, the fraud triangle should not be taken as a sufficiently reliable model for anti-fraud professionals.”</w:t>
      </w:r>
    </w:p>
    <w:p w14:paraId="510B57F0"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bookmarkStart w:id="506" w:name="149"/>
      <w:bookmarkEnd w:id="504"/>
      <w:r w:rsidRPr="00891F5D">
        <w:rPr>
          <w:rFonts w:ascii="Arial" w:eastAsiaTheme="minorHAnsi" w:hAnsi="Arial" w:cs="Arial"/>
          <w:kern w:val="0"/>
          <w:lang w:val="en-US" w:eastAsia="en-US"/>
          <w14:ligatures w14:val="none"/>
        </w:rPr>
        <w:t>According to Huber (2016), researchers such as Skousen et al. (2009:53) are incorrect in their assertion that the “Cressey (1953) model contends that, to some extent, three conditions are always present when financial statement fraud occurs.”, which was also supported by</w:t>
      </w:r>
      <w:r w:rsidRPr="00891F5D">
        <w:rPr>
          <w:rFonts w:ascii="Arial" w:eastAsiaTheme="minorHAnsi" w:hAnsi="Arial" w:cs="Arial"/>
          <w:kern w:val="0"/>
          <w:lang w:eastAsia="en-US"/>
          <w14:ligatures w14:val="none"/>
        </w:rPr>
        <w:t xml:space="preserve"> Desai et al (2010) and Favere-Marchesi (2009).</w:t>
      </w:r>
      <w:r w:rsidRPr="00891F5D">
        <w:rPr>
          <w:rFonts w:ascii="Arial" w:eastAsiaTheme="minorHAnsi" w:hAnsi="Arial" w:cs="Arial"/>
          <w:kern w:val="0"/>
          <w:lang w:val="en-US" w:eastAsia="en-US"/>
          <w14:ligatures w14:val="none"/>
        </w:rPr>
        <w:t xml:space="preserve"> </w:t>
      </w:r>
    </w:p>
    <w:p w14:paraId="3B397E03"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bookmarkStart w:id="507" w:name="150"/>
      <w:bookmarkEnd w:id="506"/>
      <w:r w:rsidRPr="00891F5D">
        <w:rPr>
          <w:rFonts w:ascii="Arial" w:eastAsiaTheme="minorHAnsi" w:hAnsi="Arial" w:cs="Arial"/>
          <w:kern w:val="0"/>
          <w:lang w:val="en-US" w:eastAsia="en-US"/>
          <w14:ligatures w14:val="none"/>
        </w:rPr>
        <w:t>It is contended by Donegan and Ganon (2008) that the Fraud Triangle lacks empirical rigor and ignores other factors that could contribute to fraud. Thus, for example, Becker (1968), researching from an economic standpoint, argued that a fraudster will weigh up the potential benefits and the costs from punishment, i.e., cost-benefit analysis. It has been highlighted by Dellaportas (2013) that the fraud triangle is equilateral, implying that each side carries equal credence, but this has not been established to date. Some researchers such as Cieslewicz (2012) argue that the Fraud Triangle is “U.S.-centric” and that until it incorporates societal-level factors such as culture it will remain deficient.</w:t>
      </w:r>
      <w:bookmarkStart w:id="508" w:name="151"/>
      <w:bookmarkEnd w:id="507"/>
    </w:p>
    <w:p w14:paraId="27A3FB2E"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It is maintained by Free (2015) that empirical studies using the Fraud Triangle are flawed, although it is acknowledged that it is difficult to undertake this type of research. Rationalization has received little attention and may not “even be observable,” and, thirdly, the Fraud Triangle is based on a single criminal, whereas recent frauds such as Enron were executed by multiple actors and that collusion is an important factor in fraud (The last points will be explored in greater detail). Morales et al.’s (2014) critical study on a genealogy of the Fraud Triangle states that it lacks a sound explanation for collusive fraud and has become a professional tool for the ACFE at the expense of </w:t>
      </w:r>
      <w:r w:rsidRPr="00891F5D">
        <w:rPr>
          <w:rFonts w:ascii="Arial" w:eastAsiaTheme="minorHAnsi" w:hAnsi="Arial" w:cs="Arial"/>
          <w:kern w:val="0"/>
          <w:lang w:val="en-US" w:eastAsia="en-US"/>
          <w14:ligatures w14:val="none"/>
        </w:rPr>
        <w:lastRenderedPageBreak/>
        <w:t>“micro-sociological” and “macro-sociological” theories of financial crime. Trompeter et al (2013) argue that the Fraud Triangle ignores group dynamics and other nonfinancial motives such as greed and revenge (Ramamoorti, 2008). An in-depth study by Ramamoorti et al. (2009) of 1,500 executives concluded that “keeping up with the Joneses” was a major motive for fraud. Therefore, non-shareable information is not enough to trigger fraudulent behavior.</w:t>
      </w:r>
      <w:bookmarkStart w:id="509" w:name="152"/>
      <w:bookmarkEnd w:id="508"/>
    </w:p>
    <w:p w14:paraId="58E7CF21"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Beginning with the pressure side, researchers such as Coleman (2002) have argued whether a non-shareable problem is even a necessary facet of fraud and whether theft can be explained by a need for further money. On the opportunity side, Krancher et al have argued that other nonfinancial variables need to be considered, such as ego and ideology, that force fraudsters to undertake their crimes. It has also been augured that Cressey’s model does not consider whether the trust violator has the capability that is necessary to undertake and conceal the fraud (Wolfe and Hermanson, 2004). It is suggested by Hasnan et al (2013), that the opportunity to undertake fraud is prevalent in firms that lack a strong corporate governance structure which is also supported by Rezaee (2005). </w:t>
      </w:r>
      <w:bookmarkStart w:id="510" w:name="153"/>
      <w:bookmarkEnd w:id="509"/>
    </w:p>
    <w:p w14:paraId="50020066" w14:textId="2E66537E"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Finally, on the rationalization side, it is argued by </w:t>
      </w:r>
      <w:r w:rsidR="008317C2" w:rsidRPr="00891F5D">
        <w:rPr>
          <w:rFonts w:ascii="Arial" w:eastAsiaTheme="minorHAnsi" w:hAnsi="Arial" w:cs="Arial"/>
          <w:kern w:val="0"/>
          <w:lang w:val="en-US" w:eastAsia="en-US"/>
          <w14:ligatures w14:val="none"/>
        </w:rPr>
        <w:t>Albrecht</w:t>
      </w:r>
      <w:r w:rsidRPr="00891F5D">
        <w:rPr>
          <w:rFonts w:ascii="Arial" w:eastAsiaTheme="minorHAnsi" w:hAnsi="Arial" w:cs="Arial"/>
          <w:kern w:val="0"/>
          <w:lang w:val="en-US" w:eastAsia="en-US"/>
          <w14:ligatures w14:val="none"/>
        </w:rPr>
        <w:t xml:space="preserve"> et al (1984) that rationalization is difficult to discern and report and suggested that it should be replaced by “personal integrity,” which is easier to study. Other </w:t>
      </w:r>
      <w:r w:rsidR="008D2FA2">
        <w:rPr>
          <w:rFonts w:ascii="Arial" w:eastAsiaTheme="minorHAnsi" w:hAnsi="Arial" w:cs="Arial"/>
          <w:kern w:val="0"/>
          <w:lang w:eastAsia="en-US"/>
          <w14:ligatures w14:val="none"/>
        </w:rPr>
        <w:t>researcher</w:t>
      </w:r>
      <w:r w:rsidRPr="00891F5D">
        <w:rPr>
          <w:rFonts w:ascii="Arial" w:eastAsiaTheme="minorHAnsi" w:hAnsi="Arial" w:cs="Arial"/>
          <w:kern w:val="0"/>
          <w:lang w:val="en-US" w:eastAsia="en-US"/>
          <w14:ligatures w14:val="none"/>
        </w:rPr>
        <w:t>s including Dormi</w:t>
      </w:r>
      <w:r w:rsidR="008317C2">
        <w:rPr>
          <w:rFonts w:ascii="Arial" w:eastAsiaTheme="minorHAnsi" w:hAnsi="Arial" w:cs="Arial"/>
          <w:kern w:val="0"/>
          <w:lang w:val="en-US" w:eastAsia="en-US"/>
          <w14:ligatures w14:val="none"/>
        </w:rPr>
        <w:t>ne</w:t>
      </w:r>
      <w:r w:rsidRPr="00891F5D">
        <w:rPr>
          <w:rFonts w:ascii="Arial" w:eastAsiaTheme="minorHAnsi" w:hAnsi="Arial" w:cs="Arial"/>
          <w:kern w:val="0"/>
          <w:lang w:val="en-US" w:eastAsia="en-US"/>
          <w14:ligatures w14:val="none"/>
        </w:rPr>
        <w:t xml:space="preserve">y et al. (2010) state that a major weakness of the Fraud Triangle is pressure, and that rationalization cannot be easily observed. Cohen et al. (2010) combined the Fraud Triangle and the Theory of Planned Behavior (TPB), which highlighted personality traits as key fraud risk factors. Their study of words linked with rationalization were found to be more prevalent in fraudulent firms in contrast to a sample of control firms. Murphy and Dacin (2011) created a model that expanded the rationalization side of </w:t>
      </w:r>
      <w:r w:rsidRPr="00891F5D">
        <w:rPr>
          <w:rFonts w:ascii="Arial" w:eastAsiaTheme="minorHAnsi" w:hAnsi="Arial" w:cs="Arial"/>
          <w:kern w:val="0"/>
          <w:lang w:val="en-US" w:eastAsia="en-US"/>
          <w14:ligatures w14:val="none"/>
        </w:rPr>
        <w:lastRenderedPageBreak/>
        <w:t>the Fraud Triangle to incorporate three psychological routes to fraud, namely, poor consciousness, perception in conjunction with rationalization and thinking.</w:t>
      </w:r>
      <w:bookmarkEnd w:id="510"/>
      <w:r w:rsidRPr="00891F5D">
        <w:rPr>
          <w:rFonts w:ascii="Arial" w:eastAsiaTheme="minorHAnsi" w:hAnsi="Arial" w:cs="Arial"/>
          <w:kern w:val="0"/>
          <w:lang w:val="en-US" w:eastAsia="en-US"/>
          <w14:ligatures w14:val="none"/>
        </w:rPr>
        <w:t xml:space="preserve"> Collectively, these criticisms have led to extensions and updates of the original Fraud </w:t>
      </w:r>
      <w:bookmarkStart w:id="511" w:name="A35"/>
      <w:r w:rsidRPr="00891F5D">
        <w:rPr>
          <w:rFonts w:ascii="Arial" w:eastAsiaTheme="minorHAnsi" w:hAnsi="Arial" w:cs="Arial"/>
          <w:kern w:val="0"/>
          <w:lang w:val="en-US" w:eastAsia="en-US"/>
          <w14:ligatures w14:val="none"/>
        </w:rPr>
        <w:t>Triangle, which will now be examined.</w:t>
      </w:r>
    </w:p>
    <w:bookmarkStart w:id="512" w:name="_Hlk165288757"/>
    <w:bookmarkStart w:id="513" w:name="D48"/>
    <w:p w14:paraId="77D639F8" w14:textId="40DE43A5" w:rsidR="00891F5D" w:rsidRPr="00891F5D" w:rsidRDefault="00E769FA" w:rsidP="00313C9C">
      <w:pPr>
        <w:pBdr>
          <w:top w:val="single" w:sz="4" w:space="1" w:color="auto"/>
          <w:left w:val="single" w:sz="4" w:space="4" w:color="auto"/>
          <w:bottom w:val="single" w:sz="4" w:space="1" w:color="auto"/>
          <w:right w:val="single" w:sz="4" w:space="4" w:color="auto"/>
        </w:pBdr>
        <w:spacing w:after="200" w:line="24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"C48"</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E769FA">
        <w:rPr>
          <w:rStyle w:val="Hyperlink"/>
          <w:rFonts w:ascii="Arial" w:eastAsiaTheme="minorHAnsi" w:hAnsi="Arial" w:cs="Arial"/>
          <w:b/>
          <w:bCs/>
          <w:kern w:val="0"/>
          <w:lang w:val="en-US" w:eastAsia="en-US"/>
          <w14:ligatures w14:val="none"/>
        </w:rPr>
        <w:t>2.7.4.1 The Triangle of Fraud Action</w:t>
      </w:r>
      <w:bookmarkStart w:id="514" w:name="156"/>
      <w:r>
        <w:rPr>
          <w:rFonts w:ascii="Arial" w:eastAsiaTheme="minorHAnsi" w:hAnsi="Arial" w:cs="Arial"/>
          <w:b/>
          <w:bCs/>
          <w:kern w:val="0"/>
          <w:lang w:val="en-US" w:eastAsia="en-US"/>
          <w14:ligatures w14:val="none"/>
        </w:rPr>
        <w:fldChar w:fldCharType="end"/>
      </w:r>
    </w:p>
    <w:bookmarkEnd w:id="511"/>
    <w:bookmarkEnd w:id="512"/>
    <w:bookmarkEnd w:id="513"/>
    <w:p w14:paraId="707AD507" w14:textId="4A3F679F" w:rsidR="00891F5D" w:rsidRPr="00891F5D" w:rsidRDefault="00891F5D" w:rsidP="00891F5D">
      <w:pPr>
        <w:spacing w:after="200" w:line="480" w:lineRule="auto"/>
        <w:jc w:val="both"/>
        <w:rPr>
          <w:rFonts w:ascii="Arial" w:eastAsiaTheme="minorHAnsi" w:hAnsi="Arial" w:cs="Arial"/>
          <w:kern w:val="0"/>
          <w:lang w:val="fr-FR" w:eastAsia="en-US"/>
          <w14:ligatures w14:val="none"/>
        </w:rPr>
      </w:pPr>
      <w:r w:rsidRPr="00891F5D">
        <w:rPr>
          <w:rFonts w:ascii="Arial" w:eastAsiaTheme="minorHAnsi" w:hAnsi="Arial" w:cs="Arial"/>
          <w:kern w:val="0"/>
          <w:lang w:val="en-US" w:eastAsia="en-US"/>
          <w14:ligatures w14:val="none"/>
        </w:rPr>
        <w:t>The Triangle of Fraud Action, also known as the Elements of Fraud (Kranacher et al., 2011), in contrast to the Fraud Triangle, concentrates on the actions of a fraudster rather than the conditions under which fraud occurs. The Triangle of Fraud Action differentiates between the white-collar criminal (whose actions are illustrated by the Fraud Triangle) and the white-collar crime (Dorminey et al,2012). Rather than opportunity, pressure, and rationalization, the Triangle of Fraud Action comprises of the following observable components, namely, concealment, conversion, and the act.</w:t>
      </w:r>
      <w:r w:rsidRPr="00891F5D">
        <w:rPr>
          <w:rFonts w:ascii="Arial" w:eastAsiaTheme="minorHAnsi" w:hAnsi="Arial" w:cs="Arial"/>
          <w:kern w:val="0"/>
          <w:lang w:eastAsia="en-US"/>
          <w14:ligatures w14:val="none"/>
        </w:rPr>
        <w:t xml:space="preserve"> </w:t>
      </w:r>
      <w:r w:rsidRPr="00891F5D">
        <w:rPr>
          <w:rFonts w:ascii="Arial" w:eastAsiaTheme="minorHAnsi" w:hAnsi="Arial" w:cs="Arial"/>
          <w:kern w:val="0"/>
          <w:lang w:val="fr-FR" w:eastAsia="en-US"/>
          <w14:ligatures w14:val="none"/>
        </w:rPr>
        <w:t xml:space="preserve">(Albrecht et al 2006, </w:t>
      </w:r>
      <w:r w:rsidR="00900EEB" w:rsidRPr="00891F5D">
        <w:rPr>
          <w:rFonts w:ascii="Arial" w:eastAsiaTheme="minorHAnsi" w:hAnsi="Arial" w:cs="Arial"/>
          <w:kern w:val="0"/>
          <w:lang w:val="fr-FR" w:eastAsia="en-US"/>
          <w14:ligatures w14:val="none"/>
        </w:rPr>
        <w:t>Kranacher</w:t>
      </w:r>
      <w:r w:rsidRPr="00891F5D">
        <w:rPr>
          <w:rFonts w:ascii="Arial" w:eastAsiaTheme="minorHAnsi" w:hAnsi="Arial" w:cs="Arial"/>
          <w:kern w:val="0"/>
          <w:lang w:val="fr-FR" w:eastAsia="en-US"/>
          <w14:ligatures w14:val="none"/>
        </w:rPr>
        <w:t xml:space="preserve"> et al., 2010, Lala et al., 2014 and Ramamoorti et al., 2009)</w:t>
      </w:r>
    </w:p>
    <w:bookmarkEnd w:id="514"/>
    <w:p w14:paraId="4EF2E2EB" w14:textId="4229F63E" w:rsidR="00204187" w:rsidRPr="00891F5D" w:rsidRDefault="00891F5D" w:rsidP="00313C9C">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Concealment is the effort expended to hide the fraudulent act such as “cooking the books” or shredding documentation. Conversion is the method utilized by the criminal to legitimize the fraud, such as overstating receivables to maximize revenue or money laundering. The act is the technique used by the perpetrator to commit the fraud, such as Accounting Fraud </w:t>
      </w:r>
      <w:bookmarkStart w:id="515" w:name="_Hlk86512428"/>
      <w:r w:rsidRPr="00891F5D">
        <w:rPr>
          <w:rFonts w:ascii="Arial" w:eastAsiaTheme="minorHAnsi" w:hAnsi="Arial" w:cs="Arial"/>
          <w:kern w:val="0"/>
          <w:lang w:val="en-US" w:eastAsia="en-US"/>
          <w14:ligatures w14:val="none"/>
        </w:rPr>
        <w:t xml:space="preserve">(Dorminey et al, 2012). </w:t>
      </w:r>
      <w:bookmarkEnd w:id="515"/>
      <w:r w:rsidRPr="00891F5D">
        <w:rPr>
          <w:rFonts w:ascii="Arial" w:eastAsiaTheme="minorHAnsi" w:hAnsi="Arial" w:cs="Arial"/>
          <w:kern w:val="0"/>
          <w:lang w:val="en-US" w:eastAsia="en-US"/>
          <w14:ligatures w14:val="none"/>
        </w:rPr>
        <w:t>The Triangle of Fraud Action emphasizes the weak areas in the business rather than the conditions necessary to induce the fraudster. Therefore, it is a useful tool in preventing, detecting, and deterring fraud and consequently makes it difficult for the fraudster to deny the act. It is stated that since all three elements are observable, it is a more robust model of fraud than the Fraud Triangle (</w:t>
      </w:r>
      <w:r w:rsidRPr="00891F5D">
        <w:rPr>
          <w:rFonts w:ascii="Arial" w:eastAsiaTheme="minorHAnsi" w:hAnsi="Arial" w:cs="Arial"/>
          <w:kern w:val="0"/>
          <w:lang w:eastAsia="en-US"/>
          <w14:ligatures w14:val="none"/>
        </w:rPr>
        <w:t>Lala et al, 2014;</w:t>
      </w:r>
      <w:r w:rsidRPr="00891F5D">
        <w:rPr>
          <w:rFonts w:ascii="Arial" w:eastAsiaTheme="minorHAnsi" w:hAnsi="Arial" w:cs="Arial"/>
          <w:kern w:val="0"/>
          <w:lang w:val="en-US" w:eastAsia="en-US"/>
          <w14:ligatures w14:val="none"/>
        </w:rPr>
        <w:t xml:space="preserve"> Dorminey et al, 2012).</w:t>
      </w:r>
    </w:p>
    <w:bookmarkStart w:id="516" w:name="_Hlk165288725"/>
    <w:bookmarkStart w:id="517" w:name="KK"/>
    <w:bookmarkStart w:id="518" w:name="A36"/>
    <w:bookmarkStart w:id="519" w:name="D49"/>
    <w:p w14:paraId="6F341057" w14:textId="1990465E" w:rsidR="00891F5D" w:rsidRPr="00891F5D" w:rsidRDefault="00C55C45" w:rsidP="00313C9C">
      <w:pPr>
        <w:pBdr>
          <w:top w:val="single" w:sz="4" w:space="1" w:color="auto"/>
          <w:left w:val="single" w:sz="4" w:space="4" w:color="auto"/>
          <w:bottom w:val="single" w:sz="4" w:space="1" w:color="auto"/>
          <w:right w:val="single" w:sz="4" w:space="4" w:color="auto"/>
        </w:pBdr>
        <w:spacing w:after="200" w:line="240" w:lineRule="auto"/>
        <w:ind w:right="424"/>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lastRenderedPageBreak/>
        <w:fldChar w:fldCharType="begin"/>
      </w:r>
      <w:r>
        <w:rPr>
          <w:rFonts w:ascii="Arial" w:eastAsiaTheme="minorHAnsi" w:hAnsi="Arial" w:cs="Arial"/>
          <w:b/>
          <w:bCs/>
          <w:kern w:val="0"/>
          <w:lang w:val="en-US" w:eastAsia="en-US"/>
          <w14:ligatures w14:val="none"/>
        </w:rPr>
        <w:instrText>HYPERLINK  \l "C49"</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C55C45">
        <w:rPr>
          <w:rStyle w:val="Hyperlink"/>
          <w:rFonts w:ascii="Arial" w:eastAsiaTheme="minorHAnsi" w:hAnsi="Arial" w:cs="Arial"/>
          <w:b/>
          <w:bCs/>
          <w:kern w:val="0"/>
          <w:lang w:val="en-US" w:eastAsia="en-US"/>
          <w14:ligatures w14:val="none"/>
        </w:rPr>
        <w:t>2.7.4.2 The Fraud Scale</w:t>
      </w:r>
      <w:r>
        <w:rPr>
          <w:rFonts w:ascii="Arial" w:eastAsiaTheme="minorHAnsi" w:hAnsi="Arial" w:cs="Arial"/>
          <w:b/>
          <w:bCs/>
          <w:kern w:val="0"/>
          <w:lang w:val="en-US" w:eastAsia="en-US"/>
          <w14:ligatures w14:val="none"/>
        </w:rPr>
        <w:fldChar w:fldCharType="end"/>
      </w:r>
    </w:p>
    <w:bookmarkEnd w:id="516"/>
    <w:bookmarkEnd w:id="517"/>
    <w:bookmarkEnd w:id="518"/>
    <w:bookmarkEnd w:id="519"/>
    <w:p w14:paraId="3B63BFF5"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The Fraud Scale was created after a study conducted by the Albrecht et al. (1984), which showed that the </w:t>
      </w:r>
      <w:bookmarkStart w:id="520" w:name="_Hlk141968467"/>
      <w:r w:rsidRPr="00891F5D">
        <w:rPr>
          <w:rFonts w:ascii="Arial" w:eastAsiaTheme="minorHAnsi" w:hAnsi="Arial" w:cs="Arial"/>
          <w:kern w:val="0"/>
          <w:lang w:val="en-US" w:eastAsia="en-US"/>
          <w14:ligatures w14:val="none"/>
        </w:rPr>
        <w:t xml:space="preserve">Fraud Triangle was a poor predictor of fraud </w:t>
      </w:r>
      <w:bookmarkEnd w:id="520"/>
      <w:r w:rsidRPr="00891F5D">
        <w:rPr>
          <w:rFonts w:ascii="Arial" w:eastAsiaTheme="minorHAnsi" w:hAnsi="Arial" w:cs="Arial"/>
          <w:kern w:val="0"/>
          <w:lang w:val="en-US" w:eastAsia="en-US"/>
          <w14:ligatures w14:val="none"/>
        </w:rPr>
        <w:t>and that it was difficult to profile fraudsters (Kassem and Higson, 2012). The Fraud Scale eliminates the rationalization element of the Fraud Triangle and replaces it with personal integrity.</w:t>
      </w:r>
      <w:bookmarkStart w:id="521" w:name="160"/>
    </w:p>
    <w:p w14:paraId="339DB4FE" w14:textId="060052E7" w:rsidR="00313C9C" w:rsidRPr="00891F5D" w:rsidRDefault="00891F5D" w:rsidP="00844C6F">
      <w:pPr>
        <w:spacing w:after="200" w:line="480" w:lineRule="auto"/>
        <w:jc w:val="both"/>
        <w:rPr>
          <w:rFonts w:ascii="Arial" w:eastAsiaTheme="minorHAnsi" w:hAnsi="Arial" w:cs="Arial"/>
          <w:b/>
          <w:bCs/>
          <w:kern w:val="0"/>
          <w:lang w:val="en-US" w:eastAsia="en-US"/>
          <w14:ligatures w14:val="none"/>
        </w:rPr>
      </w:pPr>
      <w:r w:rsidRPr="00891F5D">
        <w:rPr>
          <w:rFonts w:ascii="Arial" w:eastAsiaTheme="minorHAnsi" w:hAnsi="Arial" w:cs="Arial"/>
          <w:kern w:val="0"/>
          <w:lang w:val="en-US" w:eastAsia="en-US"/>
          <w14:ligatures w14:val="none"/>
        </w:rPr>
        <w:t xml:space="preserve">The three features of the Fraud Scale can be modified to assess the probability of the fraud taking place. The scale has two arms: The left arm accommodates great opportunity and low personal integrity; the right arm has low pressure, lesser opportunity, and high personal integrity. Cancino (2010) explains if the scale, </w:t>
      </w:r>
      <w:r w:rsidRPr="00891F5D">
        <w:rPr>
          <w:rFonts w:ascii="Arial" w:eastAsiaTheme="minorHAnsi" w:hAnsi="Arial" w:cs="Arial"/>
          <w:b/>
          <w:bCs/>
          <w:kern w:val="0"/>
          <w:lang w:val="en-US" w:eastAsia="en-US"/>
          <w14:ligatures w14:val="none"/>
        </w:rPr>
        <w:t>Figure 2.11</w:t>
      </w:r>
      <w:r w:rsidRPr="00891F5D">
        <w:rPr>
          <w:rFonts w:ascii="Arial" w:eastAsiaTheme="minorHAnsi" w:hAnsi="Arial" w:cs="Arial"/>
          <w:kern w:val="0"/>
          <w:lang w:val="en-US" w:eastAsia="en-US"/>
          <w14:ligatures w14:val="none"/>
        </w:rPr>
        <w:t xml:space="preserve">, moves to the left, there is a greater probability of fraud occurring because these conditions result in a higher fraud risk; and the opposite is true if the scale tilts to the right. Finally, Albrecht et al. (1984) concludes if someone has a low level of personal </w:t>
      </w:r>
      <w:r w:rsidRPr="00891F5D">
        <w:rPr>
          <w:rFonts w:ascii="Arial" w:eastAsiaTheme="minorHAnsi" w:hAnsi="Arial" w:cs="Arial"/>
          <w:b/>
          <w:bCs/>
          <w:kern w:val="0"/>
          <w:lang w:val="en-US" w:eastAsia="en-US"/>
          <w14:ligatures w14:val="none"/>
        </w:rPr>
        <w:t>integrity, both the probability of rationalization and fraud risk will increase.</w:t>
      </w:r>
      <w:bookmarkEnd w:id="521"/>
    </w:p>
    <w:p w14:paraId="1E9A6EDE" w14:textId="77777777" w:rsidR="00891F5D" w:rsidRPr="00891F5D" w:rsidRDefault="00891F5D" w:rsidP="00891F5D">
      <w:pPr>
        <w:spacing w:after="200" w:line="480" w:lineRule="auto"/>
        <w:jc w:val="both"/>
        <w:rPr>
          <w:rFonts w:ascii="Arial" w:eastAsiaTheme="minorHAnsi" w:hAnsi="Arial" w:cs="Arial"/>
          <w:b/>
          <w:bCs/>
          <w:kern w:val="0"/>
          <w:lang w:val="en-US" w:eastAsia="en-US"/>
          <w14:ligatures w14:val="none"/>
        </w:rPr>
      </w:pPr>
      <w:r w:rsidRPr="00891F5D">
        <w:rPr>
          <w:rFonts w:ascii="Arial" w:eastAsiaTheme="minorHAnsi" w:hAnsi="Arial" w:cs="Arial"/>
          <w:b/>
          <w:bCs/>
          <w:kern w:val="0"/>
          <w:lang w:val="en-US" w:eastAsia="en-US"/>
          <w14:ligatures w14:val="none"/>
        </w:rPr>
        <w:t xml:space="preserve">Figure 2.11 The Fraud Scale </w:t>
      </w:r>
    </w:p>
    <w:p w14:paraId="259BF29F" w14:textId="77777777" w:rsidR="00891F5D" w:rsidRPr="00891F5D" w:rsidRDefault="00891F5D" w:rsidP="00891F5D">
      <w:pPr>
        <w:spacing w:after="200" w:line="480" w:lineRule="auto"/>
        <w:jc w:val="both"/>
        <w:rPr>
          <w:rFonts w:ascii="Arial" w:eastAsiaTheme="minorHAnsi" w:hAnsi="Arial" w:cs="Arial"/>
          <w:kern w:val="0"/>
          <w:sz w:val="22"/>
          <w:szCs w:val="22"/>
          <w:lang w:eastAsia="en-US"/>
          <w14:ligatures w14:val="none"/>
        </w:rPr>
      </w:pPr>
      <w:r w:rsidRPr="00891F5D">
        <w:rPr>
          <w:rFonts w:ascii="Arial" w:eastAsiaTheme="minorHAnsi" w:hAnsi="Arial" w:cs="Arial"/>
          <w:noProof/>
          <w:kern w:val="0"/>
          <w:bdr w:val="none" w:sz="0" w:space="0" w:color="auto" w:frame="1"/>
          <w:lang w:eastAsia="en-US"/>
          <w14:ligatures w14:val="none"/>
        </w:rPr>
        <w:drawing>
          <wp:inline distT="0" distB="0" distL="0" distR="0" wp14:anchorId="2BD2D4D8" wp14:editId="64672F68">
            <wp:extent cx="5632450" cy="2421521"/>
            <wp:effectExtent l="0" t="0" r="6350" b="0"/>
            <wp:docPr id="13" name="Picture 3" descr="Image result for Fraud Scale">
              <a:hlinkClick xmlns:a="http://schemas.openxmlformats.org/drawingml/2006/main" r:id="rId32"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result for Fraud Scale">
                      <a:hlinkClick r:id="rId32" tgtFrame="&quot;_blank&quot;"/>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695645" cy="2448690"/>
                    </a:xfrm>
                    <a:prstGeom prst="rect">
                      <a:avLst/>
                    </a:prstGeom>
                    <a:noFill/>
                    <a:ln>
                      <a:noFill/>
                    </a:ln>
                  </pic:spPr>
                </pic:pic>
              </a:graphicData>
            </a:graphic>
          </wp:inline>
        </w:drawing>
      </w:r>
    </w:p>
    <w:p w14:paraId="6AB78B89" w14:textId="77777777" w:rsidR="00891F5D" w:rsidRDefault="00891F5D" w:rsidP="00891F5D">
      <w:pPr>
        <w:spacing w:after="200" w:line="480" w:lineRule="auto"/>
        <w:jc w:val="both"/>
        <w:rPr>
          <w:rFonts w:ascii="Arial" w:eastAsiaTheme="minorHAnsi" w:hAnsi="Arial" w:cs="Arial"/>
          <w:kern w:val="0"/>
          <w:sz w:val="22"/>
          <w:szCs w:val="22"/>
          <w:lang w:eastAsia="en-US"/>
          <w14:ligatures w14:val="none"/>
        </w:rPr>
      </w:pPr>
      <w:r w:rsidRPr="00891F5D">
        <w:rPr>
          <w:rFonts w:ascii="Arial" w:eastAsiaTheme="minorHAnsi" w:hAnsi="Arial" w:cs="Arial"/>
          <w:kern w:val="0"/>
          <w:sz w:val="22"/>
          <w:szCs w:val="22"/>
          <w:lang w:eastAsia="en-US"/>
          <w14:ligatures w14:val="none"/>
        </w:rPr>
        <w:t>Source: Seprianhidayatmin.wordpress.com</w:t>
      </w:r>
    </w:p>
    <w:p w14:paraId="42D1C69A" w14:textId="77777777" w:rsidR="0097370A" w:rsidRPr="00891F5D" w:rsidRDefault="0097370A" w:rsidP="00891F5D">
      <w:pPr>
        <w:spacing w:after="200" w:line="480" w:lineRule="auto"/>
        <w:jc w:val="both"/>
        <w:rPr>
          <w:rFonts w:ascii="Arial" w:eastAsiaTheme="minorHAnsi" w:hAnsi="Arial" w:cs="Arial"/>
          <w:kern w:val="0"/>
          <w:lang w:val="en-US" w:eastAsia="en-US"/>
          <w14:ligatures w14:val="none"/>
        </w:rPr>
      </w:pPr>
    </w:p>
    <w:bookmarkStart w:id="522" w:name="_Hlk165288694"/>
    <w:bookmarkStart w:id="523" w:name="A37"/>
    <w:bookmarkStart w:id="524" w:name="D50"/>
    <w:p w14:paraId="1E70F571" w14:textId="7BFC0393" w:rsidR="00891F5D" w:rsidRPr="00891F5D" w:rsidRDefault="00876DB5" w:rsidP="00313C9C">
      <w:pPr>
        <w:pBdr>
          <w:top w:val="single" w:sz="4" w:space="1" w:color="auto"/>
          <w:left w:val="single" w:sz="4" w:space="4" w:color="auto"/>
          <w:bottom w:val="single" w:sz="4" w:space="1" w:color="auto"/>
          <w:right w:val="single" w:sz="4" w:space="4" w:color="auto"/>
        </w:pBdr>
        <w:spacing w:after="200" w:line="24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lastRenderedPageBreak/>
        <w:fldChar w:fldCharType="begin"/>
      </w:r>
      <w:r>
        <w:rPr>
          <w:rFonts w:ascii="Arial" w:eastAsiaTheme="minorHAnsi" w:hAnsi="Arial" w:cs="Arial"/>
          <w:b/>
          <w:bCs/>
          <w:kern w:val="0"/>
          <w:lang w:val="en-US" w:eastAsia="en-US"/>
          <w14:ligatures w14:val="none"/>
        </w:rPr>
        <w:instrText>HYPERLINK  \l "C50"</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876DB5">
        <w:rPr>
          <w:rStyle w:val="Hyperlink"/>
          <w:rFonts w:ascii="Arial" w:eastAsiaTheme="minorHAnsi" w:hAnsi="Arial" w:cs="Arial"/>
          <w:b/>
          <w:bCs/>
          <w:kern w:val="0"/>
          <w:lang w:val="en-US" w:eastAsia="en-US"/>
          <w14:ligatures w14:val="none"/>
        </w:rPr>
        <w:t xml:space="preserve"> </w:t>
      </w:r>
      <w:bookmarkStart w:id="525" w:name="LL"/>
      <w:r w:rsidR="00891F5D" w:rsidRPr="00876DB5">
        <w:rPr>
          <w:rStyle w:val="Hyperlink"/>
          <w:rFonts w:ascii="Arial" w:eastAsiaTheme="minorHAnsi" w:hAnsi="Arial" w:cs="Arial"/>
          <w:b/>
          <w:bCs/>
          <w:kern w:val="0"/>
          <w:lang w:val="en-US" w:eastAsia="en-US"/>
          <w14:ligatures w14:val="none"/>
        </w:rPr>
        <w:t xml:space="preserve">2.7.4.3 M I </w:t>
      </w:r>
      <w:r w:rsidR="00891F5D" w:rsidRPr="00876DB5">
        <w:rPr>
          <w:rStyle w:val="Hyperlink"/>
          <w:rFonts w:ascii="Arial" w:eastAsiaTheme="minorHAnsi" w:hAnsi="Arial" w:cs="Arial"/>
          <w:b/>
          <w:bCs/>
          <w:kern w:val="0"/>
          <w:lang w:val="en-US" w:eastAsia="en-US"/>
          <w14:ligatures w14:val="none"/>
        </w:rPr>
        <w:t>C E</w:t>
      </w:r>
      <w:bookmarkEnd w:id="525"/>
      <w:r>
        <w:rPr>
          <w:rFonts w:ascii="Arial" w:eastAsiaTheme="minorHAnsi" w:hAnsi="Arial" w:cs="Arial"/>
          <w:b/>
          <w:bCs/>
          <w:kern w:val="0"/>
          <w:lang w:val="en-US" w:eastAsia="en-US"/>
          <w14:ligatures w14:val="none"/>
        </w:rPr>
        <w:fldChar w:fldCharType="end"/>
      </w:r>
    </w:p>
    <w:bookmarkEnd w:id="522"/>
    <w:bookmarkEnd w:id="523"/>
    <w:bookmarkEnd w:id="524"/>
    <w:p w14:paraId="6E84AE63"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Cressey (1950, 1953) argued that a non-shareable problem was the trigger for fraudulent behavior. However, recent major accounting scandals have demonstrated that fraudsters do not need non-shareable problems to undertake fraud. Dorminey et al. (2012) have highlighted that senior employees who have been convicted of fraud did not suffer from non-shareable problems such as a gambling addiction. Coleman (2002) argued that the major driver of fraud was a high self-image coupled with a competitive culture. Therefore, social status can pressurize an executive to engage in white-collar crime when there is no apparent financial issue (Ramamoorti et al, 2009)..</w:t>
      </w:r>
    </w:p>
    <w:p w14:paraId="732310F6" w14:textId="6BD54F0C" w:rsidR="00891F5D" w:rsidRPr="00891F5D" w:rsidRDefault="00891F5D" w:rsidP="00891F5D">
      <w:pPr>
        <w:spacing w:after="200" w:line="480" w:lineRule="auto"/>
        <w:jc w:val="both"/>
        <w:rPr>
          <w:rFonts w:ascii="Arial" w:eastAsiaTheme="minorHAnsi" w:hAnsi="Arial" w:cs="Arial"/>
          <w:kern w:val="0"/>
          <w:lang w:val="en-US" w:eastAsia="en-US"/>
          <w14:ligatures w14:val="none"/>
        </w:rPr>
      </w:pPr>
      <w:bookmarkStart w:id="526" w:name="163"/>
      <w:r w:rsidRPr="00891F5D">
        <w:rPr>
          <w:rFonts w:ascii="Arial" w:eastAsiaTheme="minorHAnsi" w:hAnsi="Arial" w:cs="Arial"/>
          <w:kern w:val="0"/>
          <w:lang w:val="en-US" w:eastAsia="en-US"/>
          <w14:ligatures w14:val="none"/>
        </w:rPr>
        <w:t xml:space="preserve">These observations led to the creation of the MICE </w:t>
      </w:r>
      <w:r w:rsidRPr="00891F5D">
        <w:rPr>
          <w:rFonts w:ascii="Arial" w:eastAsiaTheme="minorHAnsi" w:hAnsi="Arial" w:cs="Arial"/>
          <w:kern w:val="0"/>
          <w:lang w:eastAsia="en-US"/>
          <w14:ligatures w14:val="none"/>
        </w:rPr>
        <w:t>(Dorminey et al. 2012, Kassem &amp; Higson, 2012, Kran</w:t>
      </w:r>
      <w:r w:rsidR="00900EEB">
        <w:rPr>
          <w:rFonts w:ascii="Arial" w:eastAsiaTheme="minorHAnsi" w:hAnsi="Arial" w:cs="Arial"/>
          <w:kern w:val="0"/>
          <w:lang w:eastAsia="en-US"/>
          <w14:ligatures w14:val="none"/>
        </w:rPr>
        <w:t>a</w:t>
      </w:r>
      <w:r w:rsidRPr="00891F5D">
        <w:rPr>
          <w:rFonts w:ascii="Arial" w:eastAsiaTheme="minorHAnsi" w:hAnsi="Arial" w:cs="Arial"/>
          <w:kern w:val="0"/>
          <w:lang w:eastAsia="en-US"/>
          <w14:ligatures w14:val="none"/>
        </w:rPr>
        <w:t>cher et al., 2010)</w:t>
      </w:r>
      <w:r w:rsidRPr="00891F5D">
        <w:rPr>
          <w:rFonts w:ascii="Arial" w:eastAsiaTheme="minorHAnsi" w:hAnsi="Arial" w:cs="Arial"/>
          <w:kern w:val="0"/>
          <w:lang w:val="en-US" w:eastAsia="en-US"/>
          <w14:ligatures w14:val="none"/>
        </w:rPr>
        <w:t xml:space="preserve"> which amplifies the pressure side of the Fraud Triangle). The MICE variables are motivators to commit fraud: M stands for the pressure of money, I </w:t>
      </w:r>
      <w:proofErr w:type="gramStart"/>
      <w:r w:rsidRPr="00891F5D">
        <w:rPr>
          <w:rFonts w:ascii="Arial" w:eastAsiaTheme="minorHAnsi" w:hAnsi="Arial" w:cs="Arial"/>
          <w:kern w:val="0"/>
          <w:lang w:val="en-US" w:eastAsia="en-US"/>
          <w14:ligatures w14:val="none"/>
        </w:rPr>
        <w:t>is</w:t>
      </w:r>
      <w:proofErr w:type="gramEnd"/>
      <w:r w:rsidRPr="00891F5D">
        <w:rPr>
          <w:rFonts w:ascii="Arial" w:eastAsiaTheme="minorHAnsi" w:hAnsi="Arial" w:cs="Arial"/>
          <w:kern w:val="0"/>
          <w:lang w:val="en-US" w:eastAsia="en-US"/>
          <w14:ligatures w14:val="none"/>
        </w:rPr>
        <w:t xml:space="preserve"> for ideology, C represents coercion, and E is ego or entitlement. The model is considered a framework that can be utilized to understand the motives of fraudsters </w:t>
      </w:r>
      <w:r w:rsidRPr="00891F5D">
        <w:rPr>
          <w:rFonts w:ascii="Arial" w:eastAsiaTheme="minorHAnsi" w:hAnsi="Arial" w:cs="Arial"/>
          <w:kern w:val="0"/>
          <w:lang w:eastAsia="en-US"/>
          <w14:ligatures w14:val="none"/>
        </w:rPr>
        <w:t>(Dorminey et al. 2012, Kassem &amp; Higson, 2012, Kran</w:t>
      </w:r>
      <w:r w:rsidR="00900EEB">
        <w:rPr>
          <w:rFonts w:ascii="Arial" w:eastAsiaTheme="minorHAnsi" w:hAnsi="Arial" w:cs="Arial"/>
          <w:kern w:val="0"/>
          <w:lang w:eastAsia="en-US"/>
          <w14:ligatures w14:val="none"/>
        </w:rPr>
        <w:t>a</w:t>
      </w:r>
      <w:r w:rsidRPr="00891F5D">
        <w:rPr>
          <w:rFonts w:ascii="Arial" w:eastAsiaTheme="minorHAnsi" w:hAnsi="Arial" w:cs="Arial"/>
          <w:kern w:val="0"/>
          <w:lang w:eastAsia="en-US"/>
          <w14:ligatures w14:val="none"/>
        </w:rPr>
        <w:t>cher et al., 2010)</w:t>
      </w:r>
      <w:r w:rsidRPr="00891F5D">
        <w:rPr>
          <w:rFonts w:ascii="Arial" w:eastAsiaTheme="minorHAnsi" w:hAnsi="Arial" w:cs="Arial"/>
          <w:kern w:val="0"/>
          <w:lang w:val="en-US" w:eastAsia="en-US"/>
          <w14:ligatures w14:val="none"/>
        </w:rPr>
        <w:t>.</w:t>
      </w:r>
    </w:p>
    <w:bookmarkStart w:id="527" w:name="_Hlk165288674"/>
    <w:bookmarkStart w:id="528" w:name="MM"/>
    <w:bookmarkStart w:id="529" w:name="A38"/>
    <w:bookmarkStart w:id="530" w:name="D51"/>
    <w:bookmarkEnd w:id="526"/>
    <w:p w14:paraId="234E9718" w14:textId="5442AAFF" w:rsidR="00891F5D" w:rsidRPr="00FD7324" w:rsidRDefault="00FD7324" w:rsidP="00313C9C">
      <w:pPr>
        <w:pBdr>
          <w:top w:val="single" w:sz="4" w:space="1" w:color="auto"/>
          <w:left w:val="single" w:sz="4" w:space="4" w:color="auto"/>
          <w:bottom w:val="single" w:sz="4" w:space="1" w:color="auto"/>
          <w:right w:val="single" w:sz="4" w:space="4" w:color="auto"/>
        </w:pBdr>
        <w:spacing w:after="200" w:line="240" w:lineRule="auto"/>
        <w:jc w:val="both"/>
        <w:rPr>
          <w:rStyle w:val="Hyperlink"/>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"C51"</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FD7324">
        <w:rPr>
          <w:rStyle w:val="Hyperlink"/>
          <w:rFonts w:ascii="Arial" w:eastAsiaTheme="minorHAnsi" w:hAnsi="Arial" w:cs="Arial"/>
          <w:b/>
          <w:bCs/>
          <w:kern w:val="0"/>
          <w:lang w:val="en-US" w:eastAsia="en-US"/>
          <w14:ligatures w14:val="none"/>
        </w:rPr>
        <w:t>2.7.4.4 The Fraud Diamond</w:t>
      </w:r>
    </w:p>
    <w:bookmarkStart w:id="531" w:name="165"/>
    <w:bookmarkEnd w:id="527"/>
    <w:bookmarkEnd w:id="528"/>
    <w:bookmarkEnd w:id="529"/>
    <w:bookmarkEnd w:id="530"/>
    <w:p w14:paraId="217FB1E2" w14:textId="421B786E" w:rsidR="00313C9C" w:rsidRPr="00891F5D" w:rsidRDefault="00FD7324" w:rsidP="00313C9C">
      <w:pPr>
        <w:spacing w:after="200" w:line="480" w:lineRule="auto"/>
        <w:jc w:val="both"/>
        <w:rPr>
          <w:rFonts w:ascii="Arial" w:eastAsiaTheme="minorHAnsi" w:hAnsi="Arial" w:cs="Arial"/>
          <w:kern w:val="0"/>
          <w:lang w:val="en-US" w:eastAsia="en-US"/>
          <w14:ligatures w14:val="none"/>
        </w:rPr>
      </w:pPr>
      <w:r>
        <w:rPr>
          <w:rFonts w:ascii="Arial" w:eastAsiaTheme="minorHAnsi" w:hAnsi="Arial" w:cs="Arial"/>
          <w:b/>
          <w:bCs/>
          <w:kern w:val="0"/>
          <w:lang w:val="en-US" w:eastAsia="en-US"/>
          <w14:ligatures w14:val="none"/>
        </w:rPr>
        <w:fldChar w:fldCharType="end"/>
      </w:r>
      <w:r w:rsidR="00891F5D" w:rsidRPr="00891F5D">
        <w:rPr>
          <w:rFonts w:ascii="Arial" w:eastAsiaTheme="minorHAnsi" w:hAnsi="Arial" w:cs="Arial"/>
          <w:kern w:val="0"/>
          <w:lang w:val="en-US" w:eastAsia="en-US"/>
          <w14:ligatures w14:val="none"/>
        </w:rPr>
        <w:t>The Fraud Diamond extended the Fraud Triangle by adding another element, namely</w:t>
      </w:r>
      <w:r w:rsidR="00891F5D" w:rsidRPr="00891F5D">
        <w:rPr>
          <w:rFonts w:ascii="Arial" w:eastAsiaTheme="minorHAnsi" w:hAnsi="Arial" w:cs="Arial"/>
          <w:i/>
          <w:iCs/>
          <w:kern w:val="0"/>
          <w:lang w:val="en-US" w:eastAsia="en-US"/>
          <w14:ligatures w14:val="none"/>
        </w:rPr>
        <w:t xml:space="preserve">, capability of a fraudster, </w:t>
      </w:r>
      <w:r w:rsidR="00891F5D" w:rsidRPr="00891F5D">
        <w:rPr>
          <w:rFonts w:ascii="Arial" w:eastAsiaTheme="minorHAnsi" w:hAnsi="Arial" w:cs="Arial"/>
          <w:kern w:val="0"/>
          <w:lang w:val="en-US" w:eastAsia="en-US"/>
          <w14:ligatures w14:val="none"/>
        </w:rPr>
        <w:t xml:space="preserve">see </w:t>
      </w:r>
      <w:r w:rsidR="00891F5D" w:rsidRPr="00891F5D">
        <w:rPr>
          <w:rFonts w:ascii="Arial" w:eastAsiaTheme="minorHAnsi" w:hAnsi="Arial" w:cs="Arial"/>
          <w:b/>
          <w:bCs/>
          <w:kern w:val="0"/>
          <w:lang w:val="en-US" w:eastAsia="en-US"/>
          <w14:ligatures w14:val="none"/>
        </w:rPr>
        <w:t>Figure 2.12,</w:t>
      </w:r>
      <w:r w:rsidR="00891F5D" w:rsidRPr="00891F5D">
        <w:rPr>
          <w:rFonts w:ascii="Arial" w:eastAsiaTheme="minorHAnsi" w:hAnsi="Arial" w:cs="Arial"/>
          <w:i/>
          <w:iCs/>
          <w:kern w:val="0"/>
          <w:lang w:val="en-US" w:eastAsia="en-US"/>
          <w14:ligatures w14:val="none"/>
        </w:rPr>
        <w:t xml:space="preserve"> </w:t>
      </w:r>
      <w:r w:rsidR="00891F5D" w:rsidRPr="00891F5D">
        <w:rPr>
          <w:rFonts w:ascii="Arial" w:eastAsiaTheme="minorHAnsi" w:hAnsi="Arial" w:cs="Arial"/>
          <w:kern w:val="0"/>
          <w:lang w:eastAsia="en-US"/>
          <w14:ligatures w14:val="none"/>
        </w:rPr>
        <w:t xml:space="preserve">(Carcello &amp; Hermanson, 2008; Tugas, 2012; </w:t>
      </w:r>
      <w:bookmarkStart w:id="532" w:name="_Hlk10115364"/>
      <w:r w:rsidR="00891F5D" w:rsidRPr="00891F5D">
        <w:rPr>
          <w:rFonts w:ascii="Arial" w:eastAsiaTheme="minorHAnsi" w:hAnsi="Arial" w:cs="Arial"/>
          <w:kern w:val="0"/>
          <w:lang w:eastAsia="en-US"/>
          <w14:ligatures w14:val="none"/>
        </w:rPr>
        <w:t>Wolfe &amp; Hermanson, 2004</w:t>
      </w:r>
      <w:bookmarkEnd w:id="532"/>
      <w:r w:rsidR="00891F5D" w:rsidRPr="00891F5D">
        <w:rPr>
          <w:rFonts w:ascii="Arial" w:eastAsiaTheme="minorHAnsi" w:hAnsi="Arial" w:cs="Arial"/>
          <w:kern w:val="0"/>
          <w:lang w:eastAsia="en-US"/>
          <w14:ligatures w14:val="none"/>
        </w:rPr>
        <w:t>)</w:t>
      </w:r>
      <w:r w:rsidR="00891F5D" w:rsidRPr="00891F5D">
        <w:rPr>
          <w:rFonts w:ascii="Arial" w:eastAsiaTheme="minorHAnsi" w:hAnsi="Arial" w:cs="Arial"/>
          <w:kern w:val="0"/>
          <w:lang w:val="en-US" w:eastAsia="en-US"/>
          <w14:ligatures w14:val="none"/>
        </w:rPr>
        <w:t>, which plays a major role in the execution of fraud even if pressure, opportunity, and rationalization is present. Wolfe and Hermanson (2004) argue that the capability is the most important factor when a fraud is committed, because the fraudster has discovered the opportunity to commit the fraud and is convinced that they possess the necessary skills and attitude to successfully execute it (Dellaportas, 2013)</w:t>
      </w:r>
    </w:p>
    <w:p w14:paraId="1F4B43D4" w14:textId="71AFD43D" w:rsidR="00844C6F" w:rsidRPr="00891F5D" w:rsidRDefault="00891F5D" w:rsidP="0097370A">
      <w:pPr>
        <w:spacing w:after="200" w:line="480" w:lineRule="auto"/>
        <w:jc w:val="both"/>
        <w:rPr>
          <w:rFonts w:ascii="Arial" w:eastAsiaTheme="minorHAnsi" w:hAnsi="Arial" w:cs="Arial"/>
          <w:kern w:val="0"/>
          <w:lang w:val="en-US" w:eastAsia="en-US"/>
          <w14:ligatures w14:val="none"/>
        </w:rPr>
      </w:pPr>
      <w:bookmarkStart w:id="533" w:name="166"/>
      <w:bookmarkEnd w:id="531"/>
      <w:r w:rsidRPr="00891F5D">
        <w:rPr>
          <w:rFonts w:ascii="Arial" w:eastAsiaTheme="minorHAnsi" w:hAnsi="Arial" w:cs="Arial"/>
          <w:kern w:val="0"/>
          <w:lang w:val="en-US" w:eastAsia="en-US"/>
          <w14:ligatures w14:val="none"/>
        </w:rPr>
        <w:lastRenderedPageBreak/>
        <w:t xml:space="preserve">Wolfe and Hermanson (2004) identify the six features of a </w:t>
      </w:r>
      <w:r w:rsidRPr="00891F5D">
        <w:rPr>
          <w:rFonts w:ascii="Arial" w:eastAsiaTheme="minorHAnsi" w:hAnsi="Arial" w:cs="Arial"/>
          <w:i/>
          <w:iCs/>
          <w:kern w:val="0"/>
          <w:lang w:val="en-US" w:eastAsia="en-US"/>
          <w14:ligatures w14:val="none"/>
        </w:rPr>
        <w:t>capable fraudster</w:t>
      </w:r>
      <w:r w:rsidRPr="00891F5D">
        <w:rPr>
          <w:rFonts w:ascii="Arial" w:eastAsiaTheme="minorHAnsi" w:hAnsi="Arial" w:cs="Arial"/>
          <w:kern w:val="0"/>
          <w:lang w:val="en-US" w:eastAsia="en-US"/>
          <w14:ligatures w14:val="none"/>
        </w:rPr>
        <w:t xml:space="preserve">  as follows: The person, firstly, has an important position; secondly, the intellectual equipment to undertake the fraud; thirdly, the requisite confidence; fourthly, the ability to intimidate actors to help them undertake the fraud; fifthly, the ability to habitually lie in order to maintain their position; and, finally, resistance to significant levels of stress because fraud can be a complex and drawn-out affair (Pavlo and Weinberg, 2007).</w:t>
      </w:r>
    </w:p>
    <w:p w14:paraId="767F1C82" w14:textId="77777777" w:rsidR="00891F5D" w:rsidRPr="00891F5D" w:rsidRDefault="00891F5D" w:rsidP="00891F5D">
      <w:pPr>
        <w:spacing w:after="200" w:line="480" w:lineRule="auto"/>
        <w:jc w:val="both"/>
        <w:rPr>
          <w:rFonts w:ascii="Arial" w:eastAsiaTheme="minorHAnsi" w:hAnsi="Arial" w:cs="Arial"/>
          <w:b/>
          <w:bCs/>
          <w:kern w:val="0"/>
          <w:shd w:val="clear" w:color="auto" w:fill="FFFFFF"/>
          <w:lang w:val="en-US" w:eastAsia="en-US"/>
          <w14:ligatures w14:val="none"/>
        </w:rPr>
      </w:pPr>
      <w:r w:rsidRPr="00891F5D">
        <w:rPr>
          <w:rFonts w:ascii="Arial" w:eastAsiaTheme="minorHAnsi" w:hAnsi="Arial" w:cs="Arial"/>
          <w:b/>
          <w:bCs/>
          <w:kern w:val="0"/>
          <w:shd w:val="clear" w:color="auto" w:fill="FFFFFF"/>
          <w:lang w:val="en-US" w:eastAsia="en-US"/>
          <w14:ligatures w14:val="none"/>
        </w:rPr>
        <w:t xml:space="preserve">Figure 2.12 The Fraud Diamond </w:t>
      </w:r>
    </w:p>
    <w:p w14:paraId="0575AE67" w14:textId="77777777" w:rsidR="00891F5D" w:rsidRPr="00891F5D" w:rsidRDefault="00891F5D" w:rsidP="00891F5D">
      <w:pPr>
        <w:spacing w:after="200" w:line="480" w:lineRule="auto"/>
        <w:jc w:val="both"/>
        <w:rPr>
          <w:rFonts w:ascii="Arial" w:eastAsiaTheme="minorHAnsi" w:hAnsi="Arial" w:cs="Arial"/>
          <w:kern w:val="0"/>
          <w:sz w:val="22"/>
          <w:szCs w:val="22"/>
          <w:lang w:eastAsia="en-US"/>
          <w14:ligatures w14:val="none"/>
        </w:rPr>
      </w:pPr>
      <w:r w:rsidRPr="00891F5D">
        <w:rPr>
          <w:rFonts w:ascii="Arial" w:eastAsiaTheme="minorHAnsi" w:hAnsi="Arial" w:cs="Arial"/>
          <w:noProof/>
          <w:kern w:val="0"/>
          <w:bdr w:val="none" w:sz="0" w:space="0" w:color="auto" w:frame="1"/>
          <w:lang w:eastAsia="en-US"/>
          <w14:ligatures w14:val="none"/>
        </w:rPr>
        <w:drawing>
          <wp:inline distT="0" distB="0" distL="0" distR="0" wp14:anchorId="66F48D25" wp14:editId="4BD3D808">
            <wp:extent cx="5727700" cy="2701870"/>
            <wp:effectExtent l="0" t="0" r="6350" b="3810"/>
            <wp:docPr id="14" name="Picture 14" descr="Image result for Fraud Diamond">
              <a:hlinkClick xmlns:a="http://schemas.openxmlformats.org/drawingml/2006/main" r:id="rId34"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Fraud Diamond">
                      <a:hlinkClick r:id="rId34" tgtFrame="&quot;_blank&quot;"/>
                    </pic:cNvPr>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817041" cy="2744014"/>
                    </a:xfrm>
                    <a:prstGeom prst="rect">
                      <a:avLst/>
                    </a:prstGeom>
                    <a:noFill/>
                    <a:ln>
                      <a:noFill/>
                    </a:ln>
                  </pic:spPr>
                </pic:pic>
              </a:graphicData>
            </a:graphic>
          </wp:inline>
        </w:drawing>
      </w:r>
    </w:p>
    <w:p w14:paraId="63070542" w14:textId="289987FF" w:rsidR="002B3F52" w:rsidRPr="002B3F52" w:rsidRDefault="00891F5D" w:rsidP="00C0703D">
      <w:pPr>
        <w:spacing w:after="200" w:line="480" w:lineRule="auto"/>
        <w:jc w:val="both"/>
        <w:rPr>
          <w:rFonts w:ascii="Arial" w:eastAsiaTheme="minorHAnsi" w:hAnsi="Arial" w:cs="Arial"/>
          <w:kern w:val="0"/>
          <w:sz w:val="22"/>
          <w:szCs w:val="22"/>
          <w:u w:val="single"/>
          <w:lang w:val="fr-FR" w:eastAsia="en-US"/>
          <w14:ligatures w14:val="none"/>
        </w:rPr>
      </w:pPr>
      <w:proofErr w:type="gramStart"/>
      <w:r w:rsidRPr="00891F5D">
        <w:rPr>
          <w:rFonts w:ascii="Arial" w:eastAsiaTheme="minorHAnsi" w:hAnsi="Arial" w:cs="Arial"/>
          <w:kern w:val="0"/>
          <w:sz w:val="22"/>
          <w:szCs w:val="22"/>
          <w:lang w:val="fr-FR" w:eastAsia="en-US"/>
          <w14:ligatures w14:val="none"/>
        </w:rPr>
        <w:t>Source:</w:t>
      </w:r>
      <w:proofErr w:type="gramEnd"/>
      <w:r w:rsidRPr="00891F5D">
        <w:rPr>
          <w:rFonts w:ascii="Arial" w:eastAsiaTheme="minorHAnsi" w:hAnsi="Arial" w:cs="Arial"/>
          <w:kern w:val="0"/>
          <w:sz w:val="22"/>
          <w:szCs w:val="22"/>
          <w:lang w:val="fr-FR" w:eastAsia="en-US"/>
          <w14:ligatures w14:val="none"/>
        </w:rPr>
        <w:t xml:space="preserve"> </w:t>
      </w:r>
      <w:hyperlink r:id="rId36" w:history="1">
        <w:r w:rsidRPr="00891F5D">
          <w:rPr>
            <w:rFonts w:ascii="Arial" w:eastAsiaTheme="minorHAnsi" w:hAnsi="Arial" w:cs="Arial"/>
            <w:kern w:val="0"/>
            <w:sz w:val="22"/>
            <w:szCs w:val="22"/>
            <w:u w:val="single"/>
            <w:lang w:val="fr-FR" w:eastAsia="en-US"/>
            <w14:ligatures w14:val="none"/>
          </w:rPr>
          <w:t>http://telidos.blogspot.com/2009/01/fraud-in-family.html</w:t>
        </w:r>
      </w:hyperlink>
    </w:p>
    <w:bookmarkStart w:id="534" w:name="_Hlk165288658"/>
    <w:bookmarkStart w:id="535" w:name="NN"/>
    <w:bookmarkStart w:id="536" w:name="A39"/>
    <w:bookmarkStart w:id="537" w:name="D52"/>
    <w:bookmarkEnd w:id="533"/>
    <w:p w14:paraId="1C77B013" w14:textId="05C4C316" w:rsidR="00891F5D" w:rsidRPr="00891F5D" w:rsidRDefault="00C55C45" w:rsidP="00891F5D">
      <w:pPr>
        <w:pBdr>
          <w:top w:val="single" w:sz="4" w:space="1" w:color="auto"/>
          <w:left w:val="single" w:sz="4" w:space="4" w:color="auto"/>
          <w:bottom w:val="single" w:sz="4" w:space="1" w:color="auto"/>
          <w:right w:val="single" w:sz="4" w:space="4" w:color="auto"/>
        </w:pBdr>
        <w:spacing w:after="200" w:line="48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"C52"</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C55C45">
        <w:rPr>
          <w:rStyle w:val="Hyperlink"/>
          <w:rFonts w:ascii="Arial" w:eastAsiaTheme="minorHAnsi" w:hAnsi="Arial" w:cs="Arial"/>
          <w:b/>
          <w:bCs/>
          <w:kern w:val="0"/>
          <w:lang w:val="en-US" w:eastAsia="en-US"/>
          <w14:ligatures w14:val="none"/>
        </w:rPr>
        <w:t>2.7.4.5 The Fraud Pentagon</w:t>
      </w:r>
      <w:r>
        <w:rPr>
          <w:rFonts w:ascii="Arial" w:eastAsiaTheme="minorHAnsi" w:hAnsi="Arial" w:cs="Arial"/>
          <w:b/>
          <w:bCs/>
          <w:kern w:val="0"/>
          <w:lang w:val="en-US" w:eastAsia="en-US"/>
          <w14:ligatures w14:val="none"/>
        </w:rPr>
        <w:fldChar w:fldCharType="end"/>
      </w:r>
    </w:p>
    <w:p w14:paraId="18CD2BED" w14:textId="7DE94F4E" w:rsidR="002B3F52" w:rsidRPr="00891F5D" w:rsidRDefault="00891F5D" w:rsidP="00C0703D">
      <w:pPr>
        <w:spacing w:after="200" w:line="480" w:lineRule="auto"/>
        <w:jc w:val="both"/>
        <w:rPr>
          <w:rFonts w:ascii="Arial" w:eastAsiaTheme="minorHAnsi" w:hAnsi="Arial" w:cs="Arial"/>
          <w:kern w:val="0"/>
          <w:lang w:val="en-US" w:eastAsia="en-US"/>
          <w14:ligatures w14:val="none"/>
        </w:rPr>
      </w:pPr>
      <w:bookmarkStart w:id="538" w:name="168"/>
      <w:bookmarkEnd w:id="534"/>
      <w:bookmarkEnd w:id="535"/>
      <w:bookmarkEnd w:id="536"/>
      <w:bookmarkEnd w:id="537"/>
      <w:r w:rsidRPr="00891F5D">
        <w:rPr>
          <w:rFonts w:ascii="Arial" w:eastAsiaTheme="minorHAnsi" w:hAnsi="Arial" w:cs="Arial"/>
          <w:kern w:val="0"/>
          <w:lang w:val="en-US" w:eastAsia="en-US"/>
          <w14:ligatures w14:val="none"/>
        </w:rPr>
        <w:t xml:space="preserve">According to Marks (2009) the Fraud Diamond was further extended by including </w:t>
      </w:r>
      <w:r w:rsidRPr="00891F5D">
        <w:rPr>
          <w:rFonts w:ascii="Arial" w:eastAsiaTheme="minorHAnsi" w:hAnsi="Arial" w:cs="Arial"/>
          <w:i/>
          <w:iCs/>
          <w:kern w:val="0"/>
          <w:lang w:val="en-US" w:eastAsia="en-US"/>
          <w14:ligatures w14:val="none"/>
        </w:rPr>
        <w:t>arrogance and competence</w:t>
      </w:r>
      <w:bookmarkStart w:id="539" w:name="PreEditfn1010"/>
      <w:bookmarkStart w:id="540" w:name="PreEditfn998"/>
      <w:bookmarkStart w:id="541" w:name="PreEditfn1022"/>
      <w:r w:rsidRPr="00891F5D">
        <w:rPr>
          <w:rFonts w:ascii="Arial" w:eastAsiaTheme="minorHAnsi" w:hAnsi="Arial" w:cs="Arial"/>
          <w:i/>
          <w:iCs/>
          <w:kern w:val="0"/>
          <w:lang w:val="en-US" w:eastAsia="en-US"/>
          <w14:ligatures w14:val="none"/>
        </w:rPr>
        <w:t>/</w:t>
      </w:r>
      <w:bookmarkEnd w:id="539"/>
      <w:bookmarkEnd w:id="540"/>
      <w:bookmarkEnd w:id="541"/>
      <w:r w:rsidRPr="00891F5D">
        <w:rPr>
          <w:rFonts w:ascii="Arial" w:eastAsiaTheme="minorHAnsi" w:hAnsi="Arial" w:cs="Arial"/>
          <w:i/>
          <w:iCs/>
          <w:kern w:val="0"/>
          <w:lang w:val="en-US" w:eastAsia="en-US"/>
          <w14:ligatures w14:val="none"/>
        </w:rPr>
        <w:t>capability</w:t>
      </w:r>
      <w:r w:rsidRPr="00891F5D">
        <w:rPr>
          <w:rFonts w:ascii="Arial" w:eastAsiaTheme="minorHAnsi" w:hAnsi="Arial" w:cs="Arial"/>
          <w:kern w:val="0"/>
          <w:lang w:val="en-US" w:eastAsia="en-US"/>
          <w14:ligatures w14:val="none"/>
        </w:rPr>
        <w:t xml:space="preserve">, resulting in the Crowe Horwarth Fraud Pentagon, </w:t>
      </w:r>
      <w:r w:rsidRPr="00891F5D">
        <w:rPr>
          <w:rFonts w:ascii="Arial" w:eastAsiaTheme="minorHAnsi" w:hAnsi="Arial" w:cs="Arial"/>
          <w:b/>
          <w:bCs/>
          <w:kern w:val="0"/>
          <w:lang w:val="en-US" w:eastAsia="en-US"/>
          <w14:ligatures w14:val="none"/>
        </w:rPr>
        <w:t>see Figure 2.13</w:t>
      </w:r>
      <w:r w:rsidRPr="00891F5D">
        <w:rPr>
          <w:rFonts w:ascii="Arial" w:eastAsiaTheme="minorHAnsi" w:hAnsi="Arial" w:cs="Arial"/>
          <w:kern w:val="0"/>
          <w:lang w:val="en-US" w:eastAsia="en-US"/>
          <w14:ligatures w14:val="none"/>
        </w:rPr>
        <w:t xml:space="preserve">. Marks (2009) reasoned that the current business environment in comparison with that of the 1950s has changed significantly. The most notable changes are that corporations are multinational, engage more readily with outsourcing inputs, and employees are subject to performance-based compensation. </w:t>
      </w:r>
      <w:r w:rsidRPr="00891F5D">
        <w:rPr>
          <w:rFonts w:ascii="Arial" w:eastAsiaTheme="minorHAnsi" w:hAnsi="Arial" w:cs="Arial"/>
          <w:kern w:val="0"/>
          <w:lang w:val="en-US" w:eastAsia="en-US"/>
          <w14:ligatures w14:val="none"/>
        </w:rPr>
        <w:lastRenderedPageBreak/>
        <w:t>This creates more pressure for employees, resulting in arrogance or lack of conscience and, consequently, a lack of accountability (Marks, 2009). Competence is the ability to undertake a fraudulent act by overriding internal and social protocols (Dellaportas, 2013).</w:t>
      </w:r>
    </w:p>
    <w:p w14:paraId="48ED7ED2" w14:textId="77777777" w:rsidR="00891F5D" w:rsidRPr="00891F5D" w:rsidRDefault="00891F5D" w:rsidP="00891F5D">
      <w:pPr>
        <w:spacing w:after="200" w:line="480" w:lineRule="auto"/>
        <w:jc w:val="both"/>
        <w:rPr>
          <w:rFonts w:ascii="Arial" w:eastAsiaTheme="minorHAnsi" w:hAnsi="Arial" w:cs="Arial"/>
          <w:b/>
          <w:bCs/>
          <w:kern w:val="0"/>
          <w:lang w:val="en-US" w:eastAsia="en-US"/>
          <w14:ligatures w14:val="none"/>
        </w:rPr>
      </w:pPr>
      <w:r w:rsidRPr="00891F5D">
        <w:rPr>
          <w:rFonts w:ascii="Arial" w:eastAsiaTheme="minorHAnsi" w:hAnsi="Arial" w:cs="Arial"/>
          <w:b/>
          <w:bCs/>
          <w:kern w:val="0"/>
          <w:lang w:val="en-US" w:eastAsia="en-US"/>
          <w14:ligatures w14:val="none"/>
        </w:rPr>
        <w:t>Figure 2.13 The Fraud Pentagon</w:t>
      </w:r>
    </w:p>
    <w:p w14:paraId="5A270C23" w14:textId="77777777" w:rsidR="00891F5D" w:rsidRPr="00891F5D" w:rsidRDefault="00891F5D" w:rsidP="00891F5D">
      <w:pPr>
        <w:spacing w:after="200" w:line="480" w:lineRule="auto"/>
        <w:jc w:val="both"/>
        <w:rPr>
          <w:rFonts w:ascii="Arial" w:eastAsiaTheme="minorHAnsi" w:hAnsi="Arial" w:cs="Arial"/>
          <w:kern w:val="0"/>
          <w:sz w:val="22"/>
          <w:szCs w:val="22"/>
          <w:lang w:eastAsia="en-US"/>
          <w14:ligatures w14:val="none"/>
        </w:rPr>
      </w:pPr>
      <w:r w:rsidRPr="00891F5D">
        <w:rPr>
          <w:rFonts w:eastAsiaTheme="minorHAnsi"/>
          <w:noProof/>
          <w:kern w:val="0"/>
          <w:lang w:eastAsia="en-US"/>
          <w14:ligatures w14:val="none"/>
        </w:rPr>
        <w:drawing>
          <wp:inline distT="0" distB="0" distL="0" distR="0" wp14:anchorId="41B79821" wp14:editId="50A6EF76">
            <wp:extent cx="5740400" cy="2789271"/>
            <wp:effectExtent l="0" t="0" r="0" b="0"/>
            <wp:docPr id="15" name="Picture 15"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e the source image"/>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815908" cy="2825961"/>
                    </a:xfrm>
                    <a:prstGeom prst="rect">
                      <a:avLst/>
                    </a:prstGeom>
                    <a:noFill/>
                    <a:ln>
                      <a:noFill/>
                    </a:ln>
                  </pic:spPr>
                </pic:pic>
              </a:graphicData>
            </a:graphic>
          </wp:inline>
        </w:drawing>
      </w:r>
    </w:p>
    <w:p w14:paraId="463AC04E" w14:textId="3F428E45" w:rsidR="00204187" w:rsidRPr="00891F5D" w:rsidRDefault="00891F5D" w:rsidP="002B3F52">
      <w:pPr>
        <w:spacing w:after="200" w:line="480" w:lineRule="auto"/>
        <w:jc w:val="both"/>
        <w:rPr>
          <w:rFonts w:ascii="Arial" w:eastAsiaTheme="minorHAnsi" w:hAnsi="Arial" w:cs="Arial"/>
          <w:kern w:val="0"/>
          <w:sz w:val="22"/>
          <w:szCs w:val="22"/>
          <w:lang w:val="fr-FR" w:eastAsia="en-US"/>
          <w14:ligatures w14:val="none"/>
        </w:rPr>
      </w:pPr>
      <w:proofErr w:type="gramStart"/>
      <w:r w:rsidRPr="00891F5D">
        <w:rPr>
          <w:rFonts w:ascii="Arial" w:eastAsiaTheme="minorHAnsi" w:hAnsi="Arial" w:cs="Arial"/>
          <w:kern w:val="0"/>
          <w:sz w:val="22"/>
          <w:szCs w:val="22"/>
          <w:lang w:val="fr-FR" w:eastAsia="en-US"/>
          <w14:ligatures w14:val="none"/>
        </w:rPr>
        <w:t>Source:</w:t>
      </w:r>
      <w:proofErr w:type="gramEnd"/>
      <w:r w:rsidRPr="00891F5D">
        <w:rPr>
          <w:rFonts w:ascii="Arial" w:eastAsiaTheme="minorHAnsi" w:hAnsi="Arial" w:cs="Arial"/>
          <w:kern w:val="0"/>
          <w:sz w:val="22"/>
          <w:szCs w:val="22"/>
          <w:lang w:val="fr-FR" w:eastAsia="en-US"/>
          <w14:ligatures w14:val="none"/>
        </w:rPr>
        <w:t xml:space="preserve"> </w:t>
      </w:r>
      <w:hyperlink r:id="rId38" w:history="1">
        <w:r w:rsidRPr="00891F5D">
          <w:rPr>
            <w:rFonts w:ascii="Arial" w:eastAsiaTheme="minorHAnsi" w:hAnsi="Arial" w:cs="Arial"/>
            <w:kern w:val="0"/>
            <w:sz w:val="22"/>
            <w:szCs w:val="22"/>
            <w:lang w:val="fr-FR" w:eastAsia="en-US"/>
            <w14:ligatures w14:val="none"/>
          </w:rPr>
          <w:t>http://hendrikus-sid.blogspot.com/</w:t>
        </w:r>
      </w:hyperlink>
    </w:p>
    <w:bookmarkStart w:id="542" w:name="_Hlk165288612"/>
    <w:bookmarkStart w:id="543" w:name="OO"/>
    <w:bookmarkStart w:id="544" w:name="A40"/>
    <w:bookmarkStart w:id="545" w:name="ZZZ1"/>
    <w:bookmarkStart w:id="546" w:name="D53"/>
    <w:bookmarkEnd w:id="538"/>
    <w:p w14:paraId="34F3AD47" w14:textId="5A3A6779" w:rsidR="00891F5D" w:rsidRPr="00891F5D" w:rsidRDefault="00CE511E" w:rsidP="002B3F52">
      <w:pPr>
        <w:pBdr>
          <w:top w:val="single" w:sz="4" w:space="1" w:color="auto"/>
          <w:left w:val="single" w:sz="4" w:space="4" w:color="auto"/>
          <w:bottom w:val="single" w:sz="4" w:space="1" w:color="auto"/>
          <w:right w:val="single" w:sz="4" w:space="4" w:color="auto"/>
        </w:pBdr>
        <w:spacing w:after="200" w:line="24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"C53"</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CE511E">
        <w:rPr>
          <w:rStyle w:val="Hyperlink"/>
          <w:rFonts w:ascii="Arial" w:eastAsiaTheme="minorHAnsi" w:hAnsi="Arial" w:cs="Arial"/>
          <w:b/>
          <w:bCs/>
          <w:kern w:val="0"/>
          <w:lang w:val="en-US" w:eastAsia="en-US"/>
          <w14:ligatures w14:val="none"/>
        </w:rPr>
        <w:t>2.7.4.6 New Fraud Triangle Model</w:t>
      </w:r>
      <w:r>
        <w:rPr>
          <w:rFonts w:ascii="Arial" w:eastAsiaTheme="minorHAnsi" w:hAnsi="Arial" w:cs="Arial"/>
          <w:b/>
          <w:bCs/>
          <w:kern w:val="0"/>
          <w:lang w:val="en-US" w:eastAsia="en-US"/>
          <w14:ligatures w14:val="none"/>
        </w:rPr>
        <w:fldChar w:fldCharType="end"/>
      </w:r>
    </w:p>
    <w:p w14:paraId="034B5BCE"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bookmarkStart w:id="547" w:name="170"/>
      <w:bookmarkEnd w:id="542"/>
      <w:bookmarkEnd w:id="543"/>
      <w:bookmarkEnd w:id="544"/>
      <w:bookmarkEnd w:id="545"/>
      <w:bookmarkEnd w:id="546"/>
      <w:r w:rsidRPr="00891F5D">
        <w:rPr>
          <w:rFonts w:ascii="Arial" w:eastAsiaTheme="minorHAnsi" w:hAnsi="Arial" w:cs="Arial"/>
          <w:kern w:val="0"/>
          <w:lang w:val="en-US" w:eastAsia="en-US"/>
          <w14:ligatures w14:val="none"/>
        </w:rPr>
        <w:t>Kassem and Higson (2012) argued that as many factors as possible should be considered when a practitioner such as an auditor is attempting to understand Accounting Fraud. They proposed the amalgamation of several established fraud models, creating the New Fraud Triangle Model (NFTM):</w:t>
      </w:r>
    </w:p>
    <w:p w14:paraId="7D0DAD99" w14:textId="77777777" w:rsidR="00891F5D" w:rsidRPr="00891F5D" w:rsidRDefault="00891F5D" w:rsidP="00891F5D">
      <w:pPr>
        <w:spacing w:after="200" w:line="480" w:lineRule="auto"/>
        <w:jc w:val="both"/>
        <w:rPr>
          <w:rFonts w:ascii="Arial" w:eastAsiaTheme="minorHAnsi" w:hAnsi="Arial" w:cs="Arial"/>
          <w:b/>
          <w:bCs/>
          <w:kern w:val="0"/>
          <w:lang w:val="en-US" w:eastAsia="en-US"/>
          <w14:ligatures w14:val="none"/>
        </w:rPr>
      </w:pPr>
      <w:bookmarkStart w:id="548" w:name="171"/>
      <w:bookmarkEnd w:id="547"/>
      <w:r w:rsidRPr="00891F5D">
        <w:rPr>
          <w:rFonts w:ascii="Arial" w:eastAsiaTheme="minorHAnsi" w:hAnsi="Arial" w:cs="Arial"/>
          <w:b/>
          <w:bCs/>
          <w:kern w:val="0"/>
          <w:lang w:val="en-US" w:eastAsia="en-US"/>
          <w14:ligatures w14:val="none"/>
        </w:rPr>
        <w:t>Fraud Triangle + Fraud Diamond + Fraud Scale + MICE Model = NFTM</w:t>
      </w:r>
    </w:p>
    <w:p w14:paraId="10C9B688" w14:textId="77777777" w:rsidR="00891F5D" w:rsidRPr="00891F5D" w:rsidRDefault="00891F5D" w:rsidP="00891F5D">
      <w:pPr>
        <w:spacing w:after="200" w:line="480" w:lineRule="auto"/>
        <w:jc w:val="both"/>
        <w:rPr>
          <w:rFonts w:ascii="Arial" w:eastAsiaTheme="minorHAnsi" w:hAnsi="Arial" w:cs="Arial"/>
          <w:i/>
          <w:iCs/>
          <w:kern w:val="0"/>
          <w:lang w:val="en-US" w:eastAsia="en-US"/>
          <w14:ligatures w14:val="none"/>
        </w:rPr>
      </w:pPr>
      <w:bookmarkStart w:id="549" w:name="172"/>
      <w:bookmarkEnd w:id="548"/>
      <w:r w:rsidRPr="00891F5D">
        <w:rPr>
          <w:rFonts w:ascii="Arial" w:eastAsiaTheme="minorHAnsi" w:hAnsi="Arial" w:cs="Arial"/>
          <w:kern w:val="0"/>
          <w:lang w:val="en-US" w:eastAsia="en-US"/>
          <w14:ligatures w14:val="none"/>
        </w:rPr>
        <w:t xml:space="preserve">The NFTM incorporates the attributes of </w:t>
      </w:r>
      <w:r w:rsidRPr="00891F5D">
        <w:rPr>
          <w:rFonts w:ascii="Arial" w:eastAsiaTheme="minorHAnsi" w:hAnsi="Arial" w:cs="Arial"/>
          <w:i/>
          <w:iCs/>
          <w:kern w:val="0"/>
          <w:lang w:val="en-US" w:eastAsia="en-US"/>
          <w14:ligatures w14:val="none"/>
        </w:rPr>
        <w:t>motivation, opportunity, integrity, and capability of the would-be fraudster.</w:t>
      </w:r>
    </w:p>
    <w:bookmarkStart w:id="550" w:name="_Hlk165288598"/>
    <w:bookmarkStart w:id="551" w:name="PP"/>
    <w:bookmarkStart w:id="552" w:name="A41"/>
    <w:bookmarkStart w:id="553" w:name="D54"/>
    <w:bookmarkEnd w:id="549"/>
    <w:p w14:paraId="256C31D6" w14:textId="490CD8BF" w:rsidR="00891F5D" w:rsidRPr="00891F5D" w:rsidRDefault="00C55C45" w:rsidP="002B3F52">
      <w:pPr>
        <w:pBdr>
          <w:top w:val="single" w:sz="4" w:space="1" w:color="auto"/>
          <w:left w:val="single" w:sz="4" w:space="4" w:color="auto"/>
          <w:bottom w:val="single" w:sz="4" w:space="1" w:color="auto"/>
          <w:right w:val="single" w:sz="4" w:space="4" w:color="auto"/>
        </w:pBdr>
        <w:spacing w:after="200" w:line="24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lastRenderedPageBreak/>
        <w:fldChar w:fldCharType="begin"/>
      </w:r>
      <w:r>
        <w:rPr>
          <w:rFonts w:ascii="Arial" w:eastAsiaTheme="minorHAnsi" w:hAnsi="Arial" w:cs="Arial"/>
          <w:b/>
          <w:bCs/>
          <w:kern w:val="0"/>
          <w:lang w:val="en-US" w:eastAsia="en-US"/>
          <w14:ligatures w14:val="none"/>
        </w:rPr>
        <w:instrText>HYPERLINK  \l "C54"</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C55C45">
        <w:rPr>
          <w:rStyle w:val="Hyperlink"/>
          <w:rFonts w:ascii="Arial" w:eastAsiaTheme="minorHAnsi" w:hAnsi="Arial" w:cs="Arial"/>
          <w:b/>
          <w:bCs/>
          <w:kern w:val="0"/>
          <w:lang w:val="en-US" w:eastAsia="en-US"/>
          <w14:ligatures w14:val="none"/>
        </w:rPr>
        <w:t>2.7.4.7 The A-B-C Model</w:t>
      </w:r>
      <w:r>
        <w:rPr>
          <w:rFonts w:ascii="Arial" w:eastAsiaTheme="minorHAnsi" w:hAnsi="Arial" w:cs="Arial"/>
          <w:b/>
          <w:bCs/>
          <w:kern w:val="0"/>
          <w:lang w:val="en-US" w:eastAsia="en-US"/>
          <w14:ligatures w14:val="none"/>
        </w:rPr>
        <w:fldChar w:fldCharType="end"/>
      </w:r>
    </w:p>
    <w:p w14:paraId="42C09B96" w14:textId="77777777" w:rsidR="00891F5D" w:rsidRPr="00891F5D" w:rsidRDefault="00891F5D" w:rsidP="00891F5D">
      <w:pPr>
        <w:spacing w:after="200" w:line="480" w:lineRule="auto"/>
        <w:jc w:val="both"/>
        <w:rPr>
          <w:rFonts w:ascii="Arial" w:eastAsiaTheme="minorHAnsi" w:hAnsi="Arial" w:cs="Arial"/>
          <w:i/>
          <w:iCs/>
          <w:kern w:val="0"/>
          <w:lang w:val="en-US" w:eastAsia="en-US"/>
          <w14:ligatures w14:val="none"/>
        </w:rPr>
      </w:pPr>
      <w:bookmarkStart w:id="554" w:name="174"/>
      <w:bookmarkEnd w:id="550"/>
      <w:bookmarkEnd w:id="551"/>
      <w:bookmarkEnd w:id="552"/>
      <w:bookmarkEnd w:id="553"/>
      <w:r w:rsidRPr="00891F5D">
        <w:rPr>
          <w:rFonts w:ascii="Arial" w:eastAsiaTheme="minorHAnsi" w:hAnsi="Arial" w:cs="Arial"/>
          <w:kern w:val="0"/>
          <w:lang w:val="en-US" w:eastAsia="en-US"/>
          <w14:ligatures w14:val="none"/>
        </w:rPr>
        <w:t xml:space="preserve">The A-B-C model was proposed by Ramamoorti et al. (2009) and does not extend the Fraud Triangle. Instead, it focuses on the probability of the fraud under specific circumstances. The A-B-C model is made up of the following: </w:t>
      </w:r>
      <w:r w:rsidRPr="00891F5D">
        <w:rPr>
          <w:rFonts w:ascii="Arial" w:eastAsiaTheme="minorHAnsi" w:hAnsi="Arial" w:cs="Arial"/>
          <w:i/>
          <w:iCs/>
          <w:kern w:val="0"/>
          <w:lang w:val="en-US" w:eastAsia="en-US"/>
          <w14:ligatures w14:val="none"/>
        </w:rPr>
        <w:t>bad apples or an individual fraudster, bad bushels or collusive fraud, and bad crop or cultural and societal values that can affect the frequency of fraud.</w:t>
      </w:r>
      <w:bookmarkEnd w:id="554"/>
    </w:p>
    <w:bookmarkStart w:id="555" w:name="RR"/>
    <w:bookmarkStart w:id="556" w:name="A42"/>
    <w:bookmarkStart w:id="557" w:name="D55"/>
    <w:p w14:paraId="721D8FD9" w14:textId="46D25258" w:rsidR="00891F5D" w:rsidRPr="00891F5D" w:rsidRDefault="00C55C45" w:rsidP="002B3F52">
      <w:pPr>
        <w:pBdr>
          <w:top w:val="single" w:sz="4" w:space="1" w:color="auto"/>
          <w:left w:val="single" w:sz="4" w:space="4" w:color="auto"/>
          <w:bottom w:val="single" w:sz="4" w:space="1" w:color="auto"/>
          <w:right w:val="single" w:sz="4" w:space="4" w:color="auto"/>
        </w:pBdr>
        <w:spacing w:after="200" w:line="240" w:lineRule="auto"/>
        <w:jc w:val="both"/>
        <w:rPr>
          <w:rFonts w:ascii="Arial" w:eastAsiaTheme="minorHAnsi" w:hAnsi="Arial" w:cs="Arial"/>
          <w:b/>
          <w:bCs/>
          <w:kern w:val="0"/>
          <w:lang w:val="it-IT" w:eastAsia="en-US"/>
          <w14:ligatures w14:val="none"/>
        </w:rPr>
      </w:pPr>
      <w:r>
        <w:rPr>
          <w:rFonts w:ascii="Arial" w:eastAsiaTheme="minorHAnsi" w:hAnsi="Arial" w:cs="Arial"/>
          <w:b/>
          <w:bCs/>
          <w:kern w:val="0"/>
          <w:lang w:val="it-IT" w:eastAsia="en-US"/>
          <w14:ligatures w14:val="none"/>
        </w:rPr>
        <w:fldChar w:fldCharType="begin"/>
      </w:r>
      <w:r>
        <w:rPr>
          <w:rFonts w:ascii="Arial" w:eastAsiaTheme="minorHAnsi" w:hAnsi="Arial" w:cs="Arial"/>
          <w:b/>
          <w:bCs/>
          <w:kern w:val="0"/>
          <w:lang w:val="it-IT" w:eastAsia="en-US"/>
          <w14:ligatures w14:val="none"/>
        </w:rPr>
        <w:instrText>HYPERLINK  \l "C55"</w:instrText>
      </w:r>
      <w:r>
        <w:rPr>
          <w:rFonts w:ascii="Arial" w:eastAsiaTheme="minorHAnsi" w:hAnsi="Arial" w:cs="Arial"/>
          <w:b/>
          <w:bCs/>
          <w:kern w:val="0"/>
          <w:lang w:val="it-IT" w:eastAsia="en-US"/>
          <w14:ligatures w14:val="none"/>
        </w:rPr>
      </w:r>
      <w:r>
        <w:rPr>
          <w:rFonts w:ascii="Arial" w:eastAsiaTheme="minorHAnsi" w:hAnsi="Arial" w:cs="Arial"/>
          <w:b/>
          <w:bCs/>
          <w:kern w:val="0"/>
          <w:lang w:val="it-IT" w:eastAsia="en-US"/>
          <w14:ligatures w14:val="none"/>
        </w:rPr>
        <w:fldChar w:fldCharType="separate"/>
      </w:r>
      <w:r w:rsidR="00891F5D" w:rsidRPr="00C55C45">
        <w:rPr>
          <w:rStyle w:val="Hyperlink"/>
          <w:rFonts w:ascii="Arial" w:eastAsiaTheme="minorHAnsi" w:hAnsi="Arial" w:cs="Arial"/>
          <w:b/>
          <w:bCs/>
          <w:kern w:val="0"/>
          <w:lang w:val="it-IT" w:eastAsia="en-US"/>
          <w14:ligatures w14:val="none"/>
        </w:rPr>
        <w:t>2.7.4.8 The C R I M E Model</w:t>
      </w:r>
      <w:r>
        <w:rPr>
          <w:rFonts w:ascii="Arial" w:eastAsiaTheme="minorHAnsi" w:hAnsi="Arial" w:cs="Arial"/>
          <w:b/>
          <w:bCs/>
          <w:kern w:val="0"/>
          <w:lang w:val="it-IT" w:eastAsia="en-US"/>
          <w14:ligatures w14:val="none"/>
        </w:rPr>
        <w:fldChar w:fldCharType="end"/>
      </w:r>
    </w:p>
    <w:p w14:paraId="7324672C"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bookmarkStart w:id="558" w:name="178"/>
      <w:bookmarkEnd w:id="555"/>
      <w:bookmarkEnd w:id="556"/>
      <w:bookmarkEnd w:id="557"/>
      <w:r w:rsidRPr="00891F5D">
        <w:rPr>
          <w:rFonts w:ascii="Arial" w:eastAsiaTheme="minorHAnsi" w:hAnsi="Arial" w:cs="Arial"/>
          <w:kern w:val="0"/>
          <w:lang w:val="en-US" w:eastAsia="en-US"/>
          <w14:ligatures w14:val="none"/>
        </w:rPr>
        <w:t>The C R I M E model is a fraud model developed by Rezaee (2005), where “</w:t>
      </w:r>
      <w:r w:rsidRPr="00891F5D">
        <w:rPr>
          <w:rFonts w:ascii="Arial" w:eastAsiaTheme="minorHAnsi" w:hAnsi="Arial" w:cs="Arial"/>
          <w:i/>
          <w:iCs/>
          <w:kern w:val="0"/>
          <w:lang w:val="en-US" w:eastAsia="en-US"/>
          <w14:ligatures w14:val="none"/>
        </w:rPr>
        <w:t>Cooks,” “Recipes,” “Incentives,” “Monitoring,” and “End results”</w:t>
      </w:r>
      <w:r w:rsidRPr="00891F5D">
        <w:rPr>
          <w:rFonts w:ascii="Arial" w:eastAsiaTheme="minorHAnsi" w:hAnsi="Arial" w:cs="Arial"/>
          <w:kern w:val="0"/>
          <w:lang w:val="en-US" w:eastAsia="en-US"/>
          <w14:ligatures w14:val="none"/>
        </w:rPr>
        <w:t xml:space="preserve"> explain the causes and effects of Accounting Fraud. It highlights the importance of corporate governance and provides novel strategies to prevent Accounting Fraud (Nijenhuis, 2016). The “cooks” are the perpetrators of Accounting Fraud, and it was found that in 80 percent of cases either the CFO or CEO was responsible. The “recipes” were the techniques used to execute Accounting Fraud, and earnings management was the most popular method. The “incentives” were the motivations for committing Accounting Fraud and are usually understood to be economic but can also encompass psychological and ideological factors. The foremost “monitoring” mechanism is corporate governance. The “end results” of Accounting Fraud can be substantial, such as company liquidation and delisting from a capital market. The C R I M E model investigated nine cases that resulted more than $500 billion of damage (Rezaee, 2005).</w:t>
      </w:r>
    </w:p>
    <w:p w14:paraId="56970030"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bookmarkStart w:id="559" w:name="179"/>
      <w:bookmarkEnd w:id="558"/>
      <w:r w:rsidRPr="00891F5D">
        <w:rPr>
          <w:rFonts w:ascii="Arial" w:eastAsiaTheme="minorHAnsi" w:hAnsi="Arial" w:cs="Arial"/>
          <w:kern w:val="0"/>
          <w:lang w:val="en-US" w:eastAsia="en-US"/>
          <w14:ligatures w14:val="none"/>
        </w:rPr>
        <w:t>Nijenhuis (2016) extended the C R I M E framework by adding “</w:t>
      </w:r>
      <w:r w:rsidRPr="00891F5D">
        <w:rPr>
          <w:rFonts w:ascii="Arial" w:eastAsiaTheme="minorHAnsi" w:hAnsi="Arial" w:cs="Arial"/>
          <w:i/>
          <w:iCs/>
          <w:kern w:val="0"/>
          <w:lang w:val="en-US" w:eastAsia="en-US"/>
          <w14:ligatures w14:val="none"/>
        </w:rPr>
        <w:t>S,” which stands for “sentences,”</w:t>
      </w:r>
      <w:r w:rsidRPr="00891F5D">
        <w:rPr>
          <w:rFonts w:ascii="Arial" w:eastAsiaTheme="minorHAnsi" w:hAnsi="Arial" w:cs="Arial"/>
          <w:kern w:val="0"/>
          <w:lang w:val="en-US" w:eastAsia="en-US"/>
          <w14:ligatures w14:val="none"/>
        </w:rPr>
        <w:t xml:space="preserve"> which were the legal sentences that the fraudsters received, including jail time or fines or community service. It is argued by Dorminey et al (2012) that effective jail sentences prevent fraud. The researcher extended the Rezaee C R I M E model to C R I M E L (Learning) which will be further elaborated in the next section as he </w:t>
      </w:r>
      <w:r w:rsidRPr="00891F5D">
        <w:rPr>
          <w:rFonts w:ascii="Arial" w:eastAsiaTheme="minorHAnsi" w:hAnsi="Arial" w:cs="Arial"/>
          <w:kern w:val="0"/>
          <w:lang w:val="en-US" w:eastAsia="en-US"/>
          <w14:ligatures w14:val="none"/>
        </w:rPr>
        <w:lastRenderedPageBreak/>
        <w:t>found evidence for corporate psychopathy which may explain why Accounting Fraud takes place and tentative evidence for his notion of the Corporate Psychopath Accountant which will be discussed in greater depth in upcoming sections.</w:t>
      </w:r>
    </w:p>
    <w:bookmarkStart w:id="560" w:name="SS"/>
    <w:bookmarkStart w:id="561" w:name="A43"/>
    <w:bookmarkStart w:id="562" w:name="D56"/>
    <w:p w14:paraId="79EF1F5B" w14:textId="1191645D" w:rsidR="00891F5D" w:rsidRPr="00891F5D" w:rsidRDefault="009168B9" w:rsidP="002B3F52">
      <w:pPr>
        <w:pBdr>
          <w:top w:val="single" w:sz="4" w:space="1" w:color="auto"/>
          <w:left w:val="single" w:sz="4" w:space="4" w:color="auto"/>
          <w:bottom w:val="single" w:sz="4" w:space="1" w:color="auto"/>
          <w:right w:val="single" w:sz="4" w:space="4" w:color="auto"/>
        </w:pBdr>
        <w:spacing w:after="200" w:line="24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"C56"</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9168B9">
        <w:rPr>
          <w:rStyle w:val="Hyperlink"/>
          <w:rFonts w:ascii="Arial" w:eastAsiaTheme="minorHAnsi" w:hAnsi="Arial" w:cs="Arial"/>
          <w:b/>
          <w:bCs/>
          <w:kern w:val="0"/>
          <w:lang w:val="en-US" w:eastAsia="en-US"/>
          <w14:ligatures w14:val="none"/>
        </w:rPr>
        <w:t>2.8 C R I M E L—33 International Stories of Accounting Fraud</w:t>
      </w:r>
      <w:r>
        <w:rPr>
          <w:rFonts w:ascii="Arial" w:eastAsiaTheme="minorHAnsi" w:hAnsi="Arial" w:cs="Arial"/>
          <w:b/>
          <w:bCs/>
          <w:kern w:val="0"/>
          <w:lang w:val="en-US" w:eastAsia="en-US"/>
          <w14:ligatures w14:val="none"/>
        </w:rPr>
        <w:fldChar w:fldCharType="end"/>
      </w:r>
    </w:p>
    <w:bookmarkEnd w:id="560"/>
    <w:bookmarkEnd w:id="561"/>
    <w:bookmarkEnd w:id="562"/>
    <w:p w14:paraId="6592D1CE" w14:textId="3F2F2B04" w:rsidR="00891F5D" w:rsidRPr="00891F5D" w:rsidRDefault="00891F5D" w:rsidP="00891F5D">
      <w:pPr>
        <w:spacing w:before="240"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The </w:t>
      </w:r>
      <w:r w:rsidR="00E51A22">
        <w:rPr>
          <w:rFonts w:ascii="Arial" w:eastAsiaTheme="minorHAnsi" w:hAnsi="Arial" w:cs="Arial"/>
          <w:kern w:val="0"/>
          <w:lang w:eastAsia="en-US"/>
          <w14:ligatures w14:val="none"/>
        </w:rPr>
        <w:t>researcher</w:t>
      </w:r>
      <w:r w:rsidRPr="00891F5D">
        <w:rPr>
          <w:rFonts w:ascii="Arial" w:eastAsiaTheme="minorHAnsi" w:hAnsi="Arial" w:cs="Arial"/>
          <w:kern w:val="0"/>
          <w:lang w:val="en-US" w:eastAsia="en-US"/>
          <w14:ligatures w14:val="none"/>
        </w:rPr>
        <w:t xml:space="preserve"> will introduce and summarize the key findings from his C R I M E L model in this chapter. The </w:t>
      </w:r>
      <w:r w:rsidR="00E51A22">
        <w:rPr>
          <w:rFonts w:ascii="Arial" w:eastAsiaTheme="minorHAnsi" w:hAnsi="Arial" w:cs="Arial"/>
          <w:kern w:val="0"/>
          <w:lang w:eastAsia="en-US"/>
          <w14:ligatures w14:val="none"/>
        </w:rPr>
        <w:t>researcher</w:t>
      </w:r>
      <w:r w:rsidRPr="00891F5D">
        <w:rPr>
          <w:rFonts w:ascii="Arial" w:eastAsiaTheme="minorHAnsi" w:hAnsi="Arial" w:cs="Arial"/>
          <w:kern w:val="0"/>
          <w:lang w:val="en-US" w:eastAsia="en-US"/>
          <w14:ligatures w14:val="none"/>
        </w:rPr>
        <w:t xml:space="preserve"> major contribution is the “Learning” that was garnered through the 33 case studies, and this learning is documented in </w:t>
      </w:r>
      <w:r w:rsidRPr="00891F5D">
        <w:rPr>
          <w:rFonts w:ascii="Arial" w:eastAsiaTheme="minorHAnsi" w:hAnsi="Arial" w:cs="Arial"/>
          <w:b/>
          <w:bCs/>
          <w:kern w:val="0"/>
          <w:lang w:val="en-US" w:eastAsia="en-US"/>
          <w14:ligatures w14:val="none"/>
        </w:rPr>
        <w:t>Figure 2.14 and Figure 2.15.</w:t>
      </w:r>
      <w:r w:rsidRPr="00891F5D">
        <w:rPr>
          <w:rFonts w:ascii="Arial" w:eastAsiaTheme="minorHAnsi" w:hAnsi="Arial" w:cs="Arial"/>
          <w:kern w:val="0"/>
          <w:lang w:val="en-US" w:eastAsia="en-US"/>
          <w14:ligatures w14:val="none"/>
        </w:rPr>
        <w:t xml:space="preserve"> This is for the benefit of accountants, auditors, fraud investigators, researchers, and accounting students so that their “fraud brains” are deepened, and they can better detect, prevent, and challenge Accounting Fraud.</w:t>
      </w:r>
    </w:p>
    <w:p w14:paraId="4C87AD78" w14:textId="4817EE19"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The original research that will currently be undertaken is the use of what is termed as an “explanatory multiple case study” (Scapens, 2004) coupled with an existing fraud model known as C R I M E. The explanatory multiple case study approach has been adopted by researchers who want to use real world examples to test the validity of existing theory (Ramus et al., 2003) and potentially extend an existing framework (Van Echtelt et al., 2008). This approach was utilized by Nijenhuis (2016), who investigated internal control failure of a sample of 15 Dutch companies employing and extending the C R I M E to C R I M E S. Nijenhuis also incorporated the victims in “S”; however, the </w:t>
      </w:r>
      <w:r w:rsidR="00F0702F">
        <w:rPr>
          <w:rFonts w:ascii="Arial" w:eastAsiaTheme="minorHAnsi" w:hAnsi="Arial" w:cs="Arial"/>
          <w:kern w:val="0"/>
          <w:lang w:eastAsia="en-US"/>
          <w14:ligatures w14:val="none"/>
        </w:rPr>
        <w:t>researcher</w:t>
      </w:r>
      <w:r w:rsidR="00F0702F" w:rsidRPr="00891F5D">
        <w:rPr>
          <w:rFonts w:ascii="Arial" w:eastAsiaTheme="minorHAnsi" w:hAnsi="Arial" w:cs="Arial"/>
          <w:kern w:val="0"/>
          <w:lang w:eastAsia="en-US"/>
          <w14:ligatures w14:val="none"/>
        </w:rPr>
        <w:t xml:space="preserve"> </w:t>
      </w:r>
      <w:r w:rsidRPr="00891F5D">
        <w:rPr>
          <w:rFonts w:ascii="Arial" w:eastAsiaTheme="minorHAnsi" w:hAnsi="Arial" w:cs="Arial"/>
          <w:kern w:val="0"/>
          <w:lang w:eastAsia="en-US"/>
          <w14:ligatures w14:val="none"/>
        </w:rPr>
        <w:t>believes that the victims are covered in “E”—end results.</w:t>
      </w:r>
    </w:p>
    <w:p w14:paraId="0C16A213" w14:textId="3B92418E" w:rsidR="00891F5D" w:rsidRPr="00891F5D" w:rsidRDefault="00891F5D" w:rsidP="00891F5D">
      <w:pPr>
        <w:spacing w:line="480" w:lineRule="auto"/>
        <w:jc w:val="both"/>
        <w:rPr>
          <w:rFonts w:ascii="Arial" w:eastAsiaTheme="minorHAnsi" w:hAnsi="Arial" w:cs="Arial"/>
          <w:i/>
          <w:kern w:val="0"/>
          <w:lang w:eastAsia="en-US"/>
          <w14:ligatures w14:val="none"/>
        </w:rPr>
      </w:pPr>
      <w:r w:rsidRPr="00891F5D">
        <w:rPr>
          <w:rFonts w:ascii="Arial" w:eastAsiaTheme="minorHAnsi" w:hAnsi="Arial" w:cs="Arial"/>
          <w:kern w:val="0"/>
          <w:lang w:eastAsia="en-US"/>
          <w14:ligatures w14:val="none"/>
        </w:rPr>
        <w:t xml:space="preserve">The </w:t>
      </w:r>
      <w:r w:rsidR="00F0702F">
        <w:rPr>
          <w:rFonts w:ascii="Arial" w:eastAsiaTheme="minorHAnsi" w:hAnsi="Arial" w:cs="Arial"/>
          <w:kern w:val="0"/>
          <w:lang w:eastAsia="en-US"/>
          <w14:ligatures w14:val="none"/>
        </w:rPr>
        <w:t>researcher</w:t>
      </w:r>
      <w:r w:rsidRPr="00891F5D">
        <w:rPr>
          <w:rFonts w:ascii="Arial" w:eastAsiaTheme="minorHAnsi" w:hAnsi="Arial" w:cs="Arial"/>
          <w:kern w:val="0"/>
          <w:lang w:eastAsia="en-US"/>
          <w14:ligatures w14:val="none"/>
        </w:rPr>
        <w:t xml:space="preserve"> extended the original C R I M E model to include </w:t>
      </w:r>
      <w:r w:rsidRPr="00891F5D">
        <w:rPr>
          <w:rFonts w:ascii="Arial" w:eastAsiaTheme="minorHAnsi" w:hAnsi="Arial" w:cs="Arial"/>
          <w:b/>
          <w:bCs/>
          <w:kern w:val="0"/>
          <w:lang w:eastAsia="en-US"/>
          <w14:ligatures w14:val="none"/>
        </w:rPr>
        <w:t>“L”— learning</w:t>
      </w:r>
      <w:r w:rsidRPr="00891F5D">
        <w:rPr>
          <w:rFonts w:ascii="Arial" w:eastAsiaTheme="minorHAnsi" w:hAnsi="Arial" w:cs="Arial"/>
          <w:kern w:val="0"/>
          <w:lang w:eastAsia="en-US"/>
          <w14:ligatures w14:val="none"/>
        </w:rPr>
        <w:t xml:space="preserve">, i.e., what is the key learning that we can take away so that we avoid the scourge of Accounting Fraud? The </w:t>
      </w:r>
      <w:r w:rsidR="00F0702F">
        <w:rPr>
          <w:rFonts w:ascii="Arial" w:eastAsiaTheme="minorHAnsi" w:hAnsi="Arial" w:cs="Arial"/>
          <w:kern w:val="0"/>
          <w:lang w:eastAsia="en-US"/>
          <w14:ligatures w14:val="none"/>
        </w:rPr>
        <w:t>researcher</w:t>
      </w:r>
      <w:r w:rsidRPr="00891F5D">
        <w:rPr>
          <w:rFonts w:ascii="Arial" w:eastAsiaTheme="minorHAnsi" w:hAnsi="Arial" w:cs="Arial"/>
          <w:kern w:val="0"/>
          <w:lang w:eastAsia="en-US"/>
          <w14:ligatures w14:val="none"/>
        </w:rPr>
        <w:t xml:space="preserve"> </w:t>
      </w:r>
      <w:r w:rsidR="00641D1E" w:rsidRPr="00891F5D">
        <w:rPr>
          <w:rFonts w:ascii="Arial" w:eastAsiaTheme="minorHAnsi" w:hAnsi="Arial" w:cs="Arial"/>
          <w:kern w:val="0"/>
          <w:lang w:eastAsia="en-US"/>
          <w14:ligatures w14:val="none"/>
        </w:rPr>
        <w:t>analysed</w:t>
      </w:r>
      <w:r w:rsidRPr="00891F5D">
        <w:rPr>
          <w:rFonts w:ascii="Arial" w:eastAsiaTheme="minorHAnsi" w:hAnsi="Arial" w:cs="Arial"/>
          <w:kern w:val="0"/>
          <w:lang w:eastAsia="en-US"/>
          <w14:ligatures w14:val="none"/>
        </w:rPr>
        <w:t xml:space="preserve"> 33 case studies/companies discussed in the important ACFE-sponsored book, </w:t>
      </w:r>
      <w:r w:rsidRPr="00891F5D">
        <w:rPr>
          <w:rFonts w:ascii="Arial" w:eastAsiaTheme="minorHAnsi" w:hAnsi="Arial" w:cs="Arial"/>
          <w:i/>
          <w:kern w:val="0"/>
          <w:lang w:eastAsia="en-US"/>
          <w14:ligatures w14:val="none"/>
        </w:rPr>
        <w:t>Financial Statement Case Fraud (2011)</w:t>
      </w:r>
      <w:r w:rsidRPr="00891F5D">
        <w:rPr>
          <w:rFonts w:ascii="Arial" w:eastAsiaTheme="minorHAnsi" w:hAnsi="Arial" w:cs="Arial"/>
          <w:kern w:val="0"/>
          <w:lang w:eastAsia="en-US"/>
          <w14:ligatures w14:val="none"/>
        </w:rPr>
        <w:t xml:space="preserve">, which was edited by the seasoned and well-respected fraud investigator and commentator, </w:t>
      </w:r>
      <w:r w:rsidRPr="00891F5D">
        <w:rPr>
          <w:rFonts w:ascii="Arial" w:eastAsiaTheme="minorHAnsi" w:hAnsi="Arial" w:cs="Arial"/>
          <w:kern w:val="0"/>
          <w:lang w:eastAsia="en-US"/>
          <w14:ligatures w14:val="none"/>
        </w:rPr>
        <w:lastRenderedPageBreak/>
        <w:t>Joseph T. Wells. The industry, whether the CEO and/or the CFO, were involved and if they possessed any psychopathic tendencies, were also highlighted by the r</w:t>
      </w:r>
      <w:r w:rsidR="005557C6">
        <w:rPr>
          <w:rFonts w:ascii="Arial" w:eastAsiaTheme="minorHAnsi" w:hAnsi="Arial" w:cs="Arial"/>
          <w:kern w:val="0"/>
          <w:lang w:eastAsia="en-US"/>
          <w14:ligatures w14:val="none"/>
        </w:rPr>
        <w:t>esearcher</w:t>
      </w:r>
      <w:r w:rsidRPr="00891F5D">
        <w:rPr>
          <w:rFonts w:ascii="Arial" w:eastAsiaTheme="minorHAnsi" w:hAnsi="Arial" w:cs="Arial"/>
          <w:kern w:val="0"/>
          <w:lang w:eastAsia="en-US"/>
          <w14:ligatures w14:val="none"/>
        </w:rPr>
        <w:t xml:space="preserve">. What follows is a discussion of the key results based on </w:t>
      </w:r>
      <w:r w:rsidRPr="00891F5D">
        <w:rPr>
          <w:rFonts w:ascii="Arial" w:eastAsiaTheme="minorHAnsi" w:hAnsi="Arial" w:cs="Arial"/>
          <w:i/>
          <w:kern w:val="0"/>
          <w:lang w:eastAsia="en-US"/>
          <w14:ligatures w14:val="none"/>
        </w:rPr>
        <w:t xml:space="preserve">a typology created by the </w:t>
      </w:r>
      <w:r w:rsidR="005557C6">
        <w:rPr>
          <w:rFonts w:ascii="Arial" w:eastAsiaTheme="minorHAnsi" w:hAnsi="Arial" w:cs="Arial"/>
          <w:i/>
          <w:kern w:val="0"/>
          <w:lang w:eastAsia="en-US"/>
          <w14:ligatures w14:val="none"/>
        </w:rPr>
        <w:t>researcher</w:t>
      </w:r>
      <w:r w:rsidRPr="00891F5D">
        <w:rPr>
          <w:rFonts w:ascii="Arial" w:eastAsiaTheme="minorHAnsi" w:hAnsi="Arial" w:cs="Arial"/>
          <w:i/>
          <w:kern w:val="0"/>
          <w:lang w:eastAsia="en-US"/>
          <w14:ligatures w14:val="none"/>
        </w:rPr>
        <w:t xml:space="preserve">. </w:t>
      </w:r>
      <w:r w:rsidRPr="00891F5D">
        <w:rPr>
          <w:rFonts w:ascii="Arial" w:eastAsiaTheme="minorHAnsi" w:hAnsi="Arial" w:cs="Arial"/>
          <w:b/>
          <w:bCs/>
          <w:i/>
          <w:kern w:val="0"/>
          <w:lang w:eastAsia="en-US"/>
          <w14:ligatures w14:val="none"/>
        </w:rPr>
        <w:t>(</w:t>
      </w:r>
      <w:r w:rsidRPr="00891F5D">
        <w:rPr>
          <w:rFonts w:ascii="Arial" w:eastAsiaTheme="minorHAnsi" w:hAnsi="Arial" w:cs="Arial"/>
          <w:b/>
          <w:bCs/>
          <w:iCs/>
          <w:kern w:val="0"/>
          <w:lang w:eastAsia="en-US"/>
          <w14:ligatures w14:val="none"/>
        </w:rPr>
        <w:t>NB: Please see Appendix A)</w:t>
      </w:r>
    </w:p>
    <w:p w14:paraId="5B545F55"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The 33 case studies are comprised of a variety of industries, ranging from bioscience to transport, 21 percent of which are concentrated in financial services. Twenty of the case studies are American, and the remainder are international, underscoring the global phenomenon of Accounting Fraud covering the following countries: Austria, Cyprus, Hong Kong, India, Japan, Jersey, Kenya, Malaysia (two), Saudi Arabia, Spain, UAE, and Venezuela.</w:t>
      </w:r>
    </w:p>
    <w:p w14:paraId="4EDA3511"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It was noted that 82 percent of </w:t>
      </w:r>
      <w:r w:rsidRPr="00891F5D">
        <w:rPr>
          <w:rFonts w:ascii="Arial" w:eastAsiaTheme="minorHAnsi" w:hAnsi="Arial" w:cs="Arial"/>
          <w:b/>
          <w:bCs/>
          <w:kern w:val="0"/>
          <w:lang w:eastAsia="en-US"/>
          <w14:ligatures w14:val="none"/>
        </w:rPr>
        <w:t xml:space="preserve">“cooks”/perpetrators </w:t>
      </w:r>
      <w:r w:rsidRPr="00891F5D">
        <w:rPr>
          <w:rFonts w:ascii="Arial" w:eastAsiaTheme="minorHAnsi" w:hAnsi="Arial" w:cs="Arial"/>
          <w:kern w:val="0"/>
          <w:lang w:eastAsia="en-US"/>
          <w14:ligatures w14:val="none"/>
        </w:rPr>
        <w:t xml:space="preserve">were male and the balance female, suggesting that this is a male-dominated crime. A surprising 94 percent of the offenders demonstrated psychopathic tendencies, such as a charismatic personality, coupled with a desire for absolute control and manipulation. This potentially suggests that global top management is unbalanced and ruthless, which fits the image of the character of the financial fraudster, Gordon Gekko, as played by Michael Douglas in the acclaimed movie </w:t>
      </w:r>
      <w:r w:rsidRPr="00891F5D">
        <w:rPr>
          <w:rFonts w:ascii="Arial" w:eastAsiaTheme="minorHAnsi" w:hAnsi="Arial" w:cs="Arial"/>
          <w:i/>
          <w:kern w:val="0"/>
          <w:lang w:eastAsia="en-US"/>
          <w14:ligatures w14:val="none"/>
        </w:rPr>
        <w:t>Wall Street</w:t>
      </w:r>
      <w:r w:rsidRPr="00891F5D">
        <w:rPr>
          <w:rFonts w:ascii="Arial" w:eastAsiaTheme="minorHAnsi" w:hAnsi="Arial" w:cs="Arial"/>
          <w:kern w:val="0"/>
          <w:lang w:eastAsia="en-US"/>
          <w14:ligatures w14:val="none"/>
        </w:rPr>
        <w:t>. It is also evident that in a significant number of cases, 42 percent, there was collusion between the CEO and the CFO, suggesting that governance is a real problem, when there is a well-articulated and functioning control environment, because it is subject to management override.</w:t>
      </w:r>
    </w:p>
    <w:p w14:paraId="2432AA50"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The most favoured </w:t>
      </w:r>
      <w:r w:rsidRPr="00891F5D">
        <w:rPr>
          <w:rFonts w:ascii="Arial" w:eastAsiaTheme="minorHAnsi" w:hAnsi="Arial" w:cs="Arial"/>
          <w:b/>
          <w:bCs/>
          <w:kern w:val="0"/>
          <w:lang w:eastAsia="en-US"/>
          <w14:ligatures w14:val="none"/>
        </w:rPr>
        <w:t xml:space="preserve">“recipes”/methods </w:t>
      </w:r>
      <w:r w:rsidRPr="00891F5D">
        <w:rPr>
          <w:rFonts w:ascii="Arial" w:eastAsiaTheme="minorHAnsi" w:hAnsi="Arial" w:cs="Arial"/>
          <w:kern w:val="0"/>
          <w:lang w:eastAsia="en-US"/>
          <w14:ligatures w14:val="none"/>
        </w:rPr>
        <w:t xml:space="preserve">of executing the accounting fraud were illegal earnings management, 58 percent, and increasing the value of assets, 33 percent. Illegitimately reducing expenses and liabilities was also utilized. The major </w:t>
      </w:r>
      <w:r w:rsidRPr="00891F5D">
        <w:rPr>
          <w:rFonts w:ascii="Arial" w:eastAsiaTheme="minorHAnsi" w:hAnsi="Arial" w:cs="Arial"/>
          <w:b/>
          <w:bCs/>
          <w:kern w:val="0"/>
          <w:lang w:eastAsia="en-US"/>
          <w14:ligatures w14:val="none"/>
        </w:rPr>
        <w:t xml:space="preserve">“incentive” </w:t>
      </w:r>
      <w:r w:rsidRPr="00891F5D">
        <w:rPr>
          <w:rFonts w:ascii="Arial" w:eastAsiaTheme="minorHAnsi" w:hAnsi="Arial" w:cs="Arial"/>
          <w:kern w:val="0"/>
          <w:lang w:eastAsia="en-US"/>
          <w14:ligatures w14:val="none"/>
        </w:rPr>
        <w:t xml:space="preserve">for committing Accounting Fraud was greed, which occurred because of </w:t>
      </w:r>
      <w:r w:rsidRPr="00891F5D">
        <w:rPr>
          <w:rFonts w:ascii="Arial" w:eastAsiaTheme="minorHAnsi" w:hAnsi="Arial" w:cs="Arial"/>
          <w:kern w:val="0"/>
          <w:lang w:eastAsia="en-US"/>
          <w14:ligatures w14:val="none"/>
        </w:rPr>
        <w:lastRenderedPageBreak/>
        <w:t>leading a lavish lifestyle. As per chapter two “Motivations for Accounting Fraud,” which explored the motivations for committing Accounting Fraud, it was found that breaching debt covenants, gaining new lines of credit, and meeting market expectations supported the literature. There were other less known but important motivating factors, such as pressure from the parent company, sale of the business, and a company embarking on an IPO or listing on a public stock exchange such as the NYSE.</w:t>
      </w:r>
    </w:p>
    <w:p w14:paraId="46BC906F"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As stated earlier, </w:t>
      </w:r>
      <w:r w:rsidRPr="00891F5D">
        <w:rPr>
          <w:rFonts w:ascii="Arial" w:eastAsiaTheme="minorHAnsi" w:hAnsi="Arial" w:cs="Arial"/>
          <w:b/>
          <w:bCs/>
          <w:kern w:val="0"/>
          <w:lang w:eastAsia="en-US"/>
          <w14:ligatures w14:val="none"/>
        </w:rPr>
        <w:t>“monitoring”</w:t>
      </w:r>
      <w:r w:rsidRPr="00891F5D">
        <w:rPr>
          <w:rFonts w:ascii="Arial" w:eastAsiaTheme="minorHAnsi" w:hAnsi="Arial" w:cs="Arial"/>
          <w:kern w:val="0"/>
          <w:lang w:eastAsia="en-US"/>
          <w14:ligatures w14:val="none"/>
        </w:rPr>
        <w:t xml:space="preserve"> becomes redundant where management override is possible, which was present in 45 percent of the case studies. This supports the adage that a </w:t>
      </w:r>
      <w:r w:rsidRPr="00891F5D">
        <w:rPr>
          <w:rFonts w:ascii="Arial" w:eastAsiaTheme="minorHAnsi" w:hAnsi="Arial" w:cs="Arial"/>
          <w:i/>
          <w:iCs/>
          <w:kern w:val="0"/>
          <w:lang w:eastAsia="en-US"/>
          <w14:ligatures w14:val="none"/>
        </w:rPr>
        <w:t xml:space="preserve">fish rots from the head down, </w:t>
      </w:r>
      <w:r w:rsidRPr="00891F5D">
        <w:rPr>
          <w:rFonts w:ascii="Arial" w:eastAsiaTheme="minorHAnsi" w:hAnsi="Arial" w:cs="Arial"/>
          <w:kern w:val="0"/>
          <w:lang w:eastAsia="en-US"/>
          <w14:ligatures w14:val="none"/>
        </w:rPr>
        <w:t xml:space="preserve">meaning that a corrupt senior leadership is </w:t>
      </w:r>
      <w:hyperlink r:id="rId39" w:tooltip="They Will Be What You Are (A Note to the Sales Manager)" w:history="1">
        <w:r w:rsidRPr="00891F5D">
          <w:rPr>
            <w:rFonts w:ascii="Arial" w:eastAsiaTheme="minorHAnsi" w:hAnsi="Arial" w:cs="Arial"/>
            <w:kern w:val="0"/>
            <w:lang w:eastAsia="en-US"/>
            <w14:ligatures w14:val="none"/>
          </w:rPr>
          <w:t>the root cause</w:t>
        </w:r>
      </w:hyperlink>
      <w:r w:rsidRPr="00891F5D">
        <w:rPr>
          <w:rFonts w:ascii="Arial" w:eastAsiaTheme="minorHAnsi" w:hAnsi="Arial" w:cs="Arial"/>
          <w:kern w:val="0"/>
          <w:lang w:eastAsia="en-US"/>
          <w14:ligatures w14:val="none"/>
        </w:rPr>
        <w:t xml:space="preserve"> of an organization’s failure and demise caused by Accounting Fraud. Senior leadership sets the tone and culture for an organization; thus, in 33 percent of the cases there was a poor control culture or wilfully facilitating poor internal controls. There were several cases showing examples of “control fraud,” where the CEO, the CFO, and internal and external auditors all colluded to execute the Accounting Fraud. In this rare phenomenon, it is practically impossible to detect the fraud until the company implodes. The potential solution to detecting and fighting Accounting Fraud is an anonymous whistle-blower hotline. It was also found, in several cases, that external auditors were negligent probably because of poor training or knowledge of the client or industry, which underscores the importance of a quality external audit, although it is not the job of the external auditor to actively search for Accounting Fraud.</w:t>
      </w:r>
    </w:p>
    <w:p w14:paraId="4AFDD634"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Surprisingly, the </w:t>
      </w:r>
      <w:r w:rsidRPr="00891F5D">
        <w:rPr>
          <w:rFonts w:ascii="Arial" w:eastAsiaTheme="minorHAnsi" w:hAnsi="Arial" w:cs="Arial"/>
          <w:b/>
          <w:bCs/>
          <w:kern w:val="0"/>
          <w:lang w:eastAsia="en-US"/>
          <w14:ligatures w14:val="none"/>
        </w:rPr>
        <w:t>‘’end results’’</w:t>
      </w:r>
      <w:r w:rsidRPr="00891F5D">
        <w:rPr>
          <w:rFonts w:ascii="Arial" w:eastAsiaTheme="minorHAnsi" w:hAnsi="Arial" w:cs="Arial"/>
          <w:kern w:val="0"/>
          <w:lang w:eastAsia="en-US"/>
          <w14:ligatures w14:val="none"/>
        </w:rPr>
        <w:t xml:space="preserve"> of accounting fraud only resulted in 33 percent of perpetrators going to prison, suggesting that white-collar criminals are not perceived as being as dangerous as other types of criminals. However, as discussed in Chapter one “The Significance and Cost of Accounting Fraud,” the socioeconomic costs of Accounting Fraud are significant and ultimately destroy trust in the capital markets. On </w:t>
      </w:r>
      <w:r w:rsidRPr="00891F5D">
        <w:rPr>
          <w:rFonts w:ascii="Arial" w:eastAsiaTheme="minorHAnsi" w:hAnsi="Arial" w:cs="Arial"/>
          <w:kern w:val="0"/>
          <w:lang w:eastAsia="en-US"/>
          <w14:ligatures w14:val="none"/>
        </w:rPr>
        <w:lastRenderedPageBreak/>
        <w:t xml:space="preserve">the other hand, forensic accountants and fraud examiners require knowledge of </w:t>
      </w:r>
      <w:r w:rsidRPr="00891F5D">
        <w:rPr>
          <w:rFonts w:ascii="Arial" w:eastAsiaTheme="minorHAnsi" w:hAnsi="Arial" w:cs="Arial"/>
          <w:kern w:val="0"/>
          <w:shd w:val="clear" w:color="auto" w:fill="FFFFFF"/>
          <w:lang w:eastAsia="en-US"/>
          <w14:ligatures w14:val="none"/>
        </w:rPr>
        <w:t>accounting, auditing, and investigative skills to conduct an examination into the finances of an individual or business</w:t>
      </w:r>
      <w:r w:rsidRPr="00891F5D">
        <w:rPr>
          <w:rFonts w:ascii="Arial" w:eastAsiaTheme="minorHAnsi" w:hAnsi="Arial" w:cs="Arial"/>
          <w:kern w:val="0"/>
          <w:lang w:eastAsia="en-US"/>
          <w14:ligatures w14:val="none"/>
        </w:rPr>
        <w:t xml:space="preserve"> to unearth and crucially prove the existence of Accounting Fraud. Therefore, it is not uncommon for regulators to fine and disbar convicted CFOs from practicing again, as occurred in 15 percent of the sample. In as many as 27 percent of cases, once the crime had been discovered, it was dealt with internally, probably to avoid the reputational damage and the negative impact on external stakeholders such as lenders and investors. This course of action is problematic in that it will not lead to a root and branch clean-up of the culture and implicitly signals that Accounting Fraud will be tolerated. In some extreme cases, even when the fraud was detected, nothing happened to the criminals, and they were left free to wreak havoc in their next company. Ultimately, Accounting Fraud is synonymous with corporate failure, as in the notorious case of Enron, and 15 percent of companies studied liquidated after the discovery of the Accounting Fraud. This can also be viewed as an opportunity for the company to change, as 85 percent of the companies survived and may even have flourished.</w:t>
      </w:r>
    </w:p>
    <w:p w14:paraId="01B29ED6" w14:textId="1E607909" w:rsidR="00AA6323" w:rsidRDefault="00891F5D" w:rsidP="009168B9">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The </w:t>
      </w:r>
      <w:r w:rsidR="00442178">
        <w:rPr>
          <w:rFonts w:ascii="Arial" w:eastAsiaTheme="minorHAnsi" w:hAnsi="Arial" w:cs="Arial"/>
          <w:kern w:val="0"/>
          <w:lang w:eastAsia="en-US"/>
          <w14:ligatures w14:val="none"/>
        </w:rPr>
        <w:t>researcher</w:t>
      </w:r>
      <w:r w:rsidRPr="00891F5D">
        <w:rPr>
          <w:rFonts w:ascii="Arial" w:eastAsiaTheme="minorHAnsi" w:hAnsi="Arial" w:cs="Arial"/>
          <w:kern w:val="0"/>
          <w:lang w:eastAsia="en-US"/>
          <w14:ligatures w14:val="none"/>
        </w:rPr>
        <w:t xml:space="preserve"> believes that Accounting Fraud is a classic case of agency conflict and moral hazard (see 2.4.“The Corporate Governance Cosmos”), where inappropriate incentivization, such as excessive bonuses or stock options, perpetuates a culture of short-termism, where the line between “profit making” and “profit taking” becomes very blurred. Hence, in the </w:t>
      </w:r>
      <w:r w:rsidR="00442178">
        <w:rPr>
          <w:rFonts w:ascii="Arial" w:eastAsiaTheme="minorHAnsi" w:hAnsi="Arial" w:cs="Arial"/>
          <w:kern w:val="0"/>
          <w:lang w:eastAsia="en-US"/>
          <w14:ligatures w14:val="none"/>
        </w:rPr>
        <w:t>researcher</w:t>
      </w:r>
      <w:r w:rsidRPr="00891F5D">
        <w:rPr>
          <w:rFonts w:ascii="Arial" w:eastAsiaTheme="minorHAnsi" w:hAnsi="Arial" w:cs="Arial"/>
          <w:kern w:val="0"/>
          <w:lang w:eastAsia="en-US"/>
          <w14:ligatures w14:val="none"/>
        </w:rPr>
        <w:t>’s study of 33 international companies, the key strategic learning themes gauged were around culture, control environment, and the role of the auditor, as summarized in Figure 2.1</w:t>
      </w:r>
      <w:r w:rsidR="00AA6323">
        <w:rPr>
          <w:rFonts w:ascii="Arial" w:eastAsiaTheme="minorHAnsi" w:hAnsi="Arial" w:cs="Arial"/>
          <w:kern w:val="0"/>
          <w:lang w:eastAsia="en-US"/>
          <w14:ligatures w14:val="none"/>
        </w:rPr>
        <w:t>4</w:t>
      </w:r>
      <w:r w:rsidRPr="00891F5D">
        <w:rPr>
          <w:rFonts w:ascii="Arial" w:eastAsiaTheme="minorHAnsi" w:hAnsi="Arial" w:cs="Arial"/>
          <w:kern w:val="0"/>
          <w:lang w:eastAsia="en-US"/>
          <w14:ligatures w14:val="none"/>
        </w:rPr>
        <w:t>:</w:t>
      </w:r>
    </w:p>
    <w:p w14:paraId="62CE1F93" w14:textId="77777777" w:rsidR="00C0703D" w:rsidRPr="00891F5D" w:rsidRDefault="00C0703D" w:rsidP="009168B9">
      <w:pPr>
        <w:spacing w:line="480" w:lineRule="auto"/>
        <w:jc w:val="both"/>
        <w:rPr>
          <w:rFonts w:ascii="Arial" w:eastAsiaTheme="minorHAnsi" w:hAnsi="Arial" w:cs="Arial"/>
          <w:kern w:val="0"/>
          <w:lang w:eastAsia="en-US"/>
          <w14:ligatures w14:val="none"/>
        </w:rPr>
      </w:pPr>
    </w:p>
    <w:p w14:paraId="75064932" w14:textId="77777777" w:rsidR="00891F5D" w:rsidRPr="00891F5D" w:rsidRDefault="00891F5D" w:rsidP="00891F5D">
      <w:pPr>
        <w:spacing w:line="480" w:lineRule="auto"/>
        <w:jc w:val="both"/>
        <w:rPr>
          <w:rFonts w:ascii="Arial" w:eastAsiaTheme="minorHAnsi" w:hAnsi="Arial" w:cs="Arial"/>
          <w:b/>
          <w:bCs/>
          <w:kern w:val="0"/>
          <w:shd w:val="clear" w:color="auto" w:fill="FFFFFF"/>
          <w:lang w:eastAsia="en-US"/>
          <w14:ligatures w14:val="none"/>
        </w:rPr>
      </w:pPr>
      <w:r w:rsidRPr="00891F5D">
        <w:rPr>
          <w:rFonts w:ascii="Arial" w:eastAsiaTheme="minorHAnsi" w:hAnsi="Arial" w:cs="Arial"/>
          <w:b/>
          <w:bCs/>
          <w:kern w:val="0"/>
          <w:shd w:val="clear" w:color="auto" w:fill="FFFFFF"/>
          <w:lang w:eastAsia="en-US"/>
          <w14:ligatures w14:val="none"/>
        </w:rPr>
        <w:lastRenderedPageBreak/>
        <w:t>Figure 2.14 Key themes from C R I M E L model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20" w:firstRow="1" w:lastRow="0" w:firstColumn="0" w:lastColumn="0" w:noHBand="0" w:noVBand="1"/>
      </w:tblPr>
      <w:tblGrid>
        <w:gridCol w:w="1909"/>
        <w:gridCol w:w="7107"/>
      </w:tblGrid>
      <w:tr w:rsidR="00891F5D" w:rsidRPr="00891F5D" w14:paraId="00599519" w14:textId="77777777" w:rsidTr="001D4222">
        <w:trPr>
          <w:trHeight w:val="772"/>
        </w:trPr>
        <w:tc>
          <w:tcPr>
            <w:tcW w:w="0" w:type="auto"/>
            <w:shd w:val="clear" w:color="auto" w:fill="4472C4"/>
            <w:tcMar>
              <w:top w:w="72" w:type="dxa"/>
              <w:left w:w="144" w:type="dxa"/>
              <w:bottom w:w="72" w:type="dxa"/>
              <w:right w:w="144" w:type="dxa"/>
            </w:tcMar>
            <w:hideMark/>
          </w:tcPr>
          <w:p w14:paraId="0D330398" w14:textId="77777777" w:rsidR="00891F5D" w:rsidRPr="00891F5D" w:rsidRDefault="00891F5D" w:rsidP="00891F5D">
            <w:pPr>
              <w:spacing w:after="0" w:line="480" w:lineRule="auto"/>
              <w:jc w:val="both"/>
              <w:rPr>
                <w:rFonts w:ascii="Arial" w:eastAsia="Times New Roman" w:hAnsi="Arial" w:cs="Arial"/>
                <w:kern w:val="0"/>
                <w:lang w:eastAsia="en-US"/>
                <w14:ligatures w14:val="none"/>
              </w:rPr>
            </w:pPr>
            <w:r w:rsidRPr="00891F5D">
              <w:rPr>
                <w:rFonts w:ascii="Arial" w:hAnsi="Arial" w:cs="Arial"/>
                <w:kern w:val="24"/>
                <w:lang w:eastAsia="en-US"/>
                <w14:ligatures w14:val="none"/>
              </w:rPr>
              <w:t>Themes</w:t>
            </w:r>
          </w:p>
        </w:tc>
        <w:tc>
          <w:tcPr>
            <w:tcW w:w="0" w:type="auto"/>
            <w:shd w:val="clear" w:color="auto" w:fill="4472C4"/>
            <w:tcMar>
              <w:top w:w="72" w:type="dxa"/>
              <w:left w:w="144" w:type="dxa"/>
              <w:bottom w:w="72" w:type="dxa"/>
              <w:right w:w="144" w:type="dxa"/>
            </w:tcMar>
            <w:hideMark/>
          </w:tcPr>
          <w:p w14:paraId="791D9E94" w14:textId="77777777" w:rsidR="00891F5D" w:rsidRPr="00891F5D" w:rsidRDefault="00891F5D" w:rsidP="00891F5D">
            <w:pPr>
              <w:spacing w:after="0" w:line="480" w:lineRule="auto"/>
              <w:jc w:val="both"/>
              <w:rPr>
                <w:rFonts w:ascii="Arial" w:eastAsia="Times New Roman" w:hAnsi="Arial" w:cs="Arial"/>
                <w:kern w:val="0"/>
                <w:lang w:eastAsia="en-US"/>
                <w14:ligatures w14:val="none"/>
              </w:rPr>
            </w:pPr>
            <w:r w:rsidRPr="00891F5D">
              <w:rPr>
                <w:rFonts w:ascii="Arial" w:hAnsi="Arial" w:cs="Arial"/>
                <w:kern w:val="24"/>
                <w:lang w:eastAsia="en-US"/>
                <w14:ligatures w14:val="none"/>
              </w:rPr>
              <w:t>Learning</w:t>
            </w:r>
          </w:p>
        </w:tc>
      </w:tr>
      <w:tr w:rsidR="00891F5D" w:rsidRPr="00891F5D" w14:paraId="2E2B02DA" w14:textId="77777777" w:rsidTr="001D4222">
        <w:trPr>
          <w:trHeight w:val="1406"/>
        </w:trPr>
        <w:tc>
          <w:tcPr>
            <w:tcW w:w="0" w:type="auto"/>
            <w:shd w:val="clear" w:color="auto" w:fill="CFD5EA"/>
            <w:tcMar>
              <w:top w:w="72" w:type="dxa"/>
              <w:left w:w="144" w:type="dxa"/>
              <w:bottom w:w="72" w:type="dxa"/>
              <w:right w:w="144" w:type="dxa"/>
            </w:tcMar>
            <w:hideMark/>
          </w:tcPr>
          <w:p w14:paraId="07B980FB" w14:textId="77777777" w:rsidR="00891F5D" w:rsidRPr="00891F5D" w:rsidRDefault="00891F5D" w:rsidP="00891F5D">
            <w:pPr>
              <w:spacing w:after="0" w:line="480" w:lineRule="auto"/>
              <w:jc w:val="both"/>
              <w:rPr>
                <w:rFonts w:ascii="Arial" w:eastAsia="Times New Roman" w:hAnsi="Arial" w:cs="Arial"/>
                <w:kern w:val="0"/>
                <w:lang w:eastAsia="en-US"/>
                <w14:ligatures w14:val="none"/>
              </w:rPr>
            </w:pPr>
            <w:r w:rsidRPr="00891F5D">
              <w:rPr>
                <w:rFonts w:ascii="Arial" w:hAnsi="Arial" w:cs="Arial"/>
                <w:kern w:val="24"/>
                <w:lang w:eastAsia="en-US"/>
                <w14:ligatures w14:val="none"/>
              </w:rPr>
              <w:t>Culture</w:t>
            </w:r>
          </w:p>
        </w:tc>
        <w:tc>
          <w:tcPr>
            <w:tcW w:w="0" w:type="auto"/>
            <w:shd w:val="clear" w:color="auto" w:fill="CFD5EA"/>
            <w:tcMar>
              <w:top w:w="72" w:type="dxa"/>
              <w:left w:w="144" w:type="dxa"/>
              <w:bottom w:w="72" w:type="dxa"/>
              <w:right w:w="144" w:type="dxa"/>
            </w:tcMar>
            <w:hideMark/>
          </w:tcPr>
          <w:p w14:paraId="7295C6B1" w14:textId="77777777" w:rsidR="00891F5D" w:rsidRPr="00891F5D" w:rsidRDefault="00891F5D">
            <w:pPr>
              <w:numPr>
                <w:ilvl w:val="0"/>
                <w:numId w:val="16"/>
              </w:numPr>
              <w:spacing w:after="0" w:line="480" w:lineRule="auto"/>
              <w:contextualSpacing/>
              <w:jc w:val="both"/>
              <w:rPr>
                <w:rFonts w:ascii="Arial" w:eastAsia="Times New Roman" w:hAnsi="Arial" w:cs="Arial"/>
                <w:kern w:val="0"/>
                <w:lang w:val="en-US" w:eastAsia="en-US"/>
                <w14:ligatures w14:val="none"/>
              </w:rPr>
            </w:pPr>
            <w:r w:rsidRPr="00891F5D">
              <w:rPr>
                <w:rFonts w:ascii="Arial" w:hAnsi="Arial" w:cs="Arial"/>
                <w:kern w:val="24"/>
                <w:lang w:val="en-US" w:eastAsia="en-US"/>
                <w14:ligatures w14:val="none"/>
              </w:rPr>
              <w:t>An ethical culture must be set at the top.</w:t>
            </w:r>
          </w:p>
          <w:p w14:paraId="76F474A4" w14:textId="77777777" w:rsidR="00891F5D" w:rsidRPr="00891F5D" w:rsidRDefault="00891F5D">
            <w:pPr>
              <w:numPr>
                <w:ilvl w:val="0"/>
                <w:numId w:val="16"/>
              </w:numPr>
              <w:spacing w:after="0" w:line="480" w:lineRule="auto"/>
              <w:contextualSpacing/>
              <w:jc w:val="both"/>
              <w:rPr>
                <w:rFonts w:ascii="Arial" w:eastAsia="Times New Roman" w:hAnsi="Arial" w:cs="Arial"/>
                <w:kern w:val="0"/>
                <w:lang w:val="en-US" w:eastAsia="en-US"/>
                <w14:ligatures w14:val="none"/>
              </w:rPr>
            </w:pPr>
            <w:r w:rsidRPr="00891F5D">
              <w:rPr>
                <w:rFonts w:ascii="Arial" w:hAnsi="Arial" w:cs="Arial"/>
                <w:kern w:val="24"/>
                <w:lang w:val="en-US" w:eastAsia="en-US"/>
                <w14:ligatures w14:val="none"/>
              </w:rPr>
              <w:t>Long tenure and a position of trust does not clear some of suspicion.</w:t>
            </w:r>
          </w:p>
          <w:p w14:paraId="1B2BAE58" w14:textId="77777777" w:rsidR="00891F5D" w:rsidRPr="00891F5D" w:rsidRDefault="00891F5D">
            <w:pPr>
              <w:numPr>
                <w:ilvl w:val="0"/>
                <w:numId w:val="16"/>
              </w:numPr>
              <w:spacing w:after="0" w:line="480" w:lineRule="auto"/>
              <w:contextualSpacing/>
              <w:jc w:val="both"/>
              <w:rPr>
                <w:rFonts w:ascii="Arial" w:eastAsia="Times New Roman" w:hAnsi="Arial" w:cs="Arial"/>
                <w:kern w:val="0"/>
                <w:lang w:val="en-US" w:eastAsia="en-US"/>
                <w14:ligatures w14:val="none"/>
              </w:rPr>
            </w:pPr>
            <w:r w:rsidRPr="00891F5D">
              <w:rPr>
                <w:rFonts w:ascii="Arial" w:hAnsi="Arial" w:cs="Arial"/>
                <w:kern w:val="24"/>
                <w:lang w:val="en-US" w:eastAsia="en-US"/>
                <w14:ligatures w14:val="none"/>
              </w:rPr>
              <w:t>CFOs/CEOs with psychopathic tendencies cannot be treated and need to be removed sooner rather than later, or else the long-term viability of the organization is under serious threat.</w:t>
            </w:r>
          </w:p>
          <w:p w14:paraId="75CC15B2" w14:textId="77777777" w:rsidR="00891F5D" w:rsidRPr="00891F5D" w:rsidRDefault="00891F5D">
            <w:pPr>
              <w:numPr>
                <w:ilvl w:val="0"/>
                <w:numId w:val="16"/>
              </w:numPr>
              <w:spacing w:after="0" w:line="480" w:lineRule="auto"/>
              <w:contextualSpacing/>
              <w:jc w:val="both"/>
              <w:rPr>
                <w:rFonts w:ascii="Arial" w:eastAsia="Times New Roman" w:hAnsi="Arial" w:cs="Arial"/>
                <w:kern w:val="0"/>
                <w:lang w:val="en-US" w:eastAsia="en-US"/>
                <w14:ligatures w14:val="none"/>
              </w:rPr>
            </w:pPr>
            <w:r w:rsidRPr="00891F5D">
              <w:rPr>
                <w:rFonts w:ascii="Arial" w:hAnsi="Arial" w:cs="Arial"/>
                <w:kern w:val="24"/>
                <w:lang w:val="en-US" w:eastAsia="en-US"/>
                <w14:ligatures w14:val="none"/>
              </w:rPr>
              <w:t>Growing or stable dividends are not a signal of a well-run company.</w:t>
            </w:r>
          </w:p>
          <w:p w14:paraId="3169428E" w14:textId="77777777" w:rsidR="00891F5D" w:rsidRPr="00891F5D" w:rsidRDefault="00891F5D">
            <w:pPr>
              <w:numPr>
                <w:ilvl w:val="0"/>
                <w:numId w:val="16"/>
              </w:numPr>
              <w:spacing w:after="0" w:line="480" w:lineRule="auto"/>
              <w:contextualSpacing/>
              <w:jc w:val="both"/>
              <w:rPr>
                <w:rFonts w:ascii="Arial" w:eastAsia="Times New Roman" w:hAnsi="Arial" w:cs="Arial"/>
                <w:kern w:val="0"/>
                <w:lang w:val="en-US" w:eastAsia="en-US"/>
                <w14:ligatures w14:val="none"/>
              </w:rPr>
            </w:pPr>
            <w:r w:rsidRPr="00891F5D">
              <w:rPr>
                <w:rFonts w:ascii="Arial" w:hAnsi="Arial" w:cs="Arial"/>
                <w:kern w:val="24"/>
                <w:lang w:val="en-US" w:eastAsia="en-US"/>
                <w14:ligatures w14:val="none"/>
              </w:rPr>
              <w:t>Investors should not be impressed by glossy brochures and the “elder statesman”</w:t>
            </w:r>
          </w:p>
        </w:tc>
      </w:tr>
      <w:tr w:rsidR="00891F5D" w:rsidRPr="00891F5D" w14:paraId="1D5C133B" w14:textId="77777777" w:rsidTr="001D4222">
        <w:trPr>
          <w:trHeight w:val="1406"/>
        </w:trPr>
        <w:tc>
          <w:tcPr>
            <w:tcW w:w="0" w:type="auto"/>
            <w:shd w:val="clear" w:color="auto" w:fill="CFD5EA"/>
            <w:tcMar>
              <w:top w:w="72" w:type="dxa"/>
              <w:left w:w="144" w:type="dxa"/>
              <w:bottom w:w="72" w:type="dxa"/>
              <w:right w:w="144" w:type="dxa"/>
            </w:tcMar>
            <w:hideMark/>
          </w:tcPr>
          <w:p w14:paraId="431920B0" w14:textId="77777777" w:rsidR="00891F5D" w:rsidRPr="00891F5D" w:rsidRDefault="00891F5D" w:rsidP="00891F5D">
            <w:pPr>
              <w:spacing w:after="0" w:line="480" w:lineRule="auto"/>
              <w:jc w:val="both"/>
              <w:rPr>
                <w:rFonts w:ascii="Arial" w:hAnsi="Arial" w:cs="Arial"/>
                <w:kern w:val="24"/>
                <w:lang w:eastAsia="en-US"/>
                <w14:ligatures w14:val="none"/>
              </w:rPr>
            </w:pPr>
            <w:r w:rsidRPr="00891F5D">
              <w:rPr>
                <w:rFonts w:ascii="Arial" w:hAnsi="Arial" w:cs="Arial"/>
                <w:kern w:val="24"/>
                <w:lang w:eastAsia="en-US"/>
                <w14:ligatures w14:val="none"/>
              </w:rPr>
              <w:t>Culture</w:t>
            </w:r>
          </w:p>
        </w:tc>
        <w:tc>
          <w:tcPr>
            <w:tcW w:w="0" w:type="auto"/>
            <w:shd w:val="clear" w:color="auto" w:fill="CFD5EA"/>
            <w:tcMar>
              <w:top w:w="72" w:type="dxa"/>
              <w:left w:w="144" w:type="dxa"/>
              <w:bottom w:w="72" w:type="dxa"/>
              <w:right w:w="144" w:type="dxa"/>
            </w:tcMar>
            <w:hideMark/>
          </w:tcPr>
          <w:p w14:paraId="3607E252" w14:textId="77777777" w:rsidR="00891F5D" w:rsidRPr="00891F5D" w:rsidRDefault="00891F5D">
            <w:pPr>
              <w:numPr>
                <w:ilvl w:val="0"/>
                <w:numId w:val="16"/>
              </w:numPr>
              <w:spacing w:after="0" w:line="480" w:lineRule="auto"/>
              <w:contextualSpacing/>
              <w:jc w:val="both"/>
              <w:rPr>
                <w:rFonts w:ascii="Arial" w:hAnsi="Arial" w:cs="Arial"/>
                <w:kern w:val="24"/>
                <w:lang w:val="en-US" w:eastAsia="en-US"/>
                <w14:ligatures w14:val="none"/>
              </w:rPr>
            </w:pPr>
            <w:r w:rsidRPr="00891F5D">
              <w:rPr>
                <w:rFonts w:ascii="Arial" w:hAnsi="Arial" w:cs="Arial"/>
                <w:kern w:val="24"/>
                <w:lang w:val="en-US" w:eastAsia="en-US"/>
                <w14:ligatures w14:val="none"/>
              </w:rPr>
              <w:t>Audit committees and the internal audit function must be completely independent.</w:t>
            </w:r>
          </w:p>
          <w:p w14:paraId="67822A38" w14:textId="77777777" w:rsidR="00891F5D" w:rsidRPr="00891F5D" w:rsidRDefault="00891F5D">
            <w:pPr>
              <w:numPr>
                <w:ilvl w:val="0"/>
                <w:numId w:val="16"/>
              </w:numPr>
              <w:spacing w:after="0" w:line="480" w:lineRule="auto"/>
              <w:contextualSpacing/>
              <w:jc w:val="both"/>
              <w:rPr>
                <w:rFonts w:ascii="Arial" w:hAnsi="Arial" w:cs="Arial"/>
                <w:kern w:val="24"/>
                <w:lang w:val="en-US" w:eastAsia="en-US"/>
                <w14:ligatures w14:val="none"/>
              </w:rPr>
            </w:pPr>
            <w:r w:rsidRPr="00891F5D">
              <w:rPr>
                <w:rFonts w:ascii="Arial" w:hAnsi="Arial" w:cs="Arial"/>
                <w:kern w:val="24"/>
                <w:lang w:val="en-US" w:eastAsia="en-US"/>
                <w14:ligatures w14:val="none"/>
              </w:rPr>
              <w:t>Changes in the lifestyle of senior management or junior staff should be considered a potential red flag.</w:t>
            </w:r>
          </w:p>
          <w:p w14:paraId="079A9CA9" w14:textId="77777777" w:rsidR="00891F5D" w:rsidRPr="00891F5D" w:rsidRDefault="00891F5D">
            <w:pPr>
              <w:numPr>
                <w:ilvl w:val="0"/>
                <w:numId w:val="16"/>
              </w:numPr>
              <w:spacing w:after="0" w:line="480" w:lineRule="auto"/>
              <w:contextualSpacing/>
              <w:jc w:val="both"/>
              <w:rPr>
                <w:rFonts w:ascii="Arial" w:hAnsi="Arial" w:cs="Arial"/>
                <w:kern w:val="24"/>
                <w:lang w:val="en-US" w:eastAsia="en-US"/>
                <w14:ligatures w14:val="none"/>
              </w:rPr>
            </w:pPr>
            <w:r w:rsidRPr="00891F5D">
              <w:rPr>
                <w:rFonts w:ascii="Arial" w:hAnsi="Arial" w:cs="Arial"/>
                <w:kern w:val="24"/>
                <w:lang w:val="en-US" w:eastAsia="en-US"/>
                <w14:ligatures w14:val="none"/>
              </w:rPr>
              <w:t>“Control fraud” can and does occur; hence, boards should consider fintech solutions such as blockchain systems that make fraud next to impossible as any changes can be viewed by all participants in the ecosystem.</w:t>
            </w:r>
          </w:p>
          <w:p w14:paraId="5178AB9A" w14:textId="77777777" w:rsidR="00891F5D" w:rsidRPr="00891F5D" w:rsidRDefault="00891F5D">
            <w:pPr>
              <w:numPr>
                <w:ilvl w:val="0"/>
                <w:numId w:val="16"/>
              </w:numPr>
              <w:spacing w:after="0" w:line="480" w:lineRule="auto"/>
              <w:contextualSpacing/>
              <w:jc w:val="both"/>
              <w:rPr>
                <w:rFonts w:ascii="Arial" w:hAnsi="Arial" w:cs="Arial"/>
                <w:kern w:val="24"/>
                <w:lang w:val="en-US" w:eastAsia="en-US"/>
                <w14:ligatures w14:val="none"/>
              </w:rPr>
            </w:pPr>
            <w:r w:rsidRPr="00891F5D">
              <w:rPr>
                <w:rFonts w:ascii="Arial" w:hAnsi="Arial" w:cs="Arial"/>
                <w:kern w:val="24"/>
                <w:lang w:val="en-US" w:eastAsia="en-US"/>
                <w14:ligatures w14:val="none"/>
              </w:rPr>
              <w:t>Simple HR checks can prevent the hiring of incompetent staff, including at senior level</w:t>
            </w:r>
          </w:p>
        </w:tc>
      </w:tr>
      <w:tr w:rsidR="00891F5D" w:rsidRPr="00891F5D" w14:paraId="314AD767" w14:textId="77777777" w:rsidTr="001D4222">
        <w:trPr>
          <w:trHeight w:val="1406"/>
        </w:trPr>
        <w:tc>
          <w:tcPr>
            <w:tcW w:w="0" w:type="auto"/>
            <w:shd w:val="clear" w:color="auto" w:fill="CFD5EA"/>
            <w:tcMar>
              <w:top w:w="72" w:type="dxa"/>
              <w:left w:w="144" w:type="dxa"/>
              <w:bottom w:w="72" w:type="dxa"/>
              <w:right w:w="144" w:type="dxa"/>
            </w:tcMar>
            <w:hideMark/>
          </w:tcPr>
          <w:p w14:paraId="705A8191" w14:textId="77777777" w:rsidR="00891F5D" w:rsidRPr="00891F5D" w:rsidRDefault="00891F5D" w:rsidP="00891F5D">
            <w:pPr>
              <w:spacing w:after="0" w:line="480" w:lineRule="auto"/>
              <w:jc w:val="both"/>
              <w:rPr>
                <w:rFonts w:ascii="Arial" w:hAnsi="Arial" w:cs="Arial"/>
                <w:kern w:val="24"/>
                <w:lang w:eastAsia="en-US"/>
                <w14:ligatures w14:val="none"/>
              </w:rPr>
            </w:pPr>
            <w:r w:rsidRPr="00891F5D">
              <w:rPr>
                <w:rFonts w:ascii="Arial" w:hAnsi="Arial" w:cs="Arial"/>
                <w:kern w:val="24"/>
                <w:lang w:eastAsia="en-US"/>
                <w14:ligatures w14:val="none"/>
              </w:rPr>
              <w:lastRenderedPageBreak/>
              <w:t>Control environment</w:t>
            </w:r>
          </w:p>
        </w:tc>
        <w:tc>
          <w:tcPr>
            <w:tcW w:w="0" w:type="auto"/>
            <w:shd w:val="clear" w:color="auto" w:fill="CFD5EA"/>
            <w:tcMar>
              <w:top w:w="72" w:type="dxa"/>
              <w:left w:w="144" w:type="dxa"/>
              <w:bottom w:w="72" w:type="dxa"/>
              <w:right w:w="144" w:type="dxa"/>
            </w:tcMar>
            <w:hideMark/>
          </w:tcPr>
          <w:p w14:paraId="5B298E49" w14:textId="77777777" w:rsidR="00891F5D" w:rsidRPr="00891F5D" w:rsidRDefault="00891F5D">
            <w:pPr>
              <w:numPr>
                <w:ilvl w:val="0"/>
                <w:numId w:val="16"/>
              </w:numPr>
              <w:spacing w:after="0" w:line="480" w:lineRule="auto"/>
              <w:contextualSpacing/>
              <w:jc w:val="both"/>
              <w:rPr>
                <w:rFonts w:ascii="Arial" w:hAnsi="Arial" w:cs="Arial"/>
                <w:kern w:val="24"/>
                <w:lang w:val="en-US" w:eastAsia="en-US"/>
                <w14:ligatures w14:val="none"/>
              </w:rPr>
            </w:pPr>
            <w:r w:rsidRPr="00891F5D">
              <w:rPr>
                <w:rFonts w:ascii="Arial" w:hAnsi="Arial" w:cs="Arial"/>
                <w:kern w:val="24"/>
                <w:lang w:val="en-US" w:eastAsia="en-US"/>
                <w14:ligatures w14:val="none"/>
              </w:rPr>
              <w:t>There must be a robust system of internal controls to prevent Accounting Fraud, although these will always be at the mercy of management override.</w:t>
            </w:r>
          </w:p>
          <w:p w14:paraId="64447509" w14:textId="77777777" w:rsidR="00891F5D" w:rsidRPr="00891F5D" w:rsidRDefault="00891F5D">
            <w:pPr>
              <w:numPr>
                <w:ilvl w:val="0"/>
                <w:numId w:val="16"/>
              </w:numPr>
              <w:spacing w:after="0" w:line="480" w:lineRule="auto"/>
              <w:contextualSpacing/>
              <w:jc w:val="both"/>
              <w:rPr>
                <w:rFonts w:ascii="Arial" w:hAnsi="Arial" w:cs="Arial"/>
                <w:kern w:val="24"/>
                <w:lang w:val="en-US" w:eastAsia="en-US"/>
                <w14:ligatures w14:val="none"/>
              </w:rPr>
            </w:pPr>
            <w:r w:rsidRPr="00891F5D">
              <w:rPr>
                <w:rFonts w:ascii="Arial" w:hAnsi="Arial" w:cs="Arial"/>
                <w:kern w:val="24"/>
                <w:lang w:val="en-US" w:eastAsia="en-US"/>
                <w14:ligatures w14:val="none"/>
              </w:rPr>
              <w:t>Wherever economically feasible, there must be a segregation of duties and never too much reliance on one employee, which can be dampened through job rotation, and there should be insistence on the taking of annual leave</w:t>
            </w:r>
          </w:p>
        </w:tc>
      </w:tr>
      <w:tr w:rsidR="00891F5D" w:rsidRPr="00891F5D" w14:paraId="5034DC5B" w14:textId="77777777" w:rsidTr="001D4222">
        <w:trPr>
          <w:trHeight w:val="1406"/>
        </w:trPr>
        <w:tc>
          <w:tcPr>
            <w:tcW w:w="0" w:type="auto"/>
            <w:shd w:val="clear" w:color="auto" w:fill="CFD5EA"/>
            <w:tcMar>
              <w:top w:w="72" w:type="dxa"/>
              <w:left w:w="144" w:type="dxa"/>
              <w:bottom w:w="72" w:type="dxa"/>
              <w:right w:w="144" w:type="dxa"/>
            </w:tcMar>
          </w:tcPr>
          <w:p w14:paraId="1F364AEF" w14:textId="77777777" w:rsidR="00891F5D" w:rsidRPr="00891F5D" w:rsidRDefault="00891F5D" w:rsidP="00891F5D">
            <w:pPr>
              <w:spacing w:after="0" w:line="480" w:lineRule="auto"/>
              <w:jc w:val="both"/>
              <w:rPr>
                <w:rFonts w:ascii="Arial" w:hAnsi="Arial" w:cs="Arial"/>
                <w:kern w:val="24"/>
                <w:lang w:eastAsia="en-US"/>
                <w14:ligatures w14:val="none"/>
              </w:rPr>
            </w:pPr>
            <w:r w:rsidRPr="00891F5D">
              <w:rPr>
                <w:rFonts w:ascii="Arial" w:hAnsi="Arial" w:cs="Arial"/>
                <w:kern w:val="24"/>
                <w:lang w:eastAsia="en-US"/>
                <w14:ligatures w14:val="none"/>
              </w:rPr>
              <w:t>Control environment</w:t>
            </w:r>
          </w:p>
        </w:tc>
        <w:tc>
          <w:tcPr>
            <w:tcW w:w="0" w:type="auto"/>
            <w:shd w:val="clear" w:color="auto" w:fill="CFD5EA"/>
            <w:tcMar>
              <w:top w:w="72" w:type="dxa"/>
              <w:left w:w="144" w:type="dxa"/>
              <w:bottom w:w="72" w:type="dxa"/>
              <w:right w:w="144" w:type="dxa"/>
            </w:tcMar>
            <w:hideMark/>
          </w:tcPr>
          <w:p w14:paraId="00E5755D" w14:textId="77777777" w:rsidR="00891F5D" w:rsidRPr="00891F5D" w:rsidRDefault="00891F5D">
            <w:pPr>
              <w:numPr>
                <w:ilvl w:val="0"/>
                <w:numId w:val="16"/>
              </w:numPr>
              <w:spacing w:after="0" w:line="480" w:lineRule="auto"/>
              <w:contextualSpacing/>
              <w:jc w:val="both"/>
              <w:rPr>
                <w:rFonts w:ascii="Arial" w:hAnsi="Arial" w:cs="Arial"/>
                <w:kern w:val="24"/>
                <w:lang w:val="en-US" w:eastAsia="en-US"/>
                <w14:ligatures w14:val="none"/>
              </w:rPr>
            </w:pPr>
            <w:r w:rsidRPr="00891F5D">
              <w:rPr>
                <w:rFonts w:ascii="Arial" w:hAnsi="Arial" w:cs="Arial"/>
                <w:kern w:val="24"/>
                <w:lang w:val="en-US" w:eastAsia="en-US"/>
                <w14:ligatures w14:val="none"/>
              </w:rPr>
              <w:t>Board members should be wary of complex structures.</w:t>
            </w:r>
          </w:p>
          <w:p w14:paraId="7DD42FA6" w14:textId="77777777" w:rsidR="00891F5D" w:rsidRPr="00891F5D" w:rsidRDefault="00891F5D">
            <w:pPr>
              <w:numPr>
                <w:ilvl w:val="0"/>
                <w:numId w:val="16"/>
              </w:numPr>
              <w:spacing w:after="0" w:line="480" w:lineRule="auto"/>
              <w:contextualSpacing/>
              <w:jc w:val="both"/>
              <w:rPr>
                <w:rFonts w:ascii="Arial" w:hAnsi="Arial" w:cs="Arial"/>
                <w:kern w:val="24"/>
                <w:lang w:val="en-US" w:eastAsia="en-US"/>
                <w14:ligatures w14:val="none"/>
              </w:rPr>
            </w:pPr>
            <w:r w:rsidRPr="00891F5D">
              <w:rPr>
                <w:rFonts w:ascii="Arial" w:hAnsi="Arial" w:cs="Arial"/>
                <w:kern w:val="24"/>
                <w:lang w:val="en-US" w:eastAsia="en-US"/>
                <w14:ligatures w14:val="none"/>
              </w:rPr>
              <w:t>An anonymous whistleblower hotline is a cheap and highly effective tool to detect and deter accounting fraud</w:t>
            </w:r>
          </w:p>
        </w:tc>
      </w:tr>
      <w:tr w:rsidR="00891F5D" w:rsidRPr="00891F5D" w14:paraId="324C3FD0" w14:textId="77777777" w:rsidTr="001D4222">
        <w:trPr>
          <w:trHeight w:val="1406"/>
        </w:trPr>
        <w:tc>
          <w:tcPr>
            <w:tcW w:w="0" w:type="auto"/>
            <w:shd w:val="clear" w:color="auto" w:fill="CFD5EA"/>
            <w:tcMar>
              <w:top w:w="72" w:type="dxa"/>
              <w:left w:w="144" w:type="dxa"/>
              <w:bottom w:w="72" w:type="dxa"/>
              <w:right w:w="144" w:type="dxa"/>
            </w:tcMar>
            <w:hideMark/>
          </w:tcPr>
          <w:p w14:paraId="16F66767" w14:textId="77777777" w:rsidR="00891F5D" w:rsidRPr="00891F5D" w:rsidRDefault="00891F5D" w:rsidP="00891F5D">
            <w:pPr>
              <w:spacing w:after="0" w:line="480" w:lineRule="auto"/>
              <w:jc w:val="both"/>
              <w:rPr>
                <w:rFonts w:ascii="Arial" w:hAnsi="Arial" w:cs="Arial"/>
                <w:kern w:val="24"/>
                <w:lang w:eastAsia="en-US"/>
                <w14:ligatures w14:val="none"/>
              </w:rPr>
            </w:pPr>
            <w:r w:rsidRPr="00891F5D">
              <w:rPr>
                <w:rFonts w:ascii="Arial" w:hAnsi="Arial" w:cs="Arial"/>
                <w:kern w:val="24"/>
                <w:lang w:eastAsia="en-US"/>
                <w14:ligatures w14:val="none"/>
              </w:rPr>
              <w:t>Role of the external auditor</w:t>
            </w:r>
          </w:p>
        </w:tc>
        <w:tc>
          <w:tcPr>
            <w:tcW w:w="0" w:type="auto"/>
            <w:shd w:val="clear" w:color="auto" w:fill="CFD5EA"/>
            <w:tcMar>
              <w:top w:w="72" w:type="dxa"/>
              <w:left w:w="144" w:type="dxa"/>
              <w:bottom w:w="72" w:type="dxa"/>
              <w:right w:w="144" w:type="dxa"/>
            </w:tcMar>
            <w:hideMark/>
          </w:tcPr>
          <w:p w14:paraId="05E993D1" w14:textId="77777777" w:rsidR="00891F5D" w:rsidRPr="00891F5D" w:rsidRDefault="00891F5D">
            <w:pPr>
              <w:numPr>
                <w:ilvl w:val="0"/>
                <w:numId w:val="16"/>
              </w:numPr>
              <w:spacing w:after="0" w:line="480" w:lineRule="auto"/>
              <w:contextualSpacing/>
              <w:jc w:val="both"/>
              <w:rPr>
                <w:rFonts w:ascii="Arial" w:hAnsi="Arial" w:cs="Arial"/>
                <w:kern w:val="24"/>
                <w:lang w:val="en-US" w:eastAsia="en-US"/>
                <w14:ligatures w14:val="none"/>
              </w:rPr>
            </w:pPr>
            <w:r w:rsidRPr="00891F5D">
              <w:rPr>
                <w:rFonts w:ascii="Arial" w:hAnsi="Arial" w:cs="Arial"/>
                <w:kern w:val="24"/>
                <w:lang w:val="en-US" w:eastAsia="en-US"/>
                <w14:ligatures w14:val="none"/>
              </w:rPr>
              <w:t>The auditor must always remain skeptical and err on the side of caution.</w:t>
            </w:r>
          </w:p>
          <w:p w14:paraId="6CD871A5" w14:textId="77777777" w:rsidR="00891F5D" w:rsidRPr="00891F5D" w:rsidRDefault="00891F5D">
            <w:pPr>
              <w:numPr>
                <w:ilvl w:val="0"/>
                <w:numId w:val="16"/>
              </w:numPr>
              <w:spacing w:after="0" w:line="480" w:lineRule="auto"/>
              <w:contextualSpacing/>
              <w:jc w:val="both"/>
              <w:rPr>
                <w:rFonts w:ascii="Arial" w:hAnsi="Arial" w:cs="Arial"/>
                <w:kern w:val="24"/>
                <w:lang w:val="en-US" w:eastAsia="en-US"/>
                <w14:ligatures w14:val="none"/>
              </w:rPr>
            </w:pPr>
            <w:r w:rsidRPr="00891F5D">
              <w:rPr>
                <w:rFonts w:ascii="Arial" w:hAnsi="Arial" w:cs="Arial"/>
                <w:kern w:val="24"/>
                <w:lang w:val="en-US" w:eastAsia="en-US"/>
                <w14:ligatures w14:val="none"/>
              </w:rPr>
              <w:t>Auditors must keep “management representations” to a minimum</w:t>
            </w:r>
          </w:p>
          <w:p w14:paraId="468CB409" w14:textId="77777777" w:rsidR="00891F5D" w:rsidRPr="00891F5D" w:rsidRDefault="00891F5D">
            <w:pPr>
              <w:numPr>
                <w:ilvl w:val="0"/>
                <w:numId w:val="16"/>
              </w:numPr>
              <w:spacing w:after="0" w:line="480" w:lineRule="auto"/>
              <w:contextualSpacing/>
              <w:jc w:val="both"/>
              <w:rPr>
                <w:rFonts w:ascii="Arial" w:hAnsi="Arial" w:cs="Arial"/>
                <w:kern w:val="24"/>
                <w:lang w:val="en-US" w:eastAsia="en-US"/>
                <w14:ligatures w14:val="none"/>
              </w:rPr>
            </w:pPr>
            <w:r w:rsidRPr="00891F5D">
              <w:rPr>
                <w:rFonts w:ascii="Arial" w:hAnsi="Arial" w:cs="Arial"/>
                <w:kern w:val="24"/>
                <w:lang w:val="en-US" w:eastAsia="en-US"/>
                <w14:ligatures w14:val="none"/>
              </w:rPr>
              <w:t>Auditors should be knowledgeable about the client and the industry, including KPIs, and thoroughly critique “people, processes, and procedures.”</w:t>
            </w:r>
          </w:p>
          <w:p w14:paraId="1EE3A918" w14:textId="77777777" w:rsidR="00891F5D" w:rsidRPr="00891F5D" w:rsidRDefault="00891F5D">
            <w:pPr>
              <w:numPr>
                <w:ilvl w:val="0"/>
                <w:numId w:val="16"/>
              </w:numPr>
              <w:spacing w:after="0" w:line="480" w:lineRule="auto"/>
              <w:contextualSpacing/>
              <w:jc w:val="both"/>
              <w:rPr>
                <w:rFonts w:ascii="Arial" w:hAnsi="Arial" w:cs="Arial"/>
                <w:kern w:val="24"/>
                <w:lang w:val="en-US" w:eastAsia="en-US"/>
                <w14:ligatures w14:val="none"/>
              </w:rPr>
            </w:pPr>
            <w:r w:rsidRPr="00891F5D">
              <w:rPr>
                <w:rFonts w:ascii="Arial" w:hAnsi="Arial" w:cs="Arial"/>
                <w:kern w:val="24"/>
                <w:lang w:val="en-US" w:eastAsia="en-US"/>
                <w14:ligatures w14:val="none"/>
              </w:rPr>
              <w:t xml:space="preserve">The auditors must undertake in-depth analytical reviews to ascertain any anomalies  </w:t>
            </w:r>
          </w:p>
          <w:p w14:paraId="1EDABFCF" w14:textId="77777777" w:rsidR="00891F5D" w:rsidRPr="00891F5D" w:rsidRDefault="00891F5D">
            <w:pPr>
              <w:numPr>
                <w:ilvl w:val="0"/>
                <w:numId w:val="16"/>
              </w:numPr>
              <w:spacing w:after="0" w:line="480" w:lineRule="auto"/>
              <w:contextualSpacing/>
              <w:jc w:val="both"/>
              <w:rPr>
                <w:rFonts w:ascii="Arial" w:hAnsi="Arial" w:cs="Arial"/>
                <w:kern w:val="24"/>
                <w:lang w:val="en-US" w:eastAsia="en-US"/>
                <w14:ligatures w14:val="none"/>
              </w:rPr>
            </w:pPr>
            <w:r w:rsidRPr="00891F5D">
              <w:rPr>
                <w:rFonts w:ascii="Arial" w:hAnsi="Arial" w:cs="Arial"/>
                <w:kern w:val="24"/>
                <w:lang w:val="en-US" w:eastAsia="en-US"/>
                <w14:ligatures w14:val="none"/>
              </w:rPr>
              <w:t xml:space="preserve">Although it is not the role of the auditor to discover Accounting Fraud, they should be well versed in forensic accounting techniques, look for patterns or anomalies </w:t>
            </w:r>
            <w:r w:rsidRPr="00891F5D">
              <w:rPr>
                <w:rFonts w:ascii="Arial" w:hAnsi="Arial" w:cs="Arial"/>
                <w:kern w:val="24"/>
                <w:lang w:val="en-US" w:eastAsia="en-US"/>
                <w14:ligatures w14:val="none"/>
              </w:rPr>
              <w:lastRenderedPageBreak/>
              <w:t>such as in revenue, and fully understand why journals are prepared.</w:t>
            </w:r>
          </w:p>
          <w:p w14:paraId="48FD239E" w14:textId="77777777" w:rsidR="00891F5D" w:rsidRPr="00891F5D" w:rsidRDefault="00891F5D" w:rsidP="00891F5D">
            <w:pPr>
              <w:spacing w:after="0" w:line="480" w:lineRule="auto"/>
              <w:jc w:val="both"/>
              <w:rPr>
                <w:rFonts w:ascii="Arial" w:hAnsi="Arial" w:cs="Arial"/>
                <w:kern w:val="24"/>
                <w:lang w:eastAsia="en-US"/>
                <w14:ligatures w14:val="none"/>
              </w:rPr>
            </w:pPr>
          </w:p>
        </w:tc>
      </w:tr>
    </w:tbl>
    <w:p w14:paraId="3238D91E" w14:textId="77777777" w:rsidR="00891F5D" w:rsidRPr="00891F5D" w:rsidRDefault="00891F5D" w:rsidP="00891F5D">
      <w:pPr>
        <w:spacing w:before="240" w:after="200" w:line="480" w:lineRule="auto"/>
        <w:jc w:val="both"/>
        <w:rPr>
          <w:rFonts w:ascii="Arial" w:eastAsiaTheme="minorHAnsi" w:hAnsi="Arial" w:cs="Arial"/>
          <w:kern w:val="0"/>
          <w:lang w:val="en-US" w:eastAsia="en-US"/>
          <w14:ligatures w14:val="none"/>
        </w:rPr>
      </w:pPr>
    </w:p>
    <w:p w14:paraId="3A766FBF" w14:textId="189E3F38" w:rsidR="00620554" w:rsidRPr="00891F5D" w:rsidRDefault="00891F5D" w:rsidP="00C0703D">
      <w:pPr>
        <w:spacing w:before="240"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The following are the complete </w:t>
      </w:r>
      <w:r w:rsidRPr="00891F5D">
        <w:rPr>
          <w:rFonts w:ascii="Arial" w:eastAsiaTheme="minorHAnsi" w:hAnsi="Arial" w:cs="Arial"/>
          <w:b/>
          <w:bCs/>
          <w:i/>
          <w:iCs/>
          <w:kern w:val="0"/>
          <w:lang w:val="en-US" w:eastAsia="en-US"/>
          <w14:ligatures w14:val="none"/>
        </w:rPr>
        <w:t>‘Learnings’ from all 33 cases</w:t>
      </w:r>
      <w:r w:rsidRPr="00891F5D">
        <w:rPr>
          <w:rFonts w:ascii="Arial" w:eastAsiaTheme="minorHAnsi" w:hAnsi="Arial" w:cs="Arial"/>
          <w:kern w:val="0"/>
          <w:lang w:val="en-US" w:eastAsia="en-US"/>
          <w14:ligatures w14:val="none"/>
        </w:rPr>
        <w:t>, please see Fig 2.15, which also highlights that Accounting Fraud is not restricted to any specific industry, organization structure or geography. In sum Accounting Fraud is a ubiquitous phenomenon.</w:t>
      </w:r>
    </w:p>
    <w:p w14:paraId="4FD3AF0D" w14:textId="77777777" w:rsidR="00891F5D" w:rsidRPr="00891F5D" w:rsidRDefault="00891F5D" w:rsidP="00891F5D">
      <w:pPr>
        <w:spacing w:after="200" w:line="480" w:lineRule="auto"/>
        <w:jc w:val="both"/>
        <w:rPr>
          <w:rFonts w:ascii="Arial" w:eastAsiaTheme="minorHAnsi" w:hAnsi="Arial" w:cs="Arial"/>
          <w:b/>
          <w:bCs/>
          <w:kern w:val="0"/>
          <w:shd w:val="clear" w:color="auto" w:fill="FFFFFF"/>
          <w:lang w:val="en-US" w:eastAsia="en-US"/>
          <w14:ligatures w14:val="none"/>
        </w:rPr>
      </w:pPr>
      <w:r w:rsidRPr="00891F5D">
        <w:rPr>
          <w:rFonts w:ascii="Arial" w:eastAsiaTheme="minorHAnsi" w:hAnsi="Arial" w:cs="Arial"/>
          <w:b/>
          <w:bCs/>
          <w:kern w:val="0"/>
          <w:shd w:val="clear" w:color="auto" w:fill="FFFFFF"/>
          <w:lang w:val="en-US" w:eastAsia="en-US"/>
          <w14:ligatures w14:val="none"/>
        </w:rPr>
        <w:t>Figure 2.15 Complete learnings from 33 case studies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20" w:firstRow="1" w:lastRow="0" w:firstColumn="0" w:lastColumn="0" w:noHBand="0" w:noVBand="1"/>
      </w:tblPr>
      <w:tblGrid>
        <w:gridCol w:w="1807"/>
        <w:gridCol w:w="2719"/>
        <w:gridCol w:w="4490"/>
      </w:tblGrid>
      <w:tr w:rsidR="00891F5D" w:rsidRPr="00891F5D" w14:paraId="0D2F4ACC" w14:textId="77777777" w:rsidTr="001D4222">
        <w:trPr>
          <w:trHeight w:val="796"/>
        </w:trPr>
        <w:tc>
          <w:tcPr>
            <w:tcW w:w="0" w:type="auto"/>
            <w:shd w:val="clear" w:color="auto" w:fill="4472C4"/>
            <w:tcMar>
              <w:top w:w="72" w:type="dxa"/>
              <w:left w:w="144" w:type="dxa"/>
              <w:bottom w:w="72" w:type="dxa"/>
              <w:right w:w="144" w:type="dxa"/>
            </w:tcMar>
            <w:hideMark/>
          </w:tcPr>
          <w:p w14:paraId="06EF5440"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r w:rsidRPr="00891F5D">
              <w:rPr>
                <w:rFonts w:ascii="Arial" w:hAnsi="Arial" w:cs="Arial"/>
                <w:kern w:val="24"/>
                <w:lang w:val="en-US" w:eastAsia="en-US"/>
                <w14:ligatures w14:val="none"/>
              </w:rPr>
              <w:t>Company Location</w:t>
            </w:r>
          </w:p>
        </w:tc>
        <w:tc>
          <w:tcPr>
            <w:tcW w:w="0" w:type="auto"/>
            <w:shd w:val="clear" w:color="auto" w:fill="4472C4"/>
            <w:tcMar>
              <w:top w:w="72" w:type="dxa"/>
              <w:left w:w="144" w:type="dxa"/>
              <w:bottom w:w="72" w:type="dxa"/>
              <w:right w:w="144" w:type="dxa"/>
            </w:tcMar>
            <w:hideMark/>
          </w:tcPr>
          <w:p w14:paraId="267FDC84"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r w:rsidRPr="00891F5D">
              <w:rPr>
                <w:rFonts w:ascii="Arial" w:eastAsia="Times New Roman" w:hAnsi="Arial" w:cs="Arial"/>
                <w:kern w:val="24"/>
                <w:lang w:val="en-US" w:eastAsia="en-US"/>
                <w14:ligatures w14:val="none"/>
              </w:rPr>
              <w:t>Industry</w:t>
            </w:r>
          </w:p>
        </w:tc>
        <w:tc>
          <w:tcPr>
            <w:tcW w:w="0" w:type="auto"/>
            <w:shd w:val="clear" w:color="auto" w:fill="4472C4"/>
            <w:tcMar>
              <w:top w:w="72" w:type="dxa"/>
              <w:left w:w="144" w:type="dxa"/>
              <w:bottom w:w="72" w:type="dxa"/>
              <w:right w:w="144" w:type="dxa"/>
            </w:tcMar>
            <w:hideMark/>
          </w:tcPr>
          <w:p w14:paraId="123B6F73"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r w:rsidRPr="00891F5D">
              <w:rPr>
                <w:rFonts w:ascii="Arial" w:eastAsia="Times New Roman" w:hAnsi="Arial" w:cs="Arial"/>
                <w:kern w:val="24"/>
                <w:lang w:val="en-US" w:eastAsia="en-US"/>
                <w14:ligatures w14:val="none"/>
              </w:rPr>
              <w:t>Learning</w:t>
            </w:r>
          </w:p>
        </w:tc>
      </w:tr>
      <w:tr w:rsidR="00891F5D" w:rsidRPr="00891F5D" w14:paraId="59A19C41" w14:textId="77777777" w:rsidTr="001D4222">
        <w:trPr>
          <w:trHeight w:val="4463"/>
        </w:trPr>
        <w:tc>
          <w:tcPr>
            <w:tcW w:w="0" w:type="auto"/>
            <w:shd w:val="clear" w:color="auto" w:fill="CFD5EA"/>
            <w:tcMar>
              <w:top w:w="72" w:type="dxa"/>
              <w:left w:w="144" w:type="dxa"/>
              <w:bottom w:w="72" w:type="dxa"/>
              <w:right w:w="144" w:type="dxa"/>
            </w:tcMar>
            <w:hideMark/>
          </w:tcPr>
          <w:p w14:paraId="6A553A8A"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r w:rsidRPr="00891F5D">
              <w:rPr>
                <w:rFonts w:ascii="Arial" w:hAnsi="Arial" w:cs="Arial"/>
                <w:kern w:val="24"/>
                <w:lang w:val="en-US" w:eastAsia="en-US"/>
                <w14:ligatures w14:val="none"/>
              </w:rPr>
              <w:t>United States</w:t>
            </w:r>
          </w:p>
        </w:tc>
        <w:tc>
          <w:tcPr>
            <w:tcW w:w="0" w:type="auto"/>
            <w:shd w:val="clear" w:color="auto" w:fill="CFD5EA"/>
            <w:tcMar>
              <w:top w:w="72" w:type="dxa"/>
              <w:left w:w="144" w:type="dxa"/>
              <w:bottom w:w="72" w:type="dxa"/>
              <w:right w:w="144" w:type="dxa"/>
            </w:tcMar>
            <w:hideMark/>
          </w:tcPr>
          <w:p w14:paraId="62B3B671"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r w:rsidRPr="00891F5D">
              <w:rPr>
                <w:rFonts w:ascii="Arial" w:hAnsi="Arial" w:cs="Arial"/>
                <w:kern w:val="24"/>
                <w:lang w:val="en-US" w:eastAsia="en-US"/>
                <w14:ligatures w14:val="none"/>
              </w:rPr>
              <w:t>Transport</w:t>
            </w:r>
          </w:p>
        </w:tc>
        <w:tc>
          <w:tcPr>
            <w:tcW w:w="0" w:type="auto"/>
            <w:shd w:val="clear" w:color="auto" w:fill="CFD5EA"/>
            <w:tcMar>
              <w:top w:w="72" w:type="dxa"/>
              <w:left w:w="144" w:type="dxa"/>
              <w:bottom w:w="72" w:type="dxa"/>
              <w:right w:w="144" w:type="dxa"/>
            </w:tcMar>
            <w:hideMark/>
          </w:tcPr>
          <w:p w14:paraId="236B05FD"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r w:rsidRPr="00891F5D">
              <w:rPr>
                <w:rFonts w:ascii="Arial" w:hAnsi="Arial" w:cs="Arial"/>
                <w:kern w:val="24"/>
                <w:lang w:val="en-US" w:eastAsia="en-US"/>
                <w14:ligatures w14:val="none"/>
              </w:rPr>
              <w:t>Board could have prevented management override of internal controls.</w:t>
            </w:r>
          </w:p>
          <w:p w14:paraId="5BD174D4"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p>
          <w:p w14:paraId="0D7BD285"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r w:rsidRPr="00891F5D">
              <w:rPr>
                <w:rFonts w:ascii="Arial" w:hAnsi="Arial" w:cs="Arial"/>
                <w:kern w:val="24"/>
                <w:lang w:val="en-US" w:eastAsia="en-US"/>
                <w14:ligatures w14:val="none"/>
              </w:rPr>
              <w:t>Enhance internal audit function based on learning and CPD.</w:t>
            </w:r>
          </w:p>
          <w:p w14:paraId="6247E233"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p>
          <w:p w14:paraId="7ABDACF8"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r w:rsidRPr="00891F5D">
              <w:rPr>
                <w:rFonts w:ascii="Arial" w:hAnsi="Arial" w:cs="Arial"/>
                <w:kern w:val="24"/>
                <w:lang w:val="en-US" w:eastAsia="en-US"/>
                <w14:ligatures w14:val="none"/>
              </w:rPr>
              <w:t>It was internal auditors who noticed anomalies in doubtful debts after completing forensic accounting course</w:t>
            </w:r>
          </w:p>
        </w:tc>
      </w:tr>
      <w:tr w:rsidR="00891F5D" w:rsidRPr="00891F5D" w14:paraId="2E265F21" w14:textId="77777777" w:rsidTr="001D4222">
        <w:trPr>
          <w:trHeight w:val="627"/>
        </w:trPr>
        <w:tc>
          <w:tcPr>
            <w:tcW w:w="0" w:type="auto"/>
            <w:shd w:val="clear" w:color="auto" w:fill="E9EBF5"/>
            <w:tcMar>
              <w:top w:w="72" w:type="dxa"/>
              <w:left w:w="144" w:type="dxa"/>
              <w:bottom w:w="72" w:type="dxa"/>
              <w:right w:w="144" w:type="dxa"/>
            </w:tcMar>
            <w:hideMark/>
          </w:tcPr>
          <w:p w14:paraId="27F454B0"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r w:rsidRPr="00891F5D">
              <w:rPr>
                <w:rFonts w:ascii="Arial" w:hAnsi="Arial" w:cs="Arial"/>
                <w:kern w:val="24"/>
                <w:lang w:val="en-US" w:eastAsia="en-US"/>
                <w14:ligatures w14:val="none"/>
              </w:rPr>
              <w:lastRenderedPageBreak/>
              <w:t>United States</w:t>
            </w:r>
          </w:p>
        </w:tc>
        <w:tc>
          <w:tcPr>
            <w:tcW w:w="0" w:type="auto"/>
            <w:shd w:val="clear" w:color="auto" w:fill="E9EBF5"/>
            <w:tcMar>
              <w:top w:w="72" w:type="dxa"/>
              <w:left w:w="144" w:type="dxa"/>
              <w:bottom w:w="72" w:type="dxa"/>
              <w:right w:w="144" w:type="dxa"/>
            </w:tcMar>
            <w:hideMark/>
          </w:tcPr>
          <w:p w14:paraId="6361AD11"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r w:rsidRPr="00891F5D">
              <w:rPr>
                <w:rFonts w:ascii="Arial" w:hAnsi="Arial" w:cs="Arial"/>
                <w:kern w:val="24"/>
                <w:lang w:val="en-US" w:eastAsia="en-US"/>
                <w14:ligatures w14:val="none"/>
              </w:rPr>
              <w:t>Construction</w:t>
            </w:r>
          </w:p>
        </w:tc>
        <w:tc>
          <w:tcPr>
            <w:tcW w:w="0" w:type="auto"/>
            <w:shd w:val="clear" w:color="auto" w:fill="E9EBF5"/>
            <w:tcMar>
              <w:top w:w="72" w:type="dxa"/>
              <w:left w:w="144" w:type="dxa"/>
              <w:bottom w:w="72" w:type="dxa"/>
              <w:right w:w="144" w:type="dxa"/>
            </w:tcMar>
            <w:hideMark/>
          </w:tcPr>
          <w:p w14:paraId="353949CE"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r w:rsidRPr="00891F5D">
              <w:rPr>
                <w:rFonts w:ascii="Arial" w:hAnsi="Arial" w:cs="Arial"/>
                <w:kern w:val="24"/>
                <w:lang w:val="en-US" w:eastAsia="en-US"/>
                <w14:ligatures w14:val="none"/>
              </w:rPr>
              <w:t>Ensure thorough due diligence of company, including background checks of key personnel.</w:t>
            </w:r>
          </w:p>
          <w:p w14:paraId="71D13B80"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p>
          <w:p w14:paraId="02E48B46"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r w:rsidRPr="00891F5D">
              <w:rPr>
                <w:rFonts w:ascii="Arial" w:hAnsi="Arial" w:cs="Arial"/>
                <w:kern w:val="24"/>
                <w:lang w:val="en-US" w:eastAsia="en-US"/>
                <w14:ligatures w14:val="none"/>
              </w:rPr>
              <w:t>Consider second or third opinion.</w:t>
            </w:r>
          </w:p>
          <w:p w14:paraId="14BFB3F4"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p>
          <w:p w14:paraId="196761F9" w14:textId="77777777" w:rsidR="00891F5D" w:rsidRPr="00891F5D" w:rsidRDefault="00891F5D" w:rsidP="00891F5D">
            <w:pPr>
              <w:spacing w:after="0" w:line="480" w:lineRule="auto"/>
              <w:jc w:val="both"/>
              <w:rPr>
                <w:rFonts w:ascii="Arial" w:eastAsia="Times New Roman" w:hAnsi="Arial" w:cs="Arial"/>
                <w:kern w:val="0"/>
                <w:lang w:val="en-US" w:eastAsia="en-US"/>
                <w14:ligatures w14:val="none"/>
              </w:rPr>
            </w:pPr>
            <w:r w:rsidRPr="00891F5D">
              <w:rPr>
                <w:rFonts w:ascii="Arial" w:hAnsi="Arial" w:cs="Arial"/>
                <w:kern w:val="24"/>
                <w:lang w:val="en-US" w:eastAsia="en-US"/>
                <w14:ligatures w14:val="none"/>
              </w:rPr>
              <w:t>Err on the side of caution and liaise with regulatory body such as SEC, early on, to avoid any violations</w:t>
            </w:r>
          </w:p>
        </w:tc>
      </w:tr>
      <w:tr w:rsidR="00891F5D" w:rsidRPr="00891F5D" w14:paraId="19380343" w14:textId="77777777" w:rsidTr="001D4222">
        <w:trPr>
          <w:trHeight w:val="3599"/>
        </w:trPr>
        <w:tc>
          <w:tcPr>
            <w:tcW w:w="0" w:type="auto"/>
            <w:shd w:val="clear" w:color="auto" w:fill="E9EBF5"/>
            <w:tcMar>
              <w:top w:w="72" w:type="dxa"/>
              <w:left w:w="144" w:type="dxa"/>
              <w:bottom w:w="72" w:type="dxa"/>
              <w:right w:w="144" w:type="dxa"/>
            </w:tcMar>
            <w:hideMark/>
          </w:tcPr>
          <w:p w14:paraId="111C4E62"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United States</w:t>
            </w:r>
          </w:p>
        </w:tc>
        <w:tc>
          <w:tcPr>
            <w:tcW w:w="0" w:type="auto"/>
            <w:shd w:val="clear" w:color="auto" w:fill="E9EBF5"/>
            <w:tcMar>
              <w:top w:w="72" w:type="dxa"/>
              <w:left w:w="144" w:type="dxa"/>
              <w:bottom w:w="72" w:type="dxa"/>
              <w:right w:w="144" w:type="dxa"/>
            </w:tcMar>
            <w:hideMark/>
          </w:tcPr>
          <w:p w14:paraId="05F7AD78"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Shipping Logistics</w:t>
            </w:r>
          </w:p>
        </w:tc>
        <w:tc>
          <w:tcPr>
            <w:tcW w:w="0" w:type="auto"/>
            <w:shd w:val="clear" w:color="auto" w:fill="E9EBF5"/>
            <w:tcMar>
              <w:top w:w="72" w:type="dxa"/>
              <w:left w:w="144" w:type="dxa"/>
              <w:bottom w:w="72" w:type="dxa"/>
              <w:right w:w="144" w:type="dxa"/>
            </w:tcMar>
            <w:hideMark/>
          </w:tcPr>
          <w:p w14:paraId="09C679FD"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Ensure thorough due diligence of prospective client, including background checks of key personnel.</w:t>
            </w:r>
          </w:p>
          <w:p w14:paraId="1E428487"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78E2E98F"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Never let a client dictate timelines.</w:t>
            </w:r>
          </w:p>
          <w:p w14:paraId="34270DD5"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594A7A05"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Never be blackmailed or threatened by a client</w:t>
            </w:r>
          </w:p>
        </w:tc>
      </w:tr>
      <w:tr w:rsidR="00891F5D" w:rsidRPr="00891F5D" w14:paraId="0931EFAE" w14:textId="77777777" w:rsidTr="001D4222">
        <w:trPr>
          <w:trHeight w:val="1077"/>
        </w:trPr>
        <w:tc>
          <w:tcPr>
            <w:tcW w:w="0" w:type="auto"/>
            <w:shd w:val="clear" w:color="auto" w:fill="E9EBF5"/>
            <w:tcMar>
              <w:top w:w="72" w:type="dxa"/>
              <w:left w:w="144" w:type="dxa"/>
              <w:bottom w:w="72" w:type="dxa"/>
              <w:right w:w="144" w:type="dxa"/>
            </w:tcMar>
            <w:hideMark/>
          </w:tcPr>
          <w:p w14:paraId="14E1D4F8"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United States</w:t>
            </w:r>
          </w:p>
        </w:tc>
        <w:tc>
          <w:tcPr>
            <w:tcW w:w="0" w:type="auto"/>
            <w:shd w:val="clear" w:color="auto" w:fill="E9EBF5"/>
            <w:tcMar>
              <w:top w:w="72" w:type="dxa"/>
              <w:left w:w="144" w:type="dxa"/>
              <w:bottom w:w="72" w:type="dxa"/>
              <w:right w:w="144" w:type="dxa"/>
            </w:tcMar>
            <w:hideMark/>
          </w:tcPr>
          <w:p w14:paraId="36B3E757"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Construction</w:t>
            </w:r>
          </w:p>
        </w:tc>
        <w:tc>
          <w:tcPr>
            <w:tcW w:w="0" w:type="auto"/>
            <w:shd w:val="clear" w:color="auto" w:fill="E9EBF5"/>
            <w:tcMar>
              <w:top w:w="72" w:type="dxa"/>
              <w:left w:w="144" w:type="dxa"/>
              <w:bottom w:w="72" w:type="dxa"/>
              <w:right w:w="144" w:type="dxa"/>
            </w:tcMar>
            <w:hideMark/>
          </w:tcPr>
          <w:p w14:paraId="2EBEC5C1"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External auditors’ overreliance on “management representations”</w:t>
            </w:r>
          </w:p>
          <w:p w14:paraId="67B54C16"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3134D311"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Internal and external stakeholders should maintain a “skeptical” frame of mind</w:t>
            </w:r>
          </w:p>
          <w:p w14:paraId="5291FC4E"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458920F7"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lastRenderedPageBreak/>
              <w:t>“Actual data must be assessed, evaluated.”</w:t>
            </w:r>
          </w:p>
          <w:p w14:paraId="38C27B66"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1804BF77"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Critique “people, processes, and procedures”</w:t>
            </w:r>
          </w:p>
        </w:tc>
      </w:tr>
      <w:tr w:rsidR="00891F5D" w:rsidRPr="00891F5D" w14:paraId="3D794C8B" w14:textId="77777777" w:rsidTr="001D4222">
        <w:trPr>
          <w:trHeight w:val="3599"/>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5BC4A992"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lastRenderedPageBreak/>
              <w:t>Malaysia</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22AA2B32"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Cosmetics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7547D8E1"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Requirement for robust internal controls and internal audit function</w:t>
            </w:r>
          </w:p>
          <w:p w14:paraId="60582706"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30DDF19D"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Clear reporting lines</w:t>
            </w:r>
          </w:p>
          <w:p w14:paraId="4D8AE51B"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64842B2D"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Using and promoting forensic tools such as Benford’s Law to detect Accounting Fraud</w:t>
            </w:r>
          </w:p>
        </w:tc>
      </w:tr>
      <w:tr w:rsidR="00891F5D" w:rsidRPr="00891F5D" w14:paraId="70EFDED3" w14:textId="77777777" w:rsidTr="001D4222">
        <w:trPr>
          <w:trHeight w:val="2247"/>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717A3940"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Venezuela</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78F33466"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Conglomerate</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252E197A"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Corrupt company that was run solely for the CEO and his family.</w:t>
            </w:r>
          </w:p>
          <w:p w14:paraId="749430DD"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74237C6D"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Shareholders should have challenged CEO long ago but were blinded by continuous and healthy dividends.</w:t>
            </w:r>
          </w:p>
          <w:p w14:paraId="10696267"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35F0C630"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 xml:space="preserve">The fraud investigator was very smart to play a cultural card by talking to the press and appearing on a respected TV </w:t>
            </w:r>
            <w:r w:rsidRPr="00891F5D">
              <w:rPr>
                <w:rFonts w:ascii="Arial" w:hAnsi="Arial" w:cs="Arial"/>
                <w:kern w:val="24"/>
                <w:lang w:val="en-US" w:eastAsia="en-US"/>
                <w14:ligatures w14:val="none"/>
              </w:rPr>
              <w:lastRenderedPageBreak/>
              <w:t>show. The CEO lost face and was forced to negotiate</w:t>
            </w:r>
          </w:p>
        </w:tc>
      </w:tr>
      <w:tr w:rsidR="00891F5D" w:rsidRPr="00891F5D" w14:paraId="4668F875" w14:textId="77777777" w:rsidTr="001D4222">
        <w:trPr>
          <w:trHeight w:val="3599"/>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3D44381E"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lastRenderedPageBreak/>
              <w:t>India</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7D29AD4A"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Transportation</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42E9DA48"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When conducting analytical review, compare against industry standards.</w:t>
            </w:r>
          </w:p>
          <w:p w14:paraId="2067D34D"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4A21EDF7"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Consider other ratios such as employee cost to revenue.</w:t>
            </w:r>
          </w:p>
          <w:p w14:paraId="12B2F107"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75D55A47"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Follow your instincts, even if it means going beyond terms of reference or engagement</w:t>
            </w:r>
          </w:p>
          <w:p w14:paraId="14F5539A"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2294ED86"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Maintain professional skepticism</w:t>
            </w:r>
          </w:p>
        </w:tc>
      </w:tr>
      <w:tr w:rsidR="00891F5D" w:rsidRPr="00891F5D" w14:paraId="22FEF531" w14:textId="77777777" w:rsidTr="001D4222">
        <w:trPr>
          <w:trHeight w:val="2220"/>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441084FC"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United States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48CA8147" w14:textId="477FFEA8" w:rsidR="00891F5D" w:rsidRPr="00891F5D" w:rsidRDefault="00641D1E"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Telecoms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1BCE5072"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Using a blanket “data preservation order” should set off alarm bells.</w:t>
            </w:r>
          </w:p>
          <w:p w14:paraId="54F0DC1C"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37390EF1"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Maintaining professional skepticism</w:t>
            </w:r>
          </w:p>
        </w:tc>
      </w:tr>
      <w:tr w:rsidR="00891F5D" w:rsidRPr="00891F5D" w14:paraId="40CFAC24" w14:textId="77777777" w:rsidTr="001D4222">
        <w:trPr>
          <w:trHeight w:val="3599"/>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2A1110C6"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lastRenderedPageBreak/>
              <w:t>United States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6BBD49B4"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Private Banking/Financial Engineering</w:t>
            </w:r>
          </w:p>
          <w:p w14:paraId="57C16D0F" w14:textId="77777777" w:rsidR="00891F5D" w:rsidRPr="00891F5D" w:rsidRDefault="00891F5D" w:rsidP="00891F5D">
            <w:pPr>
              <w:spacing w:after="0" w:line="480" w:lineRule="auto"/>
              <w:jc w:val="both"/>
              <w:rPr>
                <w:rFonts w:ascii="Arial" w:hAnsi="Arial" w:cs="Arial"/>
                <w:kern w:val="24"/>
                <w:lang w:val="en-US" w:eastAsia="en-US"/>
                <w14:ligatures w14:val="none"/>
              </w:rPr>
            </w:pP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3281BD3B"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Fine line between profit making and profit taking</w:t>
            </w:r>
          </w:p>
          <w:p w14:paraId="36453FAD"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19A88F04"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Although robust internal controls and internal audit function, lack of oversight by parent contributed to fraud.</w:t>
            </w:r>
          </w:p>
          <w:p w14:paraId="728344A6"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30ED76FD"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Segregation of duties vital</w:t>
            </w:r>
          </w:p>
          <w:p w14:paraId="20FA83EE"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45A407E5"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Board/stakeholders should be wary of complex structures and audit trails</w:t>
            </w:r>
          </w:p>
        </w:tc>
      </w:tr>
      <w:tr w:rsidR="00891F5D" w:rsidRPr="00891F5D" w14:paraId="7CF4544D" w14:textId="77777777" w:rsidTr="001D4222">
        <w:trPr>
          <w:trHeight w:val="3599"/>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7A0BB3A5"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United States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2DF7C797"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Credit Union</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15B0AF12"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Lack of segregation of duties</w:t>
            </w:r>
          </w:p>
          <w:p w14:paraId="3638F665"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425144A7"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Too much reliance on one colleague</w:t>
            </w:r>
          </w:p>
          <w:p w14:paraId="42C38AD7"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62B24194"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Encourage staff to take leave.</w:t>
            </w:r>
          </w:p>
          <w:p w14:paraId="6B8AC50C"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45B647FB"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 xml:space="preserve">Institute CPD, including fraud detection </w:t>
            </w:r>
          </w:p>
        </w:tc>
      </w:tr>
      <w:tr w:rsidR="00891F5D" w:rsidRPr="00891F5D" w14:paraId="69BA9B45" w14:textId="77777777" w:rsidTr="001D4222">
        <w:trPr>
          <w:trHeight w:val="3599"/>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4453124C"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lastRenderedPageBreak/>
              <w:t>United States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41F1BF0E"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 xml:space="preserve">Conglomerate </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723B66EE"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Power corrupts.</w:t>
            </w:r>
          </w:p>
          <w:p w14:paraId="6BE8B969"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5A1DE236" w14:textId="400C6283"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 xml:space="preserve">Culture sets the tone of the control environment, which must begin at the top and permeate the entire </w:t>
            </w:r>
            <w:r w:rsidR="00641D1E" w:rsidRPr="00891F5D">
              <w:rPr>
                <w:rFonts w:ascii="Arial" w:hAnsi="Arial" w:cs="Arial"/>
                <w:kern w:val="24"/>
                <w:lang w:val="en-US" w:eastAsia="en-US"/>
                <w14:ligatures w14:val="none"/>
              </w:rPr>
              <w:t>organization</w:t>
            </w:r>
            <w:r w:rsidRPr="00891F5D">
              <w:rPr>
                <w:rFonts w:ascii="Arial" w:hAnsi="Arial" w:cs="Arial"/>
                <w:kern w:val="24"/>
                <w:lang w:val="en-US" w:eastAsia="en-US"/>
                <w14:ligatures w14:val="none"/>
              </w:rPr>
              <w:t>.</w:t>
            </w:r>
          </w:p>
          <w:p w14:paraId="477C0F34"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7D6012B5"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Classic example of collusion</w:t>
            </w:r>
          </w:p>
        </w:tc>
      </w:tr>
      <w:tr w:rsidR="00891F5D" w:rsidRPr="00891F5D" w14:paraId="2D620E99" w14:textId="77777777" w:rsidTr="001D4222">
        <w:trPr>
          <w:trHeight w:val="3599"/>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36E38719"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United States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51C2AC89"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Conglomerate</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3461F789"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 xml:space="preserve">Classic case study of agency conflict and moral hazard, where inappropriate incentivization, namely stock options, perpetuated a culture of short-termism and fraudulent behavior </w:t>
            </w:r>
          </w:p>
        </w:tc>
      </w:tr>
      <w:tr w:rsidR="00891F5D" w:rsidRPr="00891F5D" w14:paraId="4B428657" w14:textId="77777777" w:rsidTr="001D4222">
        <w:trPr>
          <w:trHeight w:val="3599"/>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25D6D688"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Not specified</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3DF0D5CE"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Oil and Gas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5B4714BA"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Trading floors must have controls and oversight.</w:t>
            </w:r>
          </w:p>
          <w:p w14:paraId="50F31C0E"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198821ED"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By ignoring the problem, CEO only delayed the inevitable</w:t>
            </w:r>
          </w:p>
          <w:p w14:paraId="168A3699"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4F5D5995"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 xml:space="preserve">Another case study of agency conflict and moral hazard, where inappropriate incentivization, namely bonuses, </w:t>
            </w:r>
            <w:r w:rsidRPr="00891F5D">
              <w:rPr>
                <w:rFonts w:ascii="Arial" w:hAnsi="Arial" w:cs="Arial"/>
                <w:kern w:val="24"/>
                <w:lang w:val="en-US" w:eastAsia="en-US"/>
                <w14:ligatures w14:val="none"/>
              </w:rPr>
              <w:lastRenderedPageBreak/>
              <w:t>perpetuated a culture of short-termism and fraudulent behavior</w:t>
            </w:r>
          </w:p>
        </w:tc>
      </w:tr>
      <w:tr w:rsidR="00891F5D" w:rsidRPr="00891F5D" w14:paraId="4B82632D" w14:textId="77777777" w:rsidTr="001D4222">
        <w:trPr>
          <w:trHeight w:val="3599"/>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52288FF2"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lastRenderedPageBreak/>
              <w:t>United States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792716AB"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 xml:space="preserve">Brokerage </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6B9DA391"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Be frank and honest with the client, even if it means losing them.</w:t>
            </w:r>
          </w:p>
          <w:p w14:paraId="1998DED9"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18A9F756"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 xml:space="preserve">Carry out all necessary audit testing without interference from the client </w:t>
            </w:r>
          </w:p>
        </w:tc>
      </w:tr>
      <w:tr w:rsidR="00891F5D" w:rsidRPr="00891F5D" w14:paraId="43A479BD" w14:textId="77777777" w:rsidTr="001D4222">
        <w:trPr>
          <w:trHeight w:val="3599"/>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64239361"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United States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43D9EEDE"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Global publishing</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1AAD9371"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This was an example of what I call “Total Fraud,” where all major internal and external stakeholders were complicit.</w:t>
            </w:r>
          </w:p>
          <w:p w14:paraId="0FFE12E5"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2127A18D"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Perhaps mandatory rotation of senior management is the solution, especially where company stock is used to engender a culture of short- termism and fraud.</w:t>
            </w:r>
          </w:p>
          <w:p w14:paraId="086D6735"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681D0C95"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lastRenderedPageBreak/>
              <w:t>There is little that one can do in such a well-crafted fraud that has gone on for decades.</w:t>
            </w:r>
          </w:p>
          <w:p w14:paraId="3D78900A"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553A964A"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SOX reporting forced the issue of outstanding long-term contracts (which required a write-down in equity of $1 billion) that had not been reconciled for years, which if done correctly would take 20 years—this was ignored by the auditor. This demonstrates that Accounting Fraud causes time lags and eventually becomes a problem that cannot be hidden</w:t>
            </w:r>
          </w:p>
        </w:tc>
      </w:tr>
      <w:tr w:rsidR="00891F5D" w:rsidRPr="00891F5D" w14:paraId="1F221389" w14:textId="77777777" w:rsidTr="001D4222">
        <w:trPr>
          <w:trHeight w:val="3599"/>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17DF0DDF"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lastRenderedPageBreak/>
              <w:t>United States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6323DF0E"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Leasing</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7230FB04"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External auditors should follow basic principles such as being prudent and conservative with estimates.</w:t>
            </w:r>
          </w:p>
          <w:p w14:paraId="5C1ACDF9"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0B5CBDAD"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Basic analytical review, including industry KPIs, would have revealed that industry average loan was 9%, while EFCs were 1%—which should have served as a red flag.</w:t>
            </w:r>
          </w:p>
          <w:p w14:paraId="7FE53EC1"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18A57910"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lastRenderedPageBreak/>
              <w:t>Better communication between “origination, documentation and workout” departments would have revealed “double pledging” sooner</w:t>
            </w:r>
          </w:p>
        </w:tc>
      </w:tr>
      <w:tr w:rsidR="00891F5D" w:rsidRPr="00891F5D" w14:paraId="0C54938F" w14:textId="77777777" w:rsidTr="001D4222">
        <w:trPr>
          <w:trHeight w:val="3599"/>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79543580"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lastRenderedPageBreak/>
              <w:t>United States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2E955B53"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Financial Services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32DD4151"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Internal controls must never be sacrificed even for trusted employees— “friendship override.”</w:t>
            </w:r>
          </w:p>
          <w:p w14:paraId="6D1F82CF"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6CEA3CDA"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Job rotation is a very effective fraud prevention tool.</w:t>
            </w:r>
          </w:p>
          <w:p w14:paraId="712D688F"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76112F68"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An anonymous whistleblower telephone line saved the entity further losses, which underscores the effectiveness of this fraud prevention tool</w:t>
            </w:r>
          </w:p>
        </w:tc>
      </w:tr>
      <w:tr w:rsidR="00891F5D" w:rsidRPr="00891F5D" w14:paraId="74C09DA6" w14:textId="77777777" w:rsidTr="001D4222">
        <w:trPr>
          <w:trHeight w:val="1437"/>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23AD8248"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United States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526BD9E0"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Discounted electronics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0E92386D"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Auditors should have maintained professional skepticism and spotted obvious anomalies in revenue recognition.</w:t>
            </w:r>
          </w:p>
          <w:p w14:paraId="1A8B5D1B"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6F7F8E6D"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Audit committees must be independent.</w:t>
            </w:r>
          </w:p>
          <w:p w14:paraId="0B87DF97"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76995E39"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 xml:space="preserve">CFO and CAO/Controller should be qualified accountants </w:t>
            </w:r>
          </w:p>
        </w:tc>
      </w:tr>
      <w:tr w:rsidR="00891F5D" w:rsidRPr="00891F5D" w14:paraId="3F09F45B" w14:textId="77777777" w:rsidTr="001D4222">
        <w:trPr>
          <w:trHeight w:val="3599"/>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1C6CEDB5"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lastRenderedPageBreak/>
              <w:t>Japanese wholly owned subsidiary based in the United States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19E7EABC"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 xml:space="preserve">Auto supplier </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7124E7B0"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Maintenance of professional skepticism at all costs</w:t>
            </w:r>
          </w:p>
          <w:p w14:paraId="2FD95063"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3EEDACC6"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 xml:space="preserve">Auditing is not enough, and a knowledge of fraud detection techniques is very important </w:t>
            </w:r>
          </w:p>
        </w:tc>
      </w:tr>
      <w:tr w:rsidR="00891F5D" w:rsidRPr="00891F5D" w14:paraId="449C2162" w14:textId="77777777" w:rsidTr="001D4222">
        <w:trPr>
          <w:trHeight w:val="1347"/>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7BF02B62"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Kenya</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47BD571F"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Credit Union</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45C4184D"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Maintenance of professional skepticism at all costs</w:t>
            </w:r>
          </w:p>
          <w:p w14:paraId="0EE52C39"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08DE4FEA"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Long tenure and a position of trust does not clear someone of suspicion.</w:t>
            </w:r>
          </w:p>
          <w:p w14:paraId="53AC893E"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1D19E312"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Segregation of duties vital in financial institutions, no matter how small</w:t>
            </w:r>
          </w:p>
          <w:p w14:paraId="0528F153"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0EBEB115"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Change in lifestyle should be considered a potential red flag</w:t>
            </w:r>
          </w:p>
        </w:tc>
      </w:tr>
      <w:tr w:rsidR="00891F5D" w:rsidRPr="00891F5D" w14:paraId="59F1B5E2" w14:textId="77777777" w:rsidTr="001D4222">
        <w:trPr>
          <w:trHeight w:val="3599"/>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34B993A1"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lastRenderedPageBreak/>
              <w:t>Austria</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4E6157F6"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Internet investments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0778555B"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Investors should not be impressed by glossy brochures and “elder statesman.”</w:t>
            </w:r>
          </w:p>
          <w:p w14:paraId="2E6F477F"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7E1698E4"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Intangible accounting is a highly complex area of accounting, and second opinions from experts should be sought.</w:t>
            </w:r>
          </w:p>
          <w:p w14:paraId="43F46727"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1226149E"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Use of graphical methods should be used to analyze trends, especially cash balances</w:t>
            </w:r>
          </w:p>
        </w:tc>
      </w:tr>
      <w:tr w:rsidR="00891F5D" w:rsidRPr="00891F5D" w14:paraId="1628852F" w14:textId="77777777" w:rsidTr="001D4222">
        <w:trPr>
          <w:trHeight w:val="3599"/>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28DB79B1"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United States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06D845EF"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 xml:space="preserve">Industrial machinery </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31FF9201"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Background checks would have revealed that the CEO was a liar —he did not hold a degree as per his CV.</w:t>
            </w:r>
          </w:p>
          <w:p w14:paraId="34910256"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3A136C24"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Fraud Triangle was used as a touchstone throughout the investigation by the fraud examiner</w:t>
            </w:r>
          </w:p>
        </w:tc>
      </w:tr>
      <w:tr w:rsidR="00891F5D" w:rsidRPr="00891F5D" w14:paraId="16686B21" w14:textId="77777777" w:rsidTr="001D4222">
        <w:trPr>
          <w:trHeight w:val="1257"/>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2B8A2954"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Cyprus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6E603967"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Packaging for FMCG</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7C8725F7"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In this instance, external auditor was very professional and forthright and was not intimidated by senior management</w:t>
            </w:r>
          </w:p>
          <w:p w14:paraId="67C8772E"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109102B2"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lastRenderedPageBreak/>
              <w:t>Poor operation cycles: revenue, inventory, purchasing, and payroll, result in Accounting Fraud</w:t>
            </w:r>
          </w:p>
          <w:p w14:paraId="2621181E"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5EA70C3D"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Situation exacerbated by weak control environment.</w:t>
            </w:r>
          </w:p>
          <w:p w14:paraId="498D7C17"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53DE68D4"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Informal internal contacts can be very helpful</w:t>
            </w:r>
          </w:p>
        </w:tc>
      </w:tr>
      <w:tr w:rsidR="00891F5D" w:rsidRPr="00891F5D" w14:paraId="0AFCCC71" w14:textId="77777777" w:rsidTr="001D4222">
        <w:trPr>
          <w:trHeight w:val="3599"/>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3EE289DC"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lastRenderedPageBreak/>
              <w:t>UAE</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13CF9198"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 xml:space="preserve">Charity </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1D113170"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Auditors must maintain professional skepticism at all costs.</w:t>
            </w:r>
          </w:p>
          <w:p w14:paraId="37A25886"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6A2AE76A"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Strong internal controls coupled with a robust control environment in a charity as it is challenging for not-for-profit organizations to find suitably qualified staff</w:t>
            </w:r>
          </w:p>
        </w:tc>
      </w:tr>
      <w:tr w:rsidR="00891F5D" w:rsidRPr="00891F5D" w14:paraId="71DA7267" w14:textId="77777777" w:rsidTr="001D4222">
        <w:trPr>
          <w:trHeight w:val="3599"/>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1F3BB2FD"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Jersey</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504E66A1"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Investment fund taking advantage of forex movements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6AC41CB5"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Fraud examiner should be prepared to look for patterns and categorize information to help investigation.</w:t>
            </w:r>
          </w:p>
          <w:p w14:paraId="008E2D04"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69619D16"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There must be segregation of duties.</w:t>
            </w:r>
          </w:p>
          <w:p w14:paraId="60D43C65"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491DC71B"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lastRenderedPageBreak/>
              <w:t>Formal reports, including glossy brochures, and even audit reports should be skeptically viewed.</w:t>
            </w:r>
          </w:p>
          <w:p w14:paraId="166C3D8A"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51818BBB"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A successful track record does not guarantee future success</w:t>
            </w:r>
          </w:p>
        </w:tc>
      </w:tr>
      <w:tr w:rsidR="00891F5D" w:rsidRPr="00891F5D" w14:paraId="278CEE2F" w14:textId="77777777" w:rsidTr="001D4222">
        <w:trPr>
          <w:trHeight w:val="1437"/>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6463C1B7"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lastRenderedPageBreak/>
              <w:t>United States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620B83B0"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R&amp;D company focusing on life sciences with private and defense contracts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6EC7DA97"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Simple bookkeeping principles such as issuing credit memos to conceal siphoning of revenue and expenses or reclassifying expenses through journal entries to sustain a long-term fraud.</w:t>
            </w:r>
          </w:p>
          <w:p w14:paraId="0419C307"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6B5B93DF"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Auditors must be knowledgeable of bookkeeping and follow-up journals.</w:t>
            </w:r>
          </w:p>
          <w:p w14:paraId="3344B1EC"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6D6A7164"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Always undertake due diligence before investing and be professionally skeptical</w:t>
            </w:r>
          </w:p>
        </w:tc>
      </w:tr>
      <w:tr w:rsidR="00891F5D" w:rsidRPr="00891F5D" w14:paraId="5E02A27C" w14:textId="77777777" w:rsidTr="001D4222">
        <w:trPr>
          <w:trHeight w:val="3599"/>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649A476E"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lastRenderedPageBreak/>
              <w:t>Saudi Arabia</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0DB3364F"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 xml:space="preserve">Conglomerate, but this case study focuses on refrigeration and air- conditioning service </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2F372508"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Simple HR checks would have shown that Manager was not qualified, lacked experience, and not fit for purpose.</w:t>
            </w:r>
          </w:p>
          <w:p w14:paraId="71945D73"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63D1F1CC"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Bonus culture generates sales but can lead to short-termism and Accounting Fraud</w:t>
            </w:r>
          </w:p>
          <w:p w14:paraId="0836040B"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1B45C0D0"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There should be segregation of duties, especially key roles</w:t>
            </w:r>
          </w:p>
        </w:tc>
      </w:tr>
      <w:tr w:rsidR="00891F5D" w:rsidRPr="00891F5D" w14:paraId="250F6449" w14:textId="77777777" w:rsidTr="001D4222">
        <w:trPr>
          <w:trHeight w:val="3599"/>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26204E5C"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Hong Kong</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406AD4B2"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Sports goods, distribution, and promotion</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5D6E901F"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Culture has a huge impact, and bilingual professionals will be needed to ensure a thorough investigation.</w:t>
            </w:r>
          </w:p>
          <w:p w14:paraId="759BDED5"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77C08EF5"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A weak control environment was the major reason for the Accounting Fraud</w:t>
            </w:r>
          </w:p>
          <w:p w14:paraId="31393754"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7B0C61C3"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Revenue recognition is an important accounting area and should be regularly scrutinized to ensure compliance with GAAP</w:t>
            </w:r>
          </w:p>
        </w:tc>
      </w:tr>
      <w:tr w:rsidR="00891F5D" w:rsidRPr="00891F5D" w14:paraId="2DBD58D8" w14:textId="77777777" w:rsidTr="001D4222">
        <w:trPr>
          <w:trHeight w:val="2337"/>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5A871477"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lastRenderedPageBreak/>
              <w:t>United States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0B29122B"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Electrical contractor</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41AAB58A"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This was a complete fraud.</w:t>
            </w:r>
          </w:p>
          <w:p w14:paraId="4D0358A2"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146C0F1A"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Poor control environment</w:t>
            </w:r>
          </w:p>
          <w:p w14:paraId="108C2088"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6AC8AAD7"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Bank should have conducted proper due diligence before extending credit.</w:t>
            </w:r>
          </w:p>
          <w:p w14:paraId="2F4EE51B"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00B7FEF9"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External stakeholders should be wary of awards and personalities as they can be psychopaths</w:t>
            </w:r>
          </w:p>
        </w:tc>
      </w:tr>
      <w:tr w:rsidR="00891F5D" w:rsidRPr="00891F5D" w14:paraId="268683A1" w14:textId="77777777" w:rsidTr="001D4222">
        <w:trPr>
          <w:trHeight w:val="3599"/>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54062DC3"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United States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0C166846"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Online company/start-up</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52AAF9BB"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This case study confirms that “Fraud is Rampant.”</w:t>
            </w:r>
          </w:p>
          <w:p w14:paraId="043B4C89"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71F3CFD3"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Fraud examiners or auditors should follow their gut instincts and document everything to ensure that they do not become the “fall guy.”</w:t>
            </w:r>
          </w:p>
          <w:p w14:paraId="3178CA5D"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01F81D3E"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A control environment including segregation of duties needs to be constructed by senior management to prevent and detect Accounting Fraud</w:t>
            </w:r>
          </w:p>
        </w:tc>
      </w:tr>
      <w:tr w:rsidR="00891F5D" w:rsidRPr="00891F5D" w14:paraId="2FE2B694" w14:textId="77777777" w:rsidTr="001D4222">
        <w:trPr>
          <w:trHeight w:val="3599"/>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1174827F"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lastRenderedPageBreak/>
              <w:t>Malaysia</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3DBF05CC"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 xml:space="preserve">Producing aluminum parts for automobiles </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644E3DC5"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Always undertake due diligence before investing and be professionally skeptical</w:t>
            </w:r>
          </w:p>
          <w:p w14:paraId="28A4A687"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4F955B77"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 xml:space="preserve">Maintain some sort of accountability mechanisms </w:t>
            </w:r>
          </w:p>
        </w:tc>
      </w:tr>
      <w:tr w:rsidR="00891F5D" w:rsidRPr="00891F5D" w14:paraId="16A5288F" w14:textId="77777777" w:rsidTr="001D4222">
        <w:trPr>
          <w:trHeight w:val="3599"/>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27831725"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Spain</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6B1BB5F0"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Solar Panels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211FADAD"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Basic internal processes were missing such as segregation of duties, code of ethics, and an independent internal audit department.</w:t>
            </w:r>
          </w:p>
          <w:p w14:paraId="5756987E"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30250107"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 xml:space="preserve">External auditors need to maintain professional skepticism and arm’s length from client </w:t>
            </w:r>
          </w:p>
        </w:tc>
      </w:tr>
      <w:tr w:rsidR="00891F5D" w:rsidRPr="00891F5D" w14:paraId="55FD796F" w14:textId="77777777" w:rsidTr="001D4222">
        <w:trPr>
          <w:trHeight w:val="3599"/>
        </w:trPr>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5911C692"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United States</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19FBB9F7"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Construction</w:t>
            </w:r>
          </w:p>
        </w:tc>
        <w:tc>
          <w:tcPr>
            <w:tcW w:w="0" w:type="auto"/>
            <w:tcBorders>
              <w:top w:val="single" w:sz="4" w:space="0" w:color="auto"/>
              <w:left w:val="single" w:sz="4" w:space="0" w:color="auto"/>
              <w:bottom w:val="single" w:sz="4" w:space="0" w:color="auto"/>
              <w:right w:val="single" w:sz="4" w:space="0" w:color="auto"/>
            </w:tcBorders>
            <w:shd w:val="clear" w:color="auto" w:fill="E9EBF5"/>
            <w:tcMar>
              <w:top w:w="72" w:type="dxa"/>
              <w:left w:w="144" w:type="dxa"/>
              <w:bottom w:w="72" w:type="dxa"/>
              <w:right w:w="144" w:type="dxa"/>
            </w:tcMar>
            <w:hideMark/>
          </w:tcPr>
          <w:p w14:paraId="6919F3EC"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Complete thorough audit procedures such as testing of invoices.</w:t>
            </w:r>
          </w:p>
          <w:p w14:paraId="23AF919B"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2171BE3A"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Auditors must maintain professional skepticism at all costs.</w:t>
            </w:r>
          </w:p>
          <w:p w14:paraId="239B8586" w14:textId="77777777" w:rsidR="00891F5D" w:rsidRPr="00891F5D" w:rsidRDefault="00891F5D" w:rsidP="00891F5D">
            <w:pPr>
              <w:spacing w:after="0" w:line="480" w:lineRule="auto"/>
              <w:jc w:val="both"/>
              <w:rPr>
                <w:rFonts w:ascii="Arial" w:hAnsi="Arial" w:cs="Arial"/>
                <w:kern w:val="24"/>
                <w:lang w:val="en-US" w:eastAsia="en-US"/>
                <w14:ligatures w14:val="none"/>
              </w:rPr>
            </w:pPr>
          </w:p>
          <w:p w14:paraId="205E1FFA" w14:textId="77777777" w:rsidR="00891F5D" w:rsidRPr="00891F5D" w:rsidRDefault="00891F5D" w:rsidP="00891F5D">
            <w:pPr>
              <w:spacing w:after="0" w:line="480" w:lineRule="auto"/>
              <w:jc w:val="both"/>
              <w:rPr>
                <w:rFonts w:ascii="Arial" w:hAnsi="Arial" w:cs="Arial"/>
                <w:kern w:val="24"/>
                <w:lang w:val="en-US" w:eastAsia="en-US"/>
                <w14:ligatures w14:val="none"/>
              </w:rPr>
            </w:pPr>
            <w:r w:rsidRPr="00891F5D">
              <w:rPr>
                <w:rFonts w:ascii="Arial" w:hAnsi="Arial" w:cs="Arial"/>
                <w:kern w:val="24"/>
                <w:lang w:val="en-US" w:eastAsia="en-US"/>
                <w14:ligatures w14:val="none"/>
              </w:rPr>
              <w:t xml:space="preserve">Auditors must understand the industry, including the relevant KPIs </w:t>
            </w:r>
          </w:p>
        </w:tc>
      </w:tr>
    </w:tbl>
    <w:p w14:paraId="3ACAF8CA" w14:textId="48125840" w:rsidR="00620554" w:rsidRPr="00891F5D" w:rsidRDefault="00891F5D" w:rsidP="009C6481">
      <w:pPr>
        <w:spacing w:before="240"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lastRenderedPageBreak/>
        <w:t xml:space="preserve">Thus far the researcher has extensively discussed and evaluated the Fraud Triangle, outlined alternatives, and extended the C R I M E model to C R I M E L to establish whether there is a potential psychological dimension which may explain why Accounting Fraud persists. In the following section the </w:t>
      </w:r>
      <w:r w:rsidR="009F6EB5">
        <w:rPr>
          <w:rFonts w:ascii="Arial" w:eastAsiaTheme="minorHAnsi" w:hAnsi="Arial" w:cs="Arial"/>
          <w:kern w:val="0"/>
          <w:lang w:eastAsia="en-US"/>
          <w14:ligatures w14:val="none"/>
        </w:rPr>
        <w:t>researcher</w:t>
      </w:r>
      <w:r w:rsidRPr="00891F5D">
        <w:rPr>
          <w:rFonts w:ascii="Arial" w:eastAsiaTheme="minorHAnsi" w:hAnsi="Arial" w:cs="Arial"/>
          <w:kern w:val="0"/>
          <w:lang w:eastAsia="en-US"/>
          <w14:ligatures w14:val="none"/>
        </w:rPr>
        <w:t xml:space="preserve"> will delve deeper into the </w:t>
      </w:r>
      <w:r w:rsidRPr="00891F5D">
        <w:rPr>
          <w:rFonts w:ascii="Arial" w:hAnsi="Arial" w:cs="Arial"/>
          <w:b/>
          <w:bCs/>
          <w:lang w:val="en-US"/>
        </w:rPr>
        <w:t>psychological aspect</w:t>
      </w:r>
      <w:r w:rsidRPr="00891F5D">
        <w:rPr>
          <w:rFonts w:ascii="Arial" w:eastAsiaTheme="minorHAnsi" w:hAnsi="Arial" w:cs="Arial"/>
          <w:kern w:val="0"/>
          <w:lang w:eastAsia="en-US"/>
          <w14:ligatures w14:val="none"/>
        </w:rPr>
        <w:t xml:space="preserve"> and attempt to synthesise the Fraud Triangle and an aspect of the Dark Triad namely psychopathy.</w:t>
      </w:r>
    </w:p>
    <w:bookmarkStart w:id="563" w:name="_Hlk165369154"/>
    <w:bookmarkStart w:id="564" w:name="TT"/>
    <w:bookmarkStart w:id="565" w:name="A44"/>
    <w:bookmarkStart w:id="566" w:name="D57"/>
    <w:bookmarkEnd w:id="559"/>
    <w:p w14:paraId="3D727F02" w14:textId="404F988B" w:rsidR="00891F5D" w:rsidRPr="00891F5D" w:rsidRDefault="00CE511E" w:rsidP="00620554">
      <w:pPr>
        <w:pBdr>
          <w:top w:val="single" w:sz="4" w:space="1" w:color="auto"/>
          <w:left w:val="single" w:sz="4" w:space="4" w:color="auto"/>
          <w:bottom w:val="single" w:sz="4" w:space="1" w:color="auto"/>
          <w:right w:val="single" w:sz="4" w:space="4" w:color="auto"/>
        </w:pBdr>
        <w:spacing w:after="0" w:line="24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"C57"</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CE511E">
        <w:rPr>
          <w:rStyle w:val="Hyperlink"/>
          <w:rFonts w:ascii="Arial" w:eastAsiaTheme="minorHAnsi" w:hAnsi="Arial" w:cs="Arial"/>
          <w:b/>
          <w:bCs/>
          <w:kern w:val="0"/>
          <w:lang w:val="en-US" w:eastAsia="en-US"/>
          <w14:ligatures w14:val="none"/>
        </w:rPr>
        <w:t>2.9 Theoretical Framework: Synthesis of The Fraud Triangle and The Dark Triad</w:t>
      </w:r>
      <w:r>
        <w:rPr>
          <w:rFonts w:ascii="Arial" w:eastAsiaTheme="minorHAnsi" w:hAnsi="Arial" w:cs="Arial"/>
          <w:b/>
          <w:bCs/>
          <w:kern w:val="0"/>
          <w:lang w:val="en-US" w:eastAsia="en-US"/>
          <w14:ligatures w14:val="none"/>
        </w:rPr>
        <w:fldChar w:fldCharType="end"/>
      </w:r>
    </w:p>
    <w:p w14:paraId="6C7F4764" w14:textId="77777777" w:rsidR="00891F5D" w:rsidRPr="00891F5D" w:rsidRDefault="00891F5D" w:rsidP="00891F5D">
      <w:pPr>
        <w:spacing w:line="256" w:lineRule="auto"/>
        <w:rPr>
          <w:sz w:val="22"/>
          <w:szCs w:val="22"/>
          <w:lang w:val="en-US" w:eastAsia="en-US"/>
        </w:rPr>
      </w:pPr>
      <w:bookmarkStart w:id="567" w:name="347"/>
      <w:bookmarkEnd w:id="563"/>
      <w:bookmarkEnd w:id="564"/>
      <w:bookmarkEnd w:id="565"/>
      <w:bookmarkEnd w:id="566"/>
    </w:p>
    <w:p w14:paraId="6F8C2053" w14:textId="77777777" w:rsidR="00C0703D" w:rsidRDefault="00891F5D" w:rsidP="00C0703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Epstein and Ramamoorti (2016) suggest that in the face of the Dark Triad personality types, the Cressey Fraud Triangle collapses into a “single dimension,” namely, opportunity. So, what is the Dark Triad?</w:t>
      </w:r>
      <w:bookmarkEnd w:id="567"/>
      <w:r w:rsidRPr="00891F5D">
        <w:rPr>
          <w:rFonts w:ascii="Arial" w:eastAsiaTheme="minorHAnsi" w:hAnsi="Arial" w:cs="Arial"/>
          <w:kern w:val="0"/>
          <w:lang w:val="en-US" w:eastAsia="en-US"/>
          <w14:ligatures w14:val="none"/>
        </w:rPr>
        <w:t xml:space="preserve"> Recent research has highlighted three nonstandard (or deviant) personality types or categories (Furnham et al, 2013; Johnson et al 2013) whose behaviors may help to explain Accounting Fraud (Epstein and Ramamoorti, 2016). These personality types have been designated narcissism, Machiavellianism, and psychopathy, i.e., the Dark Triad, see </w:t>
      </w:r>
      <w:r w:rsidRPr="00891F5D">
        <w:rPr>
          <w:rFonts w:ascii="Arial" w:eastAsiaTheme="minorHAnsi" w:hAnsi="Arial" w:cs="Arial"/>
          <w:b/>
          <w:bCs/>
          <w:kern w:val="0"/>
          <w:lang w:val="en-US" w:eastAsia="en-US"/>
          <w14:ligatures w14:val="none"/>
        </w:rPr>
        <w:t>Figure 2.16</w:t>
      </w:r>
      <w:r w:rsidRPr="00891F5D">
        <w:rPr>
          <w:rFonts w:ascii="Arial" w:eastAsiaTheme="minorHAnsi" w:hAnsi="Arial" w:cs="Arial"/>
          <w:kern w:val="0"/>
          <w:lang w:val="en-US" w:eastAsia="en-US"/>
          <w14:ligatures w14:val="none"/>
        </w:rPr>
        <w:t xml:space="preserve"> (Schimmenti, 2017).</w:t>
      </w:r>
      <w:bookmarkStart w:id="568" w:name="349"/>
      <w:r w:rsidRPr="00891F5D">
        <w:rPr>
          <w:rFonts w:ascii="Arial" w:eastAsiaTheme="minorHAnsi" w:hAnsi="Arial" w:cs="Arial"/>
          <w:kern w:val="0"/>
          <w:lang w:val="en-US" w:eastAsia="en-US"/>
          <w14:ligatures w14:val="none"/>
        </w:rPr>
        <w:t xml:space="preserve"> </w:t>
      </w:r>
    </w:p>
    <w:p w14:paraId="21E54D16" w14:textId="77777777" w:rsidR="00C0703D" w:rsidRDefault="00C0703D" w:rsidP="00C0703D">
      <w:pPr>
        <w:spacing w:after="200" w:line="480" w:lineRule="auto"/>
        <w:jc w:val="both"/>
        <w:rPr>
          <w:rFonts w:ascii="Arial" w:eastAsiaTheme="minorHAnsi" w:hAnsi="Arial" w:cs="Arial"/>
          <w:kern w:val="0"/>
          <w:lang w:val="en-US" w:eastAsia="en-US"/>
          <w14:ligatures w14:val="none"/>
        </w:rPr>
      </w:pPr>
    </w:p>
    <w:p w14:paraId="29EFE22A" w14:textId="77777777" w:rsidR="00C0703D" w:rsidRDefault="00C0703D" w:rsidP="00C0703D">
      <w:pPr>
        <w:spacing w:after="200" w:line="480" w:lineRule="auto"/>
        <w:jc w:val="both"/>
        <w:rPr>
          <w:rFonts w:ascii="Arial" w:eastAsiaTheme="minorHAnsi" w:hAnsi="Arial" w:cs="Arial"/>
          <w:kern w:val="0"/>
          <w:lang w:val="en-US" w:eastAsia="en-US"/>
          <w14:ligatures w14:val="none"/>
        </w:rPr>
      </w:pPr>
    </w:p>
    <w:p w14:paraId="6A571A8D" w14:textId="77777777" w:rsidR="00C0703D" w:rsidRDefault="00C0703D" w:rsidP="00C0703D">
      <w:pPr>
        <w:spacing w:after="200" w:line="480" w:lineRule="auto"/>
        <w:jc w:val="both"/>
        <w:rPr>
          <w:rFonts w:ascii="Arial" w:eastAsiaTheme="minorHAnsi" w:hAnsi="Arial" w:cs="Arial"/>
          <w:kern w:val="0"/>
          <w:lang w:val="en-US" w:eastAsia="en-US"/>
          <w14:ligatures w14:val="none"/>
        </w:rPr>
      </w:pPr>
    </w:p>
    <w:p w14:paraId="3580C200" w14:textId="77777777" w:rsidR="00C0703D" w:rsidRDefault="00C0703D" w:rsidP="00C0703D">
      <w:pPr>
        <w:spacing w:after="200" w:line="480" w:lineRule="auto"/>
        <w:jc w:val="both"/>
        <w:rPr>
          <w:rFonts w:ascii="Arial" w:eastAsiaTheme="minorHAnsi" w:hAnsi="Arial" w:cs="Arial"/>
          <w:kern w:val="0"/>
          <w:lang w:val="en-US" w:eastAsia="en-US"/>
          <w14:ligatures w14:val="none"/>
        </w:rPr>
      </w:pPr>
    </w:p>
    <w:p w14:paraId="2620F3A0" w14:textId="77777777" w:rsidR="00C0703D" w:rsidRDefault="00C0703D" w:rsidP="00C0703D">
      <w:pPr>
        <w:spacing w:after="200" w:line="480" w:lineRule="auto"/>
        <w:jc w:val="both"/>
        <w:rPr>
          <w:rFonts w:ascii="Arial" w:eastAsiaTheme="minorHAnsi" w:hAnsi="Arial" w:cs="Arial"/>
          <w:kern w:val="0"/>
          <w:lang w:val="en-US" w:eastAsia="en-US"/>
          <w14:ligatures w14:val="none"/>
        </w:rPr>
      </w:pPr>
    </w:p>
    <w:p w14:paraId="7B6FF256" w14:textId="77777777" w:rsidR="00C0703D" w:rsidRDefault="00C0703D" w:rsidP="00C0703D">
      <w:pPr>
        <w:spacing w:after="200" w:line="480" w:lineRule="auto"/>
        <w:jc w:val="both"/>
        <w:rPr>
          <w:rFonts w:ascii="Arial" w:eastAsiaTheme="minorHAnsi" w:hAnsi="Arial" w:cs="Arial"/>
          <w:kern w:val="0"/>
          <w:lang w:val="en-US" w:eastAsia="en-US"/>
          <w14:ligatures w14:val="none"/>
        </w:rPr>
      </w:pPr>
    </w:p>
    <w:p w14:paraId="67C6B72E" w14:textId="77777777" w:rsidR="00C0703D" w:rsidRDefault="00C0703D" w:rsidP="00C0703D">
      <w:pPr>
        <w:spacing w:after="200" w:line="480" w:lineRule="auto"/>
        <w:jc w:val="both"/>
        <w:rPr>
          <w:rFonts w:ascii="Arial" w:eastAsiaTheme="minorHAnsi" w:hAnsi="Arial" w:cs="Arial"/>
          <w:kern w:val="0"/>
          <w:lang w:val="en-US" w:eastAsia="en-US"/>
          <w14:ligatures w14:val="none"/>
        </w:rPr>
      </w:pPr>
    </w:p>
    <w:p w14:paraId="394A5DF8" w14:textId="10B0C01C" w:rsidR="00891F5D" w:rsidRPr="00C0703D" w:rsidRDefault="00891F5D" w:rsidP="00C0703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b/>
          <w:bCs/>
          <w:kern w:val="0"/>
          <w:lang w:val="en-US" w:eastAsia="en-US"/>
          <w14:ligatures w14:val="none"/>
        </w:rPr>
        <w:lastRenderedPageBreak/>
        <w:t>Figure 2.16 The Dark Triad</w:t>
      </w:r>
    </w:p>
    <w:p w14:paraId="2B86B945" w14:textId="3E07B031" w:rsidR="00891F5D" w:rsidRPr="00891F5D" w:rsidRDefault="00891F5D" w:rsidP="00C0703D">
      <w:pPr>
        <w:spacing w:after="200" w:line="480" w:lineRule="auto"/>
        <w:jc w:val="both"/>
        <w:rPr>
          <w:rFonts w:ascii="Arial" w:eastAsiaTheme="minorHAnsi" w:hAnsi="Arial" w:cs="Arial"/>
          <w:kern w:val="0"/>
          <w:lang w:val="en-US" w:eastAsia="en-US"/>
          <w14:ligatures w14:val="none"/>
        </w:rPr>
      </w:pPr>
      <w:r w:rsidRPr="00891F5D">
        <w:rPr>
          <w:rFonts w:eastAsiaTheme="minorHAnsi"/>
          <w:noProof/>
          <w:kern w:val="0"/>
          <w:sz w:val="22"/>
          <w:szCs w:val="22"/>
          <w:lang w:eastAsia="en-US"/>
          <w14:ligatures w14:val="none"/>
        </w:rPr>
        <w:drawing>
          <wp:inline distT="0" distB="0" distL="0" distR="0" wp14:anchorId="20BF1237" wp14:editId="34DEEADC">
            <wp:extent cx="5679531" cy="3679825"/>
            <wp:effectExtent l="0" t="0" r="0" b="0"/>
            <wp:docPr id="330659525" name="Picture 330659525" descr="A blue triangle with word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ue triangle with words&#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682581" cy="3681801"/>
                    </a:xfrm>
                    <a:prstGeom prst="rect">
                      <a:avLst/>
                    </a:prstGeom>
                    <a:noFill/>
                    <a:ln>
                      <a:noFill/>
                    </a:ln>
                  </pic:spPr>
                </pic:pic>
              </a:graphicData>
            </a:graphic>
          </wp:inline>
        </w:drawing>
      </w:r>
      <w:r w:rsidRPr="00891F5D">
        <w:rPr>
          <w:rFonts w:ascii="Arial" w:eastAsiaTheme="minorHAnsi" w:hAnsi="Arial" w:cs="Arial"/>
          <w:kern w:val="0"/>
          <w:lang w:val="en-US" w:eastAsia="en-US"/>
          <w14:ligatures w14:val="none"/>
        </w:rPr>
        <w:t xml:space="preserve">The Dark Triad: Source: </w:t>
      </w:r>
      <w:hyperlink r:id="rId40" w:history="1">
        <w:r w:rsidRPr="00891F5D">
          <w:rPr>
            <w:rFonts w:ascii="Arial" w:eastAsiaTheme="minorHAnsi" w:hAnsi="Arial" w:cs="Arial"/>
            <w:kern w:val="0"/>
            <w:lang w:val="en-US" w:eastAsia="en-US"/>
            <w14:ligatures w14:val="none"/>
          </w:rPr>
          <w:t>The Light Triad vs. Dark Triad of Personality - Scientific American Blog Network</w:t>
        </w:r>
      </w:hyperlink>
      <w:r w:rsidRPr="00891F5D">
        <w:rPr>
          <w:rFonts w:ascii="Arial" w:eastAsiaTheme="minorHAnsi" w:hAnsi="Arial" w:cs="Arial"/>
          <w:kern w:val="0"/>
          <w:lang w:val="en-US" w:eastAsia="en-US"/>
          <w14:ligatures w14:val="none"/>
        </w:rPr>
        <w:t xml:space="preserve"> </w:t>
      </w:r>
    </w:p>
    <w:p w14:paraId="3F2884C9" w14:textId="4D6E44B7" w:rsidR="00204187" w:rsidRDefault="00891F5D" w:rsidP="00C0703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The Dark Triad of personality theory comprises of Machiavellianism, narcissism, and psychopathy (Lyons, 2019). Narcissistic individuals are preoccupied with their own manifestation and personal success, regardless of how that impacts the organisation (Miller et al, 2021). Machiavellians are highly focussed people who are obsessively focused on outcomes regardless of the means used to reach these outcomes regardless of whether they are legal or ethical (Jay, 2021). A psychopath is someone who exhibits a lack of conscience, is egotistical, and their approach to life is merciless and characterised by personal advance at the detriment others (Patrick, 2022). It is believed that approximately 1% of individuals who display psychopathic personality behaviours; although, it may be as high as 3.5 - 4% for senior level corporate workers and, more explicitly, CEO’s (Boddy, 2011). Corporate psychopaths are people </w:t>
      </w:r>
      <w:r w:rsidRPr="00891F5D">
        <w:rPr>
          <w:rFonts w:ascii="Arial" w:eastAsiaTheme="minorHAnsi" w:hAnsi="Arial" w:cs="Arial"/>
          <w:kern w:val="0"/>
          <w:lang w:eastAsia="en-US"/>
          <w14:ligatures w14:val="none"/>
        </w:rPr>
        <w:lastRenderedPageBreak/>
        <w:t xml:space="preserve">showing psychopathic tendencies who function in the corporate sector (Boddy, 2011). It is maintained that the corporate world is a magnet for psychopaths due to their drive for success and power, characteristics that often lead to high financial rewards and senior level management positions (Boddy et al, 2020). It is argued that the motive of shareholder maximisation at the sacrifice of other objectives encourages psychopathic people to ascend the mountain of success (Collier, 2019). In fact, psychopaths can and do effortlessly survive and very often perform successfully in a corporate environment, staying under the radar of corporate detection (Sheehy et al, 2020). Corporate psychopaths potentially account for an excessively large proportion of damaging and immoral business practices. Studies have demonstrated correlations in the general population highlighting individuals with psychopathic personalities who are guilty of criminal and violent behaviour (Abas Hashmi &amp; Petterson, 2022). It is argued that corporate psychopaths possess the capacity to “wreak havoc” on businesses and negatively impact business performance including on employees (Fritzon, 2023). </w:t>
      </w:r>
    </w:p>
    <w:p w14:paraId="620B774A" w14:textId="77777777" w:rsidR="00C0703D" w:rsidRPr="00891F5D" w:rsidRDefault="00C0703D" w:rsidP="00C0703D">
      <w:pPr>
        <w:spacing w:line="480" w:lineRule="auto"/>
        <w:jc w:val="both"/>
        <w:rPr>
          <w:rFonts w:ascii="Arial" w:eastAsiaTheme="minorHAnsi" w:hAnsi="Arial" w:cs="Arial"/>
          <w:kern w:val="0"/>
          <w:lang w:eastAsia="en-US"/>
          <w14:ligatures w14:val="none"/>
        </w:rPr>
      </w:pPr>
    </w:p>
    <w:bookmarkStart w:id="569" w:name="UU"/>
    <w:bookmarkStart w:id="570" w:name="A45"/>
    <w:bookmarkStart w:id="571" w:name="D58"/>
    <w:p w14:paraId="09A5FA2B" w14:textId="4DD96B96" w:rsidR="00891F5D" w:rsidRPr="00891F5D" w:rsidRDefault="00C55C45" w:rsidP="00620554">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b/>
          <w:bCs/>
          <w:kern w:val="0"/>
          <w:lang w:eastAsia="en-US"/>
          <w14:ligatures w14:val="none"/>
        </w:rPr>
      </w:pPr>
      <w:r>
        <w:rPr>
          <w:rFonts w:ascii="Arial" w:eastAsiaTheme="minorHAnsi" w:hAnsi="Arial" w:cs="Arial"/>
          <w:b/>
          <w:bCs/>
          <w:kern w:val="0"/>
          <w:lang w:eastAsia="en-US"/>
          <w14:ligatures w14:val="none"/>
        </w:rPr>
        <w:fldChar w:fldCharType="begin"/>
      </w:r>
      <w:r>
        <w:rPr>
          <w:rFonts w:ascii="Arial" w:eastAsiaTheme="minorHAnsi" w:hAnsi="Arial" w:cs="Arial"/>
          <w:b/>
          <w:bCs/>
          <w:kern w:val="0"/>
          <w:lang w:eastAsia="en-US"/>
          <w14:ligatures w14:val="none"/>
        </w:rPr>
        <w:instrText>HYPERLINK  \l "C58"</w:instrText>
      </w:r>
      <w:r>
        <w:rPr>
          <w:rFonts w:ascii="Arial" w:eastAsiaTheme="minorHAnsi" w:hAnsi="Arial" w:cs="Arial"/>
          <w:b/>
          <w:bCs/>
          <w:kern w:val="0"/>
          <w:lang w:eastAsia="en-US"/>
          <w14:ligatures w14:val="none"/>
        </w:rPr>
      </w:r>
      <w:r>
        <w:rPr>
          <w:rFonts w:ascii="Arial" w:eastAsiaTheme="minorHAnsi" w:hAnsi="Arial" w:cs="Arial"/>
          <w:b/>
          <w:bCs/>
          <w:kern w:val="0"/>
          <w:lang w:eastAsia="en-US"/>
          <w14:ligatures w14:val="none"/>
        </w:rPr>
        <w:fldChar w:fldCharType="separate"/>
      </w:r>
      <w:r w:rsidR="00891F5D" w:rsidRPr="00C55C45">
        <w:rPr>
          <w:rStyle w:val="Hyperlink"/>
          <w:rFonts w:ascii="Arial" w:eastAsiaTheme="minorHAnsi" w:hAnsi="Arial" w:cs="Arial"/>
          <w:b/>
          <w:bCs/>
          <w:kern w:val="0"/>
          <w:lang w:eastAsia="en-US"/>
          <w14:ligatures w14:val="none"/>
        </w:rPr>
        <w:t>2.9.1 Dark Triad Theory</w:t>
      </w:r>
      <w:r>
        <w:rPr>
          <w:rFonts w:ascii="Arial" w:eastAsiaTheme="minorHAnsi" w:hAnsi="Arial" w:cs="Arial"/>
          <w:b/>
          <w:bCs/>
          <w:kern w:val="0"/>
          <w:lang w:eastAsia="en-US"/>
          <w14:ligatures w14:val="none"/>
        </w:rPr>
        <w:fldChar w:fldCharType="end"/>
      </w:r>
    </w:p>
    <w:bookmarkEnd w:id="569"/>
    <w:bookmarkEnd w:id="570"/>
    <w:bookmarkEnd w:id="571"/>
    <w:p w14:paraId="3F7B0B54" w14:textId="77777777" w:rsidR="00891F5D" w:rsidRPr="00891F5D" w:rsidRDefault="00891F5D" w:rsidP="00891F5D">
      <w:pPr>
        <w:shd w:val="clear" w:color="auto" w:fill="FFFFFF"/>
        <w:spacing w:before="120" w:after="120" w:line="480" w:lineRule="auto"/>
        <w:jc w:val="both"/>
        <w:rPr>
          <w:rFonts w:ascii="Arial" w:eastAsia="Times New Roman" w:hAnsi="Arial" w:cs="Arial"/>
          <w:kern w:val="0"/>
          <w:lang w:eastAsia="en-GB"/>
          <w14:ligatures w14:val="none"/>
        </w:rPr>
      </w:pPr>
      <w:r w:rsidRPr="00891F5D">
        <w:rPr>
          <w:rFonts w:ascii="Arial" w:eastAsia="Times New Roman" w:hAnsi="Arial" w:cs="Arial"/>
          <w:kern w:val="0"/>
          <w:lang w:eastAsia="en-GB"/>
          <w14:ligatures w14:val="none"/>
        </w:rPr>
        <w:t xml:space="preserve">The dark triad is a psychological theory of personality which was established by Paulhus and Williams (2002) that describes three especially unpleasant, but non-pathological personality types: Machiavellianism, ‘’sub-clinical narcissistic personality disorder’’ (narcissism), and ‘’sub-clinical anti-social personality disorder’’ (psychopathy). Individually these personality types are referred to as </w:t>
      </w:r>
      <w:r w:rsidRPr="00891F5D">
        <w:rPr>
          <w:rFonts w:ascii="Arial" w:eastAsia="Times New Roman" w:hAnsi="Arial" w:cs="Arial"/>
          <w:i/>
          <w:iCs/>
          <w:kern w:val="0"/>
          <w:lang w:eastAsia="en-GB"/>
          <w14:ligatures w14:val="none"/>
        </w:rPr>
        <w:t>dark</w:t>
      </w:r>
      <w:r w:rsidRPr="00891F5D">
        <w:rPr>
          <w:rFonts w:ascii="Arial" w:eastAsia="Times New Roman" w:hAnsi="Arial" w:cs="Arial"/>
          <w:kern w:val="0"/>
          <w:lang w:eastAsia="en-GB"/>
          <w14:ligatures w14:val="none"/>
        </w:rPr>
        <w:t xml:space="preserve"> because each kind is believed to contain malevolent or evil qualities (Schreiber &amp; Marcus, 2020). </w:t>
      </w:r>
    </w:p>
    <w:p w14:paraId="6E6E68D5" w14:textId="77777777" w:rsidR="00891F5D" w:rsidRPr="00891F5D" w:rsidRDefault="00891F5D" w:rsidP="00891F5D">
      <w:pPr>
        <w:shd w:val="clear" w:color="auto" w:fill="FFFFFF"/>
        <w:spacing w:before="120" w:after="120" w:line="480" w:lineRule="auto"/>
        <w:jc w:val="both"/>
        <w:rPr>
          <w:rFonts w:ascii="Arial" w:eastAsia="Times New Roman" w:hAnsi="Arial" w:cs="Arial"/>
          <w:kern w:val="0"/>
          <w:lang w:eastAsia="en-GB"/>
          <w14:ligatures w14:val="none"/>
        </w:rPr>
      </w:pPr>
      <w:r w:rsidRPr="00891F5D">
        <w:rPr>
          <w:rFonts w:ascii="Arial" w:eastAsia="Times New Roman" w:hAnsi="Arial" w:cs="Arial"/>
          <w:kern w:val="0"/>
          <w:lang w:eastAsia="en-GB"/>
          <w14:ligatures w14:val="none"/>
        </w:rPr>
        <w:lastRenderedPageBreak/>
        <w:t xml:space="preserve">All three dark triad characteristics are conceptually discrete although there is empirical evidence which highlights that they intersect. These nefarious traits are correlated with an insensitive and deeply unscrupulous interpersonal style. </w:t>
      </w:r>
    </w:p>
    <w:p w14:paraId="1CB8B2FC" w14:textId="77777777" w:rsidR="00891F5D" w:rsidRPr="00891F5D" w:rsidRDefault="00000000">
      <w:pPr>
        <w:numPr>
          <w:ilvl w:val="0"/>
          <w:numId w:val="17"/>
        </w:numPr>
        <w:shd w:val="clear" w:color="auto" w:fill="FFFFFF"/>
        <w:spacing w:before="100" w:beforeAutospacing="1" w:after="24" w:line="480" w:lineRule="auto"/>
        <w:contextualSpacing/>
        <w:jc w:val="both"/>
        <w:rPr>
          <w:rFonts w:ascii="Arial" w:eastAsia="Times New Roman" w:hAnsi="Arial" w:cs="Arial"/>
          <w:kern w:val="0"/>
          <w:lang w:val="en-US" w:eastAsia="en-GB"/>
          <w14:ligatures w14:val="none"/>
        </w:rPr>
      </w:pPr>
      <w:hyperlink r:id="rId41" w:tooltip="Narcissism" w:history="1">
        <w:r w:rsidR="00891F5D" w:rsidRPr="00891F5D">
          <w:rPr>
            <w:rFonts w:ascii="Arial" w:eastAsia="Times New Roman" w:hAnsi="Arial" w:cs="Arial"/>
            <w:kern w:val="0"/>
            <w:lang w:val="en-US" w:eastAsia="en-GB"/>
            <w14:ligatures w14:val="none"/>
          </w:rPr>
          <w:t>Narcissism</w:t>
        </w:r>
      </w:hyperlink>
      <w:r w:rsidR="00891F5D" w:rsidRPr="00891F5D">
        <w:rPr>
          <w:rFonts w:ascii="Arial" w:eastAsia="Times New Roman" w:hAnsi="Arial" w:cs="Arial"/>
          <w:kern w:val="0"/>
          <w:lang w:val="en-US" w:eastAsia="en-GB"/>
          <w14:ligatures w14:val="none"/>
        </w:rPr>
        <w:t> is distinguished by vanity, </w:t>
      </w:r>
      <w:hyperlink r:id="rId42" w:tooltip="Pride" w:history="1">
        <w:r w:rsidR="00891F5D" w:rsidRPr="00891F5D">
          <w:rPr>
            <w:rFonts w:ascii="Arial" w:eastAsia="Times New Roman" w:hAnsi="Arial" w:cs="Arial"/>
            <w:kern w:val="0"/>
            <w:lang w:val="en-US" w:eastAsia="en-GB"/>
            <w14:ligatures w14:val="none"/>
          </w:rPr>
          <w:t>arrogance</w:t>
        </w:r>
      </w:hyperlink>
      <w:r w:rsidR="00891F5D" w:rsidRPr="00891F5D">
        <w:rPr>
          <w:rFonts w:ascii="Arial" w:eastAsia="Times New Roman" w:hAnsi="Arial" w:cs="Arial"/>
          <w:kern w:val="0"/>
          <w:lang w:val="en-US" w:eastAsia="en-GB"/>
          <w14:ligatures w14:val="none"/>
        </w:rPr>
        <w:t>, </w:t>
      </w:r>
      <w:hyperlink r:id="rId43" w:tooltip="Egotism" w:history="1">
        <w:r w:rsidR="00891F5D" w:rsidRPr="00891F5D">
          <w:rPr>
            <w:rFonts w:ascii="Arial" w:eastAsia="Times New Roman" w:hAnsi="Arial" w:cs="Arial"/>
            <w:kern w:val="0"/>
            <w:lang w:val="en-US" w:eastAsia="en-GB"/>
            <w14:ligatures w14:val="none"/>
          </w:rPr>
          <w:t>egotism</w:t>
        </w:r>
      </w:hyperlink>
      <w:r w:rsidR="00891F5D" w:rsidRPr="00891F5D">
        <w:rPr>
          <w:rFonts w:ascii="Arial" w:eastAsia="Times New Roman" w:hAnsi="Arial" w:cs="Arial"/>
          <w:kern w:val="0"/>
          <w:lang w:val="en-US" w:eastAsia="en-GB"/>
          <w14:ligatures w14:val="none"/>
        </w:rPr>
        <w:t xml:space="preserve">, and deficient </w:t>
      </w:r>
      <w:hyperlink r:id="rId44" w:tooltip="Empathy" w:history="1">
        <w:r w:rsidR="00891F5D" w:rsidRPr="00891F5D">
          <w:rPr>
            <w:rFonts w:ascii="Arial" w:eastAsia="Times New Roman" w:hAnsi="Arial" w:cs="Arial"/>
            <w:kern w:val="0"/>
            <w:lang w:val="en-US" w:eastAsia="en-GB"/>
            <w14:ligatures w14:val="none"/>
          </w:rPr>
          <w:t>empathy</w:t>
        </w:r>
      </w:hyperlink>
      <w:r w:rsidR="00891F5D" w:rsidRPr="00891F5D">
        <w:rPr>
          <w:rFonts w:ascii="Arial" w:eastAsia="Times New Roman" w:hAnsi="Arial" w:cs="Arial"/>
          <w:kern w:val="0"/>
          <w:lang w:val="en-US" w:eastAsia="en-GB"/>
          <w14:ligatures w14:val="none"/>
        </w:rPr>
        <w:t xml:space="preserve">. </w:t>
      </w:r>
    </w:p>
    <w:p w14:paraId="74B72DE8" w14:textId="77777777" w:rsidR="00891F5D" w:rsidRPr="00891F5D" w:rsidRDefault="00000000">
      <w:pPr>
        <w:numPr>
          <w:ilvl w:val="0"/>
          <w:numId w:val="17"/>
        </w:numPr>
        <w:shd w:val="clear" w:color="auto" w:fill="FFFFFF"/>
        <w:spacing w:before="100" w:beforeAutospacing="1" w:after="24" w:line="480" w:lineRule="auto"/>
        <w:contextualSpacing/>
        <w:jc w:val="both"/>
        <w:rPr>
          <w:rFonts w:ascii="Arial" w:eastAsia="Times New Roman" w:hAnsi="Arial" w:cs="Arial"/>
          <w:kern w:val="0"/>
          <w:lang w:val="en-US" w:eastAsia="en-GB"/>
          <w14:ligatures w14:val="none"/>
        </w:rPr>
      </w:pPr>
      <w:hyperlink r:id="rId45" w:tooltip="Machiavellianism (psychology)" w:history="1">
        <w:r w:rsidR="00891F5D" w:rsidRPr="00891F5D">
          <w:rPr>
            <w:rFonts w:ascii="Arial" w:eastAsia="Times New Roman" w:hAnsi="Arial" w:cs="Arial"/>
            <w:kern w:val="0"/>
            <w:lang w:val="en-US" w:eastAsia="en-GB"/>
            <w14:ligatures w14:val="none"/>
          </w:rPr>
          <w:t>Machiavellianism</w:t>
        </w:r>
      </w:hyperlink>
      <w:r w:rsidR="00891F5D" w:rsidRPr="00891F5D">
        <w:rPr>
          <w:rFonts w:ascii="Arial" w:eastAsia="Times New Roman" w:hAnsi="Arial" w:cs="Arial"/>
          <w:kern w:val="0"/>
          <w:lang w:val="en-US" w:eastAsia="en-GB"/>
          <w14:ligatures w14:val="none"/>
        </w:rPr>
        <w:t xml:space="preserve"> is demonstrated by negative influence and exploitation of others, a lack of morality, insensitivity, and supreme </w:t>
      </w:r>
      <w:hyperlink r:id="rId46" w:tooltip="Self-interest" w:history="1">
        <w:r w:rsidR="00891F5D" w:rsidRPr="00891F5D">
          <w:rPr>
            <w:rFonts w:ascii="Arial" w:eastAsia="Times New Roman" w:hAnsi="Arial" w:cs="Arial"/>
            <w:kern w:val="0"/>
            <w:lang w:val="en-US" w:eastAsia="en-GB"/>
            <w14:ligatures w14:val="none"/>
          </w:rPr>
          <w:t>self-interest</w:t>
        </w:r>
      </w:hyperlink>
      <w:r w:rsidR="00891F5D" w:rsidRPr="00891F5D">
        <w:rPr>
          <w:rFonts w:ascii="Arial" w:eastAsia="Times New Roman" w:hAnsi="Arial" w:cs="Arial"/>
          <w:kern w:val="0"/>
          <w:lang w:val="en-US" w:eastAsia="en-GB"/>
          <w14:ligatures w14:val="none"/>
        </w:rPr>
        <w:t xml:space="preserve">. </w:t>
      </w:r>
    </w:p>
    <w:p w14:paraId="32691E9C" w14:textId="77777777" w:rsidR="00891F5D" w:rsidRPr="00891F5D" w:rsidRDefault="00000000">
      <w:pPr>
        <w:numPr>
          <w:ilvl w:val="0"/>
          <w:numId w:val="17"/>
        </w:numPr>
        <w:shd w:val="clear" w:color="auto" w:fill="FFFFFF"/>
        <w:spacing w:before="100" w:beforeAutospacing="1" w:after="24" w:line="480" w:lineRule="auto"/>
        <w:contextualSpacing/>
        <w:jc w:val="both"/>
        <w:rPr>
          <w:rFonts w:ascii="Arial" w:eastAsia="Times New Roman" w:hAnsi="Arial" w:cs="Arial"/>
          <w:kern w:val="0"/>
          <w:lang w:val="en-US" w:eastAsia="en-GB"/>
          <w14:ligatures w14:val="none"/>
        </w:rPr>
      </w:pPr>
      <w:hyperlink r:id="rId47" w:tooltip="Psychopathy" w:history="1">
        <w:r w:rsidR="00891F5D" w:rsidRPr="00891F5D">
          <w:rPr>
            <w:rFonts w:ascii="Arial" w:eastAsia="Times New Roman" w:hAnsi="Arial" w:cs="Arial"/>
            <w:kern w:val="0"/>
            <w:lang w:val="en-US" w:eastAsia="en-GB"/>
            <w14:ligatures w14:val="none"/>
          </w:rPr>
          <w:t>Psychopathy</w:t>
        </w:r>
      </w:hyperlink>
      <w:r w:rsidR="00891F5D" w:rsidRPr="00891F5D">
        <w:rPr>
          <w:rFonts w:ascii="Arial" w:eastAsia="Times New Roman" w:hAnsi="Arial" w:cs="Arial"/>
          <w:kern w:val="0"/>
          <w:lang w:val="en-US" w:eastAsia="en-GB"/>
          <w14:ligatures w14:val="none"/>
        </w:rPr>
        <w:t xml:space="preserve"> is displayed by selfishness, lack of any remorse, impulsiveness, and lack of any kind of care. </w:t>
      </w:r>
    </w:p>
    <w:p w14:paraId="05C80DEF" w14:textId="77777777" w:rsidR="00891F5D" w:rsidRPr="00891F5D" w:rsidRDefault="00891F5D" w:rsidP="00891F5D">
      <w:pPr>
        <w:shd w:val="clear" w:color="auto" w:fill="FFFFFF"/>
        <w:spacing w:before="120" w:after="120" w:line="480" w:lineRule="auto"/>
        <w:jc w:val="both"/>
        <w:rPr>
          <w:rFonts w:ascii="Arial" w:eastAsia="Times New Roman" w:hAnsi="Arial" w:cs="Arial"/>
          <w:kern w:val="0"/>
          <w:lang w:eastAsia="en-GB"/>
          <w14:ligatures w14:val="none"/>
        </w:rPr>
      </w:pPr>
      <w:r w:rsidRPr="00891F5D">
        <w:rPr>
          <w:rFonts w:ascii="Arial" w:eastAsia="Times New Roman" w:hAnsi="Arial" w:cs="Arial"/>
          <w:kern w:val="0"/>
          <w:lang w:eastAsia="en-GB"/>
          <w14:ligatures w14:val="none"/>
        </w:rPr>
        <w:t xml:space="preserve">High scores in these negative traits which is discussed in greater depth later, have been found to statistically increase a person's probability to undertake crimes, produce social suffering, and create acute problems for organizations, especially if they are positions of authority. Overall, these individuals are likely to be less compassionate, reasonable, empathetic, content, and have any humanity. </w:t>
      </w:r>
    </w:p>
    <w:p w14:paraId="66CB3355"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It is maintained that psychopathy is a personality condition, underpinned by traits including artificial charm, deceit, prone to impulsivity, deficient remorse, absence of empathy, which may cause a psychopathic individual to be incarcerated for committing criminal acts (Fritzon et al, 2020). Psychopaths tend to be the most studied groups, specifically by psychologists and psychiatrists (</w:t>
      </w:r>
      <w:r w:rsidRPr="00891F5D">
        <w:rPr>
          <w:rFonts w:ascii="Arial" w:eastAsiaTheme="minorHAnsi" w:hAnsi="Arial" w:cs="Arial"/>
          <w:kern w:val="0"/>
          <w:shd w:val="clear" w:color="auto" w:fill="FFFFFF"/>
          <w:lang w:eastAsia="en-US"/>
          <w14:ligatures w14:val="none"/>
        </w:rPr>
        <w:t>Itzkowitz &amp; Howell, 2019)</w:t>
      </w:r>
      <w:r w:rsidRPr="00891F5D">
        <w:rPr>
          <w:rFonts w:ascii="Arial" w:eastAsiaTheme="minorHAnsi" w:hAnsi="Arial" w:cs="Arial"/>
          <w:kern w:val="0"/>
          <w:lang w:eastAsia="en-US"/>
          <w14:ligatures w14:val="none"/>
        </w:rPr>
        <w:t xml:space="preserve">. Many people wrongly believe that psychopathy to be a mental illness, when it is a personality disorder; basically, these individual’s brains are literally wired differently. Functional magnetic resonance imaging (FMRI) research has confirmed that psychopaths do not have the capability to experience fundamental human emotions such as feelings of guilt, compunction, or empathy; instead, the psychopath will feign sincerity and manipulate others for their own advantage (Johanson et al, 2020). As already noted, </w:t>
      </w:r>
      <w:r w:rsidRPr="00891F5D">
        <w:rPr>
          <w:rFonts w:ascii="Arial" w:eastAsiaTheme="minorHAnsi" w:hAnsi="Arial" w:cs="Arial"/>
          <w:kern w:val="0"/>
          <w:lang w:eastAsia="en-US"/>
          <w14:ligatures w14:val="none"/>
        </w:rPr>
        <w:lastRenderedPageBreak/>
        <w:t>one percent of the general will display psychopathic tendencies and related aberrant behaviours; and senior management will contain 3.5-4%. Individuals showing the traits of psychopathy are less likely to be trusted, overly ambitious, even backstabbers but are not considered as dangerous corporate psychopaths possessing the capacity to adversely impact organisational performance. It has been noted that psychopaths are “attracted to fast-paced, transitional organizations that can offer high potential for rewards, a stimulating environment and cover for their dubious actions” (Andrews &amp; Furniss, 2009). Another dark trait of psychopaths is “their ability to portray themselves as benevolent and charming” making it challenging to recognise who really is a psychopath or who is not (Bakan, 2008:26). It has been acknowledged that psychopaths can function successfully in organizations without detection because they seem to be normal and even appear to have suitable qualities. Consequently, they are more than likely to be found in senior leadership and management positions, wielding enormous power and ability affect many employees (Fritzon et al, 2020).</w:t>
      </w:r>
    </w:p>
    <w:p w14:paraId="1C7D35D9"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The term Machiavellianism was created because it was supposedly encouraged by the medieval Niccolo Machiavelli in his treatise, “The Prince”. A Machiavellian individual is characterised as being ruthless, selfish, cold and manipulative and shares many traits with a psychopath because he or she “has no reference to moral standards, promotes the idea that the end justifies the means… and advocates the use of force if deemed necessary to achieve desired ends </w:t>
      </w:r>
      <w:r w:rsidRPr="00891F5D">
        <w:rPr>
          <w:rFonts w:ascii="Arial" w:eastAsiaTheme="minorHAnsi" w:hAnsi="Arial" w:cs="Arial"/>
          <w:b/>
          <w:bCs/>
          <w:kern w:val="0"/>
          <w:lang w:eastAsia="en-US"/>
          <w14:ligatures w14:val="none"/>
        </w:rPr>
        <w:t>(</w:t>
      </w:r>
      <w:r w:rsidRPr="00891F5D">
        <w:rPr>
          <w:rFonts w:ascii="Arial" w:eastAsiaTheme="minorHAnsi" w:hAnsi="Arial" w:cs="Arial"/>
          <w:kern w:val="0"/>
          <w:lang w:eastAsia="en-US"/>
          <w14:ligatures w14:val="none"/>
        </w:rPr>
        <w:t>Boddy, 2010:301). As already noted, Machiavellianism is a personality disorder where the individual is cynical and gives high regard to competition, money, and power, Machiavellianism is worryingly associated with a higher frequency of bullying in the workplace and in general engaging in unethical behaviour.</w:t>
      </w:r>
    </w:p>
    <w:p w14:paraId="0A8783E0"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lastRenderedPageBreak/>
        <w:t>Narcissism was initially developed by the leading psychiatrist Freud and the concept of narcissism originates from “the myth of Narcissus, a beautiful young man who, spurning the affection of various nymphs, was fated by a goddess to fall into unrequited love. Narcissus spent his life looking at his reflection in the water, eventually starving to death by his own misfortune’’ (Boddy, 2010:302). Consequently, the modern connotation of this myth is “as being someone who loves themselves too much for their own good” (Boddy, 2010: 302).</w:t>
      </w:r>
    </w:p>
    <w:p w14:paraId="5BD69E2F" w14:textId="55D9295C" w:rsidR="00204187" w:rsidRPr="00C0703D" w:rsidRDefault="00891F5D" w:rsidP="00C0703D">
      <w:pPr>
        <w:spacing w:line="480" w:lineRule="auto"/>
        <w:jc w:val="both"/>
        <w:rPr>
          <w:rFonts w:ascii="Arial" w:eastAsia="Times New Roman" w:hAnsi="Arial" w:cs="Arial"/>
          <w:kern w:val="0"/>
          <w:lang w:eastAsia="en-GB"/>
          <w14:ligatures w14:val="none"/>
        </w:rPr>
      </w:pPr>
      <w:r w:rsidRPr="00891F5D">
        <w:rPr>
          <w:rFonts w:ascii="Arial" w:eastAsia="Times New Roman" w:hAnsi="Arial" w:cs="Arial"/>
          <w:kern w:val="0"/>
          <w:lang w:eastAsia="en-GB"/>
          <w14:ligatures w14:val="none"/>
        </w:rPr>
        <w:t>For the purposes of this study the</w:t>
      </w:r>
      <w:r w:rsidR="00CA1D1A" w:rsidRPr="00CA1D1A">
        <w:rPr>
          <w:rFonts w:ascii="Arial" w:eastAsiaTheme="minorHAnsi" w:hAnsi="Arial" w:cs="Arial"/>
          <w:kern w:val="0"/>
          <w:lang w:eastAsia="en-US"/>
          <w14:ligatures w14:val="none"/>
        </w:rPr>
        <w:t xml:space="preserve"> </w:t>
      </w:r>
      <w:r w:rsidR="00C0703D">
        <w:rPr>
          <w:rFonts w:ascii="Arial" w:eastAsiaTheme="minorHAnsi" w:hAnsi="Arial" w:cs="Arial"/>
          <w:kern w:val="0"/>
          <w:lang w:eastAsia="en-US"/>
          <w14:ligatures w14:val="none"/>
        </w:rPr>
        <w:t>researcher</w:t>
      </w:r>
      <w:r w:rsidR="00C0703D" w:rsidRPr="00891F5D">
        <w:rPr>
          <w:rFonts w:ascii="Arial" w:eastAsia="Times New Roman" w:hAnsi="Arial" w:cs="Arial"/>
          <w:kern w:val="0"/>
          <w:lang w:eastAsia="en-GB"/>
          <w14:ligatures w14:val="none"/>
        </w:rPr>
        <w:t xml:space="preserve"> will</w:t>
      </w:r>
      <w:r w:rsidRPr="00891F5D">
        <w:rPr>
          <w:rFonts w:ascii="Arial" w:eastAsia="Times New Roman" w:hAnsi="Arial" w:cs="Arial"/>
          <w:kern w:val="0"/>
          <w:lang w:eastAsia="en-GB"/>
          <w14:ligatures w14:val="none"/>
        </w:rPr>
        <w:t xml:space="preserve"> focus exclusively on psychopathy as it may be linked to Accounting Fraud.</w:t>
      </w:r>
    </w:p>
    <w:bookmarkStart w:id="572" w:name="WW"/>
    <w:bookmarkStart w:id="573" w:name="A46"/>
    <w:bookmarkStart w:id="574" w:name="D59"/>
    <w:p w14:paraId="687B717C" w14:textId="0730AC7A" w:rsidR="00891F5D" w:rsidRPr="00891F5D" w:rsidRDefault="00C55C45" w:rsidP="00620554">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b/>
          <w:bCs/>
          <w:kern w:val="0"/>
          <w:lang w:eastAsia="en-US"/>
          <w14:ligatures w14:val="none"/>
        </w:rPr>
      </w:pPr>
      <w:r>
        <w:rPr>
          <w:rFonts w:ascii="Arial" w:eastAsiaTheme="minorHAnsi" w:hAnsi="Arial" w:cs="Arial"/>
          <w:b/>
          <w:bCs/>
          <w:kern w:val="0"/>
          <w:lang w:eastAsia="en-US"/>
          <w14:ligatures w14:val="none"/>
        </w:rPr>
        <w:fldChar w:fldCharType="begin"/>
      </w:r>
      <w:r>
        <w:rPr>
          <w:rFonts w:ascii="Arial" w:eastAsiaTheme="minorHAnsi" w:hAnsi="Arial" w:cs="Arial"/>
          <w:b/>
          <w:bCs/>
          <w:kern w:val="0"/>
          <w:lang w:eastAsia="en-US"/>
          <w14:ligatures w14:val="none"/>
        </w:rPr>
        <w:instrText>HYPERLINK  \l "C59"</w:instrText>
      </w:r>
      <w:r>
        <w:rPr>
          <w:rFonts w:ascii="Arial" w:eastAsiaTheme="minorHAnsi" w:hAnsi="Arial" w:cs="Arial"/>
          <w:b/>
          <w:bCs/>
          <w:kern w:val="0"/>
          <w:lang w:eastAsia="en-US"/>
          <w14:ligatures w14:val="none"/>
        </w:rPr>
      </w:r>
      <w:r>
        <w:rPr>
          <w:rFonts w:ascii="Arial" w:eastAsiaTheme="minorHAnsi" w:hAnsi="Arial" w:cs="Arial"/>
          <w:b/>
          <w:bCs/>
          <w:kern w:val="0"/>
          <w:lang w:eastAsia="en-US"/>
          <w14:ligatures w14:val="none"/>
        </w:rPr>
        <w:fldChar w:fldCharType="separate"/>
      </w:r>
      <w:r w:rsidR="00891F5D" w:rsidRPr="00C55C45">
        <w:rPr>
          <w:rStyle w:val="Hyperlink"/>
          <w:rFonts w:ascii="Arial" w:eastAsiaTheme="minorHAnsi" w:hAnsi="Arial" w:cs="Arial"/>
          <w:b/>
          <w:bCs/>
          <w:kern w:val="0"/>
          <w:lang w:eastAsia="en-US"/>
          <w14:ligatures w14:val="none"/>
        </w:rPr>
        <w:t>2.9.2 The Corporate Psychopath</w:t>
      </w:r>
      <w:r>
        <w:rPr>
          <w:rFonts w:ascii="Arial" w:eastAsiaTheme="minorHAnsi" w:hAnsi="Arial" w:cs="Arial"/>
          <w:b/>
          <w:bCs/>
          <w:kern w:val="0"/>
          <w:lang w:eastAsia="en-US"/>
          <w14:ligatures w14:val="none"/>
        </w:rPr>
        <w:fldChar w:fldCharType="end"/>
      </w:r>
    </w:p>
    <w:bookmarkEnd w:id="572"/>
    <w:bookmarkEnd w:id="573"/>
    <w:bookmarkEnd w:id="574"/>
    <w:p w14:paraId="47A4E171" w14:textId="5F7B0A8D" w:rsidR="002C3178" w:rsidRPr="00891F5D" w:rsidRDefault="00891F5D" w:rsidP="00394E8E">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The modern corporation is defined as a self-serving entity, which behaves analogously like a ‘person’ as it can hold non-current assets including property and undertake contract. It is argued that the primary objective of a corporation namely shareholder wealth maximisation can lead to undesirable consequences such as poor labour conditions and corporate law and regulations facilitate a public corporation behaving like a corporate psychopath (Coleman, 1979). Consequently, the corporation may breed corporate psychopaths who “are motivated by a desire to win, a desire for power and a desire to gain wealth and </w:t>
      </w:r>
      <w:r w:rsidRPr="00014A24">
        <w:rPr>
          <w:rFonts w:ascii="Arial" w:eastAsiaTheme="minorHAnsi" w:hAnsi="Arial" w:cs="Arial"/>
          <w:kern w:val="0"/>
          <w:lang w:eastAsia="en-US"/>
          <w14:ligatures w14:val="none"/>
        </w:rPr>
        <w:t>prestige” (Boddy, 2010: 308).</w:t>
      </w:r>
      <w:r w:rsidRPr="00891F5D">
        <w:rPr>
          <w:rFonts w:ascii="Arial" w:eastAsiaTheme="minorHAnsi" w:hAnsi="Arial" w:cs="Arial"/>
          <w:kern w:val="0"/>
          <w:lang w:eastAsia="en-US"/>
          <w14:ligatures w14:val="none"/>
        </w:rPr>
        <w:t xml:space="preserve"> The term “corporate psychopath” is used to define the individuals with psychopathic traits operating in the corporate sector (Babiak &amp; O’ Toole, 2012). Corporate psychopaths have also been termed “successful psychopaths” (Mullins-Sweatt et al, 2010) because they have managed to avoid legal authorities and the mental health system because they do not commit violent and criminal acts, unlike their criminal psychopath cousins. The corporate sector will always attract corporate psychopaths due to the power and wealth especially at senior management level this sector generates. It is argued that </w:t>
      </w:r>
      <w:r w:rsidRPr="00891F5D">
        <w:rPr>
          <w:rFonts w:ascii="Arial" w:eastAsiaTheme="minorHAnsi" w:hAnsi="Arial" w:cs="Arial"/>
          <w:kern w:val="0"/>
          <w:lang w:eastAsia="en-US"/>
          <w14:ligatures w14:val="none"/>
        </w:rPr>
        <w:lastRenderedPageBreak/>
        <w:t xml:space="preserve">as they climb the corporate ladder their psychopathic tendencies will be amplified (Hill &amp; Scott, 2019). Eventually, they will achieve these senior positions as their personal interests are usually divergent to the long-term interests of internal and external stakeholders. </w:t>
      </w:r>
    </w:p>
    <w:bookmarkStart w:id="575" w:name="XX"/>
    <w:bookmarkStart w:id="576" w:name="A47"/>
    <w:bookmarkStart w:id="577" w:name="D60"/>
    <w:p w14:paraId="1AB3C03A" w14:textId="61FF6D2A" w:rsidR="00891F5D" w:rsidRPr="00891F5D" w:rsidRDefault="00CE511E" w:rsidP="00891F5D">
      <w:pPr>
        <w:pBdr>
          <w:top w:val="single" w:sz="4" w:space="0" w:color="auto"/>
          <w:left w:val="single" w:sz="4" w:space="4" w:color="auto"/>
          <w:bottom w:val="single" w:sz="4" w:space="1" w:color="auto"/>
          <w:right w:val="single" w:sz="4" w:space="4" w:color="auto"/>
        </w:pBdr>
        <w:spacing w:line="480" w:lineRule="auto"/>
        <w:jc w:val="both"/>
        <w:rPr>
          <w:rFonts w:ascii="Arial" w:eastAsiaTheme="minorHAnsi" w:hAnsi="Arial" w:cs="Arial"/>
          <w:b/>
          <w:bCs/>
          <w:kern w:val="0"/>
          <w:lang w:eastAsia="en-US"/>
          <w14:ligatures w14:val="none"/>
        </w:rPr>
      </w:pPr>
      <w:r>
        <w:rPr>
          <w:rFonts w:ascii="Arial" w:eastAsiaTheme="minorHAnsi" w:hAnsi="Arial" w:cs="Arial"/>
          <w:b/>
          <w:bCs/>
          <w:kern w:val="0"/>
          <w:lang w:eastAsia="en-US"/>
          <w14:ligatures w14:val="none"/>
        </w:rPr>
        <w:fldChar w:fldCharType="begin"/>
      </w:r>
      <w:r>
        <w:rPr>
          <w:rFonts w:ascii="Arial" w:eastAsiaTheme="minorHAnsi" w:hAnsi="Arial" w:cs="Arial"/>
          <w:b/>
          <w:bCs/>
          <w:kern w:val="0"/>
          <w:lang w:eastAsia="en-US"/>
          <w14:ligatures w14:val="none"/>
        </w:rPr>
        <w:instrText>HYPERLINK  \l "C60"</w:instrText>
      </w:r>
      <w:r>
        <w:rPr>
          <w:rFonts w:ascii="Arial" w:eastAsiaTheme="minorHAnsi" w:hAnsi="Arial" w:cs="Arial"/>
          <w:b/>
          <w:bCs/>
          <w:kern w:val="0"/>
          <w:lang w:eastAsia="en-US"/>
          <w14:ligatures w14:val="none"/>
        </w:rPr>
      </w:r>
      <w:r>
        <w:rPr>
          <w:rFonts w:ascii="Arial" w:eastAsiaTheme="minorHAnsi" w:hAnsi="Arial" w:cs="Arial"/>
          <w:b/>
          <w:bCs/>
          <w:kern w:val="0"/>
          <w:lang w:eastAsia="en-US"/>
          <w14:ligatures w14:val="none"/>
        </w:rPr>
        <w:fldChar w:fldCharType="separate"/>
      </w:r>
      <w:r w:rsidR="00891F5D" w:rsidRPr="00CE511E">
        <w:rPr>
          <w:rStyle w:val="Hyperlink"/>
          <w:rFonts w:ascii="Arial" w:eastAsiaTheme="minorHAnsi" w:hAnsi="Arial" w:cs="Arial"/>
          <w:b/>
          <w:bCs/>
          <w:kern w:val="0"/>
          <w:lang w:eastAsia="en-US"/>
          <w14:ligatures w14:val="none"/>
        </w:rPr>
        <w:t>2.9.3 The Successful Corporate Psychopath</w:t>
      </w:r>
      <w:r>
        <w:rPr>
          <w:rFonts w:ascii="Arial" w:eastAsiaTheme="minorHAnsi" w:hAnsi="Arial" w:cs="Arial"/>
          <w:b/>
          <w:bCs/>
          <w:kern w:val="0"/>
          <w:lang w:eastAsia="en-US"/>
          <w14:ligatures w14:val="none"/>
        </w:rPr>
        <w:fldChar w:fldCharType="end"/>
      </w:r>
    </w:p>
    <w:bookmarkEnd w:id="575"/>
    <w:bookmarkEnd w:id="576"/>
    <w:bookmarkEnd w:id="577"/>
    <w:p w14:paraId="7CE220F2"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The preceding section suggests that the corporate psychopath is ‘successful’ since, they may display the characteristics of psychopathy, however, are they successful in their actions but crucially avoid been discovered. It is argued that successful psychopaths can change at will to social environments which is deficient in ‘unsuccessful psychopaths’ (Hill &amp; Scott, 2019). In fact, it is suggested that certain psychopathic characteristics can be positive within certain settings for example climbing the corporate ladder. It has been extensively noted in the literature that the strong appearance of successful psychopaths is prevalent in the legal, political, and business arenas due to the lack of detection and punishment mechanisms (Hill &amp; Scott,2019).  </w:t>
      </w:r>
    </w:p>
    <w:p w14:paraId="62044C3B" w14:textId="0E50BE8F" w:rsidR="00745413" w:rsidRPr="00891F5D" w:rsidRDefault="00891F5D" w:rsidP="00394E8E">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It has been established that ‘Successful’ psychopaths tend to score lower on social deviance scales and much higher on executive functioning tests. This implies that ‘successful’ psychopaths can function in socially acceptable manner which serves as a method of self-protection. In contrast ‘unsuccessful’ psychopaths overwhelmingly show their psychopath characteristics due to lack of control. Successful psychopaths were also discovered to score considerably higher in heart rate response to social stressors – suggesting some level of societal and social perception. It is suggested that superior executive functioning gives a measure of protection to successful psychopaths which prevents them from being caught.</w:t>
      </w:r>
    </w:p>
    <w:bookmarkStart w:id="578" w:name="YY"/>
    <w:bookmarkStart w:id="579" w:name="A48"/>
    <w:bookmarkStart w:id="580" w:name="D61"/>
    <w:p w14:paraId="2B9EC032" w14:textId="0FA4C2A1" w:rsidR="00891F5D" w:rsidRPr="00891F5D" w:rsidRDefault="00C55C45" w:rsidP="000756C7">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b/>
          <w:bCs/>
          <w:kern w:val="0"/>
          <w:lang w:eastAsia="en-US"/>
          <w14:ligatures w14:val="none"/>
        </w:rPr>
      </w:pPr>
      <w:r>
        <w:rPr>
          <w:rFonts w:ascii="Arial" w:eastAsiaTheme="minorHAnsi" w:hAnsi="Arial" w:cs="Arial"/>
          <w:b/>
          <w:bCs/>
          <w:kern w:val="0"/>
          <w:lang w:eastAsia="en-US"/>
          <w14:ligatures w14:val="none"/>
        </w:rPr>
        <w:lastRenderedPageBreak/>
        <w:fldChar w:fldCharType="begin"/>
      </w:r>
      <w:r>
        <w:rPr>
          <w:rFonts w:ascii="Arial" w:eastAsiaTheme="minorHAnsi" w:hAnsi="Arial" w:cs="Arial"/>
          <w:b/>
          <w:bCs/>
          <w:kern w:val="0"/>
          <w:lang w:eastAsia="en-US"/>
          <w14:ligatures w14:val="none"/>
        </w:rPr>
        <w:instrText>HYPERLINK  \l "C61"</w:instrText>
      </w:r>
      <w:r>
        <w:rPr>
          <w:rFonts w:ascii="Arial" w:eastAsiaTheme="minorHAnsi" w:hAnsi="Arial" w:cs="Arial"/>
          <w:b/>
          <w:bCs/>
          <w:kern w:val="0"/>
          <w:lang w:eastAsia="en-US"/>
          <w14:ligatures w14:val="none"/>
        </w:rPr>
      </w:r>
      <w:r>
        <w:rPr>
          <w:rFonts w:ascii="Arial" w:eastAsiaTheme="minorHAnsi" w:hAnsi="Arial" w:cs="Arial"/>
          <w:b/>
          <w:bCs/>
          <w:kern w:val="0"/>
          <w:lang w:eastAsia="en-US"/>
          <w14:ligatures w14:val="none"/>
        </w:rPr>
        <w:fldChar w:fldCharType="separate"/>
      </w:r>
      <w:r w:rsidR="00891F5D" w:rsidRPr="00C55C45">
        <w:rPr>
          <w:rStyle w:val="Hyperlink"/>
          <w:rFonts w:ascii="Arial" w:eastAsiaTheme="minorHAnsi" w:hAnsi="Arial" w:cs="Arial"/>
          <w:b/>
          <w:bCs/>
          <w:kern w:val="0"/>
          <w:lang w:eastAsia="en-US"/>
          <w14:ligatures w14:val="none"/>
        </w:rPr>
        <w:t>2.9.4 The Psychopathic Process</w:t>
      </w:r>
      <w:r>
        <w:rPr>
          <w:rFonts w:ascii="Arial" w:eastAsiaTheme="minorHAnsi" w:hAnsi="Arial" w:cs="Arial"/>
          <w:b/>
          <w:bCs/>
          <w:kern w:val="0"/>
          <w:lang w:eastAsia="en-US"/>
          <w14:ligatures w14:val="none"/>
        </w:rPr>
        <w:fldChar w:fldCharType="end"/>
      </w:r>
    </w:p>
    <w:bookmarkEnd w:id="578"/>
    <w:bookmarkEnd w:id="579"/>
    <w:bookmarkEnd w:id="580"/>
    <w:p w14:paraId="04400859"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It is acknowledged that there is a distinct</w:t>
      </w:r>
      <w:r w:rsidRPr="00891F5D">
        <w:rPr>
          <w:rFonts w:ascii="Arial" w:eastAsiaTheme="minorHAnsi" w:hAnsi="Arial" w:cs="Arial"/>
          <w:b/>
          <w:bCs/>
          <w:kern w:val="0"/>
          <w:lang w:eastAsia="en-US"/>
          <w14:ligatures w14:val="none"/>
        </w:rPr>
        <w:t xml:space="preserve"> </w:t>
      </w:r>
      <w:r w:rsidRPr="00891F5D">
        <w:rPr>
          <w:rFonts w:ascii="Arial" w:eastAsiaTheme="minorHAnsi" w:hAnsi="Arial" w:cs="Arial"/>
          <w:kern w:val="0"/>
          <w:lang w:eastAsia="en-US"/>
          <w14:ligatures w14:val="none"/>
        </w:rPr>
        <w:t>psychopathic process (Babiak, 2017) that charts a corporate psychopath’s career trajectory. Initially, psychopaths will “infiltrate” an organization behaving like a model employee, climbing the corporate ladder by actively manipulating powerful individuals by building relationships with them and crucially exploiting these relationships for their benefit (Babiak, 2015).</w:t>
      </w:r>
    </w:p>
    <w:p w14:paraId="278CEB11"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Psychopaths are adept at pigeon-holing their lives, thus making it difficult to identifying and rooting them out of corporations especially at the hiring stage. Paradoxically organisations attempt to recruit individuals who display certain attractive characteristics, many of which are visible in psychopaths who craft the ideal image of a perfect employee; they make an extremely positive first impression and routinely manipulate the recruiters in the interview process with their superficial charm and hyper energy (Babiak, 2015).</w:t>
      </w:r>
    </w:p>
    <w:p w14:paraId="6422AF82"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Many psychopaths use blatant deception and lies to manufacture outstanding résumés and stellar work experiences, also constructing performance awards and fake references to help them succeed in obtaining their employment. In fact, “psychopathic traits can be observed to a greater or lesser degree when promotion opportunities arise – individuals…may suddenly display what might be described as psychopathic behaviour, in order to draw positive attention to themselves” (Andrews &amp; Furniss, 2009:24). Psychopaths are usually charming towards individuals in positions of authority so that they may be exploited later and in contrast are callous with their peers and subordinates. </w:t>
      </w:r>
    </w:p>
    <w:p w14:paraId="21B4013E"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Finally, “psychopaths will discard individuals once their utility is spent and these people may also come to oppose the psychopath”, damaging the work environment (Andrews &amp; Furniss, 2009: 23). Eventually, when psychopaths achieve high office, they create </w:t>
      </w:r>
      <w:r w:rsidRPr="00891F5D">
        <w:rPr>
          <w:rFonts w:ascii="Arial" w:eastAsiaTheme="minorHAnsi" w:hAnsi="Arial" w:cs="Arial"/>
          <w:kern w:val="0"/>
          <w:lang w:eastAsia="en-US"/>
          <w14:ligatures w14:val="none"/>
        </w:rPr>
        <w:lastRenderedPageBreak/>
        <w:t>an organization where power is concentrated with a few people and everyone else in the organization finds themselves abandoned or may be unemployed. There is strong evidence that suggests corporate psychopaths are deeply destructive to their organizations and the people they work with (Fritzon et al, 2019). Psychopaths are opportunistic, disruptive, if not unsettling who damage workplace productivity and efficiency.</w:t>
      </w:r>
    </w:p>
    <w:p w14:paraId="11A07A66"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Empirical research clearly indicates that psychopaths create a toxic workplace underpinned by conflict, bullying of others, poor job satisfaction, and frequent organizational constraints (Cheang &amp; Appelbaum, 2015). Research has established that the psychopaths can potentially damage organizational development especially new hires or junior staff as they are deemed to be disruptive (Boddy, 2005). This is an important point since, according to social learning theory, people identify and copy the behaviours of others especially in senior leadership positions and may view these psychopaths as successful and worthy of emulation (Boddy, 2014). </w:t>
      </w:r>
    </w:p>
    <w:p w14:paraId="22854D2F" w14:textId="5E207542" w:rsidR="00CC1B97" w:rsidRPr="00891F5D" w:rsidRDefault="00891F5D" w:rsidP="00B87F06">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The next section will explore if Corporate Psychopathy is applicable to the accounting function of an organisation which may be run by the Corporate Psychopath Accountant.</w:t>
      </w:r>
    </w:p>
    <w:bookmarkStart w:id="581" w:name="ZZ"/>
    <w:bookmarkStart w:id="582" w:name="A49"/>
    <w:bookmarkStart w:id="583" w:name="D62"/>
    <w:p w14:paraId="722A500F" w14:textId="67B725DB" w:rsidR="00891F5D" w:rsidRPr="00891F5D" w:rsidRDefault="00C55C45" w:rsidP="000756C7">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b/>
          <w:bCs/>
          <w:kern w:val="0"/>
          <w:lang w:eastAsia="en-US"/>
          <w14:ligatures w14:val="none"/>
        </w:rPr>
      </w:pPr>
      <w:r>
        <w:rPr>
          <w:rFonts w:ascii="Arial" w:eastAsiaTheme="minorHAnsi" w:hAnsi="Arial" w:cs="Arial"/>
          <w:b/>
          <w:bCs/>
          <w:kern w:val="0"/>
          <w:lang w:eastAsia="en-US"/>
          <w14:ligatures w14:val="none"/>
        </w:rPr>
        <w:fldChar w:fldCharType="begin"/>
      </w:r>
      <w:r>
        <w:rPr>
          <w:rFonts w:ascii="Arial" w:eastAsiaTheme="minorHAnsi" w:hAnsi="Arial" w:cs="Arial"/>
          <w:b/>
          <w:bCs/>
          <w:kern w:val="0"/>
          <w:lang w:eastAsia="en-US"/>
          <w14:ligatures w14:val="none"/>
        </w:rPr>
        <w:instrText>HYPERLINK  \l "C62"</w:instrText>
      </w:r>
      <w:r>
        <w:rPr>
          <w:rFonts w:ascii="Arial" w:eastAsiaTheme="minorHAnsi" w:hAnsi="Arial" w:cs="Arial"/>
          <w:b/>
          <w:bCs/>
          <w:kern w:val="0"/>
          <w:lang w:eastAsia="en-US"/>
          <w14:ligatures w14:val="none"/>
        </w:rPr>
      </w:r>
      <w:r>
        <w:rPr>
          <w:rFonts w:ascii="Arial" w:eastAsiaTheme="minorHAnsi" w:hAnsi="Arial" w:cs="Arial"/>
          <w:b/>
          <w:bCs/>
          <w:kern w:val="0"/>
          <w:lang w:eastAsia="en-US"/>
          <w14:ligatures w14:val="none"/>
        </w:rPr>
        <w:fldChar w:fldCharType="separate"/>
      </w:r>
      <w:r w:rsidR="00891F5D" w:rsidRPr="00C55C45">
        <w:rPr>
          <w:rStyle w:val="Hyperlink"/>
          <w:rFonts w:ascii="Arial" w:eastAsiaTheme="minorHAnsi" w:hAnsi="Arial" w:cs="Arial"/>
          <w:b/>
          <w:bCs/>
          <w:kern w:val="0"/>
          <w:lang w:eastAsia="en-US"/>
          <w14:ligatures w14:val="none"/>
        </w:rPr>
        <w:t>2.9.5 Corporate Psychopath Accountant (CPA</w:t>
      </w:r>
      <w:r>
        <w:rPr>
          <w:rFonts w:ascii="Arial" w:eastAsiaTheme="minorHAnsi" w:hAnsi="Arial" w:cs="Arial"/>
          <w:b/>
          <w:bCs/>
          <w:kern w:val="0"/>
          <w:lang w:eastAsia="en-US"/>
          <w14:ligatures w14:val="none"/>
        </w:rPr>
        <w:fldChar w:fldCharType="end"/>
      </w:r>
      <w:r w:rsidR="00891F5D" w:rsidRPr="00891F5D">
        <w:rPr>
          <w:rFonts w:ascii="Arial" w:eastAsiaTheme="minorHAnsi" w:hAnsi="Arial" w:cs="Arial"/>
          <w:b/>
          <w:bCs/>
          <w:kern w:val="0"/>
          <w:lang w:eastAsia="en-US"/>
          <w14:ligatures w14:val="none"/>
        </w:rPr>
        <w:t xml:space="preserve">) </w:t>
      </w:r>
    </w:p>
    <w:bookmarkEnd w:id="581"/>
    <w:bookmarkEnd w:id="582"/>
    <w:bookmarkEnd w:id="583"/>
    <w:p w14:paraId="5C4E478F" w14:textId="77777777" w:rsidR="00891F5D" w:rsidRPr="00891F5D" w:rsidRDefault="00891F5D" w:rsidP="00891F5D">
      <w:pPr>
        <w:spacing w:before="240"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Psychopaths are usually fearless and self-assured in their capability to manoeuvre their way out of punishment. The MICE (money, ideology, coercion, and ego or entitlement) model further reveals the pressure side of the Fraud Triangle. Psychopaths are normally selfish and have a grandiose sense of entitlement that may motivate fraud. It has been noted that psychopaths are prone to 'thrill-seeking' </w:t>
      </w:r>
      <w:r w:rsidRPr="00891F5D">
        <w:rPr>
          <w:rFonts w:ascii="Arial" w:eastAsiaTheme="minorHAnsi" w:hAnsi="Arial" w:cs="Arial"/>
          <w:kern w:val="0"/>
          <w:lang w:eastAsia="en-US"/>
          <w14:ligatures w14:val="none"/>
        </w:rPr>
        <w:lastRenderedPageBreak/>
        <w:t xml:space="preserve">(Anderson et al, 2021) behaviour which may itself be an inducement for fraud. According to Bailey (2015) psychopaths 'know right from wrong, but do not care'. </w:t>
      </w:r>
    </w:p>
    <w:p w14:paraId="4F7AB445" w14:textId="43604061" w:rsidR="009168B9" w:rsidRPr="00B87F06" w:rsidRDefault="00891F5D" w:rsidP="00B87F06">
      <w:pPr>
        <w:spacing w:line="480" w:lineRule="auto"/>
        <w:jc w:val="both"/>
        <w:rPr>
          <w:rFonts w:ascii="Arial" w:eastAsiaTheme="minorHAnsi" w:hAnsi="Arial" w:cs="Arial"/>
          <w:kern w:val="0"/>
          <w:lang w:eastAsia="en-US"/>
          <w14:ligatures w14:val="none"/>
        </w:rPr>
      </w:pPr>
      <w:bookmarkStart w:id="584" w:name="_Hlk142232686"/>
      <w:r w:rsidRPr="00891F5D">
        <w:rPr>
          <w:rFonts w:ascii="Arial" w:eastAsiaTheme="minorHAnsi" w:hAnsi="Arial" w:cs="Arial"/>
          <w:kern w:val="0"/>
          <w:lang w:eastAsia="en-US"/>
          <w14:ligatures w14:val="none"/>
        </w:rPr>
        <w:t xml:space="preserve">The </w:t>
      </w:r>
      <w:r w:rsidR="005D0CA3" w:rsidRPr="00891F5D">
        <w:rPr>
          <w:rFonts w:ascii="Arial" w:eastAsiaTheme="minorHAnsi" w:hAnsi="Arial" w:cs="Arial"/>
          <w:kern w:val="0"/>
          <w:lang w:eastAsia="en-US"/>
          <w14:ligatures w14:val="none"/>
        </w:rPr>
        <w:t>researcher</w:t>
      </w:r>
      <w:r w:rsidRPr="00891F5D">
        <w:rPr>
          <w:rFonts w:ascii="Arial" w:eastAsiaTheme="minorHAnsi" w:hAnsi="Arial" w:cs="Arial"/>
          <w:kern w:val="0"/>
          <w:lang w:eastAsia="en-US"/>
          <w14:ligatures w14:val="none"/>
        </w:rPr>
        <w:t xml:space="preserve"> believes this study to be important since, research into corporate psychopathy has indicated the rise of a darker facet to leadership within the workplace that comprises of deception, harassment, and aggression (Boddy et al, 2015). Employee job satisfaction is damaged along with heightened psychological suffering. This point is very important since, ‘the average person spends 1/3 of their life or 90,000 c hours – in the workplace’ (Gettysburg, 2023), consequently the effect of malfunctional or a toxic workplace will undoubtedly have an adverse may be lasting impact on a worker’s life. Moreover, abusive leadership has been associated with inferior work performance productivity and the bottom line i.e., Profitability. It is argued that this all has a cost and psychopathic behaviour has been linked to workplace deviancy, costing organisations billions in financial losses (Mathieu &amp; Babiak, 2016).</w:t>
      </w:r>
      <w:bookmarkEnd w:id="584"/>
      <w:r w:rsidRPr="00891F5D">
        <w:rPr>
          <w:rFonts w:ascii="Arial" w:eastAsiaTheme="minorHAnsi" w:hAnsi="Arial" w:cs="Arial"/>
          <w:kern w:val="0"/>
          <w:lang w:eastAsia="en-US"/>
          <w14:ligatures w14:val="none"/>
        </w:rPr>
        <w:t xml:space="preserve"> We will now look for specific examples in senior management who are Corporate Psychopath Accountants.</w:t>
      </w:r>
    </w:p>
    <w:bookmarkStart w:id="585" w:name="AAA"/>
    <w:bookmarkStart w:id="586" w:name="A50"/>
    <w:bookmarkStart w:id="587" w:name="D63"/>
    <w:bookmarkEnd w:id="568"/>
    <w:p w14:paraId="4B0695AC" w14:textId="368FFEE0" w:rsidR="00891F5D" w:rsidRPr="00891F5D" w:rsidRDefault="00CE511E" w:rsidP="00723E33">
      <w:pPr>
        <w:pBdr>
          <w:top w:val="single" w:sz="4" w:space="1" w:color="auto"/>
          <w:left w:val="single" w:sz="4" w:space="4" w:color="auto"/>
          <w:bottom w:val="single" w:sz="4" w:space="1" w:color="auto"/>
          <w:right w:val="single" w:sz="4" w:space="4" w:color="auto"/>
        </w:pBdr>
        <w:spacing w:after="200" w:line="24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"C63"</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CE511E">
        <w:rPr>
          <w:rStyle w:val="Hyperlink"/>
          <w:rFonts w:ascii="Arial" w:eastAsiaTheme="minorHAnsi" w:hAnsi="Arial" w:cs="Arial"/>
          <w:b/>
          <w:bCs/>
          <w:kern w:val="0"/>
          <w:lang w:val="en-US" w:eastAsia="en-US"/>
          <w14:ligatures w14:val="none"/>
        </w:rPr>
        <w:t>2.9.6 Psychopathic CEOs and CFOs</w:t>
      </w:r>
      <w:r>
        <w:rPr>
          <w:rFonts w:ascii="Arial" w:eastAsiaTheme="minorHAnsi" w:hAnsi="Arial" w:cs="Arial"/>
          <w:b/>
          <w:bCs/>
          <w:kern w:val="0"/>
          <w:lang w:val="en-US" w:eastAsia="en-US"/>
          <w14:ligatures w14:val="none"/>
        </w:rPr>
        <w:fldChar w:fldCharType="end"/>
      </w:r>
    </w:p>
    <w:p w14:paraId="56A8D5DA" w14:textId="77777777" w:rsidR="00891F5D" w:rsidRPr="00891F5D" w:rsidRDefault="00891F5D" w:rsidP="00891F5D">
      <w:pPr>
        <w:spacing w:before="240" w:after="200" w:line="480" w:lineRule="auto"/>
        <w:jc w:val="both"/>
        <w:rPr>
          <w:rFonts w:ascii="Arial" w:eastAsiaTheme="minorHAnsi" w:hAnsi="Arial" w:cs="Arial"/>
          <w:kern w:val="0"/>
          <w:lang w:val="en-US" w:eastAsia="en-US"/>
          <w14:ligatures w14:val="none"/>
        </w:rPr>
      </w:pPr>
      <w:bookmarkStart w:id="588" w:name="351"/>
      <w:bookmarkEnd w:id="585"/>
      <w:bookmarkEnd w:id="586"/>
      <w:bookmarkEnd w:id="587"/>
      <w:r w:rsidRPr="00891F5D">
        <w:rPr>
          <w:rFonts w:ascii="Arial" w:eastAsiaTheme="minorHAnsi" w:hAnsi="Arial" w:cs="Arial"/>
          <w:kern w:val="0"/>
          <w:lang w:val="en-US" w:eastAsia="en-US"/>
          <w14:ligatures w14:val="none"/>
        </w:rPr>
        <w:t>The business world is littered with Dark Triad fraudsters such as “Chainsaw Al Dunlap,” CEO (formerly CFO) of Scott Paper, and, finally, Sunbeam Products, who showed no remorse when making thousands of redundancies and was branded a psychopath</w:t>
      </w:r>
      <w:r w:rsidRPr="00891F5D">
        <w:rPr>
          <w:rFonts w:ascii="Arial" w:eastAsiaTheme="minorHAnsi" w:hAnsi="Arial" w:cs="Arial"/>
          <w:kern w:val="0"/>
          <w:lang w:eastAsia="en-US"/>
          <w14:ligatures w14:val="none"/>
        </w:rPr>
        <w:t xml:space="preserve"> (Deutschman 2005; Ronson,2011).</w:t>
      </w:r>
      <w:r w:rsidRPr="00891F5D">
        <w:rPr>
          <w:rFonts w:ascii="Arial" w:eastAsiaTheme="minorHAnsi" w:hAnsi="Arial" w:cs="Arial"/>
          <w:kern w:val="0"/>
          <w:lang w:val="en-US" w:eastAsia="en-US"/>
          <w14:ligatures w14:val="none"/>
        </w:rPr>
        <w:t xml:space="preserve"> “Crazy” Eddie Antar was a self-confessed psychopath; however, he used this portrayal to gain a reduced sentence for his fraud (Wall Street Journal, 2012). Aaron Beam, a CFO who engineered the HealthSouth’s fraud, accused the CEO, Richard Scrushy, of being a psychopath (Smith, 2016). The notorious Enron CFO, Andrew Fastow, has been characterized as a narcissist and blatant psychopath </w:t>
      </w:r>
      <w:r w:rsidRPr="00891F5D">
        <w:rPr>
          <w:rFonts w:ascii="Arial" w:eastAsiaTheme="minorHAnsi" w:hAnsi="Arial" w:cs="Arial"/>
          <w:kern w:val="0"/>
          <w:lang w:eastAsia="en-US"/>
          <w14:ligatures w14:val="none"/>
        </w:rPr>
        <w:t>(Ham et al 2015).</w:t>
      </w:r>
    </w:p>
    <w:p w14:paraId="2620FB64" w14:textId="77777777" w:rsidR="00891F5D" w:rsidRPr="00891F5D" w:rsidRDefault="00891F5D" w:rsidP="00891F5D">
      <w:pPr>
        <w:spacing w:before="240" w:after="200" w:line="480" w:lineRule="auto"/>
        <w:jc w:val="both"/>
        <w:rPr>
          <w:rFonts w:ascii="Arial" w:eastAsiaTheme="minorHAnsi" w:hAnsi="Arial" w:cs="Arial"/>
          <w:kern w:val="0"/>
          <w:lang w:val="en-US" w:eastAsia="en-US"/>
          <w14:ligatures w14:val="none"/>
        </w:rPr>
      </w:pPr>
      <w:bookmarkStart w:id="589" w:name="352"/>
      <w:bookmarkEnd w:id="588"/>
      <w:r w:rsidRPr="00891F5D">
        <w:rPr>
          <w:rFonts w:ascii="Arial" w:eastAsiaTheme="minorHAnsi" w:hAnsi="Arial" w:cs="Arial"/>
          <w:kern w:val="0"/>
          <w:lang w:val="en-US" w:eastAsia="en-US"/>
          <w14:ligatures w14:val="none"/>
        </w:rPr>
        <w:lastRenderedPageBreak/>
        <w:t xml:space="preserve">Research indicates that senior management contain a greater degree of Dark Triad personalities in comparison with society at large </w:t>
      </w:r>
      <w:r w:rsidRPr="00891F5D">
        <w:rPr>
          <w:rFonts w:ascii="Arial" w:eastAsiaTheme="minorHAnsi" w:hAnsi="Arial" w:cs="Arial"/>
          <w:kern w:val="0"/>
          <w:lang w:eastAsia="en-US"/>
          <w14:ligatures w14:val="none"/>
        </w:rPr>
        <w:t>(Babiak et al 2010; DeCovny, 2012). Schouten (2012)</w:t>
      </w:r>
      <w:r w:rsidRPr="00891F5D">
        <w:rPr>
          <w:rFonts w:ascii="Arial" w:eastAsiaTheme="minorHAnsi" w:hAnsi="Arial" w:cs="Arial"/>
          <w:kern w:val="0"/>
          <w:lang w:val="en-US" w:eastAsia="en-US"/>
          <w14:ligatures w14:val="none"/>
        </w:rPr>
        <w:t xml:space="preserve">. It has been hypothesized that the frequency of psychopaths on Wall Street may be more than 10 percent. Given the high degree of pervasiveness of psychopaths in the business world, Epstein and Ramamoorti (2016) argued that external auditors should incorporate the “Dark Triad personality risk” feature into their formal risk evaluations and protocols. Because auditors remain ill-informed about the potential incidence of such personality types, there is a greater likelihood of Accounting Fraud which will be elaborated further in </w:t>
      </w:r>
      <w:bookmarkStart w:id="590" w:name="353"/>
      <w:bookmarkEnd w:id="589"/>
      <w:r w:rsidRPr="00891F5D">
        <w:rPr>
          <w:rFonts w:ascii="Arial" w:eastAsiaTheme="minorHAnsi" w:hAnsi="Arial" w:cs="Arial"/>
          <w:kern w:val="0"/>
          <w:lang w:val="en-US" w:eastAsia="en-US"/>
          <w14:ligatures w14:val="none"/>
        </w:rPr>
        <w:t>Chapter 2c.</w:t>
      </w:r>
    </w:p>
    <w:p w14:paraId="5A58F415" w14:textId="77777777" w:rsidR="00891F5D" w:rsidRPr="00891F5D" w:rsidRDefault="00891F5D" w:rsidP="00891F5D">
      <w:pPr>
        <w:spacing w:before="240"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The Dark Triad helps to explain why some fraudsters are motivated to commit Accounting Fraud, in contrast to “accidental or situational fraudsters,” who yield to pressure when the occasion arises (Dorminey et al, 2012) and even these “accidental or situational fraudsters” will eventually normalize their behavior. According to the sociology literature, this is known as the “normalization of deviance” (Vaughn, 1983; Coutois and Gendron 2017).</w:t>
      </w:r>
      <w:bookmarkEnd w:id="590"/>
      <w:r w:rsidRPr="00891F5D">
        <w:rPr>
          <w:rFonts w:ascii="Arial" w:eastAsiaTheme="minorHAnsi" w:hAnsi="Arial" w:cs="Arial"/>
          <w:kern w:val="0"/>
          <w:lang w:val="en-US" w:eastAsia="en-US"/>
          <w14:ligatures w14:val="none"/>
        </w:rPr>
        <w:t xml:space="preserve"> Now that we established the existence of the Corporate Psychopath Accountant it important to identify the literature gap and any further sub research questions.</w:t>
      </w:r>
    </w:p>
    <w:bookmarkStart w:id="591" w:name="_Hlk165373256"/>
    <w:bookmarkStart w:id="592" w:name="BBB"/>
    <w:bookmarkStart w:id="593" w:name="A51"/>
    <w:bookmarkStart w:id="594" w:name="D64"/>
    <w:p w14:paraId="2198B1C8" w14:textId="0BEA4B34" w:rsidR="00891F5D" w:rsidRPr="00891F5D" w:rsidRDefault="00CE511E" w:rsidP="00723E33">
      <w:pPr>
        <w:pBdr>
          <w:top w:val="single" w:sz="4" w:space="1" w:color="auto"/>
          <w:left w:val="single" w:sz="4" w:space="4" w:color="auto"/>
          <w:bottom w:val="single" w:sz="4" w:space="1" w:color="auto"/>
          <w:right w:val="single" w:sz="4" w:space="4" w:color="auto"/>
        </w:pBdr>
        <w:spacing w:before="100" w:beforeAutospacing="1" w:after="100" w:afterAutospacing="1" w:line="240" w:lineRule="auto"/>
        <w:jc w:val="both"/>
        <w:rPr>
          <w:rFonts w:ascii="Arial" w:eastAsia="Times New Roman" w:hAnsi="Arial" w:cs="Arial"/>
          <w:b/>
          <w:bCs/>
          <w:kern w:val="0"/>
          <w:lang w:eastAsia="en-GB"/>
          <w14:ligatures w14:val="none"/>
        </w:rPr>
      </w:pPr>
      <w:r>
        <w:rPr>
          <w:rFonts w:ascii="Arial" w:eastAsia="Times New Roman" w:hAnsi="Arial" w:cs="Arial"/>
          <w:b/>
          <w:bCs/>
          <w:kern w:val="0"/>
          <w:lang w:eastAsia="en-GB"/>
          <w14:ligatures w14:val="none"/>
        </w:rPr>
        <w:fldChar w:fldCharType="begin"/>
      </w:r>
      <w:r>
        <w:rPr>
          <w:rFonts w:ascii="Arial" w:eastAsia="Times New Roman" w:hAnsi="Arial" w:cs="Arial"/>
          <w:b/>
          <w:bCs/>
          <w:kern w:val="0"/>
          <w:lang w:eastAsia="en-GB"/>
          <w14:ligatures w14:val="none"/>
        </w:rPr>
        <w:instrText>HYPERLINK  \l "C64"</w:instrText>
      </w:r>
      <w:r>
        <w:rPr>
          <w:rFonts w:ascii="Arial" w:eastAsia="Times New Roman" w:hAnsi="Arial" w:cs="Arial"/>
          <w:b/>
          <w:bCs/>
          <w:kern w:val="0"/>
          <w:lang w:eastAsia="en-GB"/>
          <w14:ligatures w14:val="none"/>
        </w:rPr>
      </w:r>
      <w:r>
        <w:rPr>
          <w:rFonts w:ascii="Arial" w:eastAsia="Times New Roman" w:hAnsi="Arial" w:cs="Arial"/>
          <w:b/>
          <w:bCs/>
          <w:kern w:val="0"/>
          <w:lang w:eastAsia="en-GB"/>
          <w14:ligatures w14:val="none"/>
        </w:rPr>
        <w:fldChar w:fldCharType="separate"/>
      </w:r>
      <w:r w:rsidR="00891F5D" w:rsidRPr="00CE511E">
        <w:rPr>
          <w:rStyle w:val="Hyperlink"/>
          <w:rFonts w:ascii="Arial" w:eastAsia="Times New Roman" w:hAnsi="Arial" w:cs="Arial"/>
          <w:b/>
          <w:bCs/>
          <w:kern w:val="0"/>
          <w:lang w:eastAsia="en-GB"/>
          <w14:ligatures w14:val="none"/>
        </w:rPr>
        <w:t>2.10 The Literature Gap and Sub Research Questions</w:t>
      </w:r>
      <w:r>
        <w:rPr>
          <w:rFonts w:ascii="Arial" w:eastAsia="Times New Roman" w:hAnsi="Arial" w:cs="Arial"/>
          <w:b/>
          <w:bCs/>
          <w:kern w:val="0"/>
          <w:lang w:eastAsia="en-GB"/>
          <w14:ligatures w14:val="none"/>
        </w:rPr>
        <w:fldChar w:fldCharType="end"/>
      </w:r>
    </w:p>
    <w:bookmarkEnd w:id="591"/>
    <w:bookmarkEnd w:id="592"/>
    <w:bookmarkEnd w:id="593"/>
    <w:bookmarkEnd w:id="594"/>
    <w:p w14:paraId="79E90B90" w14:textId="77777777" w:rsidR="00891F5D" w:rsidRPr="00891F5D" w:rsidRDefault="00891F5D" w:rsidP="00891F5D">
      <w:pPr>
        <w:spacing w:before="100" w:beforeAutospacing="1" w:after="100" w:afterAutospacing="1" w:line="480" w:lineRule="auto"/>
        <w:jc w:val="both"/>
        <w:rPr>
          <w:rFonts w:ascii="Arial" w:eastAsia="Times New Roman" w:hAnsi="Arial" w:cs="Arial"/>
          <w:b/>
          <w:bCs/>
          <w:kern w:val="0"/>
          <w:lang w:eastAsia="en-GB"/>
          <w14:ligatures w14:val="none"/>
        </w:rPr>
      </w:pPr>
      <w:r w:rsidRPr="00891F5D">
        <w:rPr>
          <w:rFonts w:ascii="Arial" w:eastAsia="Times New Roman" w:hAnsi="Arial" w:cs="Arial"/>
          <w:kern w:val="0"/>
          <w:lang w:eastAsia="en-GB"/>
          <w14:ligatures w14:val="none"/>
        </w:rPr>
        <w:t>Donald Cressey’s Fraud Triangle will be utilized as the major theoretical construct</w:t>
      </w:r>
      <w:r w:rsidRPr="00891F5D">
        <w:rPr>
          <w:rFonts w:ascii="Arial" w:eastAsiaTheme="minorHAnsi" w:hAnsi="Arial" w:cs="Arial"/>
          <w:kern w:val="0"/>
          <w:lang w:val="en-US" w:eastAsia="en-US"/>
          <w14:ligatures w14:val="none"/>
        </w:rPr>
        <w:t xml:space="preserve"> Trompeter et al, 2013; PCAOB, 2005; Cressey, 1973). The Fraud Triangle model suggests that three conditions must be present for a fraudulent activity: a motive for the deed, a supposed opportunity to execute the deed, and a standpoint that allows the fraudster to rationalize the deed. </w:t>
      </w:r>
      <w:r w:rsidRPr="00891F5D">
        <w:rPr>
          <w:rFonts w:ascii="Arial" w:eastAsia="Times New Roman" w:hAnsi="Arial" w:cs="Arial"/>
          <w:kern w:val="0"/>
          <w:lang w:eastAsia="en-GB"/>
          <w14:ligatures w14:val="none"/>
        </w:rPr>
        <w:t xml:space="preserve"> However, recent research has highlighted three nonstandard (or deviant) personality types or categories (Furnham et al., 2013) whose </w:t>
      </w:r>
      <w:r w:rsidRPr="00891F5D">
        <w:rPr>
          <w:rFonts w:ascii="Arial" w:eastAsia="Times New Roman" w:hAnsi="Arial" w:cs="Arial"/>
          <w:kern w:val="0"/>
          <w:lang w:eastAsia="en-GB"/>
          <w14:ligatures w14:val="none"/>
        </w:rPr>
        <w:lastRenderedPageBreak/>
        <w:t>behaviours may help to explain Accounting Fraud (Epstein and Ramamoorti, 2016). These personality types have been designated Narcissism, Machiavellianism, and Psychopathy or the 'dark triad' (Schimmenti et al., 2017</w:t>
      </w:r>
      <w:r w:rsidRPr="00891F5D">
        <w:rPr>
          <w:rFonts w:ascii="Arial" w:eastAsia="Times New Roman" w:hAnsi="Arial" w:cs="Arial"/>
          <w:b/>
          <w:bCs/>
          <w:kern w:val="0"/>
          <w:lang w:eastAsia="en-GB"/>
          <w14:ligatures w14:val="none"/>
        </w:rPr>
        <w:t>). Bailey (2017) argues that of the dark triad the psychopathic tendency has a direct effect upon rationalization of the Fraud Triangle i.e. Collapsing pressure and opportunity.</w:t>
      </w:r>
    </w:p>
    <w:p w14:paraId="7C6D7F35" w14:textId="77777777" w:rsidR="00891F5D" w:rsidRPr="00891F5D" w:rsidRDefault="00891F5D" w:rsidP="00891F5D">
      <w:pPr>
        <w:spacing w:before="240"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Robert Hare (2003) worked with Canadian convicts and developed the respected standard clinical test of psychopathy, the Psychopathy Checklist, Revised (PCL-R). Psychopathy is a personality disorder that has at least two features or factors:</w:t>
      </w:r>
    </w:p>
    <w:p w14:paraId="0FB603AD" w14:textId="77777777" w:rsidR="00891F5D" w:rsidRPr="00891F5D" w:rsidRDefault="00891F5D">
      <w:pPr>
        <w:numPr>
          <w:ilvl w:val="0"/>
          <w:numId w:val="15"/>
        </w:numPr>
        <w:spacing w:before="240" w:after="200"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'Factor 1, or “primary,” psychopathy includes an inclination to lie, lack of remorse, callousness, and manipulativeness. These tendencies usually are facilitated by superficial charm. </w:t>
      </w:r>
    </w:p>
    <w:p w14:paraId="54B7BB38" w14:textId="77777777" w:rsidR="00891F5D" w:rsidRDefault="00891F5D">
      <w:pPr>
        <w:numPr>
          <w:ilvl w:val="0"/>
          <w:numId w:val="15"/>
        </w:numPr>
        <w:spacing w:before="240" w:after="200" w:line="480" w:lineRule="auto"/>
        <w:contextualSpacing/>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Factor 2, or “secondary,” psychopathy includes impulsivity, intolerance of frustration, quick-temperedness, and lack of long-term goals'.  </w:t>
      </w:r>
    </w:p>
    <w:p w14:paraId="4AC8EA33" w14:textId="77777777" w:rsidR="00B87F06" w:rsidRPr="00891F5D" w:rsidRDefault="00B87F06" w:rsidP="00B87F06">
      <w:pPr>
        <w:spacing w:before="240" w:after="200" w:line="480" w:lineRule="auto"/>
        <w:ind w:left="720"/>
        <w:contextualSpacing/>
        <w:jc w:val="both"/>
        <w:rPr>
          <w:rFonts w:ascii="Arial" w:eastAsiaTheme="minorHAnsi" w:hAnsi="Arial" w:cs="Arial"/>
          <w:kern w:val="0"/>
          <w:lang w:val="en-US" w:eastAsia="en-US"/>
          <w14:ligatures w14:val="none"/>
        </w:rPr>
      </w:pPr>
    </w:p>
    <w:p w14:paraId="2796361A" w14:textId="77777777" w:rsidR="00891F5D" w:rsidRPr="00891F5D" w:rsidRDefault="00891F5D" w:rsidP="00891F5D">
      <w:pPr>
        <w:spacing w:before="240"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Factor 1 is of concern to the present study as it covers the characteristics that are predictive of Accounting Fraud. Factor 2 is more than likely to result in imprisonment although it is seen to flare up in cases of business executives. Primary psychopathy is ‘generally viewed as the core of the psychopathy construct’ (Lee and Ashton 2005 :1576).</w:t>
      </w:r>
    </w:p>
    <w:p w14:paraId="48A6465B" w14:textId="77777777" w:rsidR="00891F5D" w:rsidRPr="00891F5D" w:rsidRDefault="00891F5D" w:rsidP="00891F5D">
      <w:pPr>
        <w:spacing w:before="100" w:beforeAutospacing="1" w:after="100" w:afterAutospacing="1" w:line="480" w:lineRule="auto"/>
        <w:jc w:val="both"/>
        <w:rPr>
          <w:rFonts w:ascii="Arial" w:eastAsia="Times New Roman" w:hAnsi="Arial" w:cs="Arial"/>
          <w:kern w:val="0"/>
          <w:lang w:eastAsia="en-GB"/>
          <w14:ligatures w14:val="none"/>
        </w:rPr>
      </w:pPr>
      <w:r w:rsidRPr="00891F5D">
        <w:rPr>
          <w:rFonts w:ascii="Arial" w:eastAsia="Times New Roman" w:hAnsi="Arial" w:cs="Arial"/>
          <w:kern w:val="0"/>
          <w:lang w:eastAsia="en-GB"/>
          <w14:ligatures w14:val="none"/>
        </w:rPr>
        <w:t xml:space="preserve">Bailey (2017) argues that of the dark triad the psychopathic tendency has a direct effect upon rationalization of the Fraud Triangle. Psychopaths may also impact the other remaining sides of the fraud triangle namely pressure and opportunity. Internal control mechanisms based on the threat of detection and retribution lower apparent opportunity (Dorminey et al. (2012). Therefore, the researcher is proposing the </w:t>
      </w:r>
      <w:r w:rsidRPr="00891F5D">
        <w:rPr>
          <w:rFonts w:ascii="Arial" w:eastAsia="Times New Roman" w:hAnsi="Arial" w:cs="Arial"/>
          <w:kern w:val="0"/>
          <w:lang w:eastAsia="en-GB"/>
          <w14:ligatures w14:val="none"/>
        </w:rPr>
        <w:lastRenderedPageBreak/>
        <w:t xml:space="preserve">‘CORPORATE PSYCOPATH ACCOUNTANT EQUATION’ (C P </w:t>
      </w:r>
      <w:proofErr w:type="gramStart"/>
      <w:r w:rsidRPr="00891F5D">
        <w:rPr>
          <w:rFonts w:ascii="Arial" w:eastAsia="Times New Roman" w:hAnsi="Arial" w:cs="Arial"/>
          <w:kern w:val="0"/>
          <w:lang w:eastAsia="en-GB"/>
          <w14:ligatures w14:val="none"/>
        </w:rPr>
        <w:t>A</w:t>
      </w:r>
      <w:proofErr w:type="gramEnd"/>
      <w:r w:rsidRPr="00891F5D">
        <w:rPr>
          <w:rFonts w:ascii="Arial" w:eastAsia="Times New Roman" w:hAnsi="Arial" w:cs="Arial"/>
          <w:kern w:val="0"/>
          <w:lang w:eastAsia="en-GB"/>
          <w14:ligatures w14:val="none"/>
        </w:rPr>
        <w:t xml:space="preserve"> EQUATION) which potentially suggests that Accounting Fraud may persist due to rationalization of the act / fraud caused by psychopathy:</w:t>
      </w:r>
    </w:p>
    <w:p w14:paraId="2DE5F2C4" w14:textId="77777777" w:rsidR="00891F5D" w:rsidRPr="00891F5D" w:rsidRDefault="00891F5D" w:rsidP="00891F5D">
      <w:pPr>
        <w:spacing w:before="100" w:beforeAutospacing="1" w:after="100" w:afterAutospacing="1" w:line="480" w:lineRule="auto"/>
        <w:jc w:val="center"/>
        <w:rPr>
          <w:rFonts w:ascii="Arial" w:eastAsia="Times New Roman" w:hAnsi="Arial" w:cs="Arial"/>
          <w:b/>
          <w:bCs/>
          <w:kern w:val="0"/>
          <w:lang w:eastAsia="en-GB"/>
          <w14:ligatures w14:val="none"/>
        </w:rPr>
      </w:pPr>
      <w:bookmarkStart w:id="595" w:name="_Hlk146449808"/>
      <w:r w:rsidRPr="00891F5D">
        <w:rPr>
          <w:rFonts w:ascii="Arial" w:eastAsia="Times New Roman" w:hAnsi="Arial" w:cs="Arial"/>
          <w:b/>
          <w:bCs/>
          <w:kern w:val="0"/>
          <w:lang w:eastAsia="en-GB"/>
          <w14:ligatures w14:val="none"/>
        </w:rPr>
        <w:t>Rationalization = Corporate Accountant Psychopathy = Accounting Fraud</w:t>
      </w:r>
    </w:p>
    <w:bookmarkEnd w:id="595"/>
    <w:p w14:paraId="699F1DA5" w14:textId="77777777" w:rsidR="00891F5D" w:rsidRPr="00891F5D" w:rsidRDefault="00891F5D" w:rsidP="00891F5D">
      <w:pPr>
        <w:spacing w:before="100" w:beforeAutospacing="1" w:after="100" w:afterAutospacing="1" w:line="480" w:lineRule="auto"/>
        <w:jc w:val="both"/>
        <w:rPr>
          <w:rFonts w:ascii="Arial" w:eastAsia="Times New Roman" w:hAnsi="Arial" w:cs="Arial"/>
          <w:kern w:val="0"/>
          <w:lang w:eastAsia="en-GB"/>
          <w14:ligatures w14:val="none"/>
        </w:rPr>
      </w:pPr>
      <w:r w:rsidRPr="00891F5D">
        <w:rPr>
          <w:rFonts w:ascii="Arial" w:eastAsia="Times New Roman" w:hAnsi="Arial" w:cs="Arial"/>
          <w:kern w:val="0"/>
          <w:lang w:eastAsia="en-GB"/>
          <w14:ligatures w14:val="none"/>
        </w:rPr>
        <w:t>Bailey (2017) has already conducted a study with American accounting students that used the Levenson’s Self-Report Psychopathy Scale (LSRP). This investigation concluded that accounting students scored relatively low on the psychopathy scale. In another investigation again utilising Levenson’s instrument, Bailey (2015) reported a significant effect of psychopathy on academic accountants’ research publication count, mediated by an enlarged approval of unethical practices. This study concurred with Stevens et al.’s (2012) situation-based study that established an increased readiness to accept unethical behaviours, reconciled by moral disconnection, therefore, Bailey’s (2015) study suggests a link between psychopathy and a real behavioural result.</w:t>
      </w:r>
    </w:p>
    <w:p w14:paraId="184137FB" w14:textId="77777777" w:rsidR="00891F5D" w:rsidRPr="00891F5D" w:rsidRDefault="00891F5D" w:rsidP="00891F5D">
      <w:pPr>
        <w:spacing w:before="100" w:beforeAutospacing="1" w:after="100" w:afterAutospacing="1" w:line="480" w:lineRule="auto"/>
        <w:jc w:val="both"/>
        <w:rPr>
          <w:rFonts w:ascii="Arial" w:eastAsia="Times New Roman" w:hAnsi="Arial" w:cs="Arial"/>
          <w:b/>
          <w:bCs/>
          <w:kern w:val="0"/>
          <w:lang w:eastAsia="en-GB"/>
          <w14:ligatures w14:val="none"/>
        </w:rPr>
      </w:pPr>
      <w:r w:rsidRPr="00891F5D">
        <w:rPr>
          <w:rFonts w:ascii="Arial" w:eastAsia="Times New Roman" w:hAnsi="Arial" w:cs="Arial"/>
          <w:b/>
          <w:bCs/>
          <w:kern w:val="0"/>
          <w:shd w:val="clear" w:color="auto" w:fill="FFFFFF"/>
          <w:lang w:eastAsia="en-GB"/>
          <w14:ligatures w14:val="none"/>
        </w:rPr>
        <w:t xml:space="preserve">Moeini (2014) suggests that a gap in the literature is a question or problem that has not be addressed or answered sufficiently or at all in the literature. Consequently, </w:t>
      </w:r>
      <w:r w:rsidRPr="00891F5D">
        <w:rPr>
          <w:rFonts w:ascii="Arial" w:eastAsia="Times New Roman" w:hAnsi="Arial" w:cs="Arial"/>
          <w:b/>
          <w:bCs/>
          <w:kern w:val="0"/>
          <w:lang w:eastAsia="en-GB"/>
          <w14:ligatures w14:val="none"/>
        </w:rPr>
        <w:t xml:space="preserve">the researcher believes that the gap in the literature is that Bailey (2017) </w:t>
      </w:r>
      <w:r w:rsidRPr="00891F5D">
        <w:rPr>
          <w:rFonts w:ascii="Arial" w:eastAsia="Times New Roman" w:hAnsi="Arial" w:cs="Arial"/>
          <w:b/>
          <w:bCs/>
          <w:i/>
          <w:iCs/>
          <w:kern w:val="0"/>
          <w:lang w:eastAsia="en-GB"/>
          <w14:ligatures w14:val="none"/>
        </w:rPr>
        <w:t xml:space="preserve">has not effectively explored the link between Accounting Fraud and psychopathy </w:t>
      </w:r>
      <w:r w:rsidRPr="00891F5D">
        <w:rPr>
          <w:rFonts w:ascii="Arial" w:eastAsia="Times New Roman" w:hAnsi="Arial" w:cs="Arial"/>
          <w:b/>
          <w:bCs/>
          <w:kern w:val="0"/>
          <w:lang w:eastAsia="en-GB"/>
          <w14:ligatures w14:val="none"/>
        </w:rPr>
        <w:t xml:space="preserve">and </w:t>
      </w:r>
      <w:r w:rsidRPr="00891F5D">
        <w:rPr>
          <w:rFonts w:ascii="Arial" w:eastAsia="Times New Roman" w:hAnsi="Arial" w:cs="Arial"/>
          <w:b/>
          <w:bCs/>
          <w:i/>
          <w:iCs/>
          <w:kern w:val="0"/>
          <w:lang w:eastAsia="en-GB"/>
          <w14:ligatures w14:val="none"/>
        </w:rPr>
        <w:t>neither offered a solution and states</w:t>
      </w:r>
      <w:r w:rsidRPr="00891F5D">
        <w:rPr>
          <w:rFonts w:ascii="Arial" w:eastAsia="Times New Roman" w:hAnsi="Arial" w:cs="Arial"/>
          <w:b/>
          <w:bCs/>
          <w:kern w:val="0"/>
          <w:lang w:eastAsia="en-GB"/>
          <w14:ligatures w14:val="none"/>
        </w:rPr>
        <w:t xml:space="preserve"> and states ‘It is important to recognize that psychopathic tendencies exist among students and professionals, given the potential for harm, and more research is warranted’. Hence, the researcher will test the potential psychopathic predisposition among undergraduate accounting students in the University of Salford as ‘surrogates’ for practitioners which is an established practice in accounting education </w:t>
      </w:r>
      <w:r w:rsidRPr="00891F5D">
        <w:rPr>
          <w:rFonts w:ascii="Arial" w:eastAsia="Times New Roman" w:hAnsi="Arial" w:cs="Arial"/>
          <w:b/>
          <w:bCs/>
          <w:kern w:val="0"/>
          <w:lang w:eastAsia="en-GB"/>
          <w14:ligatures w14:val="none"/>
        </w:rPr>
        <w:lastRenderedPageBreak/>
        <w:t>(Mortenson et al, 2012) which may have implications for the accountancy / audit profession. The researcher will also study the psychopathic tendencies of accounting / audit professionals which has never been done in the literature</w:t>
      </w:r>
      <w:r w:rsidRPr="00891F5D">
        <w:rPr>
          <w:rFonts w:ascii="Arial" w:eastAsiaTheme="minorHAnsi" w:hAnsi="Arial" w:cs="Arial"/>
          <w:b/>
          <w:bCs/>
          <w:kern w:val="0"/>
          <w:lang w:eastAsia="en-US"/>
          <w14:ligatures w14:val="none"/>
        </w:rPr>
        <w:t xml:space="preserve"> including questions around organisational culture which may be a breeding ground for corporate psychopaths.</w:t>
      </w:r>
    </w:p>
    <w:p w14:paraId="190D6763" w14:textId="65415AD2" w:rsidR="00891F5D" w:rsidRPr="00891F5D" w:rsidRDefault="00891F5D" w:rsidP="00891F5D">
      <w:pPr>
        <w:spacing w:before="100" w:beforeAutospacing="1" w:after="100" w:afterAutospacing="1" w:line="480" w:lineRule="auto"/>
        <w:jc w:val="both"/>
        <w:rPr>
          <w:rFonts w:ascii="Arial" w:eastAsia="Times New Roman" w:hAnsi="Arial" w:cs="Arial"/>
          <w:kern w:val="0"/>
          <w:lang w:eastAsia="en-GB"/>
          <w14:ligatures w14:val="none"/>
        </w:rPr>
      </w:pPr>
      <w:r w:rsidRPr="00891F5D">
        <w:rPr>
          <w:rFonts w:ascii="Arial" w:eastAsia="Times New Roman" w:hAnsi="Arial" w:cs="Arial"/>
          <w:kern w:val="0"/>
          <w:lang w:eastAsia="en-GB"/>
          <w14:ligatures w14:val="none"/>
        </w:rPr>
        <w:t xml:space="preserve">The </w:t>
      </w:r>
      <w:r w:rsidR="004F16D2">
        <w:rPr>
          <w:rFonts w:ascii="Arial" w:eastAsia="Times New Roman" w:hAnsi="Arial" w:cs="Arial"/>
          <w:kern w:val="0"/>
          <w:lang w:eastAsia="en-GB"/>
          <w14:ligatures w14:val="none"/>
        </w:rPr>
        <w:t>researcher</w:t>
      </w:r>
      <w:r w:rsidRPr="00891F5D">
        <w:rPr>
          <w:rFonts w:ascii="Arial" w:eastAsia="Times New Roman" w:hAnsi="Arial" w:cs="Arial"/>
          <w:kern w:val="0"/>
          <w:lang w:eastAsia="en-GB"/>
          <w14:ligatures w14:val="none"/>
        </w:rPr>
        <w:t xml:space="preserve"> intends to undertake a Quantitative Study using a variation of the LSRP psychology and associated questionnaire to conduct face to face structured interviews and answer the following sub research questions (RQ1 – RQ4) beginning with the extent of psychopathy of accounting students. There is no evidence in the literature that using students as a proxy will harm them and in fact Bailey (2015, 2017) states </w:t>
      </w:r>
      <w:r w:rsidRPr="00891F5D">
        <w:rPr>
          <w:rFonts w:ascii="Arial" w:eastAsia="Times New Roman" w:hAnsi="Arial" w:cs="Arial"/>
          <w:i/>
          <w:iCs/>
          <w:kern w:val="0"/>
          <w:lang w:eastAsia="en-GB"/>
          <w14:ligatures w14:val="none"/>
        </w:rPr>
        <w:t>‘…that research participants are willing to give frank responses to sensitive or incriminating questions when they are confident of anonymity.’</w:t>
      </w:r>
    </w:p>
    <w:p w14:paraId="3243F438" w14:textId="77777777" w:rsidR="00891F5D" w:rsidRPr="00891F5D" w:rsidRDefault="00891F5D" w:rsidP="00891F5D">
      <w:pPr>
        <w:spacing w:before="100" w:beforeAutospacing="1" w:after="100" w:afterAutospacing="1" w:line="480" w:lineRule="auto"/>
        <w:jc w:val="both"/>
        <w:rPr>
          <w:rFonts w:ascii="Arial" w:eastAsia="Times New Roman" w:hAnsi="Arial" w:cs="Arial"/>
          <w:b/>
          <w:bCs/>
          <w:kern w:val="0"/>
          <w:lang w:eastAsia="en-GB"/>
          <w14:ligatures w14:val="none"/>
        </w:rPr>
      </w:pPr>
      <w:r w:rsidRPr="00891F5D">
        <w:rPr>
          <w:rFonts w:ascii="Arial" w:eastAsia="Times New Roman" w:hAnsi="Arial" w:cs="Arial"/>
          <w:b/>
          <w:bCs/>
          <w:kern w:val="0"/>
          <w:lang w:eastAsia="en-GB"/>
          <w14:ligatures w14:val="none"/>
        </w:rPr>
        <w:t xml:space="preserve">SRQ1:  How do L6 Accounting students’ scores vary on the LSRP? </w:t>
      </w:r>
    </w:p>
    <w:p w14:paraId="73FCC51C" w14:textId="77777777" w:rsidR="00891F5D" w:rsidRPr="00891F5D" w:rsidRDefault="00891F5D" w:rsidP="00891F5D">
      <w:pPr>
        <w:spacing w:before="100" w:beforeAutospacing="1" w:after="100" w:afterAutospacing="1" w:line="480" w:lineRule="auto"/>
        <w:jc w:val="both"/>
        <w:rPr>
          <w:rFonts w:ascii="Arial" w:eastAsia="Times New Roman" w:hAnsi="Arial" w:cs="Arial"/>
          <w:kern w:val="0"/>
          <w:lang w:eastAsia="en-GB"/>
          <w14:ligatures w14:val="none"/>
        </w:rPr>
      </w:pPr>
      <w:r w:rsidRPr="00891F5D">
        <w:rPr>
          <w:rFonts w:ascii="Arial" w:eastAsia="Times New Roman" w:hAnsi="Arial" w:cs="Arial"/>
          <w:kern w:val="0"/>
          <w:lang w:eastAsia="en-GB"/>
          <w14:ligatures w14:val="none"/>
        </w:rPr>
        <w:t xml:space="preserve">British undergraduate accounting and finance students decide upon their college major or specialization and subsequent career early on and seldom change. If it were discovered that mean psychopathy scores increase with this process, the inference for the profession would be problematic, on the other hand a decline would indicate a positive professional selection. </w:t>
      </w:r>
    </w:p>
    <w:p w14:paraId="4322A8ED" w14:textId="77777777" w:rsidR="00891F5D" w:rsidRDefault="00891F5D" w:rsidP="00891F5D">
      <w:pPr>
        <w:spacing w:before="100" w:beforeAutospacing="1" w:after="100" w:afterAutospacing="1" w:line="480" w:lineRule="auto"/>
        <w:jc w:val="both"/>
        <w:rPr>
          <w:rFonts w:ascii="Arial" w:eastAsia="Times New Roman" w:hAnsi="Arial" w:cs="Arial"/>
          <w:kern w:val="0"/>
          <w:lang w:eastAsia="en-GB"/>
          <w14:ligatures w14:val="none"/>
        </w:rPr>
      </w:pPr>
      <w:r w:rsidRPr="00891F5D">
        <w:rPr>
          <w:rFonts w:ascii="Arial" w:eastAsia="Times New Roman" w:hAnsi="Arial" w:cs="Arial"/>
          <w:kern w:val="0"/>
          <w:lang w:eastAsia="en-GB"/>
          <w14:ligatures w14:val="none"/>
        </w:rPr>
        <w:t xml:space="preserve">If the mean psychopathic result was higher for accounting students or future practitioners it may suggest that the profession may be attractive to people with psychopathic tendencies, but it may vary across gender and age leading to the second research question: </w:t>
      </w:r>
    </w:p>
    <w:p w14:paraId="785BB8AB" w14:textId="77777777" w:rsidR="00B87F06" w:rsidRPr="00891F5D" w:rsidRDefault="00B87F06" w:rsidP="00891F5D">
      <w:pPr>
        <w:spacing w:before="100" w:beforeAutospacing="1" w:after="100" w:afterAutospacing="1" w:line="480" w:lineRule="auto"/>
        <w:jc w:val="both"/>
        <w:rPr>
          <w:rFonts w:ascii="Arial" w:eastAsia="Times New Roman" w:hAnsi="Arial" w:cs="Arial"/>
          <w:kern w:val="0"/>
          <w:lang w:eastAsia="en-GB"/>
          <w14:ligatures w14:val="none"/>
        </w:rPr>
      </w:pPr>
    </w:p>
    <w:p w14:paraId="23B7595A" w14:textId="77777777" w:rsidR="00891F5D" w:rsidRPr="00891F5D" w:rsidRDefault="00891F5D" w:rsidP="00891F5D">
      <w:pPr>
        <w:spacing w:before="100" w:beforeAutospacing="1" w:after="100" w:afterAutospacing="1" w:line="480" w:lineRule="auto"/>
        <w:jc w:val="both"/>
        <w:rPr>
          <w:rFonts w:ascii="Arial" w:eastAsia="Times New Roman" w:hAnsi="Arial" w:cs="Arial"/>
          <w:b/>
          <w:bCs/>
          <w:kern w:val="0"/>
          <w:lang w:eastAsia="en-GB"/>
          <w14:ligatures w14:val="none"/>
        </w:rPr>
      </w:pPr>
      <w:r w:rsidRPr="00891F5D">
        <w:rPr>
          <w:rFonts w:ascii="Arial" w:eastAsia="Times New Roman" w:hAnsi="Arial" w:cs="Arial"/>
          <w:b/>
          <w:bCs/>
          <w:kern w:val="0"/>
          <w:lang w:eastAsia="en-GB"/>
          <w14:ligatures w14:val="none"/>
        </w:rPr>
        <w:lastRenderedPageBreak/>
        <w:t xml:space="preserve">SRQ2:  Do Accounting students’ scores differ across age and gender? </w:t>
      </w:r>
    </w:p>
    <w:p w14:paraId="4BEB8F96" w14:textId="77777777" w:rsidR="00891F5D" w:rsidRPr="00891F5D" w:rsidRDefault="00891F5D" w:rsidP="00891F5D">
      <w:pPr>
        <w:spacing w:before="100" w:beforeAutospacing="1" w:after="100" w:afterAutospacing="1" w:line="480" w:lineRule="auto"/>
        <w:jc w:val="both"/>
        <w:rPr>
          <w:rFonts w:ascii="Arial" w:eastAsia="Times New Roman" w:hAnsi="Arial" w:cs="Arial"/>
          <w:b/>
          <w:bCs/>
          <w:kern w:val="0"/>
          <w:lang w:eastAsia="en-GB"/>
          <w14:ligatures w14:val="none"/>
        </w:rPr>
      </w:pPr>
      <w:r w:rsidRPr="00891F5D">
        <w:rPr>
          <w:rFonts w:ascii="Arial" w:eastAsia="Times New Roman" w:hAnsi="Arial" w:cs="Arial"/>
          <w:kern w:val="0"/>
          <w:lang w:eastAsia="en-GB"/>
          <w14:ligatures w14:val="none"/>
        </w:rPr>
        <w:t xml:space="preserve">The basic objective of psychopathy is that it correlates with the tolerance of unethical practices, which in turn allows the rationalization of unethical behaviour i.e. The collapse of the Fraud Triangle into a single dimension (Epstein and Ramamoorti 2016, Bailey, 2017). </w:t>
      </w:r>
      <w:r w:rsidRPr="00891F5D">
        <w:rPr>
          <w:rFonts w:ascii="Arial" w:eastAsia="Times New Roman" w:hAnsi="Arial" w:cs="Arial"/>
          <w:b/>
          <w:bCs/>
          <w:kern w:val="0"/>
          <w:lang w:eastAsia="en-GB"/>
          <w14:ligatures w14:val="none"/>
        </w:rPr>
        <w:t xml:space="preserve">The next research question investigates this potential link:  </w:t>
      </w:r>
    </w:p>
    <w:p w14:paraId="26F048AF" w14:textId="77777777" w:rsidR="00891F5D" w:rsidRPr="00891F5D" w:rsidRDefault="00891F5D" w:rsidP="00891F5D">
      <w:pPr>
        <w:spacing w:before="100" w:beforeAutospacing="1" w:after="100" w:afterAutospacing="1" w:line="480" w:lineRule="auto"/>
        <w:jc w:val="both"/>
        <w:rPr>
          <w:rFonts w:ascii="Arial" w:eastAsia="Times New Roman" w:hAnsi="Arial" w:cs="Arial"/>
          <w:b/>
          <w:bCs/>
          <w:kern w:val="0"/>
          <w:lang w:eastAsia="en-GB"/>
          <w14:ligatures w14:val="none"/>
        </w:rPr>
      </w:pPr>
      <w:r w:rsidRPr="00891F5D">
        <w:rPr>
          <w:rFonts w:ascii="Arial" w:eastAsia="Times New Roman" w:hAnsi="Arial" w:cs="Arial"/>
          <w:b/>
          <w:bCs/>
          <w:kern w:val="0"/>
          <w:lang w:eastAsia="en-GB"/>
          <w14:ligatures w14:val="none"/>
        </w:rPr>
        <w:t>SRQ3:  How highly do the LSRP scores correlate with the approval of dubious or explicitly fraudulent practices?</w:t>
      </w:r>
    </w:p>
    <w:p w14:paraId="6B211738" w14:textId="082FDEBD" w:rsidR="00891F5D" w:rsidRPr="00891F5D" w:rsidRDefault="00891F5D" w:rsidP="00891F5D">
      <w:pPr>
        <w:spacing w:before="100" w:beforeAutospacing="1" w:after="100" w:afterAutospacing="1" w:line="480" w:lineRule="auto"/>
        <w:jc w:val="both"/>
        <w:rPr>
          <w:rFonts w:ascii="Arial" w:eastAsia="Times New Roman" w:hAnsi="Arial" w:cs="Arial"/>
          <w:kern w:val="0"/>
          <w:lang w:eastAsia="en-GB"/>
          <w14:ligatures w14:val="none"/>
        </w:rPr>
      </w:pPr>
      <w:r w:rsidRPr="00891F5D">
        <w:rPr>
          <w:rFonts w:ascii="Arial" w:eastAsia="Times New Roman" w:hAnsi="Arial" w:cs="Arial"/>
          <w:kern w:val="0"/>
          <w:lang w:eastAsia="en-GB"/>
          <w14:ligatures w14:val="none"/>
        </w:rPr>
        <w:t xml:space="preserve">The </w:t>
      </w:r>
      <w:r w:rsidR="004F16D2">
        <w:rPr>
          <w:rFonts w:ascii="Arial" w:eastAsia="Times New Roman" w:hAnsi="Arial" w:cs="Arial"/>
          <w:kern w:val="0"/>
          <w:lang w:eastAsia="en-GB"/>
          <w14:ligatures w14:val="none"/>
        </w:rPr>
        <w:t>researcher</w:t>
      </w:r>
      <w:r w:rsidRPr="00891F5D">
        <w:rPr>
          <w:rFonts w:ascii="Arial" w:eastAsia="Times New Roman" w:hAnsi="Arial" w:cs="Arial"/>
          <w:kern w:val="0"/>
          <w:lang w:eastAsia="en-GB"/>
          <w14:ligatures w14:val="none"/>
        </w:rPr>
        <w:t xml:space="preserve"> wants to establish whether a punishment(s) would deter a student from participating in Accounting Fraud, hence the next question.</w:t>
      </w:r>
    </w:p>
    <w:p w14:paraId="5305ABFC" w14:textId="214A8F2A" w:rsidR="00891F5D" w:rsidRPr="00891F5D" w:rsidRDefault="00891F5D" w:rsidP="00A55FB5">
      <w:pPr>
        <w:spacing w:before="100" w:beforeAutospacing="1" w:after="100" w:afterAutospacing="1" w:line="480" w:lineRule="auto"/>
        <w:jc w:val="both"/>
        <w:rPr>
          <w:rFonts w:asciiTheme="minorBidi" w:eastAsia="Times New Roman" w:hAnsiTheme="minorBidi"/>
          <w:kern w:val="0"/>
          <w14:ligatures w14:val="none"/>
        </w:rPr>
      </w:pPr>
      <w:r w:rsidRPr="00891F5D">
        <w:rPr>
          <w:rFonts w:ascii="Arial" w:eastAsia="Times New Roman" w:hAnsi="Arial" w:cs="Arial"/>
          <w:b/>
          <w:bCs/>
          <w:kern w:val="0"/>
          <w:lang w:eastAsia="en-GB"/>
          <w14:ligatures w14:val="none"/>
        </w:rPr>
        <w:t>SRQ4: Would a lengthy prison sentence or / and significant fine deter Accounting Fraud?</w:t>
      </w:r>
    </w:p>
    <w:p w14:paraId="747068C5" w14:textId="68410430" w:rsidR="00891F5D" w:rsidRDefault="00A55FB5" w:rsidP="00891F5D">
      <w:pPr>
        <w:spacing w:before="100" w:beforeAutospacing="1" w:after="100" w:afterAutospacing="1" w:line="480" w:lineRule="auto"/>
        <w:contextualSpacing/>
        <w:jc w:val="both"/>
        <w:rPr>
          <w:rFonts w:ascii="Arial" w:eastAsia="Times New Roman" w:hAnsi="Arial" w:cs="Arial"/>
          <w:kern w:val="0"/>
          <w14:ligatures w14:val="none"/>
        </w:rPr>
      </w:pPr>
      <w:r>
        <w:rPr>
          <w:rFonts w:ascii="Arial" w:eastAsia="Times New Roman" w:hAnsi="Arial" w:cs="Arial"/>
          <w:kern w:val="0"/>
          <w14:ligatures w14:val="none"/>
        </w:rPr>
        <w:t>T</w:t>
      </w:r>
      <w:r w:rsidR="00891F5D" w:rsidRPr="00891F5D">
        <w:rPr>
          <w:rFonts w:ascii="Arial" w:eastAsia="Times New Roman" w:hAnsi="Arial" w:cs="Arial"/>
          <w:kern w:val="0"/>
          <w14:ligatures w14:val="none"/>
        </w:rPr>
        <w:t>hus far part one has attempted to address Research Objectives 1 – 3 and part two of the literature review will tackle Research Objective 4:</w:t>
      </w:r>
    </w:p>
    <w:p w14:paraId="24929771" w14:textId="77777777" w:rsidR="00A55FB5" w:rsidRPr="00891F5D" w:rsidRDefault="00A55FB5" w:rsidP="00891F5D">
      <w:pPr>
        <w:spacing w:before="100" w:beforeAutospacing="1" w:after="100" w:afterAutospacing="1" w:line="480" w:lineRule="auto"/>
        <w:contextualSpacing/>
        <w:jc w:val="both"/>
        <w:rPr>
          <w:rFonts w:ascii="Arial" w:eastAsia="Times New Roman" w:hAnsi="Arial" w:cs="Arial"/>
          <w:kern w:val="0"/>
          <w14:ligatures w14:val="none"/>
        </w:rPr>
      </w:pPr>
    </w:p>
    <w:tbl>
      <w:tblPr>
        <w:tblStyle w:val="TableGrid"/>
        <w:tblW w:w="0" w:type="auto"/>
        <w:tblLook w:val="04A0" w:firstRow="1" w:lastRow="0" w:firstColumn="1" w:lastColumn="0" w:noHBand="0" w:noVBand="1"/>
      </w:tblPr>
      <w:tblGrid>
        <w:gridCol w:w="603"/>
        <w:gridCol w:w="8413"/>
      </w:tblGrid>
      <w:tr w:rsidR="00891F5D" w:rsidRPr="00891F5D" w14:paraId="10686EB1" w14:textId="77777777" w:rsidTr="001D4222">
        <w:tc>
          <w:tcPr>
            <w:tcW w:w="603" w:type="dxa"/>
          </w:tcPr>
          <w:p w14:paraId="17704C6C" w14:textId="77777777" w:rsidR="00891F5D" w:rsidRPr="00891F5D" w:rsidRDefault="00891F5D" w:rsidP="00891F5D">
            <w:pPr>
              <w:spacing w:line="480" w:lineRule="auto"/>
              <w:jc w:val="both"/>
              <w:rPr>
                <w:rFonts w:asciiTheme="minorBidi" w:hAnsiTheme="minorBidi"/>
                <w:i/>
                <w:iCs/>
              </w:rPr>
            </w:pPr>
            <w:r w:rsidRPr="00891F5D">
              <w:rPr>
                <w:rFonts w:asciiTheme="minorBidi" w:hAnsiTheme="minorBidi"/>
                <w:i/>
                <w:iCs/>
              </w:rPr>
              <w:t>4</w:t>
            </w:r>
          </w:p>
        </w:tc>
        <w:tc>
          <w:tcPr>
            <w:tcW w:w="8413" w:type="dxa"/>
          </w:tcPr>
          <w:p w14:paraId="4A3092A4" w14:textId="77777777" w:rsidR="00891F5D" w:rsidRPr="00891F5D" w:rsidRDefault="00891F5D" w:rsidP="00891F5D">
            <w:pPr>
              <w:spacing w:line="480" w:lineRule="auto"/>
              <w:jc w:val="both"/>
              <w:rPr>
                <w:rFonts w:asciiTheme="minorBidi" w:eastAsia="Times New Roman" w:hAnsiTheme="minorBidi"/>
                <w:kern w:val="0"/>
                <w14:ligatures w14:val="none"/>
              </w:rPr>
            </w:pPr>
            <w:r w:rsidRPr="00891F5D">
              <w:rPr>
                <w:rFonts w:asciiTheme="minorBidi" w:hAnsiTheme="minorBidi"/>
                <w:b/>
                <w:bCs/>
                <w:u w:val="single"/>
              </w:rPr>
              <w:t>Objective 4:</w:t>
            </w:r>
            <w:r w:rsidRPr="00891F5D">
              <w:rPr>
                <w:rFonts w:asciiTheme="minorBidi" w:eastAsia="Times New Roman" w:hAnsiTheme="minorBidi"/>
                <w:kern w:val="0"/>
                <w14:ligatures w14:val="none"/>
              </w:rPr>
              <w:t xml:space="preserve"> To appraise the effectiveness of Blockchain Technology in enhancing the transparency of financial transactions in environments controlled by a CPA.</w:t>
            </w:r>
          </w:p>
          <w:p w14:paraId="44767B63" w14:textId="77777777" w:rsidR="00891F5D" w:rsidRPr="00891F5D" w:rsidRDefault="00891F5D" w:rsidP="00891F5D">
            <w:pPr>
              <w:spacing w:line="480" w:lineRule="auto"/>
              <w:jc w:val="both"/>
              <w:rPr>
                <w:rFonts w:asciiTheme="minorBidi" w:hAnsiTheme="minorBidi"/>
                <w:u w:val="single"/>
              </w:rPr>
            </w:pPr>
            <w:r w:rsidRPr="00891F5D">
              <w:rPr>
                <w:rFonts w:asciiTheme="minorBidi" w:hAnsiTheme="minorBidi"/>
                <w:b/>
                <w:bCs/>
                <w:u w:val="single"/>
              </w:rPr>
              <w:t>Question 4</w:t>
            </w:r>
            <w:r w:rsidRPr="00891F5D">
              <w:rPr>
                <w:rFonts w:asciiTheme="minorBidi" w:hAnsiTheme="minorBidi"/>
                <w:u w:val="single"/>
              </w:rPr>
              <w:t>:</w:t>
            </w:r>
            <w:r w:rsidRPr="00891F5D">
              <w:rPr>
                <w:rFonts w:asciiTheme="minorBidi" w:eastAsia="Times New Roman" w:hAnsiTheme="minorBidi"/>
                <w:kern w:val="0"/>
                <w14:ligatures w14:val="none"/>
              </w:rPr>
              <w:t xml:space="preserve"> What influence would Blockchain Technology have on financial transactions' transparency in organisations run by psychopathic individuals?</w:t>
            </w:r>
          </w:p>
        </w:tc>
      </w:tr>
    </w:tbl>
    <w:p w14:paraId="116B3B18" w14:textId="77777777" w:rsidR="00891F5D" w:rsidRPr="00891F5D" w:rsidRDefault="00891F5D" w:rsidP="00891F5D">
      <w:pPr>
        <w:spacing w:before="100" w:beforeAutospacing="1" w:after="100" w:afterAutospacing="1" w:line="480" w:lineRule="auto"/>
        <w:jc w:val="both"/>
        <w:rPr>
          <w:rFonts w:ascii="Arial" w:eastAsia="Times New Roman" w:hAnsi="Arial" w:cs="Arial"/>
          <w:kern w:val="0"/>
          <w:lang w:eastAsia="en-GB"/>
          <w14:ligatures w14:val="none"/>
        </w:rPr>
      </w:pPr>
      <w:r w:rsidRPr="00891F5D">
        <w:rPr>
          <w:rFonts w:ascii="Arial" w:eastAsia="Times New Roman" w:hAnsi="Arial" w:cs="Arial"/>
          <w:kern w:val="0"/>
          <w:lang w:eastAsia="en-GB"/>
          <w14:ligatures w14:val="none"/>
        </w:rPr>
        <w:t>The research will now explore the salient Blockchain Technology literature as this technology is a potential solution for Accounting Fraud and the containing Corporate Psychopath Accountant.</w:t>
      </w:r>
    </w:p>
    <w:bookmarkStart w:id="596" w:name="_Hlk145856141"/>
    <w:bookmarkStart w:id="597" w:name="CCC"/>
    <w:bookmarkStart w:id="598" w:name="BC1"/>
    <w:bookmarkStart w:id="599" w:name="A52"/>
    <w:bookmarkStart w:id="600" w:name="D65"/>
    <w:p w14:paraId="59C6C36F" w14:textId="7C44CEB0" w:rsidR="00891F5D" w:rsidRPr="00891F5D" w:rsidRDefault="009168B9" w:rsidP="009C4775">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b/>
          <w:bCs/>
          <w:kern w:val="0"/>
          <w:lang w:eastAsia="en-US"/>
          <w14:ligatures w14:val="none"/>
        </w:rPr>
      </w:pPr>
      <w:r>
        <w:rPr>
          <w:rFonts w:ascii="Arial" w:eastAsia="Times New Roman" w:hAnsi="Arial" w:cs="Arial"/>
          <w:b/>
          <w:bCs/>
          <w:kern w:val="0"/>
          <w:lang w:eastAsia="en-GB"/>
          <w14:ligatures w14:val="none"/>
        </w:rPr>
        <w:lastRenderedPageBreak/>
        <w:fldChar w:fldCharType="begin"/>
      </w:r>
      <w:r>
        <w:rPr>
          <w:rFonts w:ascii="Arial" w:eastAsia="Times New Roman" w:hAnsi="Arial" w:cs="Arial"/>
          <w:b/>
          <w:bCs/>
          <w:kern w:val="0"/>
          <w:lang w:eastAsia="en-GB"/>
          <w14:ligatures w14:val="none"/>
        </w:rPr>
        <w:instrText>HYPERLINK  \l "C65"</w:instrText>
      </w:r>
      <w:r>
        <w:rPr>
          <w:rFonts w:ascii="Arial" w:eastAsia="Times New Roman" w:hAnsi="Arial" w:cs="Arial"/>
          <w:b/>
          <w:bCs/>
          <w:kern w:val="0"/>
          <w:lang w:eastAsia="en-GB"/>
          <w14:ligatures w14:val="none"/>
        </w:rPr>
      </w:r>
      <w:r>
        <w:rPr>
          <w:rFonts w:ascii="Arial" w:eastAsia="Times New Roman" w:hAnsi="Arial" w:cs="Arial"/>
          <w:b/>
          <w:bCs/>
          <w:kern w:val="0"/>
          <w:lang w:eastAsia="en-GB"/>
          <w14:ligatures w14:val="none"/>
        </w:rPr>
        <w:fldChar w:fldCharType="separate"/>
      </w:r>
      <w:r w:rsidR="00891F5D" w:rsidRPr="009168B9">
        <w:rPr>
          <w:rStyle w:val="Hyperlink"/>
          <w:rFonts w:ascii="Arial" w:eastAsia="Times New Roman" w:hAnsi="Arial" w:cs="Arial"/>
          <w:b/>
          <w:bCs/>
          <w:kern w:val="0"/>
          <w:lang w:eastAsia="en-GB"/>
          <w14:ligatures w14:val="none"/>
        </w:rPr>
        <w:t>2.11 Theoretical Background: Part Two Blockchain (BC) Technology (BCT)</w:t>
      </w:r>
      <w:r>
        <w:rPr>
          <w:rFonts w:ascii="Arial" w:eastAsia="Times New Roman" w:hAnsi="Arial" w:cs="Arial"/>
          <w:b/>
          <w:bCs/>
          <w:kern w:val="0"/>
          <w:lang w:eastAsia="en-GB"/>
          <w14:ligatures w14:val="none"/>
        </w:rPr>
        <w:fldChar w:fldCharType="end"/>
      </w:r>
    </w:p>
    <w:bookmarkEnd w:id="596"/>
    <w:bookmarkEnd w:id="597"/>
    <w:bookmarkEnd w:id="598"/>
    <w:bookmarkEnd w:id="599"/>
    <w:bookmarkEnd w:id="600"/>
    <w:p w14:paraId="0C530210" w14:textId="71C8655D" w:rsidR="009168B9" w:rsidRPr="00891F5D" w:rsidRDefault="00891F5D" w:rsidP="00B87F06">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The following sections explain the fundamentals of Blockchain (BC) / Blockchain Technology (BCT) beginning from a transactional perspective, which may serve as an antidote to both Accounting Fraud and the menace of the Corporate Psychopath Accountant. BC is underpinned by Triple Entry Bookkeeping (TEB) and the discussion will begin with a short history of accounting as it began with single and then double-entry bookkeeping.</w:t>
      </w:r>
    </w:p>
    <w:bookmarkStart w:id="601" w:name="_Hlk145856165"/>
    <w:bookmarkStart w:id="602" w:name="DDD"/>
    <w:bookmarkStart w:id="603" w:name="BC2"/>
    <w:bookmarkStart w:id="604" w:name="A53"/>
    <w:bookmarkStart w:id="605" w:name="D66"/>
    <w:p w14:paraId="11A0F11C" w14:textId="0BB07686" w:rsidR="00891F5D" w:rsidRPr="00891F5D" w:rsidRDefault="001B7539" w:rsidP="009C4775">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b/>
          <w:bCs/>
          <w:kern w:val="0"/>
          <w:lang w:eastAsia="en-US"/>
          <w14:ligatures w14:val="none"/>
        </w:rPr>
      </w:pPr>
      <w:r>
        <w:rPr>
          <w:rFonts w:ascii="Arial" w:eastAsiaTheme="minorHAnsi" w:hAnsi="Arial" w:cs="Arial"/>
          <w:b/>
          <w:bCs/>
          <w:kern w:val="0"/>
          <w:lang w:eastAsia="en-US"/>
          <w14:ligatures w14:val="none"/>
        </w:rPr>
        <w:fldChar w:fldCharType="begin"/>
      </w:r>
      <w:r>
        <w:rPr>
          <w:rFonts w:ascii="Arial" w:eastAsiaTheme="minorHAnsi" w:hAnsi="Arial" w:cs="Arial"/>
          <w:b/>
          <w:bCs/>
          <w:kern w:val="0"/>
          <w:lang w:eastAsia="en-US"/>
          <w14:ligatures w14:val="none"/>
        </w:rPr>
        <w:instrText>HYPERLINK  \l "C66"</w:instrText>
      </w:r>
      <w:r>
        <w:rPr>
          <w:rFonts w:ascii="Arial" w:eastAsiaTheme="minorHAnsi" w:hAnsi="Arial" w:cs="Arial"/>
          <w:b/>
          <w:bCs/>
          <w:kern w:val="0"/>
          <w:lang w:eastAsia="en-US"/>
          <w14:ligatures w14:val="none"/>
        </w:rPr>
      </w:r>
      <w:r>
        <w:rPr>
          <w:rFonts w:ascii="Arial" w:eastAsiaTheme="minorHAnsi" w:hAnsi="Arial" w:cs="Arial"/>
          <w:b/>
          <w:bCs/>
          <w:kern w:val="0"/>
          <w:lang w:eastAsia="en-US"/>
          <w14:ligatures w14:val="none"/>
        </w:rPr>
        <w:fldChar w:fldCharType="separate"/>
      </w:r>
      <w:r w:rsidR="00891F5D" w:rsidRPr="001B7539">
        <w:rPr>
          <w:rStyle w:val="Hyperlink"/>
          <w:rFonts w:ascii="Arial" w:eastAsiaTheme="minorHAnsi" w:hAnsi="Arial" w:cs="Arial"/>
          <w:b/>
          <w:bCs/>
          <w:kern w:val="0"/>
          <w:lang w:eastAsia="en-US"/>
          <w14:ligatures w14:val="none"/>
        </w:rPr>
        <w:t>2.11.1 Accounting History</w:t>
      </w:r>
      <w:r>
        <w:rPr>
          <w:rFonts w:ascii="Arial" w:eastAsiaTheme="minorHAnsi" w:hAnsi="Arial" w:cs="Arial"/>
          <w:b/>
          <w:bCs/>
          <w:kern w:val="0"/>
          <w:lang w:eastAsia="en-US"/>
          <w14:ligatures w14:val="none"/>
        </w:rPr>
        <w:fldChar w:fldCharType="end"/>
      </w:r>
    </w:p>
    <w:bookmarkEnd w:id="601"/>
    <w:bookmarkEnd w:id="602"/>
    <w:bookmarkEnd w:id="603"/>
    <w:bookmarkEnd w:id="604"/>
    <w:bookmarkEnd w:id="605"/>
    <w:p w14:paraId="664E69E1" w14:textId="2DF9D884"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TEB was coined by Grigg (2005) and should not be confused with ‘momentum accounting’ (Ijiri, 1986) which is occasionally also referred to as TEB.TEB comprises of three entries, the additional entry leading to TEB (Grigg, 2005). However, before further discussing TEB the </w:t>
      </w:r>
      <w:r w:rsidR="00396A0E">
        <w:rPr>
          <w:rFonts w:ascii="Arial" w:eastAsiaTheme="minorHAnsi" w:hAnsi="Arial" w:cs="Arial"/>
          <w:kern w:val="0"/>
          <w:lang w:eastAsia="en-US"/>
          <w14:ligatures w14:val="none"/>
        </w:rPr>
        <w:t>researcher</w:t>
      </w:r>
      <w:r w:rsidRPr="00891F5D">
        <w:rPr>
          <w:rFonts w:ascii="Arial" w:eastAsiaTheme="minorHAnsi" w:hAnsi="Arial" w:cs="Arial"/>
          <w:kern w:val="0"/>
          <w:lang w:eastAsia="en-US"/>
          <w14:ligatures w14:val="none"/>
        </w:rPr>
        <w:t xml:space="preserve"> will briefly outline the development of accounting. Single-entry bookkeeping (SEB) or accounting was invented approximately 5,000 years in Babylon or modern-day Iraq and is considered to be the most basic form of financial recordkeeping (Alrawi &amp; Ambashe, 2018; Cîndea et. al, 2011). SEB is merely a list of assets and debts which are updated accordingly (Grigg, 2005) which is suitable for basic tasks but is open to manipulation, prone to errors as there is no authenticate verification of assets and liabilities and method to balance the list. </w:t>
      </w:r>
    </w:p>
    <w:p w14:paraId="6940CB1B"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Double-entry bookkeeping (DEB) or the Venetian method was documented by the great Friar Fra Luca Pacioli (Cindea et al, 2011) around 1493. It is argued that this method underpinned the success of Venetian merchants and thereafter became the standard method of recordkeeping business transactions. In DEB each transaction produces a ‘debit’ and ‘credit’ event which cancel each other out ensuring that the balance sheet is in balance. On the other hand, if the balance sheet does not balance </w:t>
      </w:r>
      <w:r w:rsidRPr="00891F5D">
        <w:rPr>
          <w:rFonts w:ascii="Arial" w:eastAsiaTheme="minorHAnsi" w:hAnsi="Arial" w:cs="Arial"/>
          <w:kern w:val="0"/>
          <w:lang w:eastAsia="en-US"/>
          <w14:ligatures w14:val="none"/>
        </w:rPr>
        <w:lastRenderedPageBreak/>
        <w:t>there is an error in the DEB which can be easily identified by a well-trained bookkeeper and Accounting Fraud is harder to undertake (Carlin, 2018). Nevertheless, DEB is prone to Accounting Fraud as already discussed in Chapter one describing many of the most recent scandals of the 21</w:t>
      </w:r>
      <w:r w:rsidRPr="00891F5D">
        <w:rPr>
          <w:rFonts w:ascii="Arial" w:eastAsiaTheme="minorHAnsi" w:hAnsi="Arial" w:cs="Arial"/>
          <w:kern w:val="0"/>
          <w:vertAlign w:val="superscript"/>
          <w:lang w:eastAsia="en-US"/>
          <w14:ligatures w14:val="none"/>
        </w:rPr>
        <w:t>st</w:t>
      </w:r>
      <w:r w:rsidRPr="00891F5D">
        <w:rPr>
          <w:rFonts w:ascii="Arial" w:eastAsiaTheme="minorHAnsi" w:hAnsi="Arial" w:cs="Arial"/>
          <w:kern w:val="0"/>
          <w:lang w:eastAsia="en-US"/>
          <w14:ligatures w14:val="none"/>
        </w:rPr>
        <w:t xml:space="preserve"> century which occur due to fabricated verifications and transactions which allows fraudulent transactions to fall through even robust internal controls (Grigg, 2005). External auditing should theoretically solve the problem of Accounting Fraud, but its major flaw is that it does not examine for Accounting Fraud.  </w:t>
      </w:r>
    </w:p>
    <w:bookmarkStart w:id="606" w:name="A54"/>
    <w:bookmarkStart w:id="607" w:name="_Hlk145856179"/>
    <w:bookmarkStart w:id="608" w:name="EEE"/>
    <w:bookmarkStart w:id="609" w:name="BC3"/>
    <w:bookmarkStart w:id="610" w:name="D67"/>
    <w:p w14:paraId="75BCBA00" w14:textId="590116A6" w:rsidR="00891F5D" w:rsidRPr="00891F5D" w:rsidRDefault="007A31BB" w:rsidP="009C4775">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b/>
          <w:bCs/>
          <w:kern w:val="0"/>
          <w:lang w:eastAsia="en-US"/>
          <w14:ligatures w14:val="none"/>
        </w:rPr>
      </w:pPr>
      <w:r>
        <w:rPr>
          <w:rFonts w:ascii="Arial" w:eastAsiaTheme="minorHAnsi" w:hAnsi="Arial" w:cs="Arial"/>
          <w:b/>
          <w:bCs/>
          <w:kern w:val="0"/>
          <w:lang w:eastAsia="en-US"/>
          <w14:ligatures w14:val="none"/>
        </w:rPr>
        <w:fldChar w:fldCharType="begin"/>
      </w:r>
      <w:r>
        <w:rPr>
          <w:rFonts w:ascii="Arial" w:eastAsiaTheme="minorHAnsi" w:hAnsi="Arial" w:cs="Arial"/>
          <w:b/>
          <w:bCs/>
          <w:kern w:val="0"/>
          <w:lang w:eastAsia="en-US"/>
          <w14:ligatures w14:val="none"/>
        </w:rPr>
        <w:instrText>HYPERLINK  \l "C67"</w:instrText>
      </w:r>
      <w:r>
        <w:rPr>
          <w:rFonts w:ascii="Arial" w:eastAsiaTheme="minorHAnsi" w:hAnsi="Arial" w:cs="Arial"/>
          <w:b/>
          <w:bCs/>
          <w:kern w:val="0"/>
          <w:lang w:eastAsia="en-US"/>
          <w14:ligatures w14:val="none"/>
        </w:rPr>
      </w:r>
      <w:r>
        <w:rPr>
          <w:rFonts w:ascii="Arial" w:eastAsiaTheme="minorHAnsi" w:hAnsi="Arial" w:cs="Arial"/>
          <w:b/>
          <w:bCs/>
          <w:kern w:val="0"/>
          <w:lang w:eastAsia="en-US"/>
          <w14:ligatures w14:val="none"/>
        </w:rPr>
        <w:fldChar w:fldCharType="separate"/>
      </w:r>
      <w:r w:rsidR="00891F5D" w:rsidRPr="007A31BB">
        <w:rPr>
          <w:rStyle w:val="Hyperlink"/>
          <w:rFonts w:ascii="Arial" w:eastAsiaTheme="minorHAnsi" w:hAnsi="Arial" w:cs="Arial"/>
          <w:b/>
          <w:bCs/>
          <w:kern w:val="0"/>
          <w:lang w:eastAsia="en-US"/>
          <w14:ligatures w14:val="none"/>
        </w:rPr>
        <w:t xml:space="preserve">2.11.2 Triple-entry </w:t>
      </w:r>
      <w:r w:rsidR="00195CB0">
        <w:rPr>
          <w:rStyle w:val="Hyperlink"/>
          <w:rFonts w:ascii="Arial" w:eastAsiaTheme="minorHAnsi" w:hAnsi="Arial" w:cs="Arial"/>
          <w:b/>
          <w:bCs/>
          <w:kern w:val="0"/>
          <w:lang w:eastAsia="en-US"/>
          <w14:ligatures w14:val="none"/>
        </w:rPr>
        <w:t>B</w:t>
      </w:r>
      <w:r w:rsidR="00891F5D" w:rsidRPr="007A31BB">
        <w:rPr>
          <w:rStyle w:val="Hyperlink"/>
          <w:rFonts w:ascii="Arial" w:eastAsiaTheme="minorHAnsi" w:hAnsi="Arial" w:cs="Arial"/>
          <w:b/>
          <w:bCs/>
          <w:kern w:val="0"/>
          <w:lang w:eastAsia="en-US"/>
          <w14:ligatures w14:val="none"/>
        </w:rPr>
        <w:t xml:space="preserve">ookkeeping (TEB) by Yuji </w:t>
      </w:r>
      <w:proofErr w:type="spellStart"/>
      <w:r w:rsidR="00891F5D" w:rsidRPr="007A31BB">
        <w:rPr>
          <w:rStyle w:val="Hyperlink"/>
          <w:rFonts w:ascii="Arial" w:eastAsiaTheme="minorHAnsi" w:hAnsi="Arial" w:cs="Arial"/>
          <w:b/>
          <w:bCs/>
          <w:kern w:val="0"/>
          <w:lang w:eastAsia="en-US"/>
          <w14:ligatures w14:val="none"/>
        </w:rPr>
        <w:t>Ijir</w:t>
      </w:r>
      <w:bookmarkEnd w:id="606"/>
      <w:proofErr w:type="spellEnd"/>
      <w:r>
        <w:rPr>
          <w:rFonts w:ascii="Arial" w:eastAsiaTheme="minorHAnsi" w:hAnsi="Arial" w:cs="Arial"/>
          <w:b/>
          <w:bCs/>
          <w:kern w:val="0"/>
          <w:lang w:eastAsia="en-US"/>
          <w14:ligatures w14:val="none"/>
        </w:rPr>
        <w:fldChar w:fldCharType="end"/>
      </w:r>
    </w:p>
    <w:bookmarkEnd w:id="607"/>
    <w:bookmarkEnd w:id="608"/>
    <w:bookmarkEnd w:id="609"/>
    <w:bookmarkEnd w:id="610"/>
    <w:p w14:paraId="6438811E" w14:textId="3D907C0F" w:rsidR="00891F5D" w:rsidRPr="00891F5D" w:rsidRDefault="00891F5D" w:rsidP="00891F5D">
      <w:pPr>
        <w:spacing w:line="480" w:lineRule="auto"/>
        <w:jc w:val="both"/>
        <w:rPr>
          <w:rFonts w:ascii="Arial" w:eastAsiaTheme="minorHAnsi" w:hAnsi="Arial" w:cs="Arial"/>
          <w:kern w:val="0"/>
          <w:shd w:val="clear" w:color="auto" w:fill="FFFFFF"/>
          <w:lang w:eastAsia="en-US"/>
          <w14:ligatures w14:val="none"/>
        </w:rPr>
      </w:pPr>
      <w:r w:rsidRPr="00891F5D">
        <w:rPr>
          <w:rFonts w:ascii="Arial" w:eastAsiaTheme="minorHAnsi" w:hAnsi="Arial" w:cs="Arial"/>
          <w:kern w:val="0"/>
          <w:lang w:eastAsia="en-US"/>
          <w14:ligatures w14:val="none"/>
        </w:rPr>
        <w:t>TEB was invented by the Yuji Ijiri in 1986 and argued that DEB records the changes in wealth through the income earned during a period.</w:t>
      </w:r>
      <w:r w:rsidRPr="00891F5D">
        <w:rPr>
          <w:rFonts w:ascii="Arial" w:eastAsiaTheme="minorHAnsi" w:hAnsi="Arial" w:cs="Arial"/>
          <w:kern w:val="0"/>
          <w:shd w:val="clear" w:color="auto" w:fill="FFFFFF"/>
          <w:lang w:eastAsia="en-US"/>
          <w14:ligatures w14:val="none"/>
        </w:rPr>
        <w:t xml:space="preserve"> Hence, in DEB, changes in balances, such as changes in revenues and, cash payments are recorded. These ‘events’ are documented by two entries, namely a debit and a credit, as per on a given date. Whereas, in ‘momentum accounting’ or TEB, changes in balances are the known ‘events’</w:t>
      </w:r>
      <w:r w:rsidRPr="00891F5D">
        <w:rPr>
          <w:rFonts w:ascii="Arial" w:eastAsiaTheme="minorHAnsi" w:hAnsi="Arial" w:cs="Arial"/>
          <w:kern w:val="0"/>
          <w:lang w:eastAsia="en-US"/>
          <w14:ligatures w14:val="none"/>
        </w:rPr>
        <w:t xml:space="preserve">. Ijiri (1986) referred to the concept ‘the rate at which income is being earned’ as ‘momentum’, which is quantified in monetary units per period, such as sterling per month. </w:t>
      </w:r>
      <w:r w:rsidR="00840148" w:rsidRPr="00891F5D">
        <w:rPr>
          <w:rFonts w:ascii="Arial" w:eastAsiaTheme="minorHAnsi" w:hAnsi="Arial" w:cs="Arial"/>
          <w:kern w:val="0"/>
          <w:lang w:eastAsia="en-US"/>
          <w14:ligatures w14:val="none"/>
        </w:rPr>
        <w:t>Moreover,</w:t>
      </w:r>
      <w:r w:rsidRPr="00891F5D">
        <w:rPr>
          <w:rFonts w:ascii="Arial" w:eastAsiaTheme="minorHAnsi" w:hAnsi="Arial" w:cs="Arial"/>
          <w:kern w:val="0"/>
          <w:lang w:eastAsia="en-US"/>
          <w14:ligatures w14:val="none"/>
        </w:rPr>
        <w:t xml:space="preserve"> he proposed a third level entry entitled a ‘trebit’ which was designed to note alterations in momentum. For </w:t>
      </w:r>
      <w:r w:rsidR="00840148" w:rsidRPr="00891F5D">
        <w:rPr>
          <w:rFonts w:ascii="Arial" w:eastAsiaTheme="minorHAnsi" w:hAnsi="Arial" w:cs="Arial"/>
          <w:kern w:val="0"/>
          <w:lang w:eastAsia="en-US"/>
          <w14:ligatures w14:val="none"/>
        </w:rPr>
        <w:t>example,</w:t>
      </w:r>
      <w:r w:rsidRPr="00891F5D">
        <w:rPr>
          <w:rFonts w:ascii="Arial" w:eastAsiaTheme="minorHAnsi" w:hAnsi="Arial" w:cs="Arial"/>
          <w:kern w:val="0"/>
          <w:lang w:eastAsia="en-US"/>
          <w14:ligatures w14:val="none"/>
        </w:rPr>
        <w:t xml:space="preserve"> </w:t>
      </w:r>
      <w:r w:rsidRPr="00891F5D">
        <w:rPr>
          <w:rFonts w:ascii="Arial" w:eastAsiaTheme="minorHAnsi" w:hAnsi="Arial" w:cs="Arial"/>
          <w:kern w:val="0"/>
          <w:shd w:val="clear" w:color="auto" w:fill="FFFFFF"/>
          <w:lang w:eastAsia="en-US"/>
          <w14:ligatures w14:val="none"/>
        </w:rPr>
        <w:t>an increase in credit revenue by $5,000 in a period from $10,000 per month to $15,000 per month would be recorded as follows:</w:t>
      </w:r>
    </w:p>
    <w:tbl>
      <w:tblPr>
        <w:tblStyle w:val="TableGrid"/>
        <w:tblW w:w="0" w:type="auto"/>
        <w:tblLook w:val="04A0" w:firstRow="1" w:lastRow="0" w:firstColumn="1" w:lastColumn="0" w:noHBand="0" w:noVBand="1"/>
      </w:tblPr>
      <w:tblGrid>
        <w:gridCol w:w="3006"/>
        <w:gridCol w:w="3005"/>
      </w:tblGrid>
      <w:tr w:rsidR="00891F5D" w:rsidRPr="00891F5D" w14:paraId="6CABB246" w14:textId="77777777" w:rsidTr="001D4222">
        <w:tc>
          <w:tcPr>
            <w:tcW w:w="3006" w:type="dxa"/>
          </w:tcPr>
          <w:p w14:paraId="66BE441F" w14:textId="77777777" w:rsidR="00891F5D" w:rsidRPr="00891F5D" w:rsidRDefault="00891F5D" w:rsidP="00891F5D">
            <w:pPr>
              <w:spacing w:line="480" w:lineRule="auto"/>
              <w:jc w:val="both"/>
              <w:rPr>
                <w:rFonts w:ascii="Arial" w:hAnsi="Arial" w:cs="Arial"/>
              </w:rPr>
            </w:pPr>
            <w:r w:rsidRPr="00891F5D">
              <w:rPr>
                <w:rFonts w:ascii="Arial" w:hAnsi="Arial" w:cs="Arial"/>
                <w:shd w:val="clear" w:color="auto" w:fill="FFFFFF"/>
              </w:rPr>
              <w:t>Debit Receivables</w:t>
            </w:r>
          </w:p>
        </w:tc>
        <w:tc>
          <w:tcPr>
            <w:tcW w:w="3005" w:type="dxa"/>
          </w:tcPr>
          <w:p w14:paraId="2C484C81" w14:textId="77777777" w:rsidR="00891F5D" w:rsidRPr="00891F5D" w:rsidRDefault="00891F5D" w:rsidP="00891F5D">
            <w:pPr>
              <w:spacing w:line="480" w:lineRule="auto"/>
              <w:jc w:val="both"/>
              <w:rPr>
                <w:rFonts w:ascii="Arial" w:hAnsi="Arial" w:cs="Arial"/>
              </w:rPr>
            </w:pPr>
            <w:r w:rsidRPr="00891F5D">
              <w:rPr>
                <w:rFonts w:ascii="Arial" w:hAnsi="Arial" w:cs="Arial"/>
              </w:rPr>
              <w:t>5,000</w:t>
            </w:r>
          </w:p>
        </w:tc>
      </w:tr>
      <w:tr w:rsidR="00891F5D" w:rsidRPr="00891F5D" w14:paraId="7B12AF03" w14:textId="77777777" w:rsidTr="001D4222">
        <w:tc>
          <w:tcPr>
            <w:tcW w:w="3006" w:type="dxa"/>
          </w:tcPr>
          <w:p w14:paraId="11E3173A" w14:textId="77777777" w:rsidR="00891F5D" w:rsidRPr="00891F5D" w:rsidRDefault="00891F5D" w:rsidP="00891F5D">
            <w:pPr>
              <w:spacing w:line="480" w:lineRule="auto"/>
              <w:jc w:val="both"/>
              <w:rPr>
                <w:rFonts w:ascii="Arial" w:hAnsi="Arial" w:cs="Arial"/>
              </w:rPr>
            </w:pPr>
            <w:r w:rsidRPr="00891F5D">
              <w:rPr>
                <w:rFonts w:ascii="Arial" w:hAnsi="Arial" w:cs="Arial"/>
                <w:shd w:val="clear" w:color="auto" w:fill="FFFFFF"/>
              </w:rPr>
              <w:t>Credit Revenue</w:t>
            </w:r>
          </w:p>
        </w:tc>
        <w:tc>
          <w:tcPr>
            <w:tcW w:w="3005" w:type="dxa"/>
          </w:tcPr>
          <w:p w14:paraId="4FFEBFD8" w14:textId="77777777" w:rsidR="00891F5D" w:rsidRPr="00891F5D" w:rsidRDefault="00891F5D" w:rsidP="00891F5D">
            <w:pPr>
              <w:spacing w:line="480" w:lineRule="auto"/>
              <w:jc w:val="both"/>
              <w:rPr>
                <w:rFonts w:ascii="Arial" w:hAnsi="Arial" w:cs="Arial"/>
              </w:rPr>
            </w:pPr>
            <w:r w:rsidRPr="00891F5D">
              <w:rPr>
                <w:rFonts w:ascii="Arial" w:hAnsi="Arial" w:cs="Arial"/>
              </w:rPr>
              <w:t>5,000</w:t>
            </w:r>
          </w:p>
        </w:tc>
      </w:tr>
      <w:tr w:rsidR="00891F5D" w:rsidRPr="00891F5D" w14:paraId="60664157" w14:textId="77777777" w:rsidTr="001D4222">
        <w:tc>
          <w:tcPr>
            <w:tcW w:w="3006" w:type="dxa"/>
          </w:tcPr>
          <w:p w14:paraId="16D0F55C" w14:textId="77777777" w:rsidR="00891F5D" w:rsidRPr="00891F5D" w:rsidRDefault="00891F5D" w:rsidP="00891F5D">
            <w:pPr>
              <w:spacing w:line="480" w:lineRule="auto"/>
              <w:jc w:val="both"/>
              <w:rPr>
                <w:rFonts w:ascii="Arial" w:hAnsi="Arial" w:cs="Arial"/>
              </w:rPr>
            </w:pPr>
            <w:r w:rsidRPr="00891F5D">
              <w:rPr>
                <w:rFonts w:ascii="Arial" w:hAnsi="Arial" w:cs="Arial"/>
                <w:shd w:val="clear" w:color="auto" w:fill="FFFFFF"/>
              </w:rPr>
              <w:t>Trebit: Income Change</w:t>
            </w:r>
          </w:p>
        </w:tc>
        <w:tc>
          <w:tcPr>
            <w:tcW w:w="3005" w:type="dxa"/>
          </w:tcPr>
          <w:p w14:paraId="69619A38" w14:textId="77777777" w:rsidR="00891F5D" w:rsidRPr="00891F5D" w:rsidRDefault="00891F5D" w:rsidP="00891F5D">
            <w:pPr>
              <w:spacing w:line="480" w:lineRule="auto"/>
              <w:jc w:val="both"/>
              <w:rPr>
                <w:rFonts w:ascii="Arial" w:hAnsi="Arial" w:cs="Arial"/>
              </w:rPr>
            </w:pPr>
            <w:r w:rsidRPr="00891F5D">
              <w:rPr>
                <w:rFonts w:ascii="Arial" w:hAnsi="Arial" w:cs="Arial"/>
              </w:rPr>
              <w:t>5,000</w:t>
            </w:r>
          </w:p>
        </w:tc>
      </w:tr>
    </w:tbl>
    <w:p w14:paraId="4DE58F21" w14:textId="77777777" w:rsidR="00891F5D" w:rsidRPr="00891F5D" w:rsidRDefault="00891F5D" w:rsidP="00891F5D">
      <w:pPr>
        <w:spacing w:line="480" w:lineRule="auto"/>
        <w:jc w:val="both"/>
        <w:rPr>
          <w:rFonts w:ascii="Arial" w:eastAsiaTheme="minorHAnsi" w:hAnsi="Arial" w:cs="Arial"/>
          <w:kern w:val="0"/>
          <w:shd w:val="clear" w:color="auto" w:fill="FFFFFF"/>
          <w:lang w:eastAsia="en-US"/>
          <w14:ligatures w14:val="none"/>
        </w:rPr>
      </w:pPr>
    </w:p>
    <w:p w14:paraId="7AB0CDBC" w14:textId="67E6BBC7" w:rsid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lastRenderedPageBreak/>
        <w:t xml:space="preserve">Ijiri’s (1986) TEB attempts to create a superior recording system of ‘momentum’ data which facilitates better decision making. On other hand Fraser (1993) argued that Ijiri’s work was too complex with little real-world application Ijiri. The </w:t>
      </w:r>
      <w:r w:rsidR="00923D3D">
        <w:rPr>
          <w:rFonts w:ascii="Arial" w:eastAsiaTheme="minorHAnsi" w:hAnsi="Arial" w:cs="Arial"/>
          <w:kern w:val="0"/>
          <w:lang w:eastAsia="en-US"/>
          <w14:ligatures w14:val="none"/>
        </w:rPr>
        <w:t>researcher</w:t>
      </w:r>
      <w:r w:rsidRPr="00891F5D">
        <w:rPr>
          <w:rFonts w:ascii="Arial" w:eastAsiaTheme="minorHAnsi" w:hAnsi="Arial" w:cs="Arial"/>
          <w:kern w:val="0"/>
          <w:lang w:eastAsia="en-US"/>
          <w14:ligatures w14:val="none"/>
        </w:rPr>
        <w:t xml:space="preserve"> believes it is an intellectually stimulating topic but outside the scope of this thesis.</w:t>
      </w:r>
    </w:p>
    <w:bookmarkStart w:id="611" w:name="_Hlk145856195"/>
    <w:bookmarkStart w:id="612" w:name="FFF"/>
    <w:bookmarkStart w:id="613" w:name="BC4"/>
    <w:bookmarkStart w:id="614" w:name="A55"/>
    <w:bookmarkStart w:id="615" w:name="D68"/>
    <w:p w14:paraId="6BD1A2F3" w14:textId="5B89A1A5" w:rsidR="00891F5D" w:rsidRPr="00891F5D" w:rsidRDefault="007636BD" w:rsidP="009C4775">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b/>
          <w:bCs/>
          <w:kern w:val="0"/>
          <w:lang w:eastAsia="en-US"/>
          <w14:ligatures w14:val="none"/>
        </w:rPr>
      </w:pPr>
      <w:r>
        <w:rPr>
          <w:rFonts w:ascii="Arial" w:eastAsiaTheme="minorHAnsi" w:hAnsi="Arial" w:cs="Arial"/>
          <w:b/>
          <w:bCs/>
          <w:kern w:val="0"/>
          <w:lang w:eastAsia="en-US"/>
          <w14:ligatures w14:val="none"/>
        </w:rPr>
        <w:fldChar w:fldCharType="begin"/>
      </w:r>
      <w:r>
        <w:rPr>
          <w:rFonts w:ascii="Arial" w:eastAsiaTheme="minorHAnsi" w:hAnsi="Arial" w:cs="Arial"/>
          <w:b/>
          <w:bCs/>
          <w:kern w:val="0"/>
          <w:lang w:eastAsia="en-US"/>
          <w14:ligatures w14:val="none"/>
        </w:rPr>
        <w:instrText>HYPERLINK  \l "C68"</w:instrText>
      </w:r>
      <w:r>
        <w:rPr>
          <w:rFonts w:ascii="Arial" w:eastAsiaTheme="minorHAnsi" w:hAnsi="Arial" w:cs="Arial"/>
          <w:b/>
          <w:bCs/>
          <w:kern w:val="0"/>
          <w:lang w:eastAsia="en-US"/>
          <w14:ligatures w14:val="none"/>
        </w:rPr>
      </w:r>
      <w:r>
        <w:rPr>
          <w:rFonts w:ascii="Arial" w:eastAsiaTheme="minorHAnsi" w:hAnsi="Arial" w:cs="Arial"/>
          <w:b/>
          <w:bCs/>
          <w:kern w:val="0"/>
          <w:lang w:eastAsia="en-US"/>
          <w14:ligatures w14:val="none"/>
        </w:rPr>
        <w:fldChar w:fldCharType="separate"/>
      </w:r>
      <w:r w:rsidR="00891F5D" w:rsidRPr="007636BD">
        <w:rPr>
          <w:rStyle w:val="Hyperlink"/>
          <w:rFonts w:ascii="Arial" w:eastAsiaTheme="minorHAnsi" w:hAnsi="Arial" w:cs="Arial"/>
          <w:b/>
          <w:bCs/>
          <w:kern w:val="0"/>
          <w:lang w:eastAsia="en-US"/>
          <w14:ligatures w14:val="none"/>
        </w:rPr>
        <w:t xml:space="preserve">2.11.3 Triple-entry </w:t>
      </w:r>
      <w:r w:rsidR="00FE2960">
        <w:rPr>
          <w:rStyle w:val="Hyperlink"/>
          <w:rFonts w:ascii="Arial" w:eastAsiaTheme="minorHAnsi" w:hAnsi="Arial" w:cs="Arial"/>
          <w:b/>
          <w:bCs/>
          <w:kern w:val="0"/>
          <w:lang w:eastAsia="en-US"/>
          <w14:ligatures w14:val="none"/>
        </w:rPr>
        <w:t>A</w:t>
      </w:r>
      <w:r w:rsidR="00891F5D" w:rsidRPr="007636BD">
        <w:rPr>
          <w:rStyle w:val="Hyperlink"/>
          <w:rFonts w:ascii="Arial" w:eastAsiaTheme="minorHAnsi" w:hAnsi="Arial" w:cs="Arial"/>
          <w:b/>
          <w:bCs/>
          <w:kern w:val="0"/>
          <w:lang w:eastAsia="en-US"/>
          <w14:ligatures w14:val="none"/>
        </w:rPr>
        <w:t>ccounting (TEA) by Ian Grigg</w:t>
      </w:r>
      <w:r>
        <w:rPr>
          <w:rFonts w:ascii="Arial" w:eastAsiaTheme="minorHAnsi" w:hAnsi="Arial" w:cs="Arial"/>
          <w:b/>
          <w:bCs/>
          <w:kern w:val="0"/>
          <w:lang w:eastAsia="en-US"/>
          <w14:ligatures w14:val="none"/>
        </w:rPr>
        <w:fldChar w:fldCharType="end"/>
      </w:r>
    </w:p>
    <w:bookmarkEnd w:id="611"/>
    <w:bookmarkEnd w:id="612"/>
    <w:bookmarkEnd w:id="613"/>
    <w:bookmarkEnd w:id="614"/>
    <w:bookmarkEnd w:id="615"/>
    <w:p w14:paraId="646535A4"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In 2005 Ian Grigg, an expert financial cryptographer, outlined TEA in a working paper as a method to handle accidental errors and Accounting Fraud. In essence he was arguing that companies should not be the exclusive recorders of business transactions and an external / third party should be involved, and a third cryptographically safe entry should be recorded simultaneously when transactions occur between organisations. The third entry records, the debit recorded by one organisation and the credit recorded by the other party. Grigg (2005) referred to this new recording method as TEA in contrast to Ijiri’s (1986) TEB or Momentum Accounting.   </w:t>
      </w:r>
    </w:p>
    <w:p w14:paraId="19C7CE0A"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For example, Masud hires Joe to do some building work. Masud should pay Joe £500 and the DEB ledger would look like this:</w:t>
      </w:r>
    </w:p>
    <w:tbl>
      <w:tblPr>
        <w:tblStyle w:val="TableGrid"/>
        <w:tblW w:w="0" w:type="auto"/>
        <w:tblLook w:val="04A0" w:firstRow="1" w:lastRow="0" w:firstColumn="1" w:lastColumn="0" w:noHBand="0" w:noVBand="1"/>
      </w:tblPr>
      <w:tblGrid>
        <w:gridCol w:w="3006"/>
        <w:gridCol w:w="3005"/>
      </w:tblGrid>
      <w:tr w:rsidR="00891F5D" w:rsidRPr="00891F5D" w14:paraId="0D547143" w14:textId="77777777" w:rsidTr="001D4222">
        <w:tc>
          <w:tcPr>
            <w:tcW w:w="3006" w:type="dxa"/>
          </w:tcPr>
          <w:p w14:paraId="213819F8" w14:textId="77777777" w:rsidR="00891F5D" w:rsidRPr="00891F5D" w:rsidRDefault="00891F5D" w:rsidP="00891F5D">
            <w:pPr>
              <w:spacing w:line="480" w:lineRule="auto"/>
              <w:jc w:val="both"/>
              <w:rPr>
                <w:rFonts w:ascii="Arial" w:hAnsi="Arial" w:cs="Arial"/>
              </w:rPr>
            </w:pPr>
            <w:bookmarkStart w:id="616" w:name="_Hlk80633573"/>
          </w:p>
        </w:tc>
        <w:tc>
          <w:tcPr>
            <w:tcW w:w="3005" w:type="dxa"/>
          </w:tcPr>
          <w:p w14:paraId="00490BC0" w14:textId="77777777" w:rsidR="00891F5D" w:rsidRPr="00891F5D" w:rsidRDefault="00891F5D" w:rsidP="00891F5D">
            <w:pPr>
              <w:spacing w:line="480" w:lineRule="auto"/>
              <w:jc w:val="both"/>
              <w:rPr>
                <w:rFonts w:ascii="Arial" w:hAnsi="Arial" w:cs="Arial"/>
              </w:rPr>
            </w:pPr>
            <w:r w:rsidRPr="00891F5D">
              <w:rPr>
                <w:rFonts w:ascii="Arial" w:hAnsi="Arial" w:cs="Arial"/>
              </w:rPr>
              <w:t>Masud</w:t>
            </w:r>
          </w:p>
        </w:tc>
      </w:tr>
      <w:tr w:rsidR="00891F5D" w:rsidRPr="00891F5D" w14:paraId="35FD4D2F" w14:textId="77777777" w:rsidTr="001D4222">
        <w:tc>
          <w:tcPr>
            <w:tcW w:w="3006" w:type="dxa"/>
          </w:tcPr>
          <w:p w14:paraId="7B89C6C5" w14:textId="77777777" w:rsidR="00891F5D" w:rsidRPr="00891F5D" w:rsidRDefault="00891F5D" w:rsidP="00891F5D">
            <w:pPr>
              <w:spacing w:line="480" w:lineRule="auto"/>
              <w:jc w:val="both"/>
              <w:rPr>
                <w:rFonts w:ascii="Arial" w:hAnsi="Arial" w:cs="Arial"/>
              </w:rPr>
            </w:pPr>
            <w:r w:rsidRPr="00891F5D">
              <w:rPr>
                <w:rFonts w:ascii="Arial" w:hAnsi="Arial" w:cs="Arial"/>
              </w:rPr>
              <w:t>Debit - Expense</w:t>
            </w:r>
          </w:p>
        </w:tc>
        <w:tc>
          <w:tcPr>
            <w:tcW w:w="3005" w:type="dxa"/>
          </w:tcPr>
          <w:p w14:paraId="6F9B5AF5" w14:textId="77777777" w:rsidR="00891F5D" w:rsidRPr="00891F5D" w:rsidRDefault="00891F5D" w:rsidP="00891F5D">
            <w:pPr>
              <w:spacing w:line="480" w:lineRule="auto"/>
              <w:jc w:val="both"/>
              <w:rPr>
                <w:rFonts w:ascii="Arial" w:hAnsi="Arial" w:cs="Arial"/>
              </w:rPr>
            </w:pPr>
            <w:r w:rsidRPr="00891F5D">
              <w:rPr>
                <w:rFonts w:ascii="Arial" w:hAnsi="Arial" w:cs="Arial"/>
              </w:rPr>
              <w:t>500</w:t>
            </w:r>
          </w:p>
        </w:tc>
      </w:tr>
      <w:tr w:rsidR="00891F5D" w:rsidRPr="00891F5D" w14:paraId="2DC9EFB1" w14:textId="77777777" w:rsidTr="001D4222">
        <w:tc>
          <w:tcPr>
            <w:tcW w:w="3006" w:type="dxa"/>
          </w:tcPr>
          <w:p w14:paraId="5186D85E" w14:textId="77777777" w:rsidR="00891F5D" w:rsidRPr="00891F5D" w:rsidRDefault="00891F5D" w:rsidP="00891F5D">
            <w:pPr>
              <w:spacing w:line="480" w:lineRule="auto"/>
              <w:jc w:val="both"/>
              <w:rPr>
                <w:rFonts w:ascii="Arial" w:hAnsi="Arial" w:cs="Arial"/>
              </w:rPr>
            </w:pPr>
            <w:r w:rsidRPr="00891F5D">
              <w:rPr>
                <w:rFonts w:ascii="Arial" w:hAnsi="Arial" w:cs="Arial"/>
              </w:rPr>
              <w:t>Credit - Bank</w:t>
            </w:r>
          </w:p>
        </w:tc>
        <w:tc>
          <w:tcPr>
            <w:tcW w:w="3005" w:type="dxa"/>
          </w:tcPr>
          <w:p w14:paraId="3D277540" w14:textId="77777777" w:rsidR="00891F5D" w:rsidRPr="00891F5D" w:rsidRDefault="00891F5D" w:rsidP="00891F5D">
            <w:pPr>
              <w:spacing w:line="480" w:lineRule="auto"/>
              <w:jc w:val="both"/>
              <w:rPr>
                <w:rFonts w:ascii="Arial" w:hAnsi="Arial" w:cs="Arial"/>
              </w:rPr>
            </w:pPr>
            <w:r w:rsidRPr="00891F5D">
              <w:rPr>
                <w:rFonts w:ascii="Arial" w:hAnsi="Arial" w:cs="Arial"/>
              </w:rPr>
              <w:t>500</w:t>
            </w:r>
          </w:p>
        </w:tc>
      </w:tr>
      <w:bookmarkEnd w:id="616"/>
    </w:tbl>
    <w:p w14:paraId="36FD322B" w14:textId="77777777" w:rsidR="00891F5D" w:rsidRPr="00891F5D" w:rsidRDefault="00891F5D" w:rsidP="00891F5D">
      <w:pPr>
        <w:spacing w:line="480" w:lineRule="auto"/>
        <w:jc w:val="both"/>
        <w:rPr>
          <w:rFonts w:ascii="Arial" w:eastAsiaTheme="minorHAnsi" w:hAnsi="Arial" w:cs="Arial"/>
          <w:kern w:val="0"/>
          <w:lang w:eastAsia="en-US"/>
          <w14:ligatures w14:val="none"/>
        </w:rPr>
      </w:pPr>
    </w:p>
    <w:tbl>
      <w:tblPr>
        <w:tblStyle w:val="TableGrid"/>
        <w:tblW w:w="0" w:type="auto"/>
        <w:tblLook w:val="04A0" w:firstRow="1" w:lastRow="0" w:firstColumn="1" w:lastColumn="0" w:noHBand="0" w:noVBand="1"/>
      </w:tblPr>
      <w:tblGrid>
        <w:gridCol w:w="3006"/>
        <w:gridCol w:w="3005"/>
      </w:tblGrid>
      <w:tr w:rsidR="00891F5D" w:rsidRPr="00891F5D" w14:paraId="64DF48AA" w14:textId="77777777" w:rsidTr="001D4222">
        <w:tc>
          <w:tcPr>
            <w:tcW w:w="3006" w:type="dxa"/>
          </w:tcPr>
          <w:p w14:paraId="2A7A5F6F" w14:textId="77777777" w:rsidR="00891F5D" w:rsidRPr="00891F5D" w:rsidRDefault="00891F5D" w:rsidP="00891F5D">
            <w:pPr>
              <w:spacing w:line="480" w:lineRule="auto"/>
              <w:jc w:val="both"/>
              <w:rPr>
                <w:rFonts w:ascii="Arial" w:hAnsi="Arial" w:cs="Arial"/>
              </w:rPr>
            </w:pPr>
          </w:p>
        </w:tc>
        <w:tc>
          <w:tcPr>
            <w:tcW w:w="3005" w:type="dxa"/>
          </w:tcPr>
          <w:p w14:paraId="33ABE790" w14:textId="77777777" w:rsidR="00891F5D" w:rsidRPr="00891F5D" w:rsidRDefault="00891F5D" w:rsidP="00891F5D">
            <w:pPr>
              <w:spacing w:line="480" w:lineRule="auto"/>
              <w:jc w:val="both"/>
              <w:rPr>
                <w:rFonts w:ascii="Arial" w:hAnsi="Arial" w:cs="Arial"/>
              </w:rPr>
            </w:pPr>
            <w:r w:rsidRPr="00891F5D">
              <w:rPr>
                <w:rFonts w:ascii="Arial" w:hAnsi="Arial" w:cs="Arial"/>
              </w:rPr>
              <w:t>Joe</w:t>
            </w:r>
          </w:p>
        </w:tc>
      </w:tr>
      <w:tr w:rsidR="00891F5D" w:rsidRPr="00891F5D" w14:paraId="45C084C1" w14:textId="77777777" w:rsidTr="001D4222">
        <w:tc>
          <w:tcPr>
            <w:tcW w:w="3006" w:type="dxa"/>
          </w:tcPr>
          <w:p w14:paraId="64F39B4A" w14:textId="77777777" w:rsidR="00891F5D" w:rsidRPr="00891F5D" w:rsidRDefault="00891F5D" w:rsidP="00891F5D">
            <w:pPr>
              <w:spacing w:line="480" w:lineRule="auto"/>
              <w:jc w:val="both"/>
              <w:rPr>
                <w:rFonts w:ascii="Arial" w:hAnsi="Arial" w:cs="Arial"/>
              </w:rPr>
            </w:pPr>
            <w:r w:rsidRPr="00891F5D">
              <w:rPr>
                <w:rFonts w:ascii="Arial" w:hAnsi="Arial" w:cs="Arial"/>
              </w:rPr>
              <w:t>Debit - Bank</w:t>
            </w:r>
          </w:p>
        </w:tc>
        <w:tc>
          <w:tcPr>
            <w:tcW w:w="3005" w:type="dxa"/>
          </w:tcPr>
          <w:p w14:paraId="7099578C" w14:textId="77777777" w:rsidR="00891F5D" w:rsidRPr="00891F5D" w:rsidRDefault="00891F5D" w:rsidP="00891F5D">
            <w:pPr>
              <w:spacing w:line="480" w:lineRule="auto"/>
              <w:jc w:val="both"/>
              <w:rPr>
                <w:rFonts w:ascii="Arial" w:hAnsi="Arial" w:cs="Arial"/>
              </w:rPr>
            </w:pPr>
            <w:r w:rsidRPr="00891F5D">
              <w:rPr>
                <w:rFonts w:ascii="Arial" w:hAnsi="Arial" w:cs="Arial"/>
              </w:rPr>
              <w:t>500</w:t>
            </w:r>
          </w:p>
        </w:tc>
      </w:tr>
      <w:tr w:rsidR="00891F5D" w:rsidRPr="00891F5D" w14:paraId="1D804B13" w14:textId="77777777" w:rsidTr="001D4222">
        <w:tc>
          <w:tcPr>
            <w:tcW w:w="3006" w:type="dxa"/>
          </w:tcPr>
          <w:p w14:paraId="05B1B35D" w14:textId="77777777" w:rsidR="00891F5D" w:rsidRPr="00891F5D" w:rsidRDefault="00891F5D" w:rsidP="00891F5D">
            <w:pPr>
              <w:spacing w:line="480" w:lineRule="auto"/>
              <w:jc w:val="both"/>
              <w:rPr>
                <w:rFonts w:ascii="Arial" w:hAnsi="Arial" w:cs="Arial"/>
              </w:rPr>
            </w:pPr>
            <w:r w:rsidRPr="00891F5D">
              <w:rPr>
                <w:rFonts w:ascii="Arial" w:hAnsi="Arial" w:cs="Arial"/>
              </w:rPr>
              <w:t>Credit - Revenue</w:t>
            </w:r>
          </w:p>
        </w:tc>
        <w:tc>
          <w:tcPr>
            <w:tcW w:w="3005" w:type="dxa"/>
          </w:tcPr>
          <w:p w14:paraId="0D3AA2B2" w14:textId="77777777" w:rsidR="00891F5D" w:rsidRPr="00891F5D" w:rsidRDefault="00891F5D" w:rsidP="00891F5D">
            <w:pPr>
              <w:spacing w:line="480" w:lineRule="auto"/>
              <w:jc w:val="both"/>
              <w:rPr>
                <w:rFonts w:ascii="Arial" w:hAnsi="Arial" w:cs="Arial"/>
              </w:rPr>
            </w:pPr>
            <w:r w:rsidRPr="00891F5D">
              <w:rPr>
                <w:rFonts w:ascii="Arial" w:hAnsi="Arial" w:cs="Arial"/>
              </w:rPr>
              <w:t>500</w:t>
            </w:r>
          </w:p>
        </w:tc>
      </w:tr>
    </w:tbl>
    <w:p w14:paraId="5DCCEB85" w14:textId="77777777" w:rsidR="00891F5D" w:rsidRPr="00891F5D" w:rsidRDefault="00891F5D" w:rsidP="00891F5D">
      <w:pPr>
        <w:spacing w:line="480" w:lineRule="auto"/>
        <w:jc w:val="both"/>
        <w:rPr>
          <w:rFonts w:ascii="Arial" w:eastAsiaTheme="minorHAnsi" w:hAnsi="Arial" w:cs="Arial"/>
          <w:kern w:val="0"/>
          <w:lang w:eastAsia="en-US"/>
          <w14:ligatures w14:val="none"/>
        </w:rPr>
      </w:pPr>
    </w:p>
    <w:p w14:paraId="1974426F"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lastRenderedPageBreak/>
        <w:t xml:space="preserve">Therefore, the invoice exists in both Masud’s and Joe’s ledgers: Joe’s credit and Masud’s debit. In Grigg’s TEA, Joe writes a ‘receipt’ on a third shared ledger with a signature. Simultaneously, Masud sees this ‘receipt’, authorises, and signs. If such a third entry is recorded unchangeably in a common ledger, neither party can record differently in their own ledger or alter later i.e., no error or Accounting Fraud possible as the third entry authenticates this transaction at once. On the other hand, it is not apparent who would be the trusted and impartial third party that would manage the third shared ledger. However, the advent of Bitcoin underpinned by Blockchain technology arose in 2008, indicating that a trusted and non-aligned third-party is </w:t>
      </w:r>
      <w:r w:rsidRPr="00891F5D">
        <w:rPr>
          <w:rFonts w:ascii="Arial" w:eastAsiaTheme="minorHAnsi" w:hAnsi="Arial" w:cs="Arial"/>
          <w:i/>
          <w:iCs/>
          <w:kern w:val="0"/>
          <w:lang w:eastAsia="en-US"/>
          <w14:ligatures w14:val="none"/>
        </w:rPr>
        <w:t xml:space="preserve">unnecessary, </w:t>
      </w:r>
      <w:r w:rsidRPr="00891F5D">
        <w:rPr>
          <w:rFonts w:ascii="Arial" w:eastAsiaTheme="minorHAnsi" w:hAnsi="Arial" w:cs="Arial"/>
          <w:kern w:val="0"/>
          <w:lang w:eastAsia="en-US"/>
          <w14:ligatures w14:val="none"/>
        </w:rPr>
        <w:t>since</w:t>
      </w:r>
      <w:r w:rsidRPr="00891F5D">
        <w:rPr>
          <w:rFonts w:ascii="Arial" w:eastAsiaTheme="minorHAnsi" w:hAnsi="Arial" w:cs="Arial"/>
          <w:i/>
          <w:iCs/>
          <w:kern w:val="0"/>
          <w:lang w:eastAsia="en-US"/>
          <w14:ligatures w14:val="none"/>
        </w:rPr>
        <w:t xml:space="preserve"> </w:t>
      </w:r>
      <w:r w:rsidRPr="00891F5D">
        <w:rPr>
          <w:rFonts w:ascii="Arial" w:eastAsiaTheme="minorHAnsi" w:hAnsi="Arial" w:cs="Arial"/>
          <w:kern w:val="0"/>
          <w:lang w:eastAsia="en-US"/>
          <w14:ligatures w14:val="none"/>
        </w:rPr>
        <w:t>the third public ledger as outlined by Grigg (2005) can be ‘decentralized, immutable, secure, and automated’ using blockchain.</w:t>
      </w:r>
    </w:p>
    <w:p w14:paraId="1C254C22"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Nakamoto (2008) explains that the issue with the current financial system:</w:t>
      </w:r>
    </w:p>
    <w:p w14:paraId="5DE6637B"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‘“The cost of mediation increases transaction costs, limiting the minimum practical transaction size and cutting off the possibility for small casual transactions, and there is a broader cost in the loss of ability to make non-reversible payments for no reversible services. With the possibility of reversal, the need for trust spreads. Merchants must be wary of their customers, hassling them for more information than 10 they would otherwise need. A certain percentage of fraud is accepted as unavoidable. These costs and payment uncertainties can be avoided in person by using physical currency, but no mechanism exists to make payments over a communications channel without a trusted party.”</w:t>
      </w:r>
    </w:p>
    <w:p w14:paraId="6A834930" w14:textId="77777777" w:rsid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A trust less financial system is evident; since it is a financial system that works without trust, which is possible through the ‘blockchain’ (Nakamoto, 2008). The latter point will </w:t>
      </w:r>
      <w:r w:rsidRPr="00891F5D">
        <w:rPr>
          <w:rFonts w:ascii="Arial" w:eastAsiaTheme="minorHAnsi" w:hAnsi="Arial" w:cs="Arial"/>
          <w:kern w:val="0"/>
          <w:lang w:eastAsia="en-US"/>
          <w14:ligatures w14:val="none"/>
        </w:rPr>
        <w:lastRenderedPageBreak/>
        <w:t>be further explored but we need to briefly explain where BC in located in the fintech ecosystem as it is considered to be a ‘disruptive technology’.</w:t>
      </w:r>
    </w:p>
    <w:bookmarkStart w:id="617" w:name="_Hlk145856214"/>
    <w:bookmarkStart w:id="618" w:name="GGG"/>
    <w:bookmarkStart w:id="619" w:name="BC5"/>
    <w:bookmarkStart w:id="620" w:name="A56"/>
    <w:bookmarkStart w:id="621" w:name="D69"/>
    <w:p w14:paraId="499B98AB" w14:textId="354F2F42" w:rsidR="00891F5D" w:rsidRPr="00891F5D" w:rsidRDefault="007636BD" w:rsidP="009C4775">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b/>
          <w:bCs/>
          <w:kern w:val="0"/>
          <w:lang w:eastAsia="en-US"/>
          <w14:ligatures w14:val="none"/>
        </w:rPr>
      </w:pPr>
      <w:r>
        <w:rPr>
          <w:rFonts w:ascii="Arial" w:eastAsiaTheme="minorHAnsi" w:hAnsi="Arial" w:cs="Arial"/>
          <w:b/>
          <w:bCs/>
          <w:kern w:val="0"/>
          <w:lang w:eastAsia="en-US"/>
          <w14:ligatures w14:val="none"/>
        </w:rPr>
        <w:fldChar w:fldCharType="begin"/>
      </w:r>
      <w:r>
        <w:rPr>
          <w:rFonts w:ascii="Arial" w:eastAsiaTheme="minorHAnsi" w:hAnsi="Arial" w:cs="Arial"/>
          <w:b/>
          <w:bCs/>
          <w:kern w:val="0"/>
          <w:lang w:eastAsia="en-US"/>
          <w14:ligatures w14:val="none"/>
        </w:rPr>
        <w:instrText>HYPERLINK  \l "C69"</w:instrText>
      </w:r>
      <w:r>
        <w:rPr>
          <w:rFonts w:ascii="Arial" w:eastAsiaTheme="minorHAnsi" w:hAnsi="Arial" w:cs="Arial"/>
          <w:b/>
          <w:bCs/>
          <w:kern w:val="0"/>
          <w:lang w:eastAsia="en-US"/>
          <w14:ligatures w14:val="none"/>
        </w:rPr>
      </w:r>
      <w:r>
        <w:rPr>
          <w:rFonts w:ascii="Arial" w:eastAsiaTheme="minorHAnsi" w:hAnsi="Arial" w:cs="Arial"/>
          <w:b/>
          <w:bCs/>
          <w:kern w:val="0"/>
          <w:lang w:eastAsia="en-US"/>
          <w14:ligatures w14:val="none"/>
        </w:rPr>
        <w:fldChar w:fldCharType="separate"/>
      </w:r>
      <w:r w:rsidR="00891F5D" w:rsidRPr="007636BD">
        <w:rPr>
          <w:rStyle w:val="Hyperlink"/>
          <w:rFonts w:ascii="Arial" w:eastAsiaTheme="minorHAnsi" w:hAnsi="Arial" w:cs="Arial"/>
          <w:b/>
          <w:bCs/>
          <w:kern w:val="0"/>
          <w:lang w:eastAsia="en-US"/>
          <w14:ligatures w14:val="none"/>
        </w:rPr>
        <w:t>2.11.4 FinTech</w:t>
      </w:r>
      <w:r>
        <w:rPr>
          <w:rFonts w:ascii="Arial" w:eastAsiaTheme="minorHAnsi" w:hAnsi="Arial" w:cs="Arial"/>
          <w:b/>
          <w:bCs/>
          <w:kern w:val="0"/>
          <w:lang w:eastAsia="en-US"/>
          <w14:ligatures w14:val="none"/>
        </w:rPr>
        <w:fldChar w:fldCharType="end"/>
      </w:r>
    </w:p>
    <w:bookmarkEnd w:id="617"/>
    <w:bookmarkEnd w:id="618"/>
    <w:bookmarkEnd w:id="619"/>
    <w:bookmarkEnd w:id="620"/>
    <w:bookmarkEnd w:id="621"/>
    <w:p w14:paraId="713CB6FA"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The exponential rate of growth of technological development is greatly influencing organizations, especially in the financial services industry, resulting in unparalleled opportunities for improvement and innovation. For example, 74 percent of all banks across the UK expect to eradicate human interaction from their retail banking function within the next decade, and 83 percent acknowledge that they are not supplying the kind of bespoke innovation that digital-savvy customers expect (Bowen, 2017).</w:t>
      </w:r>
    </w:p>
    <w:p w14:paraId="41449360"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7ED69BC5"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shd w:val="clear" w:color="auto" w:fill="FFFFFF"/>
          <w:lang w:val="en-US" w:eastAsia="en-US"/>
          <w14:ligatures w14:val="none"/>
        </w:rPr>
      </w:pPr>
      <w:r w:rsidRPr="00891F5D">
        <w:rPr>
          <w:rFonts w:ascii="Arial" w:eastAsiaTheme="minorHAnsi" w:hAnsi="Arial" w:cs="Arial"/>
          <w:kern w:val="0"/>
          <w:lang w:val="en-US" w:eastAsia="en-US"/>
          <w14:ligatures w14:val="none"/>
        </w:rPr>
        <w:t>Financial innovation can be described as producing and commercializing novel financial instruments</w:t>
      </w:r>
      <w:bookmarkStart w:id="622" w:name="PreEditfn16"/>
      <w:r w:rsidRPr="00891F5D">
        <w:rPr>
          <w:rFonts w:ascii="Arial" w:eastAsiaTheme="minorHAnsi" w:hAnsi="Arial" w:cs="Arial"/>
          <w:kern w:val="0"/>
          <w:lang w:val="en-US" w:eastAsia="en-US"/>
          <w14:ligatures w14:val="none"/>
        </w:rPr>
        <w:t>/</w:t>
      </w:r>
      <w:bookmarkEnd w:id="622"/>
      <w:r w:rsidRPr="00891F5D">
        <w:rPr>
          <w:rFonts w:ascii="Arial" w:eastAsiaTheme="minorHAnsi" w:hAnsi="Arial" w:cs="Arial"/>
          <w:kern w:val="0"/>
          <w:lang w:val="en-US" w:eastAsia="en-US"/>
          <w14:ligatures w14:val="none"/>
        </w:rPr>
        <w:t xml:space="preserve">technologies. It takes place in markets and institutions. </w:t>
      </w:r>
      <w:r w:rsidRPr="00891F5D">
        <w:rPr>
          <w:rFonts w:ascii="Arial" w:eastAsiaTheme="minorHAnsi" w:hAnsi="Arial" w:cs="Arial"/>
          <w:kern w:val="0"/>
          <w:shd w:val="clear" w:color="auto" w:fill="FFFFFF"/>
          <w:lang w:val="en-US" w:eastAsia="en-US"/>
          <w14:ligatures w14:val="none"/>
        </w:rPr>
        <w:t xml:space="preserve">Cumulative financial innovation, over time, has resulted in the efficient movement of capital and has led to economic growth. Financial innovation can significantly reduce </w:t>
      </w:r>
      <w:hyperlink r:id="rId48" w:tooltip="Transaction cost" w:history="1">
        <w:r w:rsidRPr="00891F5D">
          <w:rPr>
            <w:rFonts w:ascii="Arial" w:eastAsiaTheme="minorHAnsi" w:hAnsi="Arial" w:cs="Arial"/>
            <w:kern w:val="0"/>
            <w:shd w:val="clear" w:color="auto" w:fill="FFFFFF"/>
            <w:lang w:val="en-US" w:eastAsia="en-US"/>
            <w14:ligatures w14:val="none"/>
          </w:rPr>
          <w:t>transaction costs</w:t>
        </w:r>
      </w:hyperlink>
      <w:r w:rsidRPr="00891F5D">
        <w:rPr>
          <w:rFonts w:ascii="Arial" w:eastAsiaTheme="minorHAnsi" w:hAnsi="Arial" w:cs="Arial"/>
          <w:kern w:val="0"/>
          <w:shd w:val="clear" w:color="auto" w:fill="FFFFFF"/>
          <w:lang w:val="en-US" w:eastAsia="en-US"/>
          <w14:ligatures w14:val="none"/>
        </w:rPr>
        <w:t>, improve security, and potentially lead to superior efficiency. According to a study conducted by Alvarez and Lippi (2009) that utilized data on Italian households’ use of debit cards, it suggested that ownership of ATM cards results in benefits worth €17 billion annually to the Italian economy.</w:t>
      </w:r>
    </w:p>
    <w:p w14:paraId="0A22C2DD" w14:textId="77777777" w:rsidR="00891F5D" w:rsidRPr="00891F5D" w:rsidRDefault="00891F5D" w:rsidP="00891F5D">
      <w:pPr>
        <w:spacing w:line="256" w:lineRule="auto"/>
        <w:rPr>
          <w:sz w:val="22"/>
          <w:szCs w:val="22"/>
          <w:shd w:val="clear" w:color="auto" w:fill="FFFFFF"/>
          <w:lang w:val="en-US" w:eastAsia="en-US"/>
        </w:rPr>
      </w:pPr>
    </w:p>
    <w:p w14:paraId="729A5A25" w14:textId="77777777" w:rsidR="00891F5D" w:rsidRPr="00891F5D" w:rsidRDefault="00891F5D" w:rsidP="00891F5D">
      <w:pPr>
        <w:spacing w:after="24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On the other hand, fintech delivers disruptive or enhanced innovations to the market, which still utilizes the existing financial infrastructure. The Financial </w:t>
      </w:r>
      <w:bookmarkStart w:id="623" w:name="_Hlk44435607"/>
      <w:r w:rsidRPr="00891F5D">
        <w:rPr>
          <w:rFonts w:ascii="Arial" w:eastAsiaTheme="minorHAnsi" w:hAnsi="Arial" w:cs="Arial"/>
          <w:kern w:val="0"/>
          <w:lang w:val="en-US" w:eastAsia="en-US"/>
          <w14:ligatures w14:val="none"/>
        </w:rPr>
        <w:t xml:space="preserve">Stability Board (2017) defines fintech as follows: ‘’Fintech is technologically enabled financial innovation that could result in new business models, new applications, new processes, new products, new applications, new processes, new products or new services with associated material effect on financial markets and institutions and the provision of </w:t>
      </w:r>
      <w:r w:rsidRPr="00891F5D">
        <w:rPr>
          <w:rFonts w:ascii="Arial" w:eastAsiaTheme="minorHAnsi" w:hAnsi="Arial" w:cs="Arial"/>
          <w:kern w:val="0"/>
          <w:lang w:val="en-US" w:eastAsia="en-US"/>
          <w14:ligatures w14:val="none"/>
        </w:rPr>
        <w:lastRenderedPageBreak/>
        <w:t xml:space="preserve">financial services.’’ Therefore, financial innovation does not necessarily require technology, whereas fintech demands the utilization of technology. Comparison can be made between a credit swap, once a significant financial innovation, which necessitated contractual but not technological innovation, and </w:t>
      </w:r>
      <w:bookmarkEnd w:id="623"/>
      <w:r w:rsidRPr="00891F5D">
        <w:rPr>
          <w:rFonts w:ascii="Arial" w:eastAsiaTheme="minorHAnsi" w:hAnsi="Arial" w:cs="Arial"/>
          <w:kern w:val="0"/>
          <w:lang w:val="en-US" w:eastAsia="en-US"/>
          <w14:ligatures w14:val="none"/>
        </w:rPr>
        <w:t>a digital wallet, which is a fintech innovation.</w:t>
      </w:r>
    </w:p>
    <w:p w14:paraId="268130AF" w14:textId="77777777" w:rsidR="00891F5D" w:rsidRPr="00891F5D" w:rsidRDefault="00891F5D" w:rsidP="00891F5D">
      <w:pPr>
        <w:spacing w:after="200" w:line="480" w:lineRule="auto"/>
        <w:jc w:val="both"/>
        <w:rPr>
          <w:rFonts w:ascii="Arial" w:eastAsiaTheme="minorHAnsi" w:hAnsi="Arial" w:cs="Arial"/>
          <w:kern w:val="0"/>
          <w:shd w:val="clear" w:color="auto" w:fill="FFFFFF"/>
          <w:lang w:val="en-US" w:eastAsia="en-US"/>
          <w14:ligatures w14:val="none"/>
        </w:rPr>
      </w:pPr>
      <w:r w:rsidRPr="00891F5D">
        <w:rPr>
          <w:rFonts w:ascii="Arial" w:eastAsiaTheme="minorHAnsi" w:hAnsi="Arial" w:cs="Arial"/>
          <w:kern w:val="0"/>
          <w:shd w:val="clear" w:color="auto" w:fill="FFFFFF"/>
          <w:lang w:val="en-US" w:eastAsia="en-US"/>
          <w14:ligatures w14:val="none"/>
        </w:rPr>
        <w:t>The capacity of cutting-edge technology, such as machine learning, to capture and process large volumes of data in real time, is significantly changing the way business is being conducted. Consequently, new products and services are being created with the consumer at the center, and fintech is confirming this transformation. It is believed by Reimer et al (2017) that Australian fintech firms have gained a competitive advantage by exploiting digital technologies, which means that consumers enjoy better “price, convenience, access, choice and community.”</w:t>
      </w:r>
    </w:p>
    <w:p w14:paraId="45356B23"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b/>
          <w:bCs/>
          <w:kern w:val="0"/>
          <w:lang w:eastAsia="en-US"/>
          <w14:ligatures w14:val="none"/>
        </w:rPr>
        <w:t>What is blockchain?</w:t>
      </w:r>
      <w:r w:rsidRPr="00891F5D">
        <w:rPr>
          <w:rFonts w:ascii="Arial" w:eastAsiaTheme="minorHAnsi" w:hAnsi="Arial" w:cs="Arial"/>
          <w:kern w:val="0"/>
          <w:lang w:eastAsia="en-US"/>
          <w14:ligatures w14:val="none"/>
        </w:rPr>
        <w:t xml:space="preserve"> In a nutshell a blockchain is ‘another type of database for recording transactions– one that is copied to all of the computers in a participating network’ (Deloitte, 2016: 5). A database needs a central administrator to manage the data/records which is also permissioned, meaning the administrator assigns privileges or access rights to the users of the database. </w:t>
      </w:r>
      <w:r w:rsidRPr="00891F5D">
        <w:rPr>
          <w:rFonts w:ascii="Arial" w:eastAsiaTheme="minorHAnsi" w:hAnsi="Arial" w:cs="Arial"/>
          <w:b/>
          <w:bCs/>
          <w:kern w:val="0"/>
          <w:lang w:eastAsia="en-US"/>
          <w14:ligatures w14:val="none"/>
        </w:rPr>
        <w:t>Whereas a blockchain database does not necessitate a central administrator, users who do not trust each other directly share all records enabling all actors or participants to have a secure copy and observe all changes to the data or records</w:t>
      </w:r>
      <w:r w:rsidRPr="00891F5D">
        <w:rPr>
          <w:rFonts w:ascii="Arial" w:eastAsiaTheme="minorHAnsi" w:hAnsi="Arial" w:cs="Arial"/>
          <w:kern w:val="0"/>
          <w:lang w:eastAsia="en-US"/>
          <w14:ligatures w14:val="none"/>
        </w:rPr>
        <w:t xml:space="preserve">. Therefore, a blockchain database is decentralized, copied, and shared i.e. it is a </w:t>
      </w:r>
      <w:r w:rsidRPr="00891F5D">
        <w:rPr>
          <w:rFonts w:ascii="Arial" w:eastAsiaTheme="minorHAnsi" w:hAnsi="Arial" w:cs="Arial"/>
          <w:i/>
          <w:iCs/>
          <w:kern w:val="0"/>
          <w:lang w:eastAsia="en-US"/>
          <w14:ligatures w14:val="none"/>
        </w:rPr>
        <w:t>distributed ledger</w:t>
      </w:r>
      <w:r w:rsidRPr="00891F5D">
        <w:rPr>
          <w:rFonts w:ascii="Arial" w:eastAsiaTheme="minorHAnsi" w:hAnsi="Arial" w:cs="Arial"/>
          <w:kern w:val="0"/>
          <w:lang w:eastAsia="en-US"/>
          <w14:ligatures w14:val="none"/>
        </w:rPr>
        <w:t xml:space="preserve">. In a shared or distributed ledger, whenever there is an alteration in the ownership of an asset, the ledger gets automatically revised and this information made available to everyone. </w:t>
      </w:r>
      <w:r w:rsidRPr="00891F5D">
        <w:rPr>
          <w:rFonts w:ascii="Arial" w:eastAsiaTheme="minorHAnsi" w:hAnsi="Arial" w:cs="Arial"/>
          <w:b/>
          <w:bCs/>
          <w:kern w:val="0"/>
          <w:lang w:eastAsia="en-US"/>
          <w14:ligatures w14:val="none"/>
        </w:rPr>
        <w:t xml:space="preserve">Consequently, this distributed ledger can support the TEA as discussed </w:t>
      </w:r>
      <w:r w:rsidRPr="00891F5D">
        <w:rPr>
          <w:rFonts w:ascii="Arial" w:eastAsiaTheme="minorHAnsi" w:hAnsi="Arial" w:cs="Arial"/>
          <w:b/>
          <w:bCs/>
          <w:kern w:val="0"/>
          <w:lang w:eastAsia="en-US"/>
          <w14:ligatures w14:val="none"/>
        </w:rPr>
        <w:lastRenderedPageBreak/>
        <w:t>proposed by Grigg (2005), where a business transaction between two individuals or organisations can be documented in this third-party public ledger and crucially both parties can ‘see’ this revised ledger. Moreover, as all transactions are recorded in a third party publicly available ledger, auditing and reconciling this distributed ledger becomes redundant</w:t>
      </w:r>
      <w:r w:rsidRPr="00891F5D">
        <w:rPr>
          <w:rFonts w:ascii="Arial" w:eastAsiaTheme="minorHAnsi" w:hAnsi="Arial" w:cs="Arial"/>
          <w:kern w:val="0"/>
          <w:lang w:eastAsia="en-US"/>
          <w14:ligatures w14:val="none"/>
        </w:rPr>
        <w:t xml:space="preserve">.  </w:t>
      </w:r>
    </w:p>
    <w:bookmarkStart w:id="624" w:name="_Hlk145856234"/>
    <w:bookmarkStart w:id="625" w:name="HHH"/>
    <w:bookmarkStart w:id="626" w:name="BC6"/>
    <w:bookmarkStart w:id="627" w:name="A57"/>
    <w:bookmarkStart w:id="628" w:name="D70"/>
    <w:p w14:paraId="2D5BF515" w14:textId="5BFD9177" w:rsidR="00891F5D" w:rsidRPr="00891F5D" w:rsidRDefault="006D49FA" w:rsidP="009C4775">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b/>
          <w:bCs/>
          <w:kern w:val="0"/>
          <w:lang w:eastAsia="en-US"/>
          <w14:ligatures w14:val="none"/>
        </w:rPr>
      </w:pPr>
      <w:r>
        <w:rPr>
          <w:rFonts w:ascii="Arial" w:eastAsiaTheme="minorHAnsi" w:hAnsi="Arial" w:cs="Arial"/>
          <w:b/>
          <w:bCs/>
          <w:kern w:val="0"/>
          <w:lang w:eastAsia="en-US"/>
          <w14:ligatures w14:val="none"/>
        </w:rPr>
        <w:fldChar w:fldCharType="begin"/>
      </w:r>
      <w:r>
        <w:rPr>
          <w:rFonts w:ascii="Arial" w:eastAsiaTheme="minorHAnsi" w:hAnsi="Arial" w:cs="Arial"/>
          <w:b/>
          <w:bCs/>
          <w:kern w:val="0"/>
          <w:lang w:eastAsia="en-US"/>
          <w14:ligatures w14:val="none"/>
        </w:rPr>
        <w:instrText>HYPERLINK  \l "C70"</w:instrText>
      </w:r>
      <w:r>
        <w:rPr>
          <w:rFonts w:ascii="Arial" w:eastAsiaTheme="minorHAnsi" w:hAnsi="Arial" w:cs="Arial"/>
          <w:b/>
          <w:bCs/>
          <w:kern w:val="0"/>
          <w:lang w:eastAsia="en-US"/>
          <w14:ligatures w14:val="none"/>
        </w:rPr>
      </w:r>
      <w:r>
        <w:rPr>
          <w:rFonts w:ascii="Arial" w:eastAsiaTheme="minorHAnsi" w:hAnsi="Arial" w:cs="Arial"/>
          <w:b/>
          <w:bCs/>
          <w:kern w:val="0"/>
          <w:lang w:eastAsia="en-US"/>
          <w14:ligatures w14:val="none"/>
        </w:rPr>
        <w:fldChar w:fldCharType="separate"/>
      </w:r>
      <w:r w:rsidR="00891F5D" w:rsidRPr="006D49FA">
        <w:rPr>
          <w:rStyle w:val="Hyperlink"/>
          <w:rFonts w:ascii="Arial" w:eastAsiaTheme="minorHAnsi" w:hAnsi="Arial" w:cs="Arial"/>
          <w:b/>
          <w:bCs/>
          <w:kern w:val="0"/>
          <w:lang w:eastAsia="en-US"/>
          <w14:ligatures w14:val="none"/>
        </w:rPr>
        <w:t>2.11.5 Blockchain (BC) Structure</w:t>
      </w:r>
      <w:r>
        <w:rPr>
          <w:rFonts w:ascii="Arial" w:eastAsiaTheme="minorHAnsi" w:hAnsi="Arial" w:cs="Arial"/>
          <w:b/>
          <w:bCs/>
          <w:kern w:val="0"/>
          <w:lang w:eastAsia="en-US"/>
          <w14:ligatures w14:val="none"/>
        </w:rPr>
        <w:fldChar w:fldCharType="end"/>
      </w:r>
      <w:r w:rsidR="00891F5D" w:rsidRPr="00891F5D">
        <w:rPr>
          <w:rFonts w:ascii="Arial" w:eastAsiaTheme="minorHAnsi" w:hAnsi="Arial" w:cs="Arial"/>
          <w:b/>
          <w:bCs/>
          <w:kern w:val="0"/>
          <w:lang w:eastAsia="en-US"/>
          <w14:ligatures w14:val="none"/>
        </w:rPr>
        <w:t xml:space="preserve"> </w:t>
      </w:r>
    </w:p>
    <w:bookmarkEnd w:id="624"/>
    <w:bookmarkEnd w:id="625"/>
    <w:bookmarkEnd w:id="626"/>
    <w:bookmarkEnd w:id="627"/>
    <w:bookmarkEnd w:id="628"/>
    <w:p w14:paraId="3BD5F887"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A BC is a collection of records similar to a ledger that is spread across a distributed network of computers which are referred to as nodes (Kokina et al. 2017). Thus, every computer on the distributed network has access to the identical information and crucially operate together to authenticate the information on the network is accurate. It is important to note that once a transaction on the BC has been verified and recorded, it can no longer be changed i.e. The information becomes immutable. In the famous example of Bitcoin, it uses the raw processing power of computers to authenticate the transaction and is called ‘mining’. </w:t>
      </w:r>
    </w:p>
    <w:p w14:paraId="1AAC1AFA"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Mining is the production and authentication of the blocks in the BC which are the entries in the BC that can be observed by the whole distributed network. However, before a block is appended and permitted onto the network, the information in the block is confirmed by the nodes and when they achieve a ‘consensus’ it is added to the BC in a sequential order to establish an unbroken record (Kokina et al., 2017; Zheng et al, 2018). It is important to note that information in a block can theoretically be anything; products, health records (Kokina et al., 2017).</w:t>
      </w:r>
    </w:p>
    <w:p w14:paraId="5793AAAE"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As noted, earlier Griggs (2005) suggested that a third party should be in control of approving transactions, however, the third ledger is still open to manipulation and cyber-attack. On the other hand, the BC solves the latter problem because it is entirely decentralized and distributed and above all no single person takes complete control </w:t>
      </w:r>
      <w:r w:rsidRPr="00891F5D">
        <w:rPr>
          <w:rFonts w:ascii="Arial" w:eastAsiaTheme="minorHAnsi" w:hAnsi="Arial" w:cs="Arial"/>
          <w:kern w:val="0"/>
          <w:lang w:eastAsia="en-US"/>
          <w14:ligatures w14:val="none"/>
        </w:rPr>
        <w:lastRenderedPageBreak/>
        <w:t xml:space="preserve">as it will violate ‘consensus’ across the network. Hence, the BC is a trust-less and self-regulating financial system. </w:t>
      </w:r>
    </w:p>
    <w:bookmarkStart w:id="629" w:name="_Hlk145856250"/>
    <w:bookmarkStart w:id="630" w:name="JJJ"/>
    <w:bookmarkStart w:id="631" w:name="BC7"/>
    <w:bookmarkStart w:id="632" w:name="A58"/>
    <w:bookmarkStart w:id="633" w:name="D71"/>
    <w:p w14:paraId="5707C873" w14:textId="2E8296E1" w:rsidR="00891F5D" w:rsidRPr="00891F5D" w:rsidRDefault="006D49FA" w:rsidP="003B7D7E">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b/>
          <w:bCs/>
          <w:kern w:val="0"/>
          <w:lang w:eastAsia="en-US"/>
          <w14:ligatures w14:val="none"/>
        </w:rPr>
      </w:pPr>
      <w:r>
        <w:rPr>
          <w:rFonts w:ascii="Arial" w:eastAsiaTheme="minorHAnsi" w:hAnsi="Arial" w:cs="Arial"/>
          <w:b/>
          <w:bCs/>
          <w:kern w:val="0"/>
          <w:lang w:eastAsia="en-US"/>
          <w14:ligatures w14:val="none"/>
        </w:rPr>
        <w:fldChar w:fldCharType="begin"/>
      </w:r>
      <w:r>
        <w:rPr>
          <w:rFonts w:ascii="Arial" w:eastAsiaTheme="minorHAnsi" w:hAnsi="Arial" w:cs="Arial"/>
          <w:b/>
          <w:bCs/>
          <w:kern w:val="0"/>
          <w:lang w:eastAsia="en-US"/>
          <w14:ligatures w14:val="none"/>
        </w:rPr>
        <w:instrText>HYPERLINK  \l "C71"</w:instrText>
      </w:r>
      <w:r>
        <w:rPr>
          <w:rFonts w:ascii="Arial" w:eastAsiaTheme="minorHAnsi" w:hAnsi="Arial" w:cs="Arial"/>
          <w:b/>
          <w:bCs/>
          <w:kern w:val="0"/>
          <w:lang w:eastAsia="en-US"/>
          <w14:ligatures w14:val="none"/>
        </w:rPr>
      </w:r>
      <w:r>
        <w:rPr>
          <w:rFonts w:ascii="Arial" w:eastAsiaTheme="minorHAnsi" w:hAnsi="Arial" w:cs="Arial"/>
          <w:b/>
          <w:bCs/>
          <w:kern w:val="0"/>
          <w:lang w:eastAsia="en-US"/>
          <w14:ligatures w14:val="none"/>
        </w:rPr>
        <w:fldChar w:fldCharType="separate"/>
      </w:r>
      <w:r w:rsidR="00891F5D" w:rsidRPr="006D49FA">
        <w:rPr>
          <w:rStyle w:val="Hyperlink"/>
          <w:rFonts w:ascii="Arial" w:eastAsiaTheme="minorHAnsi" w:hAnsi="Arial" w:cs="Arial"/>
          <w:b/>
          <w:bCs/>
          <w:kern w:val="0"/>
          <w:lang w:eastAsia="en-US"/>
          <w14:ligatures w14:val="none"/>
        </w:rPr>
        <w:t>2.11.6 Smart Contracts (SC)</w:t>
      </w:r>
      <w:r>
        <w:rPr>
          <w:rFonts w:ascii="Arial" w:eastAsiaTheme="minorHAnsi" w:hAnsi="Arial" w:cs="Arial"/>
          <w:b/>
          <w:bCs/>
          <w:kern w:val="0"/>
          <w:lang w:eastAsia="en-US"/>
          <w14:ligatures w14:val="none"/>
        </w:rPr>
        <w:fldChar w:fldCharType="end"/>
      </w:r>
    </w:p>
    <w:bookmarkEnd w:id="629"/>
    <w:bookmarkEnd w:id="630"/>
    <w:bookmarkEnd w:id="631"/>
    <w:bookmarkEnd w:id="632"/>
    <w:bookmarkEnd w:id="633"/>
    <w:p w14:paraId="60A1CB8D" w14:textId="16258804"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SCs were first discussed by Szabo (1994) which is the automation of simple but repetitive tasks or software that monitors conditions and once certain conditions are established then the SC is executed. SCs are considered to be a bolt on to BCs and not part of the BC structure. Buterin (2013) suggests that SCs are ‘systems which automatically move digital assets according to arbitrary pre-specified rules.’  Consequently, a SC could be as simple as paying a supplier or complex as a SC that hedges oil prices at a certain price (Rozario and </w:t>
      </w:r>
      <w:r w:rsidR="00333847" w:rsidRPr="00891F5D">
        <w:rPr>
          <w:rFonts w:ascii="Arial" w:eastAsiaTheme="minorHAnsi" w:hAnsi="Arial" w:cs="Arial"/>
          <w:kern w:val="0"/>
          <w:lang w:eastAsia="en-US"/>
          <w14:ligatures w14:val="none"/>
        </w:rPr>
        <w:t>Vaserhelyi</w:t>
      </w:r>
      <w:r w:rsidRPr="00891F5D">
        <w:rPr>
          <w:rFonts w:ascii="Arial" w:eastAsiaTheme="minorHAnsi" w:hAnsi="Arial" w:cs="Arial"/>
          <w:kern w:val="0"/>
          <w:lang w:eastAsia="en-US"/>
          <w14:ligatures w14:val="none"/>
        </w:rPr>
        <w:t xml:space="preserve">, 2018). Consequently, SCs lead to disintermediation, the process power of transactions is quickened immeasurably, and all achieved autonomously (Rozario, </w:t>
      </w:r>
      <w:r w:rsidR="00333847" w:rsidRPr="00891F5D">
        <w:rPr>
          <w:rFonts w:ascii="Arial" w:eastAsiaTheme="minorHAnsi" w:hAnsi="Arial" w:cs="Arial"/>
          <w:kern w:val="0"/>
          <w:lang w:eastAsia="en-US"/>
          <w14:ligatures w14:val="none"/>
        </w:rPr>
        <w:t>Vaserhelyi</w:t>
      </w:r>
      <w:r w:rsidRPr="00891F5D">
        <w:rPr>
          <w:rFonts w:ascii="Arial" w:eastAsiaTheme="minorHAnsi" w:hAnsi="Arial" w:cs="Arial"/>
          <w:kern w:val="0"/>
          <w:lang w:eastAsia="en-US"/>
          <w14:ligatures w14:val="none"/>
        </w:rPr>
        <w:t xml:space="preserve">, 2018).  </w:t>
      </w:r>
    </w:p>
    <w:p w14:paraId="3A0AD004"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It was also highlighted by Buterin (2013) that SCs can run autonomous or self-directed organisations also known as DAOs (Decentralized Autonomous Organisation). A DAO is completely independent, predicated on SCs and require little human interaction to operate. </w:t>
      </w:r>
    </w:p>
    <w:p w14:paraId="0799838C" w14:textId="739733C2" w:rsidR="001F0A16" w:rsidRPr="00891F5D" w:rsidRDefault="00891F5D" w:rsidP="006674C2">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We will now highlight the key BC studies and literature in the context of accounting, auditing, and Accounting Fraud.</w:t>
      </w:r>
    </w:p>
    <w:bookmarkStart w:id="634" w:name="_Hlk145856263"/>
    <w:bookmarkStart w:id="635" w:name="KKK"/>
    <w:bookmarkStart w:id="636" w:name="BC8"/>
    <w:bookmarkStart w:id="637" w:name="A59"/>
    <w:bookmarkStart w:id="638" w:name="D72"/>
    <w:p w14:paraId="2C25A567" w14:textId="45912EEE" w:rsidR="00891F5D" w:rsidRPr="00891F5D" w:rsidRDefault="006D49FA" w:rsidP="007A4F08">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b/>
          <w:bCs/>
          <w:kern w:val="0"/>
          <w:lang w:eastAsia="en-US"/>
          <w14:ligatures w14:val="none"/>
        </w:rPr>
      </w:pPr>
      <w:r>
        <w:rPr>
          <w:rFonts w:ascii="Arial" w:eastAsiaTheme="minorHAnsi" w:hAnsi="Arial" w:cs="Arial"/>
          <w:b/>
          <w:bCs/>
          <w:kern w:val="0"/>
          <w:lang w:eastAsia="en-US"/>
          <w14:ligatures w14:val="none"/>
        </w:rPr>
        <w:fldChar w:fldCharType="begin"/>
      </w:r>
      <w:r>
        <w:rPr>
          <w:rFonts w:ascii="Arial" w:eastAsiaTheme="minorHAnsi" w:hAnsi="Arial" w:cs="Arial"/>
          <w:b/>
          <w:bCs/>
          <w:kern w:val="0"/>
          <w:lang w:eastAsia="en-US"/>
          <w14:ligatures w14:val="none"/>
        </w:rPr>
        <w:instrText>HYPERLINK  \l "C72"</w:instrText>
      </w:r>
      <w:r>
        <w:rPr>
          <w:rFonts w:ascii="Arial" w:eastAsiaTheme="minorHAnsi" w:hAnsi="Arial" w:cs="Arial"/>
          <w:b/>
          <w:bCs/>
          <w:kern w:val="0"/>
          <w:lang w:eastAsia="en-US"/>
          <w14:ligatures w14:val="none"/>
        </w:rPr>
      </w:r>
      <w:r>
        <w:rPr>
          <w:rFonts w:ascii="Arial" w:eastAsiaTheme="minorHAnsi" w:hAnsi="Arial" w:cs="Arial"/>
          <w:b/>
          <w:bCs/>
          <w:kern w:val="0"/>
          <w:lang w:eastAsia="en-US"/>
          <w14:ligatures w14:val="none"/>
        </w:rPr>
        <w:fldChar w:fldCharType="separate"/>
      </w:r>
      <w:r w:rsidR="00891F5D" w:rsidRPr="006D49FA">
        <w:rPr>
          <w:rStyle w:val="Hyperlink"/>
          <w:rFonts w:ascii="Arial" w:eastAsiaTheme="minorHAnsi" w:hAnsi="Arial" w:cs="Arial"/>
          <w:b/>
          <w:bCs/>
          <w:kern w:val="0"/>
          <w:lang w:eastAsia="en-US"/>
          <w14:ligatures w14:val="none"/>
        </w:rPr>
        <w:t xml:space="preserve">2.11.7 Accounting on the BC and the </w:t>
      </w:r>
      <w:r w:rsidR="00171222">
        <w:rPr>
          <w:rStyle w:val="Hyperlink"/>
          <w:rFonts w:ascii="Arial" w:eastAsiaTheme="minorHAnsi" w:hAnsi="Arial" w:cs="Arial"/>
          <w:b/>
          <w:bCs/>
          <w:kern w:val="0"/>
          <w:lang w:eastAsia="en-US"/>
          <w14:ligatures w14:val="none"/>
        </w:rPr>
        <w:t>I</w:t>
      </w:r>
      <w:r w:rsidR="00891F5D" w:rsidRPr="006D49FA">
        <w:rPr>
          <w:rStyle w:val="Hyperlink"/>
          <w:rFonts w:ascii="Arial" w:eastAsiaTheme="minorHAnsi" w:hAnsi="Arial" w:cs="Arial"/>
          <w:b/>
          <w:bCs/>
          <w:kern w:val="0"/>
          <w:lang w:eastAsia="en-US"/>
          <w14:ligatures w14:val="none"/>
        </w:rPr>
        <w:t>mpact on Audit</w:t>
      </w:r>
      <w:r>
        <w:rPr>
          <w:rFonts w:ascii="Arial" w:eastAsiaTheme="minorHAnsi" w:hAnsi="Arial" w:cs="Arial"/>
          <w:b/>
          <w:bCs/>
          <w:kern w:val="0"/>
          <w:lang w:eastAsia="en-US"/>
          <w14:ligatures w14:val="none"/>
        </w:rPr>
        <w:fldChar w:fldCharType="end"/>
      </w:r>
    </w:p>
    <w:bookmarkEnd w:id="634"/>
    <w:bookmarkEnd w:id="635"/>
    <w:bookmarkEnd w:id="636"/>
    <w:bookmarkEnd w:id="637"/>
    <w:bookmarkEnd w:id="638"/>
    <w:p w14:paraId="3B472953"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b/>
          <w:bCs/>
          <w:kern w:val="0"/>
          <w:lang w:eastAsia="en-US"/>
          <w14:ligatures w14:val="none"/>
        </w:rPr>
        <w:t>As explained earlier BCT is underpinned by TEA, where the three entries are credit, debit and the receipt.</w:t>
      </w:r>
      <w:r w:rsidRPr="00891F5D">
        <w:rPr>
          <w:rFonts w:ascii="Arial" w:eastAsiaTheme="minorHAnsi" w:hAnsi="Arial" w:cs="Arial"/>
          <w:kern w:val="0"/>
          <w:lang w:eastAsia="en-US"/>
          <w14:ligatures w14:val="none"/>
        </w:rPr>
        <w:t xml:space="preserve"> Rather than using a trusted third party as per Grigg (2005) the BC is utilized. </w:t>
      </w:r>
      <w:r w:rsidRPr="00891F5D">
        <w:rPr>
          <w:rFonts w:ascii="Arial" w:eastAsiaTheme="minorHAnsi" w:hAnsi="Arial" w:cs="Arial"/>
          <w:b/>
          <w:bCs/>
          <w:kern w:val="0"/>
          <w:lang w:eastAsia="en-US"/>
          <w14:ligatures w14:val="none"/>
        </w:rPr>
        <w:t>When the transaction occurs on the BC, a receipt is created which is stored on the BC and all participants party to the transaction can view it and if it is a public BC it is visible to everyone.</w:t>
      </w:r>
    </w:p>
    <w:p w14:paraId="340924E1"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lastRenderedPageBreak/>
        <w:t xml:space="preserve">Deloitte (2016) explained in an important study that rather than having unique registers for all records everything could be transcribed into BCT transactions which would operate as a combined register and would become established as an ‘interlocking system of enduring accounting records’. As these records are cryptographically encrypted, they could </w:t>
      </w:r>
      <w:r w:rsidRPr="00891F5D">
        <w:rPr>
          <w:rFonts w:ascii="Arial" w:eastAsiaTheme="minorHAnsi" w:hAnsi="Arial" w:cs="Arial"/>
          <w:i/>
          <w:iCs/>
          <w:kern w:val="0"/>
          <w:lang w:eastAsia="en-US"/>
          <w14:ligatures w14:val="none"/>
        </w:rPr>
        <w:t xml:space="preserve">not </w:t>
      </w:r>
      <w:r w:rsidRPr="00891F5D">
        <w:rPr>
          <w:rFonts w:ascii="Arial" w:eastAsiaTheme="minorHAnsi" w:hAnsi="Arial" w:cs="Arial"/>
          <w:kern w:val="0"/>
          <w:lang w:eastAsia="en-US"/>
          <w14:ligatures w14:val="none"/>
        </w:rPr>
        <w:t xml:space="preserve">be manipulated and open to Accounting Fraud. Furthermore, according to EY (2016) the use of BC would make transactions more traceable from source to conclusion and save around 50 to 100 working days in attempting reconciliations.  </w:t>
      </w:r>
    </w:p>
    <w:p w14:paraId="5DD88967" w14:textId="7ADC0CBB"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Dai and </w:t>
      </w:r>
      <w:r w:rsidR="00333847" w:rsidRPr="00891F5D">
        <w:rPr>
          <w:rFonts w:ascii="Arial" w:eastAsiaTheme="minorHAnsi" w:hAnsi="Arial" w:cs="Arial"/>
          <w:kern w:val="0"/>
          <w:lang w:eastAsia="en-US"/>
          <w14:ligatures w14:val="none"/>
        </w:rPr>
        <w:t>Vaserhelyi</w:t>
      </w:r>
      <w:r w:rsidRPr="00891F5D">
        <w:rPr>
          <w:rFonts w:ascii="Arial" w:eastAsiaTheme="minorHAnsi" w:hAnsi="Arial" w:cs="Arial"/>
          <w:kern w:val="0"/>
          <w:lang w:eastAsia="en-US"/>
          <w14:ligatures w14:val="none"/>
        </w:rPr>
        <w:t xml:space="preserve"> (2017) suggest that BC will be the future of accounting as every debit and credit transaction would create a BC entry that could be recorded as ‘token transfers’ or ‘coloured coins’ between a variety of BC accounts. The token contains the complete information of the transaction between the two accounts including the reason for the transfer. Tokenized assets can be virtually anything such as non-current assets (EY, 2018b).</w:t>
      </w:r>
    </w:p>
    <w:p w14:paraId="571C2110" w14:textId="6EC6B2BC"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When information has been entered onto the BC it can never be changed and be authenticated via the hashes (Dai and </w:t>
      </w:r>
      <w:r w:rsidR="00333847" w:rsidRPr="00891F5D">
        <w:rPr>
          <w:rFonts w:ascii="Arial" w:eastAsiaTheme="minorHAnsi" w:hAnsi="Arial" w:cs="Arial"/>
          <w:kern w:val="0"/>
          <w:lang w:eastAsia="en-US"/>
          <w14:ligatures w14:val="none"/>
        </w:rPr>
        <w:t>Vaserhelyi</w:t>
      </w:r>
      <w:r w:rsidRPr="00891F5D">
        <w:rPr>
          <w:rFonts w:ascii="Arial" w:eastAsiaTheme="minorHAnsi" w:hAnsi="Arial" w:cs="Arial"/>
          <w:kern w:val="0"/>
          <w:lang w:eastAsia="en-US"/>
          <w14:ligatures w14:val="none"/>
        </w:rPr>
        <w:t>, 2017) i.e. Immutable transactions. On the other hand, if incorrect information is entered onto the BC it can be altered only after great effort.</w:t>
      </w:r>
    </w:p>
    <w:p w14:paraId="6D2D4B2F" w14:textId="1A49CF6B"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Appelbaum and Nehmar (2017) argue that the BC is less likely to be prone to manipulation such as Accounting Fraud. Since, if a participant attempted to change or eliminate accounting records, they would need to recalculate and authenticate the block. All this is possible, but it is very expensive, resource intensive and observable by other participants in the BC. For </w:t>
      </w:r>
      <w:r w:rsidR="00ED76A7" w:rsidRPr="00891F5D">
        <w:rPr>
          <w:rFonts w:ascii="Arial" w:eastAsiaTheme="minorHAnsi" w:hAnsi="Arial" w:cs="Arial"/>
          <w:kern w:val="0"/>
          <w:lang w:eastAsia="en-US"/>
          <w14:ligatures w14:val="none"/>
        </w:rPr>
        <w:t>example,</w:t>
      </w:r>
      <w:r w:rsidRPr="00891F5D">
        <w:rPr>
          <w:rFonts w:ascii="Arial" w:eastAsiaTheme="minorHAnsi" w:hAnsi="Arial" w:cs="Arial"/>
          <w:kern w:val="0"/>
          <w:lang w:eastAsia="en-US"/>
          <w14:ligatures w14:val="none"/>
        </w:rPr>
        <w:t xml:space="preserve"> block 259 was going to be manipulated and it was currently block 333, the fraudster would need to recalculate very hash </w:t>
      </w:r>
      <w:r w:rsidRPr="00891F5D">
        <w:rPr>
          <w:rFonts w:ascii="Arial" w:eastAsiaTheme="minorHAnsi" w:hAnsi="Arial" w:cs="Arial"/>
          <w:kern w:val="0"/>
          <w:lang w:eastAsia="en-US"/>
          <w14:ligatures w14:val="none"/>
        </w:rPr>
        <w:lastRenderedPageBreak/>
        <w:t xml:space="preserve">between block 259 – 333. If any further blocks were added those too would need to </w:t>
      </w:r>
      <w:r w:rsidR="00ED76A7" w:rsidRPr="00891F5D">
        <w:rPr>
          <w:rFonts w:ascii="Arial" w:eastAsiaTheme="minorHAnsi" w:hAnsi="Arial" w:cs="Arial"/>
          <w:kern w:val="0"/>
          <w:lang w:eastAsia="en-US"/>
          <w14:ligatures w14:val="none"/>
        </w:rPr>
        <w:t>recalculate</w:t>
      </w:r>
      <w:r w:rsidRPr="00891F5D">
        <w:rPr>
          <w:rFonts w:ascii="Arial" w:eastAsiaTheme="minorHAnsi" w:hAnsi="Arial" w:cs="Arial"/>
          <w:kern w:val="0"/>
          <w:lang w:eastAsia="en-US"/>
          <w14:ligatures w14:val="none"/>
        </w:rPr>
        <w:t xml:space="preserve"> thereby substantially increasing the workload of the fraudster (Applebaum and Neymar, 2017) i.e</w:t>
      </w:r>
      <w:r w:rsidRPr="00891F5D">
        <w:rPr>
          <w:rFonts w:ascii="Arial" w:eastAsiaTheme="minorHAnsi" w:hAnsi="Arial" w:cs="Arial"/>
          <w:b/>
          <w:bCs/>
          <w:i/>
          <w:iCs/>
          <w:kern w:val="0"/>
          <w:lang w:eastAsia="en-US"/>
          <w14:ligatures w14:val="none"/>
        </w:rPr>
        <w:t>. BC is a great deterrence to Accounting Fraud.</w:t>
      </w:r>
    </w:p>
    <w:p w14:paraId="7DAA4B3F" w14:textId="4E1D7932"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Yu et al (2018) wrote an important conceptual paper exploring the short and long run future of BCT. They argued that BC will be hampered in the short run due to cost, scalability and technical problems due to vast amounts of data. They suggest that sensitive accounting information could be observable to non-participants which may put off users and damage uptake. On the other </w:t>
      </w:r>
      <w:r w:rsidR="00ED76A7" w:rsidRPr="00891F5D">
        <w:rPr>
          <w:rFonts w:ascii="Arial" w:eastAsiaTheme="minorHAnsi" w:hAnsi="Arial" w:cs="Arial"/>
          <w:kern w:val="0"/>
          <w:lang w:eastAsia="en-US"/>
          <w14:ligatures w14:val="none"/>
        </w:rPr>
        <w:t>hand,</w:t>
      </w:r>
      <w:r w:rsidRPr="00891F5D">
        <w:rPr>
          <w:rFonts w:ascii="Arial" w:eastAsiaTheme="minorHAnsi" w:hAnsi="Arial" w:cs="Arial"/>
          <w:kern w:val="0"/>
          <w:lang w:eastAsia="en-US"/>
          <w14:ligatures w14:val="none"/>
        </w:rPr>
        <w:t xml:space="preserve"> even in the short run BC is an excellent solution for voluntary disclosure and reducing asymmetric information. In the long run Yu et al (2018) argue that BC will potentially have a very positive impact on financial reporting as it will help to reduce errors, improve quality, mitigate information asymmetry and reduce Accounting Fraud. (This will be further explored in the semi-structured interviews conducted with senior audit practitioners and subject matter experts). The researcher will now examine the potential impact of BC on audit beginning with a brief definition of audit. </w:t>
      </w:r>
    </w:p>
    <w:p w14:paraId="0915B5CA" w14:textId="77777777" w:rsid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shd w:val="clear" w:color="auto" w:fill="FFFFFF"/>
          <w:lang w:val="en-US" w:eastAsia="en-US"/>
          <w14:ligatures w14:val="none"/>
        </w:rPr>
        <w:t xml:space="preserve">An audit is a statutory examination that leads to an opinion as to the truth and fairness of financial statements (Whittington and Pany, 2012). Audit, inter alia, involves the examination of a company’s revenues, expenditure, review of the robustness and effectiveness of its systems, and compliance with internal and external controls. The economic context has already changed because the Internet, coupled with the digital transfer of money or cryptocurrencies through distributed ledgers, is potentially altering the way financial audits are executed. </w:t>
      </w:r>
      <w:r w:rsidRPr="00891F5D">
        <w:rPr>
          <w:rFonts w:ascii="Arial" w:eastAsiaTheme="minorHAnsi" w:hAnsi="Arial" w:cs="Arial"/>
          <w:kern w:val="0"/>
          <w:lang w:val="en-US" w:eastAsia="en-US"/>
          <w14:ligatures w14:val="none"/>
        </w:rPr>
        <w:t xml:space="preserve">BC is distributed ledger technology that produces an incorruptible ledger of blocks of information that can theoretically be anything from copyright information to financial transactions. Bitcoin was based on an </w:t>
      </w:r>
      <w:r w:rsidRPr="00891F5D">
        <w:rPr>
          <w:rFonts w:ascii="Arial" w:eastAsiaTheme="minorHAnsi" w:hAnsi="Arial" w:cs="Arial"/>
          <w:kern w:val="0"/>
          <w:lang w:val="en-US" w:eastAsia="en-US"/>
          <w14:ligatures w14:val="none"/>
        </w:rPr>
        <w:lastRenderedPageBreak/>
        <w:t>open access model so that anyone can possess a copy of the ledger and change it. (Rae, 2016)</w:t>
      </w:r>
    </w:p>
    <w:p w14:paraId="253D739F" w14:textId="77777777" w:rsidR="006674C2" w:rsidRPr="00891F5D" w:rsidRDefault="006674C2"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20EBAA47" w14:textId="77777777" w:rsidR="00891F5D" w:rsidRPr="00891F5D" w:rsidRDefault="00891F5D" w:rsidP="00891F5D">
      <w:pPr>
        <w:spacing w:after="200" w:line="480" w:lineRule="auto"/>
        <w:jc w:val="both"/>
        <w:rPr>
          <w:rFonts w:ascii="Arial" w:eastAsia="Times New Roman" w:hAnsi="Arial" w:cs="Arial"/>
          <w:b/>
          <w:bCs/>
          <w:kern w:val="0"/>
          <w:lang w:val="en-US" w:eastAsia="en-GB"/>
          <w14:ligatures w14:val="none"/>
        </w:rPr>
      </w:pPr>
      <w:r w:rsidRPr="00891F5D">
        <w:rPr>
          <w:rFonts w:ascii="Arial" w:eastAsia="Times New Roman" w:hAnsi="Arial" w:cs="Arial"/>
          <w:b/>
          <w:bCs/>
          <w:kern w:val="0"/>
          <w:lang w:val="en-US" w:eastAsia="en-GB"/>
          <w14:ligatures w14:val="none"/>
        </w:rPr>
        <w:t xml:space="preserve">According to Koshy et al (2014), peer-to-peer networking creates new audit challenges because technology has allowed corporations to cultivate </w:t>
      </w:r>
      <w:r w:rsidRPr="00891F5D">
        <w:rPr>
          <w:rFonts w:ascii="Arial" w:eastAsia="Times New Roman" w:hAnsi="Arial" w:cs="Arial"/>
          <w:b/>
          <w:bCs/>
          <w:i/>
          <w:kern w:val="0"/>
          <w:lang w:val="en-US" w:eastAsia="en-GB"/>
          <w14:ligatures w14:val="none"/>
        </w:rPr>
        <w:t>self-auditing and distributed ledgers that are potentially absolute and self-verifying,</w:t>
      </w:r>
      <w:r w:rsidRPr="00891F5D">
        <w:rPr>
          <w:rFonts w:ascii="Arial" w:eastAsia="Times New Roman" w:hAnsi="Arial" w:cs="Arial"/>
          <w:b/>
          <w:bCs/>
          <w:kern w:val="0"/>
          <w:lang w:val="en-US" w:eastAsia="en-GB"/>
          <w14:ligatures w14:val="none"/>
        </w:rPr>
        <w:t xml:space="preserve"> </w:t>
      </w:r>
      <w:r w:rsidRPr="00891F5D">
        <w:rPr>
          <w:rFonts w:ascii="Arial" w:eastAsia="Times New Roman" w:hAnsi="Arial" w:cs="Arial"/>
          <w:b/>
          <w:bCs/>
          <w:i/>
          <w:kern w:val="0"/>
          <w:lang w:val="en-US" w:eastAsia="en-GB"/>
          <w14:ligatures w14:val="none"/>
        </w:rPr>
        <w:t>thus dampening, if not potentially eradicating, the phenomenon of Accounting Fraud</w:t>
      </w:r>
      <w:r w:rsidRPr="00891F5D">
        <w:rPr>
          <w:rFonts w:ascii="Arial" w:eastAsia="Times New Roman" w:hAnsi="Arial" w:cs="Arial"/>
          <w:b/>
          <w:bCs/>
          <w:kern w:val="0"/>
          <w:lang w:val="en-US" w:eastAsia="en-GB"/>
          <w14:ligatures w14:val="none"/>
        </w:rPr>
        <w:t>.</w:t>
      </w:r>
    </w:p>
    <w:p w14:paraId="0BF0197F" w14:textId="77777777" w:rsidR="00891F5D" w:rsidRPr="00891F5D" w:rsidRDefault="00891F5D" w:rsidP="00891F5D">
      <w:pPr>
        <w:spacing w:after="200" w:line="480" w:lineRule="auto"/>
        <w:jc w:val="both"/>
        <w:rPr>
          <w:rFonts w:ascii="Arial" w:eastAsia="Times New Roman" w:hAnsi="Arial" w:cs="Arial"/>
          <w:kern w:val="0"/>
          <w:lang w:val="en-US" w:eastAsia="en-GB"/>
          <w14:ligatures w14:val="none"/>
        </w:rPr>
      </w:pPr>
      <w:r w:rsidRPr="00891F5D">
        <w:rPr>
          <w:rFonts w:ascii="Arial" w:eastAsia="Times New Roman" w:hAnsi="Arial" w:cs="Arial"/>
          <w:kern w:val="0"/>
          <w:lang w:val="en-US" w:eastAsia="en-GB"/>
          <w14:ligatures w14:val="none"/>
        </w:rPr>
        <w:t>Broby and Grieg (2017) argue that the current model of audit is insufficient to deal with the challenges posed by digital money transfer, storage, and distributed ledger technology. Contemporary audit techniques are not designed to handle the complexity of distributed ledgers, the multiple jurisdiction nature of money</w:t>
      </w:r>
      <w:bookmarkStart w:id="639" w:name="PreEditfn17"/>
      <w:r w:rsidRPr="00891F5D">
        <w:rPr>
          <w:rFonts w:ascii="Arial" w:eastAsia="Times New Roman" w:hAnsi="Arial" w:cs="Arial"/>
          <w:kern w:val="0"/>
          <w:lang w:val="en-US" w:eastAsia="en-GB"/>
          <w14:ligatures w14:val="none"/>
        </w:rPr>
        <w:t>/</w:t>
      </w:r>
      <w:bookmarkEnd w:id="639"/>
      <w:r w:rsidRPr="00891F5D">
        <w:rPr>
          <w:rFonts w:ascii="Arial" w:eastAsia="Times New Roman" w:hAnsi="Arial" w:cs="Arial"/>
          <w:kern w:val="0"/>
          <w:lang w:val="en-US" w:eastAsia="en-GB"/>
          <w14:ligatures w14:val="none"/>
        </w:rPr>
        <w:t>cryptocurrencies, and the time stamping of transactions. According to ISA 200, which</w:t>
      </w:r>
      <w:r w:rsidRPr="00891F5D">
        <w:rPr>
          <w:rFonts w:ascii="Arial" w:eastAsiaTheme="minorHAnsi" w:hAnsi="Arial" w:cs="Arial"/>
          <w:kern w:val="0"/>
          <w:shd w:val="clear" w:color="auto" w:fill="FFFFFF"/>
          <w:lang w:val="en-US" w:eastAsia="en-US"/>
          <w14:ligatures w14:val="none"/>
        </w:rPr>
        <w:t xml:space="preserve"> deals with the independent auditor’s overall responsibilities when conducting an audit of financial statements, </w:t>
      </w:r>
      <w:r w:rsidRPr="00891F5D">
        <w:rPr>
          <w:rFonts w:ascii="Arial" w:eastAsia="Times New Roman" w:hAnsi="Arial" w:cs="Arial"/>
          <w:kern w:val="0"/>
          <w:lang w:val="en-US" w:eastAsia="en-GB"/>
          <w14:ligatures w14:val="none"/>
        </w:rPr>
        <w:t>audit risk is the risk that the auditor expresses an inappropriate audit opinion when the financial statements are materially misstated, and in a distributed ledger this risk is further heightened but this dampened as noted earlier that BCT leads to self-regulating ledgers.</w:t>
      </w:r>
    </w:p>
    <w:p w14:paraId="150EDD5A" w14:textId="77777777" w:rsid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Companies are producing and analyzing ever more data, including from alternative sources such as social media. </w:t>
      </w:r>
      <w:r w:rsidRPr="00891F5D">
        <w:rPr>
          <w:rFonts w:ascii="Arial" w:eastAsiaTheme="minorHAnsi" w:hAnsi="Arial" w:cs="Arial"/>
          <w:iCs/>
          <w:kern w:val="0"/>
          <w:lang w:val="en-US" w:eastAsia="en-US"/>
          <w14:ligatures w14:val="none"/>
        </w:rPr>
        <w:t>This allows tech-savvy audit professionals to not only consider multiple financial and nonfinancial features of an organization but also provide useful insights, resulting in superior decision-making, better quality audits, and, ultimately, greater value for their clients (KPMG, 2017</w:t>
      </w:r>
      <w:r w:rsidRPr="00891F5D">
        <w:rPr>
          <w:rFonts w:ascii="Arial" w:eastAsiaTheme="minorHAnsi" w:hAnsi="Arial" w:cs="Arial"/>
          <w:i/>
          <w:kern w:val="0"/>
          <w:lang w:val="en-US" w:eastAsia="en-US"/>
          <w14:ligatures w14:val="none"/>
        </w:rPr>
        <w:t>).</w:t>
      </w:r>
      <w:r w:rsidRPr="00891F5D">
        <w:rPr>
          <w:rFonts w:ascii="Arial" w:eastAsiaTheme="minorHAnsi" w:hAnsi="Arial" w:cs="Arial"/>
          <w:kern w:val="0"/>
          <w:lang w:val="en-US" w:eastAsia="en-US"/>
          <w14:ligatures w14:val="none"/>
        </w:rPr>
        <w:t xml:space="preserve"> At the heart of these changes is the vast amount of data that the auditors and antifraud professionals need </w:t>
      </w:r>
      <w:r w:rsidRPr="00891F5D">
        <w:rPr>
          <w:rFonts w:ascii="Arial" w:eastAsiaTheme="minorHAnsi" w:hAnsi="Arial" w:cs="Arial"/>
          <w:kern w:val="0"/>
          <w:lang w:val="en-US" w:eastAsia="en-US"/>
          <w14:ligatures w14:val="none"/>
        </w:rPr>
        <w:lastRenderedPageBreak/>
        <w:t xml:space="preserve">to utilize. The growing volume of multivariate sources of data, which includes audio, visual, text, and video, demand greater storage capacity (Cao et al, 2015). </w:t>
      </w:r>
    </w:p>
    <w:p w14:paraId="61473CF5" w14:textId="77777777" w:rsidR="00B33F0B" w:rsidRPr="00891F5D" w:rsidRDefault="00B33F0B"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764E92B8" w14:textId="77777777" w:rsidR="00891F5D" w:rsidRPr="00891F5D" w:rsidRDefault="00891F5D" w:rsidP="00891F5D">
      <w:pPr>
        <w:autoSpaceDE w:val="0"/>
        <w:autoSpaceDN w:val="0"/>
        <w:adjustRightInd w:val="0"/>
        <w:spacing w:after="0" w:line="480" w:lineRule="auto"/>
        <w:jc w:val="both"/>
        <w:rPr>
          <w:rFonts w:ascii="Arial" w:eastAsiaTheme="minorHAnsi" w:hAnsi="Arial" w:cs="Arial"/>
          <w:b/>
          <w:bCs/>
          <w:i/>
          <w:kern w:val="0"/>
          <w:lang w:val="en-US" w:eastAsia="en-US"/>
          <w14:ligatures w14:val="none"/>
        </w:rPr>
      </w:pPr>
      <w:r w:rsidRPr="00891F5D">
        <w:rPr>
          <w:rFonts w:ascii="Arial" w:eastAsiaTheme="minorHAnsi" w:hAnsi="Arial" w:cs="Arial"/>
          <w:kern w:val="0"/>
          <w:lang w:val="en-US" w:eastAsia="en-US"/>
          <w14:ligatures w14:val="none"/>
        </w:rPr>
        <w:t>Mayer-Schönberger and Cukier (2013) refer to a socioeconomic environment where everything can be recorded, quantified, and captured digitally and turned into data, as “datafication.” The result of “datafication” has been the emergence of “Big Data” (BD), a term used to describe large populations of data sets whose size is beyond the scope of regular database software tools to capture, store, manage and analyze (</w:t>
      </w:r>
      <w:proofErr w:type="spellStart"/>
      <w:r w:rsidRPr="00891F5D">
        <w:rPr>
          <w:rFonts w:ascii="Arial" w:eastAsiaTheme="minorHAnsi" w:hAnsi="Arial" w:cs="Arial"/>
          <w:kern w:val="0"/>
          <w:lang w:val="en-US" w:eastAsia="en-US"/>
          <w14:ligatures w14:val="none"/>
        </w:rPr>
        <w:t>Mckinsey</w:t>
      </w:r>
      <w:proofErr w:type="spellEnd"/>
      <w:r w:rsidRPr="00891F5D">
        <w:rPr>
          <w:rFonts w:ascii="Arial" w:eastAsiaTheme="minorHAnsi" w:hAnsi="Arial" w:cs="Arial"/>
          <w:kern w:val="0"/>
          <w:lang w:val="en-US" w:eastAsia="en-US"/>
          <w14:ligatures w14:val="none"/>
        </w:rPr>
        <w:t xml:space="preserve">, 2011). BD is also characterized by specific qualities, termed as the four “Vs,” namely, massive volume or size of the database, high velocity of data added on a continuous basis, large variety of data, and the uncertain veracity of data (IBM, 2012). Big Data analytics (BDA) yields immense opportunities for improvement such as a shift away from “data sampling.” </w:t>
      </w:r>
      <w:r w:rsidRPr="00891F5D">
        <w:rPr>
          <w:rFonts w:ascii="Arial" w:eastAsiaTheme="minorHAnsi" w:hAnsi="Arial" w:cs="Arial"/>
          <w:b/>
          <w:bCs/>
          <w:i/>
          <w:kern w:val="0"/>
          <w:lang w:val="en-US" w:eastAsia="en-US"/>
          <w14:ligatures w14:val="none"/>
        </w:rPr>
        <w:t>Hence, auditors professionals would utilize “all” datasets, including those from comparatively messy data sets, and concentrate on correlation rather than causation, creating a major paradigm shift compared with the current audit process. (Cao et al. 2015)</w:t>
      </w:r>
    </w:p>
    <w:p w14:paraId="3F5F928E"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484DAE79" w14:textId="240100B6" w:rsidR="00891F5D" w:rsidRPr="00891F5D" w:rsidRDefault="00891F5D" w:rsidP="006674C2">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As mentioned earlier, BC is a distributed ledger database that keeps a continuously growing list of transactional records arranged into blocks with various safeguards against manipulation and revision (KPMG, 2016A). The potential uses of BC are diverse and their effects so far-reaching that some commentators such as Lansiti and Lakhani (2017) have termed it “foundational technology” because it has the potential to produce new foundations for socioeconomic systems and even ‘’Internet 2.0” (Tapscott and Tapscott, 2016). It is even argued that in the future, BC technology will lead to complete financial disintermediation (Gupta, 2017).</w:t>
      </w:r>
    </w:p>
    <w:p w14:paraId="672B3A56"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lastRenderedPageBreak/>
        <w:t>The threat from BC has been acknowledged by many world-class financial institutions such as BNY Mellon, UBS, and the “Big 4” accounting firms, which are heavily investing in BC-related projects, even start-ups, to stay ahead of the curve and leverage this emergent technology to their benefit rather becoming a casualty of it. External audit can be lengthy, costly, and inefficient. Auditors usually spend their time undertaking repetitive and menial tasks that add little or no value to the process. BC technology ensures the efficiency and reliability of audit by supplying a real-time, auditable log of ordered evidence of events that are immutable and immediately accessible (Digital Asset, 2016). When a transaction is recorded in the BC and established by subsequent blocks, it becomes a permanent part of the ledger and is accepted as legitimate by all actors in the BC network. This will allow easier and faster audit assurance, which will only increase as the technology improves and becomes more widespread. BC technology should allow auditors to automatically verify or authenticate greater sections of the most sensitive data that underpin the financial statements. The researcher believes all these advances are also beneficial to auditors because they can rely on the BC-based ledger and focus their effort and resources on the actors and relationships in the BC networks as most Accounting Fraud has an element of management override and collusion.</w:t>
      </w:r>
    </w:p>
    <w:p w14:paraId="0069E20B"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79116994"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This would significantly drive the cost and time necessary to undertake an audit and fraud investigation without jeopardizing data security or integrity, because data would be available only to trusted third parties (Deloitte, 2016 a; PwC, 2017). Many “Big 4” clients use advanced Enterprise Resource Planning systems, thus enabling auditors to take advantage of BDA capabilities without being forced to develop new skills Brown-Liburd, Issa and Lombardi, 2015; Alles, 2015). </w:t>
      </w:r>
      <w:r w:rsidRPr="00891F5D">
        <w:rPr>
          <w:rFonts w:ascii="Arial" w:eastAsiaTheme="minorHAnsi" w:hAnsi="Arial" w:cs="Arial"/>
          <w:kern w:val="0"/>
          <w:lang w:val="en-US" w:eastAsia="en-US"/>
          <w14:ligatures w14:val="none"/>
        </w:rPr>
        <w:t xml:space="preserve">This benefit is enhanced </w:t>
      </w:r>
      <w:r w:rsidRPr="00891F5D">
        <w:rPr>
          <w:rFonts w:ascii="Arial" w:eastAsiaTheme="minorHAnsi" w:hAnsi="Arial" w:cs="Arial"/>
          <w:kern w:val="0"/>
          <w:lang w:val="en-US" w:eastAsia="en-US"/>
          <w14:ligatures w14:val="none"/>
        </w:rPr>
        <w:lastRenderedPageBreak/>
        <w:t xml:space="preserve">through partnerships between audit firms, financial institutions, IT firms, BD solutions companies, and BC initiatives. The following collaborations between the audit profession and stakeholders such as IT companies (e.g., Hyperledger Project and Data Alliance Collaborative) have resulted in reliable analytical tools and open-source BC frameworks that will reduce costs </w:t>
      </w:r>
      <w:r w:rsidRPr="00891F5D">
        <w:rPr>
          <w:rFonts w:ascii="Arial" w:eastAsiaTheme="minorHAnsi" w:hAnsi="Arial" w:cs="Arial"/>
          <w:kern w:val="0"/>
          <w:lang w:eastAsia="en-US"/>
          <w14:ligatures w14:val="none"/>
        </w:rPr>
        <w:t>(Brown-Liburd, Issa and Lombardi, 2015; PwC, 2017; Hyperledger, 2016; Digital asset, 2016).</w:t>
      </w:r>
    </w:p>
    <w:p w14:paraId="2C0C4BB4"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6EC100B2"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The quality of audit can be enhanced through BC technology and BDA in several ways. Current audit analytical methods occasionally produce many false positive results that cannot be physically investigated by auditors owing to information overload </w:t>
      </w:r>
      <w:r w:rsidRPr="00891F5D">
        <w:rPr>
          <w:rFonts w:ascii="Arial" w:eastAsiaTheme="minorHAnsi" w:hAnsi="Arial" w:cs="Arial"/>
          <w:kern w:val="0"/>
          <w:lang w:eastAsia="en-US"/>
          <w14:ligatures w14:val="none"/>
        </w:rPr>
        <w:t>(Cao et al, 2015)</w:t>
      </w:r>
      <w:r w:rsidRPr="00891F5D">
        <w:rPr>
          <w:rFonts w:ascii="Arial" w:eastAsiaTheme="minorHAnsi" w:hAnsi="Arial" w:cs="Arial"/>
          <w:kern w:val="0"/>
          <w:lang w:val="en-US" w:eastAsia="en-US"/>
          <w14:ligatures w14:val="none"/>
        </w:rPr>
        <w:t>. However, BDA techniques can significantly reduce the number of false positive results because they identify anomalies and exceptions, along with better systems of ranking, which would also be useful to fraud investigators. BDA will allow auditors to look at entire data populations rather than relying on small sample sizes. The data</w:t>
      </w:r>
      <w:bookmarkStart w:id="640" w:name="PreEditfn19"/>
      <w:r w:rsidRPr="00891F5D">
        <w:rPr>
          <w:rFonts w:ascii="Arial" w:eastAsiaTheme="minorHAnsi" w:hAnsi="Arial" w:cs="Arial"/>
          <w:kern w:val="0"/>
          <w:lang w:val="en-US" w:eastAsia="en-US"/>
          <w14:ligatures w14:val="none"/>
        </w:rPr>
        <w:t>/</w:t>
      </w:r>
      <w:bookmarkEnd w:id="640"/>
      <w:r w:rsidRPr="00891F5D">
        <w:rPr>
          <w:rFonts w:ascii="Arial" w:eastAsiaTheme="minorHAnsi" w:hAnsi="Arial" w:cs="Arial"/>
          <w:kern w:val="0"/>
          <w:lang w:val="en-US" w:eastAsia="en-US"/>
          <w14:ligatures w14:val="none"/>
        </w:rPr>
        <w:t xml:space="preserve">transactions recorded in BC technology </w:t>
      </w:r>
      <w:r w:rsidRPr="00891F5D">
        <w:rPr>
          <w:rFonts w:ascii="Arial" w:eastAsiaTheme="minorHAnsi" w:hAnsi="Arial" w:cs="Arial"/>
          <w:iCs/>
          <w:kern w:val="0"/>
          <w:lang w:val="en-US" w:eastAsia="en-US"/>
          <w14:ligatures w14:val="none"/>
        </w:rPr>
        <w:t>are</w:t>
      </w:r>
      <w:r w:rsidRPr="00891F5D">
        <w:rPr>
          <w:rFonts w:ascii="Arial" w:eastAsiaTheme="minorHAnsi" w:hAnsi="Arial" w:cs="Arial"/>
          <w:i/>
          <w:iCs/>
          <w:kern w:val="0"/>
          <w:lang w:val="en-US" w:eastAsia="en-US"/>
          <w14:ligatures w14:val="none"/>
        </w:rPr>
        <w:t xml:space="preserve"> </w:t>
      </w:r>
      <w:r w:rsidRPr="00891F5D">
        <w:rPr>
          <w:rFonts w:ascii="Arial" w:eastAsiaTheme="minorHAnsi" w:hAnsi="Arial" w:cs="Arial"/>
          <w:kern w:val="0"/>
          <w:lang w:val="en-US" w:eastAsia="en-US"/>
          <w14:ligatures w14:val="none"/>
        </w:rPr>
        <w:t>indelible, thereby minimizing the risk of error and preventing data redundancy (PwC, 2017). In a BC system the integrity of data can be proven rapidly and simply (Deloitte, 2016a).</w:t>
      </w:r>
    </w:p>
    <w:p w14:paraId="7D44915D"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4A89A1C8" w14:textId="142948B0" w:rsid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It is important to note that the BC and BDA techniques will not dampen the auditor’s use of professional judgment and professional skepticism. Instead, an auditor will be able to acquire a multifaceted understanding of the financial reporting system, which should heighten the quality of work and create value for the client (IAASB, 2016)</w:t>
      </w:r>
      <w:r w:rsidR="00B33F0B">
        <w:rPr>
          <w:rFonts w:ascii="Arial" w:eastAsiaTheme="minorHAnsi" w:hAnsi="Arial" w:cs="Arial"/>
          <w:kern w:val="0"/>
          <w:lang w:val="en-US" w:eastAsia="en-US"/>
          <w14:ligatures w14:val="none"/>
        </w:rPr>
        <w:t>.</w:t>
      </w:r>
    </w:p>
    <w:p w14:paraId="4F163C1F" w14:textId="77777777" w:rsidR="00B33F0B" w:rsidRPr="00891F5D" w:rsidRDefault="00B33F0B"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1D105F62" w14:textId="0096092D"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Business risk assessment (of the client) has always been an important part of the audit process. Thus, 60 percent of participants in a KPMG (2017) study believe that audits </w:t>
      </w:r>
      <w:r w:rsidRPr="00891F5D">
        <w:rPr>
          <w:rFonts w:ascii="Arial" w:eastAsiaTheme="minorHAnsi" w:hAnsi="Arial" w:cs="Arial"/>
          <w:kern w:val="0"/>
          <w:lang w:val="en-US" w:eastAsia="en-US"/>
          <w14:ligatures w14:val="none"/>
        </w:rPr>
        <w:lastRenderedPageBreak/>
        <w:t xml:space="preserve">should ascertain the client’s business risks. The use of BDA allows auditors to study large data sets more effectively and efficiently, which informs the risk assessment undertaken during the </w:t>
      </w:r>
      <w:r w:rsidR="00ED76A7" w:rsidRPr="00891F5D">
        <w:rPr>
          <w:rFonts w:ascii="Arial" w:eastAsiaTheme="minorHAnsi" w:hAnsi="Arial" w:cs="Arial"/>
          <w:kern w:val="0"/>
          <w:lang w:val="en-US" w:eastAsia="en-US"/>
          <w14:ligatures w14:val="none"/>
        </w:rPr>
        <w:t>preliminary stages</w:t>
      </w:r>
      <w:r w:rsidRPr="00891F5D">
        <w:rPr>
          <w:rFonts w:ascii="Arial" w:eastAsiaTheme="minorHAnsi" w:hAnsi="Arial" w:cs="Arial"/>
          <w:kern w:val="0"/>
          <w:lang w:val="en-US" w:eastAsia="en-US"/>
          <w14:ligatures w14:val="none"/>
        </w:rPr>
        <w:t xml:space="preserve"> of the audit or investigation, allowing effective planning, especially audit planning (IAASB, 2016). It is argued by</w:t>
      </w:r>
      <w:r w:rsidRPr="00891F5D">
        <w:rPr>
          <w:rFonts w:ascii="Arial" w:eastAsiaTheme="minorHAnsi" w:hAnsi="Arial" w:cs="Arial"/>
          <w:kern w:val="0"/>
          <w:lang w:eastAsia="en-US"/>
          <w14:ligatures w14:val="none"/>
        </w:rPr>
        <w:t xml:space="preserve"> Dzuranin and Mălăescu (2016) </w:t>
      </w:r>
      <w:r w:rsidRPr="00891F5D">
        <w:rPr>
          <w:rFonts w:ascii="Arial" w:eastAsiaTheme="minorHAnsi" w:hAnsi="Arial" w:cs="Arial"/>
          <w:kern w:val="0"/>
          <w:lang w:val="en-US" w:eastAsia="en-US"/>
          <w14:ligatures w14:val="none"/>
        </w:rPr>
        <w:t xml:space="preserve">that it is important to exceed minimum compliance standards, and BDA can make this possible. BCT is particularly attractive for risk management and compliance when multiple </w:t>
      </w:r>
      <w:r w:rsidR="00ED76A7" w:rsidRPr="00891F5D">
        <w:rPr>
          <w:rFonts w:ascii="Arial" w:eastAsiaTheme="minorHAnsi" w:hAnsi="Arial" w:cs="Arial"/>
          <w:kern w:val="0"/>
          <w:lang w:val="en-US" w:eastAsia="en-US"/>
          <w14:ligatures w14:val="none"/>
        </w:rPr>
        <w:t>authorities</w:t>
      </w:r>
      <w:r w:rsidRPr="00891F5D">
        <w:rPr>
          <w:rFonts w:ascii="Arial" w:eastAsiaTheme="minorHAnsi" w:hAnsi="Arial" w:cs="Arial"/>
          <w:kern w:val="0"/>
          <w:lang w:val="en-US" w:eastAsia="en-US"/>
          <w14:ligatures w14:val="none"/>
        </w:rPr>
        <w:t xml:space="preserve"> are involved (Deloitte, 2016 c).</w:t>
      </w:r>
    </w:p>
    <w:p w14:paraId="1827F165"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4F646B69" w14:textId="77777777" w:rsid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Cao et al. (2015) highlight the following areas that will be positively impacted by BDA and BC technology, namely, identifying and ascertaining risks connected with accepting or progressing an audit engagement; detecting and assessing the risks of material misstatement resulting from Accounting Fraud; identifying and considering the risks of material misstatement by understanding the organization, including its internal controls; executing substantive analytical techniques based on the auditor’s assessment of the risks of material misstatement and undertaking analytical techniques toward the end of the audit to help the auditor form an overall opinion or the fraud investigator being more confident in their investigation and findings. Therefore, BDA coupled with BC technology gives the auditor a more comprehensive picture of the financial reporting system based on bigger data sets and extensive testing in comparison with current practices (IAASB, 2016). On the other hand, BCT has many risks which will now be explored.</w:t>
      </w:r>
    </w:p>
    <w:p w14:paraId="5A796C11"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bookmarkStart w:id="641" w:name="LLL"/>
    </w:p>
    <w:bookmarkStart w:id="642" w:name="_Hlk145856291"/>
    <w:bookmarkStart w:id="643" w:name="BC9"/>
    <w:bookmarkStart w:id="644" w:name="A60"/>
    <w:bookmarkStart w:id="645" w:name="D73"/>
    <w:p w14:paraId="7F33A89B" w14:textId="5158CAB2" w:rsidR="00891F5D" w:rsidRPr="00891F5D" w:rsidRDefault="006D49FA" w:rsidP="007A4F08">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"C73"</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6D49FA">
        <w:rPr>
          <w:rStyle w:val="Hyperlink"/>
          <w:rFonts w:ascii="Arial" w:eastAsiaTheme="minorHAnsi" w:hAnsi="Arial" w:cs="Arial"/>
          <w:b/>
          <w:bCs/>
          <w:kern w:val="0"/>
          <w:lang w:val="en-US" w:eastAsia="en-US"/>
          <w14:ligatures w14:val="none"/>
        </w:rPr>
        <w:t xml:space="preserve">2.11.8 The </w:t>
      </w:r>
      <w:r w:rsidR="00891F5D" w:rsidRPr="006D49FA">
        <w:rPr>
          <w:rStyle w:val="Hyperlink"/>
          <w:rFonts w:ascii="Arial" w:eastAsiaTheme="minorHAnsi" w:hAnsi="Arial" w:cs="Arial"/>
          <w:b/>
          <w:bCs/>
          <w:kern w:val="0"/>
          <w:lang w:val="en-US" w:eastAsia="en-US"/>
          <w14:ligatures w14:val="none"/>
        </w:rPr>
        <w:t>Risks of BCT</w:t>
      </w:r>
      <w:r>
        <w:rPr>
          <w:rFonts w:ascii="Arial" w:eastAsiaTheme="minorHAnsi" w:hAnsi="Arial" w:cs="Arial"/>
          <w:b/>
          <w:bCs/>
          <w:kern w:val="0"/>
          <w:lang w:val="en-US" w:eastAsia="en-US"/>
          <w14:ligatures w14:val="none"/>
        </w:rPr>
        <w:fldChar w:fldCharType="end"/>
      </w:r>
    </w:p>
    <w:bookmarkEnd w:id="641"/>
    <w:bookmarkEnd w:id="642"/>
    <w:bookmarkEnd w:id="643"/>
    <w:bookmarkEnd w:id="644"/>
    <w:bookmarkEnd w:id="645"/>
    <w:p w14:paraId="7BD839BE" w14:textId="77777777" w:rsidR="00891F5D" w:rsidRPr="00891F5D" w:rsidRDefault="00891F5D" w:rsidP="007A4F08">
      <w:pPr>
        <w:autoSpaceDE w:val="0"/>
        <w:autoSpaceDN w:val="0"/>
        <w:adjustRightInd w:val="0"/>
        <w:spacing w:after="0" w:line="240" w:lineRule="auto"/>
        <w:jc w:val="both"/>
        <w:rPr>
          <w:rFonts w:ascii="Arial" w:eastAsiaTheme="minorHAnsi" w:hAnsi="Arial" w:cs="Arial"/>
          <w:kern w:val="0"/>
          <w:lang w:val="en-US" w:eastAsia="en-US"/>
          <w14:ligatures w14:val="none"/>
        </w:rPr>
      </w:pPr>
    </w:p>
    <w:p w14:paraId="312C1C8B" w14:textId="775715BD"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As already noted, companies are processing </w:t>
      </w:r>
      <w:r w:rsidR="00ED76A7" w:rsidRPr="00891F5D">
        <w:rPr>
          <w:rFonts w:ascii="Arial" w:eastAsiaTheme="minorHAnsi" w:hAnsi="Arial" w:cs="Arial"/>
          <w:kern w:val="0"/>
          <w:lang w:val="en-US" w:eastAsia="en-US"/>
          <w14:ligatures w14:val="none"/>
        </w:rPr>
        <w:t>vast amounts</w:t>
      </w:r>
      <w:r w:rsidRPr="00891F5D">
        <w:rPr>
          <w:rFonts w:ascii="Arial" w:eastAsiaTheme="minorHAnsi" w:hAnsi="Arial" w:cs="Arial"/>
          <w:kern w:val="0"/>
          <w:lang w:val="en-US" w:eastAsia="en-US"/>
          <w14:ligatures w14:val="none"/>
        </w:rPr>
        <w:t xml:space="preserve"> of BD in terms of volume, velocity, variety, and veracity. However, the </w:t>
      </w:r>
      <w:r w:rsidR="00ED76A7" w:rsidRPr="00891F5D">
        <w:rPr>
          <w:rFonts w:ascii="Arial" w:eastAsiaTheme="minorHAnsi" w:hAnsi="Arial" w:cs="Arial"/>
          <w:kern w:val="0"/>
          <w:lang w:val="en-US" w:eastAsia="en-US"/>
          <w14:ligatures w14:val="none"/>
        </w:rPr>
        <w:t>endless</w:t>
      </w:r>
      <w:r w:rsidRPr="00891F5D">
        <w:rPr>
          <w:rFonts w:ascii="Arial" w:eastAsiaTheme="minorHAnsi" w:hAnsi="Arial" w:cs="Arial"/>
          <w:kern w:val="0"/>
          <w:lang w:val="en-US" w:eastAsia="en-US"/>
          <w14:ligatures w14:val="none"/>
        </w:rPr>
        <w:t xml:space="preserve"> data from multiple sources can </w:t>
      </w:r>
      <w:r w:rsidRPr="00891F5D">
        <w:rPr>
          <w:rFonts w:ascii="Arial" w:eastAsiaTheme="minorHAnsi" w:hAnsi="Arial" w:cs="Arial"/>
          <w:kern w:val="0"/>
          <w:lang w:val="en-US" w:eastAsia="en-US"/>
          <w14:ligatures w14:val="none"/>
        </w:rPr>
        <w:lastRenderedPageBreak/>
        <w:t>be of little credible use and unconnected. Therefore, auditors need to have a concrete understanding of the data they are analyzing and investigating. Zhang et al. (2015) indicate potential data gaps resulting in the use of BDA, data consistency, data integrity, data identification, data aggregation, and data confidentiality. These data gaps can cause many audit challenges, for example, auditing data with diverse formats or the identity of actors in the BC network (Zang et al, 2015).</w:t>
      </w:r>
    </w:p>
    <w:p w14:paraId="044FD758"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0604EC17"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Analysis of high-volume data sets can result in a large number of outliers for which the auditor may not have the requisite skills, time, or budget to fully investigate. Another urgent problem is the appropriate identification and adoption of BDA tools. This problem is compounded by the fact that auditors may not possess the necessary IT skills to analyse BD. This is forcing firms to significantly invest in the right BDA and attract and retain the best talent. Any operational savings accruing from BDA and BC technology will be offset by higher training costs or investing in data scientists (Golia, 2013; Inbar, 2013; Mansfield, 2013).</w:t>
      </w:r>
    </w:p>
    <w:p w14:paraId="05E1ECC6"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eastAsia="en-US"/>
          <w14:ligatures w14:val="none"/>
        </w:rPr>
      </w:pPr>
    </w:p>
    <w:p w14:paraId="4745272B"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Notwithstanding the assurance of unalterable, consistent, and distributed databases, BC technology faces specific data risks. Although consistency is ensured by the distributed ledger, this creates an expense every time it becomes necessary for a record to be checked with every other record to ensure it is unique, significantly increasing the time necessary to reach an agreement and corroborate the transaction (Deloitte, 2016 c).</w:t>
      </w:r>
    </w:p>
    <w:p w14:paraId="42FC8226"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6C19CA5D" w14:textId="2157B60B"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In a BD world, security, and privacy of data from multiple sources received from clients become even more important because a leak can spread </w:t>
      </w:r>
      <w:r w:rsidR="00ED76A7" w:rsidRPr="00891F5D">
        <w:rPr>
          <w:rFonts w:ascii="Arial" w:eastAsiaTheme="minorHAnsi" w:hAnsi="Arial" w:cs="Arial"/>
          <w:kern w:val="0"/>
          <w:lang w:val="en-US" w:eastAsia="en-US"/>
          <w14:ligatures w14:val="none"/>
        </w:rPr>
        <w:t>instantaneously</w:t>
      </w:r>
      <w:r w:rsidRPr="00891F5D">
        <w:rPr>
          <w:rFonts w:ascii="Arial" w:eastAsiaTheme="minorHAnsi" w:hAnsi="Arial" w:cs="Arial"/>
          <w:kern w:val="0"/>
          <w:lang w:val="en-US" w:eastAsia="en-US"/>
          <w14:ligatures w14:val="none"/>
        </w:rPr>
        <w:t xml:space="preserve">. </w:t>
      </w:r>
      <w:r w:rsidRPr="00891F5D">
        <w:rPr>
          <w:rFonts w:ascii="Arial" w:eastAsiaTheme="minorHAnsi" w:hAnsi="Arial" w:cs="Arial"/>
          <w:kern w:val="0"/>
          <w:lang w:val="en-US" w:eastAsia="en-US"/>
          <w14:ligatures w14:val="none"/>
        </w:rPr>
        <w:lastRenderedPageBreak/>
        <w:t xml:space="preserve">Organizations that upload their data to a BC system or even the cloud are exposed to an unknown or untrustworthy environment, making cybersecurity a major issue. The BC system is </w:t>
      </w:r>
      <w:r w:rsidR="00ED76A7" w:rsidRPr="00891F5D">
        <w:rPr>
          <w:rFonts w:ascii="Arial" w:eastAsiaTheme="minorHAnsi" w:hAnsi="Arial" w:cs="Arial"/>
          <w:kern w:val="0"/>
          <w:lang w:val="en-US" w:eastAsia="en-US"/>
          <w14:ligatures w14:val="none"/>
        </w:rPr>
        <w:t>complex</w:t>
      </w:r>
      <w:r w:rsidRPr="00891F5D">
        <w:rPr>
          <w:rFonts w:ascii="Arial" w:eastAsiaTheme="minorHAnsi" w:hAnsi="Arial" w:cs="Arial"/>
          <w:kern w:val="0"/>
          <w:lang w:val="en-US" w:eastAsia="en-US"/>
          <w14:ligatures w14:val="none"/>
        </w:rPr>
        <w:t>, and because audit firms lack IT</w:t>
      </w:r>
      <w:bookmarkStart w:id="646" w:name="PreEditfn21"/>
      <w:r w:rsidRPr="00891F5D">
        <w:rPr>
          <w:rFonts w:ascii="Arial" w:eastAsiaTheme="minorHAnsi" w:hAnsi="Arial" w:cs="Arial"/>
          <w:kern w:val="0"/>
          <w:lang w:val="en-US" w:eastAsia="en-US"/>
          <w14:ligatures w14:val="none"/>
        </w:rPr>
        <w:t>/</w:t>
      </w:r>
      <w:bookmarkEnd w:id="646"/>
      <w:r w:rsidRPr="00891F5D">
        <w:rPr>
          <w:rFonts w:ascii="Arial" w:eastAsiaTheme="minorHAnsi" w:hAnsi="Arial" w:cs="Arial"/>
          <w:kern w:val="0"/>
          <w:lang w:val="en-US" w:eastAsia="en-US"/>
          <w14:ligatures w14:val="none"/>
        </w:rPr>
        <w:t>IS</w:t>
      </w:r>
      <w:bookmarkStart w:id="647" w:name="PreEditfn22"/>
      <w:r w:rsidRPr="00891F5D">
        <w:rPr>
          <w:rFonts w:ascii="Arial" w:eastAsiaTheme="minorHAnsi" w:hAnsi="Arial" w:cs="Arial"/>
          <w:kern w:val="0"/>
          <w:lang w:val="en-US" w:eastAsia="en-US"/>
          <w14:ligatures w14:val="none"/>
        </w:rPr>
        <w:t>/</w:t>
      </w:r>
      <w:bookmarkEnd w:id="647"/>
      <w:r w:rsidRPr="00891F5D">
        <w:rPr>
          <w:rFonts w:ascii="Arial" w:eastAsiaTheme="minorHAnsi" w:hAnsi="Arial" w:cs="Arial"/>
          <w:kern w:val="0"/>
          <w:lang w:val="en-US" w:eastAsia="en-US"/>
          <w14:ligatures w14:val="none"/>
        </w:rPr>
        <w:t>Data Science expertise, they are reliant on BDA and BC third-party vendor solutions, exacerbating security and privacy concerns (Cao et al, 2015).</w:t>
      </w:r>
    </w:p>
    <w:p w14:paraId="34753477"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0F6A9B9D" w14:textId="4E255C52"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The provision of strong data encryption and supply of public and private keys is one </w:t>
      </w:r>
      <w:r w:rsidR="00ED76A7" w:rsidRPr="00891F5D">
        <w:rPr>
          <w:rFonts w:ascii="Arial" w:eastAsiaTheme="minorHAnsi" w:hAnsi="Arial" w:cs="Arial"/>
          <w:kern w:val="0"/>
          <w:lang w:val="en-US" w:eastAsia="en-US"/>
          <w14:ligatures w14:val="none"/>
        </w:rPr>
        <w:t>solution</w:t>
      </w:r>
      <w:r w:rsidRPr="00891F5D">
        <w:rPr>
          <w:rFonts w:ascii="Arial" w:eastAsiaTheme="minorHAnsi" w:hAnsi="Arial" w:cs="Arial"/>
          <w:kern w:val="0"/>
          <w:lang w:val="en-US" w:eastAsia="en-US"/>
          <w14:ligatures w14:val="none"/>
        </w:rPr>
        <w:t xml:space="preserve"> for security issues in the BC system. However, this creates another challenge, namely, the loss of private keys. Another significant security risk is the phenomenon of “double spending” that occurs when the data in the BC system has been compromised, which increases the chances of further breaches of security (KPMG, 2016 a).</w:t>
      </w:r>
    </w:p>
    <w:p w14:paraId="07E09C79"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4EDF778B"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Although International Standards on Audit state audit practices and there are Computer Assisted Audit Techniques, there is currently no framework for BDA or BC. This highlights the lack of standards or examples of good practice to which auditors or investigators can refer. This will become problematic as different BC systems are created and BDA becomes the norm, leading to protocol problems. Consequently, without a robust framework, auditors are heading into a professional minefield for which they are generally ill-equipped. Auditors will be unable to substantiate their judgments and techniques performed during the audit process (IAASB, 2016). There is also a high risk that ISAs do not adequately respond to rapid, constant technological enhancements (IAASB, 2016). In particular, the audit of BC technology has received little, if any, attention from audit regulators except a preliminary collaboration between Digital Asset Holdings, a BC-related start-up, and the Australian Securities Exchange </w:t>
      </w:r>
      <w:r w:rsidRPr="00891F5D">
        <w:rPr>
          <w:rFonts w:ascii="Arial" w:eastAsiaTheme="minorHAnsi" w:hAnsi="Arial" w:cs="Arial"/>
          <w:kern w:val="0"/>
          <w:lang w:val="en-US" w:eastAsia="en-US"/>
          <w14:ligatures w14:val="none"/>
        </w:rPr>
        <w:lastRenderedPageBreak/>
        <w:t>(Digital Asset, 2016). Moreover, 66 percent of respondents in a KPMG (2017) survey comprising chief executive officers, chief financial officers, and chief audit officers of big companies contended that the biggest challenge to enhancing the impact of audit is the regulatory environment. Other threats stemming from the use of advanced technologies are overreliance on data collecting and data analysis software solutions, overconfidence in the results of the performed data analysis and, consequently, development of confirmation bias, which negatively affects professional judgment and professional skepticism (IAASB, 2016).</w:t>
      </w:r>
    </w:p>
    <w:p w14:paraId="6DF9E211"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26628676" w14:textId="4EEDCA06"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In the new BC- and BDA-driven world, it is acknowledged that even testing 100 percent of a data population does not suggest that an auditor is able to supply more than a reasonable opinion (IAASB, 2016). A KPMG (2017) study found that approximately 80 percent of interviewed respondents believed that auditors should utilize higher population samples, and 78 percent believed that auditors should use more cutting-edge IT for data gathering, which is also applicable to fraud investigators. Brown-Liburd et al. (2015) indicated the limitations regarding the processing of information in a BD context, such as information overload and information relevance. In a BDA environment, information can be unstructured, resulting in poor judgments. Another damaging effect of </w:t>
      </w:r>
      <w:r w:rsidR="00ED76A7" w:rsidRPr="00891F5D">
        <w:rPr>
          <w:rFonts w:ascii="Arial" w:eastAsiaTheme="minorHAnsi" w:hAnsi="Arial" w:cs="Arial"/>
          <w:kern w:val="0"/>
          <w:lang w:val="en-US" w:eastAsia="en-US"/>
          <w14:ligatures w14:val="none"/>
        </w:rPr>
        <w:t>substantial amounts</w:t>
      </w:r>
      <w:r w:rsidRPr="00891F5D">
        <w:rPr>
          <w:rFonts w:ascii="Arial" w:eastAsiaTheme="minorHAnsi" w:hAnsi="Arial" w:cs="Arial"/>
          <w:kern w:val="0"/>
          <w:lang w:val="en-US" w:eastAsia="en-US"/>
          <w14:ligatures w14:val="none"/>
        </w:rPr>
        <w:t xml:space="preserve"> of data is the tendency of auditors not to ignore irrelevant information. A dangerous effect known as the “dilution effect” can arise whereby higher levels of irrelevant information have been shown to dampen decision makers’ ability to identify relevant information (Hodge and Reid, 1971; Well, 1971). The “dilution effect” is particularly relevant in an audit context, because auditors must choose which items are more important for their audit judgments from a large spectrum of information even if they are targeting one area of a financial statement. Therefore, </w:t>
      </w:r>
      <w:r w:rsidRPr="00891F5D">
        <w:rPr>
          <w:rFonts w:ascii="Arial" w:eastAsiaTheme="minorHAnsi" w:hAnsi="Arial" w:cs="Arial"/>
          <w:kern w:val="0"/>
          <w:lang w:val="en-US" w:eastAsia="en-US"/>
          <w14:ligatures w14:val="none"/>
        </w:rPr>
        <w:lastRenderedPageBreak/>
        <w:t>in a BD and BC world, this becomes even more problematic, and auditors and investigators uncomfortable with the multivariate or unstructured nature of BD may avoid ambiguous information, which may result in poor audit opinions or incomplete</w:t>
      </w:r>
      <w:bookmarkStart w:id="648" w:name="PreEditfn23"/>
      <w:r w:rsidRPr="00891F5D">
        <w:rPr>
          <w:rFonts w:ascii="Arial" w:eastAsiaTheme="minorHAnsi" w:hAnsi="Arial" w:cs="Arial"/>
          <w:kern w:val="0"/>
          <w:lang w:val="en-US" w:eastAsia="en-US"/>
          <w14:ligatures w14:val="none"/>
        </w:rPr>
        <w:t>/</w:t>
      </w:r>
      <w:bookmarkEnd w:id="648"/>
      <w:r w:rsidRPr="00891F5D">
        <w:rPr>
          <w:rFonts w:ascii="Arial" w:eastAsiaTheme="minorHAnsi" w:hAnsi="Arial" w:cs="Arial"/>
          <w:kern w:val="0"/>
          <w:lang w:val="en-US" w:eastAsia="en-US"/>
          <w14:ligatures w14:val="none"/>
        </w:rPr>
        <w:t xml:space="preserve">flawed investigations. </w:t>
      </w:r>
    </w:p>
    <w:p w14:paraId="2CCD2014"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5454767B"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val="en-US" w:eastAsia="en-US"/>
          <w14:ligatures w14:val="none"/>
        </w:rPr>
        <w:t xml:space="preserve">Despite significant challenges from the nascent technology of BC it will be demonstrated that the gains far outweigh the threats. </w:t>
      </w:r>
      <w:r w:rsidRPr="00891F5D">
        <w:rPr>
          <w:rFonts w:ascii="Arial" w:eastAsiaTheme="minorHAnsi" w:hAnsi="Arial" w:cs="Arial"/>
          <w:kern w:val="0"/>
          <w:lang w:eastAsia="en-US"/>
          <w14:ligatures w14:val="none"/>
        </w:rPr>
        <w:t>Coyne and McMickle (2017) argue that BC may dampen confidentiality as on a ‘public BC’ all accounting information is publicly available although this could be resolved with ‘private BCs’ and permission rights facilitating limited access.</w:t>
      </w:r>
    </w:p>
    <w:p w14:paraId="47523702"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381517E7" w14:textId="292165DC" w:rsidR="00891F5D" w:rsidRPr="00891F5D" w:rsidRDefault="00891F5D" w:rsidP="00891F5D">
      <w:pPr>
        <w:spacing w:line="480" w:lineRule="auto"/>
        <w:jc w:val="both"/>
        <w:rPr>
          <w:rFonts w:ascii="Arial" w:eastAsiaTheme="minorHAnsi" w:hAnsi="Arial" w:cs="Arial"/>
          <w:b/>
          <w:bCs/>
          <w:kern w:val="0"/>
          <w:lang w:eastAsia="en-US"/>
          <w14:ligatures w14:val="none"/>
        </w:rPr>
      </w:pPr>
      <w:r w:rsidRPr="00891F5D">
        <w:rPr>
          <w:rFonts w:ascii="Arial" w:eastAsiaTheme="minorHAnsi" w:hAnsi="Arial" w:cs="Arial"/>
          <w:kern w:val="0"/>
          <w:lang w:eastAsia="en-US"/>
          <w14:ligatures w14:val="none"/>
        </w:rPr>
        <w:t xml:space="preserve">It is argued that the major deficiency of BC is the 51 percent attack (Coyne and McMickle, 2017). This is possible when a participant on the BC controls over 51 % of the hash rate of the entire network allowing then to begin altering immutable information although this can be mitigated through a permissioned BC (Ruckeshauser, 2017). Coyne and McMickle (2017) highlight that BCs cannot differentiate between real and fake information. </w:t>
      </w:r>
      <w:r w:rsidR="00ED76A7" w:rsidRPr="00891F5D">
        <w:rPr>
          <w:rFonts w:ascii="Arial" w:eastAsiaTheme="minorHAnsi" w:hAnsi="Arial" w:cs="Arial"/>
          <w:kern w:val="0"/>
          <w:lang w:eastAsia="en-US"/>
          <w14:ligatures w14:val="none"/>
        </w:rPr>
        <w:t>Consequently,</w:t>
      </w:r>
      <w:r w:rsidRPr="00891F5D">
        <w:rPr>
          <w:rFonts w:ascii="Arial" w:eastAsiaTheme="minorHAnsi" w:hAnsi="Arial" w:cs="Arial"/>
          <w:kern w:val="0"/>
          <w:lang w:eastAsia="en-US"/>
          <w14:ligatures w14:val="none"/>
        </w:rPr>
        <w:t xml:space="preserve"> the Big 4 firm Deloitte (2016) has stated that auditors must collect information other than BC transactions to arrive at an opinion. </w:t>
      </w:r>
      <w:r w:rsidRPr="00891F5D">
        <w:rPr>
          <w:rFonts w:ascii="Arial" w:eastAsiaTheme="minorHAnsi" w:hAnsi="Arial" w:cs="Arial"/>
          <w:b/>
          <w:bCs/>
          <w:kern w:val="0"/>
          <w:lang w:eastAsia="en-US"/>
          <w14:ligatures w14:val="none"/>
        </w:rPr>
        <w:t xml:space="preserve">For </w:t>
      </w:r>
      <w:r w:rsidR="00ED76A7" w:rsidRPr="00891F5D">
        <w:rPr>
          <w:rFonts w:ascii="Arial" w:eastAsiaTheme="minorHAnsi" w:hAnsi="Arial" w:cs="Arial"/>
          <w:b/>
          <w:bCs/>
          <w:kern w:val="0"/>
          <w:lang w:eastAsia="en-US"/>
          <w14:ligatures w14:val="none"/>
        </w:rPr>
        <w:t>example,</w:t>
      </w:r>
      <w:r w:rsidRPr="00891F5D">
        <w:rPr>
          <w:rFonts w:ascii="Arial" w:eastAsiaTheme="minorHAnsi" w:hAnsi="Arial" w:cs="Arial"/>
          <w:b/>
          <w:bCs/>
          <w:kern w:val="0"/>
          <w:lang w:eastAsia="en-US"/>
          <w14:ligatures w14:val="none"/>
        </w:rPr>
        <w:t xml:space="preserve"> something is purchased and paid for through a crypto currency, the transaction is recorded on the BC, but an auditor would not be able to establish whether the product was delivered and crucially whether the transaction is legitimate. This violates the whole ethos of BCT i.e. Trust less but again tokenising transactions could resolve this issue.</w:t>
      </w:r>
    </w:p>
    <w:p w14:paraId="726FF1A5" w14:textId="55850B80" w:rsidR="007A4F08" w:rsidRPr="00891F5D" w:rsidRDefault="00891F5D" w:rsidP="006674C2">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lastRenderedPageBreak/>
        <w:t>Coyne and McMickle (2017) argue that BC may dampen confidentiality as on a ‘public BC’ all accounting information is publicly available although this could be resolved with ‘private BCs’ and permission rights facilitating limited access.</w:t>
      </w:r>
    </w:p>
    <w:bookmarkStart w:id="649" w:name="A61"/>
    <w:bookmarkStart w:id="650" w:name="_Hlk145856312"/>
    <w:bookmarkStart w:id="651" w:name="MMM"/>
    <w:bookmarkStart w:id="652" w:name="BC10"/>
    <w:bookmarkStart w:id="653" w:name="D74"/>
    <w:p w14:paraId="3DDEC147" w14:textId="614D415B" w:rsidR="00891F5D" w:rsidRPr="00891F5D" w:rsidRDefault="006D49FA" w:rsidP="007A4F08">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both"/>
        <w:rPr>
          <w:rFonts w:ascii="Arial" w:eastAsiaTheme="minorHAnsi" w:hAnsi="Arial" w:cs="Arial"/>
          <w:b/>
          <w:bCs/>
          <w:kern w:val="0"/>
          <w:lang w:val="en-US" w:eastAsia="en-US"/>
          <w14:ligatures w14:val="none"/>
        </w:rPr>
      </w:pPr>
      <w:r>
        <w:rPr>
          <w:rFonts w:ascii="Arial" w:eastAsiaTheme="minorHAnsi" w:hAnsi="Arial" w:cs="Arial"/>
          <w:b/>
          <w:bCs/>
          <w:kern w:val="0"/>
          <w:lang w:val="en-US" w:eastAsia="en-US"/>
          <w14:ligatures w14:val="none"/>
        </w:rPr>
        <w:fldChar w:fldCharType="begin"/>
      </w:r>
      <w:r>
        <w:rPr>
          <w:rFonts w:ascii="Arial" w:eastAsiaTheme="minorHAnsi" w:hAnsi="Arial" w:cs="Arial"/>
          <w:b/>
          <w:bCs/>
          <w:kern w:val="0"/>
          <w:lang w:val="en-US" w:eastAsia="en-US"/>
          <w14:ligatures w14:val="none"/>
        </w:rPr>
        <w:instrText>HYPERLINK  \l "C74"</w:instrText>
      </w:r>
      <w:r>
        <w:rPr>
          <w:rFonts w:ascii="Arial" w:eastAsiaTheme="minorHAnsi" w:hAnsi="Arial" w:cs="Arial"/>
          <w:b/>
          <w:bCs/>
          <w:kern w:val="0"/>
          <w:lang w:val="en-US" w:eastAsia="en-US"/>
          <w14:ligatures w14:val="none"/>
        </w:rPr>
      </w:r>
      <w:r>
        <w:rPr>
          <w:rFonts w:ascii="Arial" w:eastAsiaTheme="minorHAnsi" w:hAnsi="Arial" w:cs="Arial"/>
          <w:b/>
          <w:bCs/>
          <w:kern w:val="0"/>
          <w:lang w:val="en-US" w:eastAsia="en-US"/>
          <w14:ligatures w14:val="none"/>
        </w:rPr>
        <w:fldChar w:fldCharType="separate"/>
      </w:r>
      <w:r w:rsidR="00891F5D" w:rsidRPr="006D49FA">
        <w:rPr>
          <w:rStyle w:val="Hyperlink"/>
          <w:rFonts w:ascii="Arial" w:eastAsiaTheme="minorHAnsi" w:hAnsi="Arial" w:cs="Arial"/>
          <w:b/>
          <w:bCs/>
          <w:kern w:val="0"/>
          <w:lang w:val="en-US" w:eastAsia="en-US"/>
          <w14:ligatures w14:val="none"/>
        </w:rPr>
        <w:t>2.11.9 Responding to the Challenges of BC</w:t>
      </w:r>
      <w:r>
        <w:rPr>
          <w:rFonts w:ascii="Arial" w:eastAsiaTheme="minorHAnsi" w:hAnsi="Arial" w:cs="Arial"/>
          <w:b/>
          <w:bCs/>
          <w:kern w:val="0"/>
          <w:lang w:val="en-US" w:eastAsia="en-US"/>
          <w14:ligatures w14:val="none"/>
        </w:rPr>
        <w:fldChar w:fldCharType="end"/>
      </w:r>
      <w:r w:rsidR="00891F5D" w:rsidRPr="00891F5D">
        <w:rPr>
          <w:rFonts w:ascii="Arial" w:eastAsiaTheme="minorHAnsi" w:hAnsi="Arial" w:cs="Arial"/>
          <w:b/>
          <w:bCs/>
          <w:kern w:val="0"/>
          <w:lang w:val="en-US" w:eastAsia="en-US"/>
          <w14:ligatures w14:val="none"/>
        </w:rPr>
        <w:t xml:space="preserve"> </w:t>
      </w:r>
      <w:bookmarkEnd w:id="649"/>
    </w:p>
    <w:bookmarkEnd w:id="650"/>
    <w:bookmarkEnd w:id="651"/>
    <w:bookmarkEnd w:id="652"/>
    <w:bookmarkEnd w:id="653"/>
    <w:p w14:paraId="25A9867A" w14:textId="77777777" w:rsidR="00891F5D" w:rsidRPr="00891F5D" w:rsidRDefault="00891F5D" w:rsidP="007A4F08">
      <w:pPr>
        <w:autoSpaceDE w:val="0"/>
        <w:autoSpaceDN w:val="0"/>
        <w:adjustRightInd w:val="0"/>
        <w:spacing w:after="0" w:line="240" w:lineRule="auto"/>
        <w:jc w:val="both"/>
        <w:rPr>
          <w:rFonts w:ascii="Arial" w:eastAsiaTheme="minorHAnsi" w:hAnsi="Arial" w:cs="Arial"/>
          <w:kern w:val="0"/>
          <w:lang w:val="en-US" w:eastAsia="en-US"/>
          <w14:ligatures w14:val="none"/>
        </w:rPr>
      </w:pPr>
    </w:p>
    <w:p w14:paraId="7398CD4F" w14:textId="0F4ADB5A"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 xml:space="preserve">A greater adoption of BDA and BC technology will potentially change auditing. Dai and </w:t>
      </w:r>
      <w:r w:rsidR="00333847" w:rsidRPr="00891F5D">
        <w:rPr>
          <w:rFonts w:ascii="Arial" w:eastAsiaTheme="minorHAnsi" w:hAnsi="Arial" w:cs="Arial"/>
          <w:kern w:val="0"/>
          <w:lang w:val="en-US" w:eastAsia="en-US"/>
          <w14:ligatures w14:val="none"/>
        </w:rPr>
        <w:t>Vaserhelyi</w:t>
      </w:r>
      <w:r w:rsidRPr="00891F5D">
        <w:rPr>
          <w:rFonts w:ascii="Arial" w:eastAsiaTheme="minorHAnsi" w:hAnsi="Arial" w:cs="Arial"/>
          <w:kern w:val="0"/>
          <w:lang w:val="en-US" w:eastAsia="en-US"/>
          <w14:ligatures w14:val="none"/>
        </w:rPr>
        <w:t xml:space="preserve"> (2016) argue that not only will audit techniques become automated, but their scope will widen, resulting in the shortening of professional assignments, and this will </w:t>
      </w:r>
      <w:r w:rsidR="00ED76A7" w:rsidRPr="00891F5D">
        <w:rPr>
          <w:rFonts w:ascii="Arial" w:eastAsiaTheme="minorHAnsi" w:hAnsi="Arial" w:cs="Arial"/>
          <w:kern w:val="0"/>
          <w:lang w:val="en-US" w:eastAsia="en-US"/>
          <w14:ligatures w14:val="none"/>
        </w:rPr>
        <w:t>improve</w:t>
      </w:r>
      <w:r w:rsidRPr="00891F5D">
        <w:rPr>
          <w:rFonts w:ascii="Arial" w:eastAsiaTheme="minorHAnsi" w:hAnsi="Arial" w:cs="Arial"/>
          <w:kern w:val="0"/>
          <w:lang w:val="en-US" w:eastAsia="en-US"/>
          <w14:ligatures w14:val="none"/>
        </w:rPr>
        <w:t xml:space="preserve"> the general assurance quality. BDA will </w:t>
      </w:r>
      <w:r w:rsidR="00ED76A7" w:rsidRPr="00891F5D">
        <w:rPr>
          <w:rFonts w:ascii="Arial" w:eastAsiaTheme="minorHAnsi" w:hAnsi="Arial" w:cs="Arial"/>
          <w:kern w:val="0"/>
          <w:lang w:val="en-US" w:eastAsia="en-US"/>
          <w14:ligatures w14:val="none"/>
        </w:rPr>
        <w:t>reduce</w:t>
      </w:r>
      <w:r w:rsidRPr="00891F5D">
        <w:rPr>
          <w:rFonts w:ascii="Arial" w:eastAsiaTheme="minorHAnsi" w:hAnsi="Arial" w:cs="Arial"/>
          <w:kern w:val="0"/>
          <w:lang w:val="en-US" w:eastAsia="en-US"/>
          <w14:ligatures w14:val="none"/>
        </w:rPr>
        <w:t xml:space="preserve"> costs and improve profitability with respect to external auditors, or cost effectiveness in the case of internal auditors.</w:t>
      </w:r>
    </w:p>
    <w:p w14:paraId="48094B7B"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27A18A39"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Dai and Vasarhelyi (2016) suggest, BC or “Mirror World” technologies can facilitate either individual business processes or the entire value chain and can be digitally represented to ensure control and analysis, as demonstrated by projects such as the Hyperledger Project (Hyperledger, 2016; Digital Asset, 2016; PwC, 2017). This system would enable auditors or investigators to use information in the “Mirror World” rather than, for example, conducting a physical inventory inspection and supplying sequential integrity assurance. As the “Mirror World” or BC system documents the details of business activities occurring in the physical world, it can potentially serve as an independent, if not unbiased, information resource to authenticate the veracity of accounting records (Dai and Vasarhelyi, 2016; Digital Asset, 2016).</w:t>
      </w:r>
    </w:p>
    <w:p w14:paraId="7B406CB1"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7196C725" w14:textId="77777777" w:rsidR="00891F5D" w:rsidRPr="00891F5D" w:rsidRDefault="00891F5D" w:rsidP="00891F5D">
      <w:pPr>
        <w:spacing w:after="200" w:line="480" w:lineRule="auto"/>
        <w:jc w:val="both"/>
        <w:rPr>
          <w:rFonts w:ascii="Arial" w:eastAsia="Times New Roman" w:hAnsi="Arial" w:cs="Arial"/>
          <w:kern w:val="0"/>
          <w:lang w:val="en-US" w:eastAsia="en-GB"/>
          <w14:ligatures w14:val="none"/>
        </w:rPr>
      </w:pPr>
      <w:r w:rsidRPr="00891F5D">
        <w:rPr>
          <w:rFonts w:ascii="Arial" w:eastAsiaTheme="minorHAnsi" w:hAnsi="Arial" w:cs="Arial"/>
          <w:kern w:val="0"/>
          <w:lang w:val="en-US" w:eastAsia="en-US"/>
          <w14:ligatures w14:val="none"/>
        </w:rPr>
        <w:t xml:space="preserve">The effective utilization of BDA and BC in audit requires professionals to improve their skills. In fact, a significant proportion of today’s auditors will need to reskill to fully realize the potential of these technologies (IAASB, 2016). In a KPMG (2017) study, </w:t>
      </w:r>
      <w:r w:rsidRPr="00891F5D">
        <w:rPr>
          <w:rFonts w:ascii="Arial" w:eastAsiaTheme="minorHAnsi" w:hAnsi="Arial" w:cs="Arial"/>
          <w:kern w:val="0"/>
          <w:lang w:val="en-US" w:eastAsia="en-US"/>
          <w14:ligatures w14:val="none"/>
        </w:rPr>
        <w:lastRenderedPageBreak/>
        <w:t>the participants stressed the need for auditors to not only be fully conversant with new technologies but also remain ahead of the changes. Furthermore, clients are looking for high information technology</w:t>
      </w:r>
      <w:bookmarkStart w:id="654" w:name="PreEditfn25"/>
      <w:r w:rsidRPr="00891F5D">
        <w:rPr>
          <w:rFonts w:ascii="Arial" w:eastAsiaTheme="minorHAnsi" w:hAnsi="Arial" w:cs="Arial"/>
          <w:kern w:val="0"/>
          <w:lang w:val="en-US" w:eastAsia="en-US"/>
          <w14:ligatures w14:val="none"/>
        </w:rPr>
        <w:t>/</w:t>
      </w:r>
      <w:bookmarkEnd w:id="654"/>
      <w:r w:rsidRPr="00891F5D">
        <w:rPr>
          <w:rFonts w:ascii="Arial" w:eastAsiaTheme="minorHAnsi" w:hAnsi="Arial" w:cs="Arial"/>
          <w:kern w:val="0"/>
          <w:lang w:val="en-US" w:eastAsia="en-US"/>
          <w14:ligatures w14:val="none"/>
        </w:rPr>
        <w:t xml:space="preserve">information systems skills, superior interpersonal skills, and critical thinking skills from their auditors who will need to liaise with actors in the BC network. In this regard, </w:t>
      </w:r>
      <w:hyperlink r:id="rId49" w:history="1">
        <w:r w:rsidRPr="00891F5D">
          <w:rPr>
            <w:rFonts w:ascii="Arial" w:eastAsia="Times New Roman" w:hAnsi="Arial" w:cs="Arial"/>
            <w:kern w:val="0"/>
            <w:lang w:val="en-US" w:eastAsia="en-GB"/>
            <w14:ligatures w14:val="none"/>
          </w:rPr>
          <w:t>PricewaterhouseCoopers LLP</w:t>
        </w:r>
      </w:hyperlink>
      <w:r w:rsidRPr="00891F5D">
        <w:rPr>
          <w:rFonts w:ascii="Arial" w:eastAsia="Times New Roman" w:hAnsi="Arial" w:cs="Arial"/>
          <w:kern w:val="0"/>
          <w:lang w:val="en-US" w:eastAsia="en-GB"/>
          <w14:ligatures w14:val="none"/>
        </w:rPr>
        <w:t xml:space="preserve">, one of the “Big 4” global audit firms that have supported various </w:t>
      </w:r>
      <w:hyperlink r:id="rId50" w:history="1">
        <w:r w:rsidRPr="00891F5D">
          <w:rPr>
            <w:rFonts w:ascii="Arial" w:eastAsia="Times New Roman" w:hAnsi="Arial" w:cs="Arial"/>
            <w:kern w:val="0"/>
            <w:lang w:val="en-US" w:eastAsia="en-GB"/>
            <w14:ligatures w14:val="none"/>
          </w:rPr>
          <w:t>blockchain</w:t>
        </w:r>
      </w:hyperlink>
      <w:r w:rsidRPr="00891F5D">
        <w:rPr>
          <w:rFonts w:ascii="Arial" w:eastAsia="Times New Roman" w:hAnsi="Arial" w:cs="Arial"/>
          <w:kern w:val="0"/>
          <w:lang w:val="en-US" w:eastAsia="en-GB"/>
          <w14:ligatures w14:val="none"/>
        </w:rPr>
        <w:t xml:space="preserve"> projects, has announced (CCN, 2018) a blockchain audit service, which it claims will encourage people to use the nascent technology.</w:t>
      </w:r>
    </w:p>
    <w:p w14:paraId="4062D898" w14:textId="77777777" w:rsidR="00891F5D" w:rsidRPr="00891F5D" w:rsidRDefault="00891F5D" w:rsidP="00891F5D">
      <w:pPr>
        <w:spacing w:after="200" w:line="480" w:lineRule="auto"/>
        <w:jc w:val="both"/>
        <w:rPr>
          <w:rFonts w:ascii="Arial" w:eastAsiaTheme="minorHAnsi" w:hAnsi="Arial" w:cs="Arial"/>
          <w:kern w:val="0"/>
          <w:lang w:val="en-US" w:eastAsia="en-US"/>
          <w14:ligatures w14:val="none"/>
        </w:rPr>
      </w:pPr>
      <w:r w:rsidRPr="00891F5D">
        <w:rPr>
          <w:rFonts w:ascii="Arial" w:eastAsiaTheme="minorHAnsi" w:hAnsi="Arial" w:cs="Arial"/>
          <w:kern w:val="0"/>
          <w:lang w:val="en-US" w:eastAsia="en-US"/>
          <w14:ligatures w14:val="none"/>
        </w:rPr>
        <w:t>Accounting thinkers caution that with the increased use of BDA and BC auditing, standards must tackle BD, because the concept of materiality needs to be reevaluated and the processes producing this data must be constantly improved.</w:t>
      </w:r>
      <w:r w:rsidRPr="00891F5D">
        <w:rPr>
          <w:rFonts w:ascii="Arial" w:eastAsia="Times New Roman" w:hAnsi="Arial" w:cs="Arial"/>
          <w:kern w:val="0"/>
          <w:lang w:val="en-US" w:eastAsia="en-GB"/>
          <w14:ligatures w14:val="none"/>
        </w:rPr>
        <w:t xml:space="preserve"> However, </w:t>
      </w:r>
      <w:r w:rsidRPr="00891F5D">
        <w:rPr>
          <w:rFonts w:ascii="Arial" w:eastAsiaTheme="minorHAnsi" w:hAnsi="Arial" w:cs="Arial"/>
          <w:kern w:val="0"/>
          <w:lang w:val="en-US" w:eastAsia="en-US"/>
          <w14:ligatures w14:val="none"/>
        </w:rPr>
        <w:t xml:space="preserve">it is argued by Warren et al (2015) that BC technology can help lessen the disparity between U.S. GAAP and International Financial Reporting Standards (IFRS), eventually leading to a global set of accounting standards that will ultimately dampen Accounting Fraud. </w:t>
      </w:r>
    </w:p>
    <w:p w14:paraId="2B1C0654" w14:textId="77777777" w:rsidR="00891F5D" w:rsidRPr="00891F5D" w:rsidRDefault="00891F5D" w:rsidP="00891F5D">
      <w:pPr>
        <w:autoSpaceDE w:val="0"/>
        <w:autoSpaceDN w:val="0"/>
        <w:adjustRightInd w:val="0"/>
        <w:spacing w:after="0" w:line="480" w:lineRule="auto"/>
        <w:jc w:val="both"/>
        <w:rPr>
          <w:rFonts w:ascii="Arial" w:eastAsiaTheme="minorHAnsi" w:hAnsi="Arial" w:cs="Arial"/>
          <w:kern w:val="0"/>
          <w:lang w:val="en-US" w:eastAsia="en-US"/>
          <w14:ligatures w14:val="none"/>
        </w:rPr>
      </w:pPr>
    </w:p>
    <w:p w14:paraId="6D2B8673" w14:textId="48A13B1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t xml:space="preserve">Given the challenges apparent with the nascent technology of BC it is argued that BCT could be incorporated into ERP systems (Dai and </w:t>
      </w:r>
      <w:r w:rsidR="00333847" w:rsidRPr="00891F5D">
        <w:rPr>
          <w:rFonts w:ascii="Arial" w:eastAsiaTheme="minorHAnsi" w:hAnsi="Arial" w:cs="Arial"/>
          <w:kern w:val="0"/>
          <w:lang w:eastAsia="en-US"/>
          <w14:ligatures w14:val="none"/>
        </w:rPr>
        <w:t>Vasarhelyi</w:t>
      </w:r>
      <w:r w:rsidRPr="00891F5D">
        <w:rPr>
          <w:rFonts w:ascii="Arial" w:eastAsiaTheme="minorHAnsi" w:hAnsi="Arial" w:cs="Arial"/>
          <w:kern w:val="0"/>
          <w:lang w:eastAsia="en-US"/>
          <w14:ligatures w14:val="none"/>
        </w:rPr>
        <w:t xml:space="preserve">, 2017).  This would ensure an easier transition across an organisation using an ERP as only the accounting system would need to be updated. In fact, it is argued that using a cloud-based ERP would be even cheaper to transform and allowing the company to quickly reap the benefits of BCT (Dai and </w:t>
      </w:r>
      <w:r w:rsidR="00333847" w:rsidRPr="00891F5D">
        <w:rPr>
          <w:rFonts w:ascii="Arial" w:eastAsiaTheme="minorHAnsi" w:hAnsi="Arial" w:cs="Arial"/>
          <w:kern w:val="0"/>
          <w:lang w:eastAsia="en-US"/>
          <w14:ligatures w14:val="none"/>
        </w:rPr>
        <w:t>Vasarhelyi</w:t>
      </w:r>
      <w:r w:rsidRPr="00891F5D">
        <w:rPr>
          <w:rFonts w:ascii="Arial" w:eastAsiaTheme="minorHAnsi" w:hAnsi="Arial" w:cs="Arial"/>
          <w:kern w:val="0"/>
          <w:lang w:eastAsia="en-US"/>
          <w14:ligatures w14:val="none"/>
        </w:rPr>
        <w:t xml:space="preserve">, 2017). Hence, the AICPA and CPA Canada are educating their members on the basics of BC and how it will impact accounting and auditing. </w:t>
      </w:r>
    </w:p>
    <w:p w14:paraId="39D1E3FC"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kern w:val="0"/>
          <w:lang w:eastAsia="en-US"/>
          <w14:ligatures w14:val="none"/>
        </w:rPr>
        <w:lastRenderedPageBreak/>
        <w:t>As mentioned earlier a SC is a piece of computer program that can autonomously authenticate, approve and execute functions given strict protocols (Rozario and Vaserhelyi, 2018). A simple accounting example is paying and receiving inventory; thus, the SC will scan the information and if the inventory is present, it will automatically issue payment. On the other hand, if the goods received or inventory does not match the purchase order then payment would not be released (Rozario and Vaserhelyi, 2018). Consequently, the purchase ledger clerk role would transform into a monitoring role. In combination with BC and SC there would be a clear, traceable, and immutable record that could be followed from source to conclusion (Dai and Vasarhelyi, 2017). SCs can also be employed in complex accounting transactions such as covenant bonds (Kiviat, 2015) and hedging the price of oil (Deloitte 20, 16).</w:t>
      </w:r>
    </w:p>
    <w:p w14:paraId="44241E47" w14:textId="06483F59"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heme="minorHAnsi" w:hAnsi="Arial" w:cs="Arial"/>
          <w:b/>
          <w:bCs/>
          <w:kern w:val="0"/>
          <w:lang w:eastAsia="en-US"/>
          <w14:ligatures w14:val="none"/>
        </w:rPr>
        <w:t xml:space="preserve">Financial accounting is based on the historical cost convention however, BC coupled with SCs could potentially allow real time accounting (Dai </w:t>
      </w:r>
      <w:bookmarkStart w:id="655" w:name="_Hlk86934901"/>
      <w:r w:rsidRPr="00891F5D">
        <w:rPr>
          <w:rFonts w:ascii="Arial" w:eastAsiaTheme="minorHAnsi" w:hAnsi="Arial" w:cs="Arial"/>
          <w:b/>
          <w:bCs/>
          <w:kern w:val="0"/>
          <w:lang w:eastAsia="en-US"/>
          <w14:ligatures w14:val="none"/>
        </w:rPr>
        <w:t>and Vas</w:t>
      </w:r>
      <w:r w:rsidR="00ED76A7">
        <w:rPr>
          <w:rFonts w:ascii="Arial" w:eastAsiaTheme="minorHAnsi" w:hAnsi="Arial" w:cs="Arial"/>
          <w:b/>
          <w:bCs/>
          <w:kern w:val="0"/>
          <w:lang w:eastAsia="en-US"/>
          <w14:ligatures w14:val="none"/>
        </w:rPr>
        <w:t>e</w:t>
      </w:r>
      <w:r w:rsidRPr="00891F5D">
        <w:rPr>
          <w:rFonts w:ascii="Arial" w:eastAsiaTheme="minorHAnsi" w:hAnsi="Arial" w:cs="Arial"/>
          <w:b/>
          <w:bCs/>
          <w:kern w:val="0"/>
          <w:lang w:eastAsia="en-US"/>
          <w14:ligatures w14:val="none"/>
        </w:rPr>
        <w:t xml:space="preserve">rhelyi, 2017) </w:t>
      </w:r>
      <w:bookmarkEnd w:id="655"/>
      <w:r w:rsidRPr="00891F5D">
        <w:rPr>
          <w:rFonts w:ascii="Arial" w:eastAsiaTheme="minorHAnsi" w:hAnsi="Arial" w:cs="Arial"/>
          <w:b/>
          <w:bCs/>
          <w:kern w:val="0"/>
          <w:lang w:eastAsia="en-US"/>
          <w14:ligatures w14:val="none"/>
        </w:rPr>
        <w:t>as SCs could automate significant chunks of accounting underpinned by an immutable ledger leading to the end of even financial statements (Dai and Vas</w:t>
      </w:r>
      <w:r w:rsidR="00ED76A7">
        <w:rPr>
          <w:rFonts w:ascii="Arial" w:eastAsiaTheme="minorHAnsi" w:hAnsi="Arial" w:cs="Arial"/>
          <w:b/>
          <w:bCs/>
          <w:kern w:val="0"/>
          <w:lang w:eastAsia="en-US"/>
          <w14:ligatures w14:val="none"/>
        </w:rPr>
        <w:t>e</w:t>
      </w:r>
      <w:r w:rsidRPr="00891F5D">
        <w:rPr>
          <w:rFonts w:ascii="Arial" w:eastAsiaTheme="minorHAnsi" w:hAnsi="Arial" w:cs="Arial"/>
          <w:b/>
          <w:bCs/>
          <w:kern w:val="0"/>
          <w:lang w:eastAsia="en-US"/>
          <w14:ligatures w14:val="none"/>
        </w:rPr>
        <w:t>rhelyi, 2017).</w:t>
      </w:r>
      <w:r w:rsidRPr="00891F5D">
        <w:rPr>
          <w:rFonts w:ascii="Arial" w:eastAsiaTheme="minorHAnsi" w:hAnsi="Arial" w:cs="Arial"/>
          <w:kern w:val="0"/>
          <w:lang w:eastAsia="en-US"/>
          <w14:ligatures w14:val="none"/>
        </w:rPr>
        <w:t xml:space="preserve"> This would be attractive to organisations who could open their accounting function open to important stakeholders, but this may not be suitable for some companies (Carlin, 2018) for example operating in a sensitive industry such as defence. </w:t>
      </w:r>
    </w:p>
    <w:p w14:paraId="38AA5A91" w14:textId="77777777" w:rsidR="00891F5D" w:rsidRDefault="00891F5D" w:rsidP="00891F5D">
      <w:pPr>
        <w:spacing w:line="480" w:lineRule="auto"/>
        <w:jc w:val="both"/>
        <w:rPr>
          <w:rFonts w:ascii="Arial" w:hAnsi="Arial" w:cs="Arial"/>
          <w:b/>
          <w:bCs/>
          <w:shd w:val="clear" w:color="auto" w:fill="FFFFFF"/>
        </w:rPr>
      </w:pPr>
      <w:r w:rsidRPr="00891F5D">
        <w:rPr>
          <w:rFonts w:ascii="Arial" w:eastAsiaTheme="minorHAnsi" w:hAnsi="Arial" w:cs="Arial"/>
          <w:kern w:val="0"/>
          <w:lang w:eastAsia="en-US"/>
          <w14:ligatures w14:val="none"/>
        </w:rPr>
        <w:t xml:space="preserve">BCT is still a nascent technology and Carlin (2018) argues that TEA has the potential to revolutionise accounting and audit. Before, the researcher outlines the final research questions in relation to BCT he is going to make additional </w:t>
      </w:r>
      <w:r w:rsidRPr="00ED76A7">
        <w:rPr>
          <w:rFonts w:ascii="Arial" w:eastAsiaTheme="minorHAnsi" w:hAnsi="Arial" w:cs="Arial"/>
          <w:b/>
          <w:bCs/>
          <w:kern w:val="0"/>
          <w:lang w:eastAsia="en-US"/>
          <w14:ligatures w14:val="none"/>
        </w:rPr>
        <w:t>r</w:t>
      </w:r>
      <w:r w:rsidRPr="00891F5D">
        <w:rPr>
          <w:rFonts w:ascii="Arial" w:hAnsi="Arial" w:cs="Arial"/>
          <w:b/>
          <w:bCs/>
          <w:shd w:val="clear" w:color="auto" w:fill="FFFFFF"/>
        </w:rPr>
        <w:t>eflections upon BCT.</w:t>
      </w:r>
    </w:p>
    <w:p w14:paraId="4BA69916" w14:textId="77777777" w:rsidR="006674C2" w:rsidRPr="00891F5D" w:rsidRDefault="006674C2" w:rsidP="00891F5D">
      <w:pPr>
        <w:spacing w:line="480" w:lineRule="auto"/>
        <w:jc w:val="both"/>
        <w:rPr>
          <w:rFonts w:ascii="Arial" w:hAnsi="Arial" w:cs="Arial"/>
          <w:b/>
          <w:bCs/>
          <w:shd w:val="clear" w:color="auto" w:fill="FFFFFF"/>
        </w:rPr>
      </w:pPr>
    </w:p>
    <w:bookmarkStart w:id="656" w:name="BC11"/>
    <w:bookmarkStart w:id="657" w:name="A62"/>
    <w:bookmarkStart w:id="658" w:name="D75"/>
    <w:p w14:paraId="7A613F2B" w14:textId="22A24339" w:rsidR="00891F5D" w:rsidRPr="00891F5D" w:rsidRDefault="007A31BB" w:rsidP="006A2CD4">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kern w:val="0"/>
          <w:lang w:eastAsia="en-US"/>
          <w14:ligatures w14:val="none"/>
        </w:rPr>
      </w:pPr>
      <w:r>
        <w:rPr>
          <w:rFonts w:ascii="Arial" w:hAnsi="Arial" w:cs="Arial"/>
          <w:b/>
          <w:bCs/>
          <w:shd w:val="clear" w:color="auto" w:fill="FFFFFF"/>
        </w:rPr>
        <w:lastRenderedPageBreak/>
        <w:fldChar w:fldCharType="begin"/>
      </w:r>
      <w:r>
        <w:rPr>
          <w:rFonts w:ascii="Arial" w:hAnsi="Arial" w:cs="Arial"/>
          <w:b/>
          <w:bCs/>
          <w:shd w:val="clear" w:color="auto" w:fill="FFFFFF"/>
        </w:rPr>
        <w:instrText>HYPERLINK  \l "C75"</w:instrText>
      </w:r>
      <w:r>
        <w:rPr>
          <w:rFonts w:ascii="Arial" w:hAnsi="Arial" w:cs="Arial"/>
          <w:b/>
          <w:bCs/>
          <w:shd w:val="clear" w:color="auto" w:fill="FFFFFF"/>
        </w:rPr>
      </w:r>
      <w:r>
        <w:rPr>
          <w:rFonts w:ascii="Arial" w:hAnsi="Arial" w:cs="Arial"/>
          <w:b/>
          <w:bCs/>
          <w:shd w:val="clear" w:color="auto" w:fill="FFFFFF"/>
        </w:rPr>
        <w:fldChar w:fldCharType="separate"/>
      </w:r>
      <w:r w:rsidR="00891F5D" w:rsidRPr="007A31BB">
        <w:rPr>
          <w:rStyle w:val="Hyperlink"/>
          <w:rFonts w:ascii="Arial" w:hAnsi="Arial" w:cs="Arial"/>
          <w:b/>
          <w:bCs/>
          <w:shd w:val="clear" w:color="auto" w:fill="FFFFFF"/>
        </w:rPr>
        <w:t xml:space="preserve">2.11.10 Additional Reflections </w:t>
      </w:r>
      <w:r w:rsidR="004623B4">
        <w:rPr>
          <w:rStyle w:val="Hyperlink"/>
          <w:rFonts w:ascii="Arial" w:hAnsi="Arial" w:cs="Arial"/>
          <w:b/>
          <w:bCs/>
          <w:shd w:val="clear" w:color="auto" w:fill="FFFFFF"/>
        </w:rPr>
        <w:t>U</w:t>
      </w:r>
      <w:r w:rsidR="00891F5D" w:rsidRPr="007A31BB">
        <w:rPr>
          <w:rStyle w:val="Hyperlink"/>
          <w:rFonts w:ascii="Arial" w:hAnsi="Arial" w:cs="Arial"/>
          <w:b/>
          <w:bCs/>
          <w:shd w:val="clear" w:color="auto" w:fill="FFFFFF"/>
        </w:rPr>
        <w:t>pon BCT</w:t>
      </w:r>
      <w:r>
        <w:rPr>
          <w:rFonts w:ascii="Arial" w:hAnsi="Arial" w:cs="Arial"/>
          <w:b/>
          <w:bCs/>
          <w:shd w:val="clear" w:color="auto" w:fill="FFFFFF"/>
        </w:rPr>
        <w:fldChar w:fldCharType="end"/>
      </w:r>
    </w:p>
    <w:bookmarkEnd w:id="656"/>
    <w:bookmarkEnd w:id="657"/>
    <w:bookmarkEnd w:id="658"/>
    <w:p w14:paraId="7FC1544C" w14:textId="77777777" w:rsidR="00891F5D" w:rsidRPr="00891F5D" w:rsidRDefault="00891F5D" w:rsidP="00891F5D">
      <w:pPr>
        <w:spacing w:line="480" w:lineRule="auto"/>
        <w:jc w:val="both"/>
        <w:rPr>
          <w:rFonts w:ascii="Arial" w:hAnsi="Arial" w:cs="Arial"/>
          <w:shd w:val="clear" w:color="auto" w:fill="FFFFFF"/>
        </w:rPr>
      </w:pPr>
      <w:r w:rsidRPr="00891F5D">
        <w:rPr>
          <w:rFonts w:ascii="Arial" w:hAnsi="Arial" w:cs="Arial"/>
          <w:shd w:val="clear" w:color="auto" w:fill="FFFFFF"/>
        </w:rPr>
        <w:t>It has been established that audit is a statutory examination which leads to an opinion as to the truth and fairness of financial statements (Lukman and Irisha, 2020). Audit, inter alia, involves the examination of a company’s revenues, expenditure, review of the robustness and effectiveness of its systems and compliance with internal and external controls</w:t>
      </w:r>
      <w:r w:rsidRPr="00891F5D">
        <w:rPr>
          <w:rFonts w:asciiTheme="minorBidi" w:hAnsiTheme="minorBidi"/>
          <w:shd w:val="clear" w:color="auto" w:fill="FFFFFF"/>
        </w:rPr>
        <w:t xml:space="preserve">. Moreover, </w:t>
      </w:r>
      <w:r w:rsidRPr="00891F5D">
        <w:rPr>
          <w:rFonts w:asciiTheme="minorBidi" w:hAnsiTheme="minorBidi"/>
        </w:rPr>
        <w:t>the accuracy with which an organisation's financial statements portray its financial situation and performance is guaranteed by an external audit opinion. It strengthens stakeholders' confidence in the organisation's financial reporting by confirming the auditor's independent opinion of the fairness, dependability, and compliance with accounting rules</w:t>
      </w:r>
      <w:r w:rsidRPr="00891F5D">
        <w:rPr>
          <w:sz w:val="22"/>
          <w:szCs w:val="22"/>
        </w:rPr>
        <w:t xml:space="preserve">. </w:t>
      </w:r>
      <w:r w:rsidRPr="00891F5D">
        <w:rPr>
          <w:rFonts w:asciiTheme="minorBidi" w:hAnsiTheme="minorBidi"/>
        </w:rPr>
        <w:t xml:space="preserve">On the other hand, </w:t>
      </w:r>
      <w:r w:rsidRPr="00891F5D">
        <w:rPr>
          <w:rFonts w:asciiTheme="minorBidi" w:hAnsiTheme="minorBidi"/>
          <w:shd w:val="clear" w:color="auto" w:fill="FFFFFF"/>
        </w:rPr>
        <w:t>the economic</w:t>
      </w:r>
      <w:r w:rsidRPr="00891F5D">
        <w:rPr>
          <w:rFonts w:ascii="Arial" w:hAnsi="Arial" w:cs="Arial"/>
          <w:shd w:val="clear" w:color="auto" w:fill="FFFFFF"/>
        </w:rPr>
        <w:t xml:space="preserve"> context has already changed because the internet, coupled with the digital transfer of money or cryptocurrencies through distributed ledgers, is potentially altering the way financial or statutory or external audits are executed (Chandrasekar et al, 2021).</w:t>
      </w:r>
    </w:p>
    <w:p w14:paraId="36CBD53B" w14:textId="77777777" w:rsidR="00891F5D" w:rsidRPr="00891F5D" w:rsidRDefault="00891F5D" w:rsidP="00891F5D">
      <w:pPr>
        <w:spacing w:line="480" w:lineRule="auto"/>
        <w:jc w:val="both"/>
        <w:rPr>
          <w:rFonts w:ascii="Arial" w:hAnsi="Arial" w:cs="Arial"/>
        </w:rPr>
      </w:pPr>
      <w:r w:rsidRPr="00891F5D">
        <w:rPr>
          <w:rFonts w:ascii="Arial" w:hAnsi="Arial" w:cs="Arial"/>
          <w:shd w:val="clear" w:color="auto" w:fill="FFFFFF"/>
        </w:rPr>
        <w:t>The major criticisms of audit are that the auditing process is a periodic event rather than a continuous cycle (Ketz, 2020). Secondly, the audit opinion is based on a sampling of entries, amounts and other information thus lacking depth and may not detect material misstatements and</w:t>
      </w:r>
      <w:r w:rsidRPr="00891F5D">
        <w:rPr>
          <w:rFonts w:ascii="Arial" w:hAnsi="Arial" w:cs="Arial"/>
        </w:rPr>
        <w:t xml:space="preserve"> Accounting Fraud (Rashid et al, 2022)</w:t>
      </w:r>
      <w:r w:rsidRPr="00891F5D">
        <w:rPr>
          <w:rFonts w:ascii="Arial" w:hAnsi="Arial" w:cs="Arial"/>
          <w:shd w:val="clear" w:color="auto" w:fill="FFFFFF"/>
        </w:rPr>
        <w:t xml:space="preserve">. Audit standards prescribe that audit evidence should be sufficient, appropriate, and reliable and generated by specific processes. These processes, for example confirmations and recalculations/reperformance, are time consuming and costly. </w:t>
      </w:r>
    </w:p>
    <w:p w14:paraId="44C00862" w14:textId="77777777" w:rsidR="00891F5D" w:rsidRPr="00891F5D" w:rsidRDefault="00891F5D" w:rsidP="00891F5D">
      <w:pPr>
        <w:spacing w:line="480" w:lineRule="auto"/>
        <w:jc w:val="both"/>
        <w:rPr>
          <w:rFonts w:ascii="Arial" w:hAnsi="Arial" w:cs="Arial"/>
        </w:rPr>
      </w:pPr>
      <w:r w:rsidRPr="00891F5D">
        <w:rPr>
          <w:rFonts w:ascii="Arial" w:hAnsi="Arial" w:cs="Arial"/>
        </w:rPr>
        <w:t xml:space="preserve">According to analysts, audit methodology has a major limitation: transactions and accounts are verified or authenticated using sampling, indicating that not all transactions and accounts are substantiated (Ketz, 2020). Consequently, auditors can only give reasonable or partial assurances rather than a complete opinion on the performance of an organisation. Blockchain Technology can remedy this situation </w:t>
      </w:r>
      <w:r w:rsidRPr="00891F5D">
        <w:rPr>
          <w:rFonts w:ascii="Arial" w:hAnsi="Arial" w:cs="Arial"/>
        </w:rPr>
        <w:lastRenderedPageBreak/>
        <w:t>because the transaction data in the blockchain is already authenticated by the transaction parties and crucially sanctioned by the consensus mechanism. The data cannot be manipulated, or it will be very difficult to do so since, it is timestamped and hashed. Consequently, auditors have the ability and opportunity to verify a complete audit trail. Blockchain also facilitates the continuous auditing of assets such as inventory and liabilities like loan covenants.</w:t>
      </w:r>
    </w:p>
    <w:p w14:paraId="160E6A2D" w14:textId="77777777" w:rsidR="00891F5D" w:rsidRPr="00891F5D" w:rsidRDefault="00891F5D" w:rsidP="00891F5D">
      <w:pPr>
        <w:spacing w:line="480" w:lineRule="auto"/>
        <w:jc w:val="both"/>
        <w:rPr>
          <w:rFonts w:asciiTheme="minorBidi" w:hAnsiTheme="minorBidi"/>
        </w:rPr>
      </w:pPr>
      <w:r w:rsidRPr="00891F5D">
        <w:rPr>
          <w:rFonts w:asciiTheme="minorBidi" w:hAnsiTheme="minorBidi"/>
        </w:rPr>
        <w:t xml:space="preserve">The auditor, the client, and the client's third parties can all have separate access to the information if there is a Blockchain network connecting them. As information is added, the network authenticates and approves it; after the information has been verified by consensus, it is unchangeable or immutable. </w:t>
      </w:r>
      <w:r w:rsidRPr="00891F5D">
        <w:rPr>
          <w:rFonts w:ascii="Arial" w:hAnsi="Arial" w:cs="Arial"/>
          <w:shd w:val="clear" w:color="auto" w:fill="FFFFFF"/>
        </w:rPr>
        <w:t xml:space="preserve">As data continues to flow, all network participants or actors can certify and receive real-time updates of transactions, and potentially a batch process audit may become redundant (Yang et al, 2020). </w:t>
      </w:r>
      <w:r w:rsidRPr="00891F5D">
        <w:rPr>
          <w:rFonts w:asciiTheme="minorBidi" w:hAnsiTheme="minorBidi"/>
        </w:rPr>
        <w:t>Auditor scrutiny of every transaction during the consensus process would be possible because the Blockchain facilitates the automatic confirmation of payments, receivables, payables, and inventory, enabling Auditors to provide a higher level of assurance. This would potentially raise chances for the detection of material errors and a spectrum of frauds, including Accounting Fraud. Additionally, the auditor could verify the Blockchain's functionality and design whilst examining the network's users and actors, including the agreed upon controls and protocols, thus identifying any "control fraud". The auditor could also devote more time to verifying the financial statements' subjective judgments such as around valuations. As a result, the auditor would be in a far better position to provide a prescriptive audit opinion, especially one that addresses going concern.</w:t>
      </w:r>
    </w:p>
    <w:p w14:paraId="420BFA44" w14:textId="177CAF55" w:rsidR="00891F5D" w:rsidRPr="00891F5D" w:rsidRDefault="00891F5D" w:rsidP="00891F5D">
      <w:pPr>
        <w:spacing w:line="480" w:lineRule="auto"/>
        <w:jc w:val="both"/>
        <w:rPr>
          <w:rFonts w:ascii="Arial" w:hAnsi="Arial" w:cs="Arial"/>
          <w:shd w:val="clear" w:color="auto" w:fill="FFFFFF"/>
        </w:rPr>
      </w:pPr>
      <w:r w:rsidRPr="00891F5D">
        <w:rPr>
          <w:rFonts w:asciiTheme="minorBidi" w:hAnsiTheme="minorBidi"/>
        </w:rPr>
        <w:lastRenderedPageBreak/>
        <w:t xml:space="preserve">The </w:t>
      </w:r>
      <w:r w:rsidR="00D01450">
        <w:rPr>
          <w:rFonts w:asciiTheme="minorBidi" w:hAnsiTheme="minorBidi"/>
        </w:rPr>
        <w:t>researcher</w:t>
      </w:r>
      <w:r w:rsidRPr="00891F5D">
        <w:rPr>
          <w:rFonts w:asciiTheme="minorBidi" w:hAnsiTheme="minorBidi"/>
        </w:rPr>
        <w:t xml:space="preserve"> contends that blockchain-enabled auditing improves the effectiveness, consistency, and efficiency of the process of gathering audit evidence </w:t>
      </w:r>
      <w:r w:rsidRPr="00891F5D">
        <w:rPr>
          <w:rFonts w:ascii="Arial" w:hAnsi="Arial" w:cs="Arial"/>
          <w:shd w:val="clear" w:color="auto" w:fill="FFFFFF"/>
        </w:rPr>
        <w:t xml:space="preserve">– see Figure 2.17 and 2.18 below. </w:t>
      </w:r>
    </w:p>
    <w:p w14:paraId="608CEC33" w14:textId="77777777" w:rsidR="00891F5D" w:rsidRPr="00891F5D" w:rsidRDefault="00891F5D" w:rsidP="00891F5D">
      <w:pPr>
        <w:spacing w:line="480" w:lineRule="auto"/>
        <w:jc w:val="both"/>
        <w:rPr>
          <w:rFonts w:ascii="Arial" w:hAnsi="Arial" w:cs="Arial"/>
          <w:b/>
          <w:bCs/>
          <w:shd w:val="clear" w:color="auto" w:fill="FFFFFF"/>
        </w:rPr>
      </w:pPr>
      <w:r w:rsidRPr="00891F5D">
        <w:rPr>
          <w:rFonts w:ascii="Arial" w:hAnsi="Arial" w:cs="Arial"/>
          <w:b/>
          <w:bCs/>
          <w:shd w:val="clear" w:color="auto" w:fill="FFFFFF"/>
        </w:rPr>
        <w:t xml:space="preserve">Figure 2.17 </w:t>
      </w:r>
      <w:r w:rsidRPr="00891F5D">
        <w:rPr>
          <w:rFonts w:ascii="Arial" w:hAnsi="Arial" w:cs="Arial"/>
          <w:b/>
          <w:bCs/>
        </w:rPr>
        <w:t>Blockchain</w:t>
      </w:r>
      <w:r w:rsidRPr="00891F5D">
        <w:rPr>
          <w:rFonts w:ascii="Arial" w:hAnsi="Arial" w:cs="Arial"/>
          <w:b/>
          <w:bCs/>
          <w:shd w:val="clear" w:color="auto" w:fill="FFFFFF"/>
        </w:rPr>
        <w:t xml:space="preserve"> Impact on the Audit Framework</w:t>
      </w:r>
    </w:p>
    <w:tbl>
      <w:tblPr>
        <w:tblStyle w:val="TableGrid"/>
        <w:tblW w:w="0" w:type="auto"/>
        <w:tblLook w:val="04A0" w:firstRow="1" w:lastRow="0" w:firstColumn="1" w:lastColumn="0" w:noHBand="0" w:noVBand="1"/>
      </w:tblPr>
      <w:tblGrid>
        <w:gridCol w:w="3005"/>
        <w:gridCol w:w="3005"/>
        <w:gridCol w:w="3006"/>
      </w:tblGrid>
      <w:tr w:rsidR="00891F5D" w:rsidRPr="00891F5D" w14:paraId="68401D5F" w14:textId="77777777" w:rsidTr="001D4222">
        <w:tc>
          <w:tcPr>
            <w:tcW w:w="3005" w:type="dxa"/>
          </w:tcPr>
          <w:p w14:paraId="194E5724" w14:textId="77777777" w:rsidR="00891F5D" w:rsidRPr="00891F5D" w:rsidRDefault="00891F5D" w:rsidP="00891F5D">
            <w:pPr>
              <w:spacing w:line="480" w:lineRule="auto"/>
              <w:jc w:val="both"/>
              <w:rPr>
                <w:rFonts w:ascii="Arial" w:hAnsi="Arial" w:cs="Arial"/>
                <w:b/>
                <w:bCs/>
                <w:shd w:val="clear" w:color="auto" w:fill="FFFFFF"/>
              </w:rPr>
            </w:pPr>
            <w:r w:rsidRPr="00891F5D">
              <w:rPr>
                <w:rFonts w:ascii="Arial" w:hAnsi="Arial" w:cs="Arial"/>
                <w:b/>
                <w:bCs/>
                <w:shd w:val="clear" w:color="auto" w:fill="FFFFFF"/>
              </w:rPr>
              <w:t>Audit Framework</w:t>
            </w:r>
          </w:p>
        </w:tc>
        <w:tc>
          <w:tcPr>
            <w:tcW w:w="3005" w:type="dxa"/>
          </w:tcPr>
          <w:p w14:paraId="6D71C828" w14:textId="77777777" w:rsidR="00891F5D" w:rsidRPr="00891F5D" w:rsidRDefault="00891F5D" w:rsidP="00891F5D">
            <w:pPr>
              <w:spacing w:line="480" w:lineRule="auto"/>
              <w:jc w:val="both"/>
              <w:rPr>
                <w:rFonts w:ascii="Arial" w:hAnsi="Arial" w:cs="Arial"/>
                <w:b/>
                <w:bCs/>
                <w:shd w:val="clear" w:color="auto" w:fill="FFFFFF"/>
              </w:rPr>
            </w:pPr>
            <w:r w:rsidRPr="00891F5D">
              <w:rPr>
                <w:rFonts w:ascii="Arial" w:hAnsi="Arial" w:cs="Arial"/>
                <w:b/>
                <w:bCs/>
                <w:shd w:val="clear" w:color="auto" w:fill="FFFFFF"/>
              </w:rPr>
              <w:t>Current Methods / Protocols</w:t>
            </w:r>
          </w:p>
        </w:tc>
        <w:tc>
          <w:tcPr>
            <w:tcW w:w="3006" w:type="dxa"/>
          </w:tcPr>
          <w:p w14:paraId="41189CB2" w14:textId="77777777" w:rsidR="00891F5D" w:rsidRPr="00891F5D" w:rsidRDefault="00891F5D" w:rsidP="00891F5D">
            <w:pPr>
              <w:spacing w:line="480" w:lineRule="auto"/>
              <w:jc w:val="both"/>
              <w:rPr>
                <w:rFonts w:ascii="Arial" w:hAnsi="Arial" w:cs="Arial"/>
                <w:b/>
                <w:bCs/>
                <w:shd w:val="clear" w:color="auto" w:fill="FFFFFF"/>
              </w:rPr>
            </w:pPr>
            <w:r w:rsidRPr="00891F5D">
              <w:rPr>
                <w:rFonts w:ascii="Arial" w:hAnsi="Arial" w:cs="Arial"/>
                <w:b/>
                <w:bCs/>
              </w:rPr>
              <w:t>Blockchain</w:t>
            </w:r>
            <w:r w:rsidRPr="00891F5D">
              <w:rPr>
                <w:rFonts w:ascii="Arial" w:hAnsi="Arial" w:cs="Arial"/>
                <w:b/>
                <w:bCs/>
                <w:shd w:val="clear" w:color="auto" w:fill="FFFFFF"/>
              </w:rPr>
              <w:t>-Enabled Audit</w:t>
            </w:r>
          </w:p>
        </w:tc>
      </w:tr>
      <w:tr w:rsidR="00891F5D" w:rsidRPr="00891F5D" w14:paraId="483028B4" w14:textId="77777777" w:rsidTr="001D4222">
        <w:tc>
          <w:tcPr>
            <w:tcW w:w="3005" w:type="dxa"/>
          </w:tcPr>
          <w:p w14:paraId="7EB3B500"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Analytical Procedures</w:t>
            </w:r>
          </w:p>
          <w:p w14:paraId="4F33CBFE" w14:textId="77777777" w:rsidR="00891F5D" w:rsidRPr="00891F5D" w:rsidRDefault="00891F5D" w:rsidP="00891F5D">
            <w:pPr>
              <w:spacing w:line="480" w:lineRule="auto"/>
              <w:rPr>
                <w:rFonts w:ascii="Arial" w:hAnsi="Arial" w:cs="Arial"/>
                <w:shd w:val="clear" w:color="auto" w:fill="FFFFFF"/>
              </w:rPr>
            </w:pPr>
          </w:p>
        </w:tc>
        <w:tc>
          <w:tcPr>
            <w:tcW w:w="3005" w:type="dxa"/>
          </w:tcPr>
          <w:p w14:paraId="1125A705"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Statistical operations or techniques</w:t>
            </w:r>
          </w:p>
        </w:tc>
        <w:tc>
          <w:tcPr>
            <w:tcW w:w="3006" w:type="dxa"/>
          </w:tcPr>
          <w:p w14:paraId="6C8512D3"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Undertake real time data analysis: descriptive, predictive, and prescriptive</w:t>
            </w:r>
          </w:p>
        </w:tc>
      </w:tr>
      <w:tr w:rsidR="00891F5D" w:rsidRPr="00891F5D" w14:paraId="65A3CD2D" w14:textId="77777777" w:rsidTr="001D4222">
        <w:tc>
          <w:tcPr>
            <w:tcW w:w="3005" w:type="dxa"/>
          </w:tcPr>
          <w:p w14:paraId="7A966B90"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Observation and inquiry</w:t>
            </w:r>
          </w:p>
          <w:p w14:paraId="77A95BE9" w14:textId="77777777" w:rsidR="00891F5D" w:rsidRPr="00891F5D" w:rsidRDefault="00891F5D" w:rsidP="00891F5D">
            <w:pPr>
              <w:spacing w:line="480" w:lineRule="auto"/>
              <w:rPr>
                <w:rFonts w:ascii="Arial" w:hAnsi="Arial" w:cs="Arial"/>
                <w:shd w:val="clear" w:color="auto" w:fill="FFFFFF"/>
              </w:rPr>
            </w:pPr>
          </w:p>
        </w:tc>
        <w:tc>
          <w:tcPr>
            <w:tcW w:w="3005" w:type="dxa"/>
          </w:tcPr>
          <w:p w14:paraId="3737E95D"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Written or oral / interview enquiry</w:t>
            </w:r>
          </w:p>
        </w:tc>
        <w:tc>
          <w:tcPr>
            <w:tcW w:w="3006" w:type="dxa"/>
          </w:tcPr>
          <w:p w14:paraId="77006807"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 xml:space="preserve">Examine </w:t>
            </w:r>
            <w:r w:rsidRPr="00891F5D">
              <w:rPr>
                <w:rFonts w:ascii="Arial" w:hAnsi="Arial" w:cs="Arial"/>
              </w:rPr>
              <w:t xml:space="preserve">Blockchain </w:t>
            </w:r>
            <w:r w:rsidRPr="00891F5D">
              <w:rPr>
                <w:rFonts w:ascii="Arial" w:hAnsi="Arial" w:cs="Arial"/>
                <w:shd w:val="clear" w:color="auto" w:fill="FFFFFF"/>
              </w:rPr>
              <w:t>and information flow including access and rights to information</w:t>
            </w:r>
          </w:p>
        </w:tc>
      </w:tr>
      <w:tr w:rsidR="00891F5D" w:rsidRPr="00891F5D" w14:paraId="267468E3" w14:textId="77777777" w:rsidTr="001D4222">
        <w:tc>
          <w:tcPr>
            <w:tcW w:w="3005" w:type="dxa"/>
          </w:tcPr>
          <w:p w14:paraId="58032245"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Analysis of calculations including estimates</w:t>
            </w:r>
          </w:p>
          <w:p w14:paraId="0B4692A0" w14:textId="77777777" w:rsidR="00891F5D" w:rsidRPr="00891F5D" w:rsidRDefault="00891F5D" w:rsidP="00891F5D">
            <w:pPr>
              <w:spacing w:line="480" w:lineRule="auto"/>
              <w:rPr>
                <w:rFonts w:ascii="Arial" w:hAnsi="Arial" w:cs="Arial"/>
                <w:shd w:val="clear" w:color="auto" w:fill="FFFFFF"/>
              </w:rPr>
            </w:pPr>
          </w:p>
        </w:tc>
        <w:tc>
          <w:tcPr>
            <w:tcW w:w="3005" w:type="dxa"/>
          </w:tcPr>
          <w:p w14:paraId="2D73CAA2"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 xml:space="preserve">Survey Accounting Information System and undertake recalculations and reperforming process information flows  </w:t>
            </w:r>
          </w:p>
          <w:p w14:paraId="4E317FC5" w14:textId="77777777" w:rsidR="00891F5D" w:rsidRPr="00891F5D" w:rsidRDefault="00891F5D" w:rsidP="00891F5D">
            <w:pPr>
              <w:spacing w:line="480" w:lineRule="auto"/>
              <w:rPr>
                <w:rFonts w:ascii="Arial" w:hAnsi="Arial" w:cs="Arial"/>
                <w:shd w:val="clear" w:color="auto" w:fill="FFFFFF"/>
              </w:rPr>
            </w:pPr>
          </w:p>
        </w:tc>
        <w:tc>
          <w:tcPr>
            <w:tcW w:w="3006" w:type="dxa"/>
          </w:tcPr>
          <w:p w14:paraId="5BFF7704"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 xml:space="preserve">Examine </w:t>
            </w:r>
            <w:r w:rsidRPr="00891F5D">
              <w:rPr>
                <w:rFonts w:ascii="Arial" w:hAnsi="Arial" w:cs="Arial"/>
              </w:rPr>
              <w:t xml:space="preserve">Blockchain </w:t>
            </w:r>
            <w:r w:rsidRPr="00891F5D">
              <w:rPr>
                <w:rFonts w:ascii="Arial" w:hAnsi="Arial" w:cs="Arial"/>
                <w:shd w:val="clear" w:color="auto" w:fill="FFFFFF"/>
              </w:rPr>
              <w:t>including inputs / hash keys and information flow including access and rights to information</w:t>
            </w:r>
          </w:p>
          <w:p w14:paraId="7285B51C" w14:textId="77777777" w:rsidR="00891F5D" w:rsidRPr="00891F5D" w:rsidRDefault="00891F5D" w:rsidP="00891F5D">
            <w:pPr>
              <w:spacing w:line="480" w:lineRule="auto"/>
              <w:rPr>
                <w:rFonts w:ascii="Arial" w:hAnsi="Arial" w:cs="Arial"/>
                <w:shd w:val="clear" w:color="auto" w:fill="FFFFFF"/>
              </w:rPr>
            </w:pPr>
          </w:p>
          <w:p w14:paraId="0E81D927"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Identify any anomalies or outliers or strange patterns</w:t>
            </w:r>
          </w:p>
        </w:tc>
      </w:tr>
      <w:tr w:rsidR="00891F5D" w:rsidRPr="00891F5D" w14:paraId="105A195A" w14:textId="77777777" w:rsidTr="001D4222">
        <w:tc>
          <w:tcPr>
            <w:tcW w:w="3005" w:type="dxa"/>
          </w:tcPr>
          <w:p w14:paraId="5AE89D63"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lastRenderedPageBreak/>
              <w:t>Physical substantiation of source documentation / records and non-current assets</w:t>
            </w:r>
          </w:p>
          <w:p w14:paraId="28EABF66" w14:textId="77777777" w:rsidR="00891F5D" w:rsidRPr="00891F5D" w:rsidRDefault="00891F5D" w:rsidP="00891F5D">
            <w:pPr>
              <w:spacing w:line="480" w:lineRule="auto"/>
              <w:rPr>
                <w:rFonts w:ascii="Arial" w:hAnsi="Arial" w:cs="Arial"/>
                <w:shd w:val="clear" w:color="auto" w:fill="FFFFFF"/>
              </w:rPr>
            </w:pPr>
          </w:p>
        </w:tc>
        <w:tc>
          <w:tcPr>
            <w:tcW w:w="3005" w:type="dxa"/>
          </w:tcPr>
          <w:p w14:paraId="50BD7D20"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Sampling, walk through testing, verification / tracing / matching / coding</w:t>
            </w:r>
          </w:p>
        </w:tc>
        <w:tc>
          <w:tcPr>
            <w:tcW w:w="3006" w:type="dxa"/>
          </w:tcPr>
          <w:p w14:paraId="107622FF"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Investigate Blockchain</w:t>
            </w:r>
            <w:r w:rsidRPr="00891F5D">
              <w:rPr>
                <w:rFonts w:ascii="Arial" w:hAnsi="Arial" w:cs="Arial"/>
              </w:rPr>
              <w:t xml:space="preserve"> </w:t>
            </w:r>
            <w:r w:rsidRPr="00891F5D">
              <w:rPr>
                <w:rFonts w:ascii="Arial" w:hAnsi="Arial" w:cs="Arial"/>
                <w:shd w:val="clear" w:color="auto" w:fill="FFFFFF"/>
              </w:rPr>
              <w:t>including inputs / hash keys and information flow including access and permission rights to information</w:t>
            </w:r>
          </w:p>
          <w:p w14:paraId="1F295978" w14:textId="77777777" w:rsidR="00891F5D" w:rsidRPr="00891F5D" w:rsidRDefault="00891F5D" w:rsidP="00891F5D">
            <w:pPr>
              <w:spacing w:line="480" w:lineRule="auto"/>
              <w:rPr>
                <w:rFonts w:ascii="Arial" w:hAnsi="Arial" w:cs="Arial"/>
                <w:shd w:val="clear" w:color="auto" w:fill="FFFFFF"/>
              </w:rPr>
            </w:pPr>
          </w:p>
        </w:tc>
      </w:tr>
      <w:tr w:rsidR="00891F5D" w:rsidRPr="00891F5D" w14:paraId="6B978A12" w14:textId="77777777" w:rsidTr="001D4222">
        <w:tc>
          <w:tcPr>
            <w:tcW w:w="3005" w:type="dxa"/>
          </w:tcPr>
          <w:p w14:paraId="6B8B537B"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Proof of Confirmation</w:t>
            </w:r>
          </w:p>
          <w:p w14:paraId="5B0E81F4" w14:textId="77777777" w:rsidR="00891F5D" w:rsidRPr="00891F5D" w:rsidRDefault="00891F5D" w:rsidP="00891F5D">
            <w:pPr>
              <w:spacing w:line="480" w:lineRule="auto"/>
              <w:rPr>
                <w:rFonts w:ascii="Arial" w:hAnsi="Arial" w:cs="Arial"/>
                <w:shd w:val="clear" w:color="auto" w:fill="FFFFFF"/>
              </w:rPr>
            </w:pPr>
          </w:p>
        </w:tc>
        <w:tc>
          <w:tcPr>
            <w:tcW w:w="3005" w:type="dxa"/>
          </w:tcPr>
          <w:p w14:paraId="569C599C"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Test balances</w:t>
            </w:r>
          </w:p>
        </w:tc>
        <w:tc>
          <w:tcPr>
            <w:tcW w:w="3006" w:type="dxa"/>
          </w:tcPr>
          <w:p w14:paraId="4726AC0F"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 xml:space="preserve">Examine </w:t>
            </w:r>
            <w:r w:rsidRPr="00891F5D">
              <w:rPr>
                <w:rFonts w:ascii="Arial" w:hAnsi="Arial" w:cs="Arial"/>
              </w:rPr>
              <w:t xml:space="preserve">Blockchain </w:t>
            </w:r>
            <w:r w:rsidRPr="00891F5D">
              <w:rPr>
                <w:rFonts w:ascii="Arial" w:hAnsi="Arial" w:cs="Arial"/>
                <w:shd w:val="clear" w:color="auto" w:fill="FFFFFF"/>
              </w:rPr>
              <w:t>and information flow including access and rights to information</w:t>
            </w:r>
          </w:p>
          <w:p w14:paraId="31A394FD" w14:textId="77777777" w:rsidR="00891F5D" w:rsidRPr="00891F5D" w:rsidRDefault="00891F5D" w:rsidP="00891F5D">
            <w:pPr>
              <w:spacing w:line="480" w:lineRule="auto"/>
              <w:rPr>
                <w:rFonts w:ascii="Arial" w:hAnsi="Arial" w:cs="Arial"/>
                <w:shd w:val="clear" w:color="auto" w:fill="FFFFFF"/>
              </w:rPr>
            </w:pPr>
          </w:p>
        </w:tc>
      </w:tr>
    </w:tbl>
    <w:p w14:paraId="2F98BE6A" w14:textId="77777777" w:rsidR="00891F5D" w:rsidRPr="00891F5D" w:rsidRDefault="00891F5D" w:rsidP="00891F5D">
      <w:pPr>
        <w:spacing w:line="480" w:lineRule="auto"/>
        <w:jc w:val="both"/>
        <w:rPr>
          <w:rFonts w:ascii="Arial" w:hAnsi="Arial" w:cs="Arial"/>
        </w:rPr>
      </w:pPr>
    </w:p>
    <w:p w14:paraId="11CDB550" w14:textId="77777777" w:rsidR="00891F5D" w:rsidRPr="00891F5D" w:rsidRDefault="00891F5D" w:rsidP="00891F5D">
      <w:pPr>
        <w:spacing w:line="480" w:lineRule="auto"/>
        <w:jc w:val="both"/>
        <w:rPr>
          <w:rFonts w:ascii="Arial" w:hAnsi="Arial" w:cs="Arial"/>
          <w:b/>
          <w:bCs/>
        </w:rPr>
      </w:pPr>
      <w:bookmarkStart w:id="659" w:name="_Hlk172299793"/>
      <w:r w:rsidRPr="00891F5D">
        <w:rPr>
          <w:rFonts w:ascii="Arial" w:hAnsi="Arial" w:cs="Arial"/>
          <w:b/>
          <w:bCs/>
        </w:rPr>
        <w:t>Figure 2.18 Blockchain</w:t>
      </w:r>
      <w:r w:rsidRPr="00891F5D">
        <w:rPr>
          <w:rFonts w:ascii="Arial" w:hAnsi="Arial" w:cs="Arial"/>
        </w:rPr>
        <w:t xml:space="preserve"> </w:t>
      </w:r>
      <w:r w:rsidRPr="00891F5D">
        <w:rPr>
          <w:rFonts w:ascii="Arial" w:hAnsi="Arial" w:cs="Arial"/>
          <w:b/>
          <w:bCs/>
        </w:rPr>
        <w:t xml:space="preserve">Influence on Accounting Processes </w:t>
      </w:r>
    </w:p>
    <w:tbl>
      <w:tblPr>
        <w:tblStyle w:val="TableGrid"/>
        <w:tblW w:w="0" w:type="auto"/>
        <w:tblLook w:val="04A0" w:firstRow="1" w:lastRow="0" w:firstColumn="1" w:lastColumn="0" w:noHBand="0" w:noVBand="1"/>
      </w:tblPr>
      <w:tblGrid>
        <w:gridCol w:w="3005"/>
        <w:gridCol w:w="3005"/>
        <w:gridCol w:w="3006"/>
      </w:tblGrid>
      <w:tr w:rsidR="00891F5D" w:rsidRPr="00891F5D" w14:paraId="40CF6628" w14:textId="77777777" w:rsidTr="001D4222">
        <w:tc>
          <w:tcPr>
            <w:tcW w:w="3005" w:type="dxa"/>
          </w:tcPr>
          <w:bookmarkEnd w:id="659"/>
          <w:p w14:paraId="1BB17882" w14:textId="77777777" w:rsidR="00891F5D" w:rsidRPr="00891F5D" w:rsidRDefault="00891F5D" w:rsidP="00891F5D">
            <w:pPr>
              <w:spacing w:line="480" w:lineRule="auto"/>
              <w:jc w:val="both"/>
              <w:rPr>
                <w:rFonts w:ascii="Arial" w:hAnsi="Arial" w:cs="Arial"/>
                <w:b/>
                <w:bCs/>
                <w:shd w:val="clear" w:color="auto" w:fill="FFFFFF"/>
              </w:rPr>
            </w:pPr>
            <w:r w:rsidRPr="00891F5D">
              <w:rPr>
                <w:rFonts w:ascii="Arial" w:hAnsi="Arial" w:cs="Arial"/>
                <w:b/>
                <w:bCs/>
                <w:shd w:val="clear" w:color="auto" w:fill="FFFFFF"/>
              </w:rPr>
              <w:t>Accounting Process</w:t>
            </w:r>
          </w:p>
        </w:tc>
        <w:tc>
          <w:tcPr>
            <w:tcW w:w="3005" w:type="dxa"/>
          </w:tcPr>
          <w:p w14:paraId="0268E0C8" w14:textId="77777777" w:rsidR="00891F5D" w:rsidRPr="00891F5D" w:rsidRDefault="00891F5D" w:rsidP="00891F5D">
            <w:pPr>
              <w:spacing w:line="480" w:lineRule="auto"/>
              <w:jc w:val="both"/>
              <w:rPr>
                <w:rFonts w:ascii="Arial" w:hAnsi="Arial" w:cs="Arial"/>
                <w:b/>
                <w:bCs/>
                <w:shd w:val="clear" w:color="auto" w:fill="FFFFFF"/>
              </w:rPr>
            </w:pPr>
            <w:r w:rsidRPr="00891F5D">
              <w:rPr>
                <w:rFonts w:ascii="Arial" w:hAnsi="Arial" w:cs="Arial"/>
                <w:b/>
                <w:bCs/>
                <w:shd w:val="clear" w:color="auto" w:fill="FFFFFF"/>
              </w:rPr>
              <w:t>Current practice</w:t>
            </w:r>
          </w:p>
        </w:tc>
        <w:tc>
          <w:tcPr>
            <w:tcW w:w="3006" w:type="dxa"/>
          </w:tcPr>
          <w:p w14:paraId="0C840C0F" w14:textId="77777777" w:rsidR="00891F5D" w:rsidRPr="00891F5D" w:rsidRDefault="00891F5D" w:rsidP="00891F5D">
            <w:pPr>
              <w:spacing w:line="480" w:lineRule="auto"/>
              <w:jc w:val="both"/>
              <w:rPr>
                <w:rFonts w:ascii="Arial" w:hAnsi="Arial" w:cs="Arial"/>
                <w:b/>
                <w:bCs/>
                <w:shd w:val="clear" w:color="auto" w:fill="FFFFFF"/>
              </w:rPr>
            </w:pPr>
            <w:r w:rsidRPr="00891F5D">
              <w:rPr>
                <w:rFonts w:ascii="Arial" w:hAnsi="Arial" w:cs="Arial"/>
                <w:b/>
                <w:bCs/>
              </w:rPr>
              <w:t>Blockchain</w:t>
            </w:r>
            <w:r w:rsidRPr="00891F5D">
              <w:rPr>
                <w:rFonts w:ascii="Arial" w:hAnsi="Arial" w:cs="Arial"/>
              </w:rPr>
              <w:t xml:space="preserve"> </w:t>
            </w:r>
            <w:r w:rsidRPr="00891F5D">
              <w:rPr>
                <w:rFonts w:ascii="Arial" w:hAnsi="Arial" w:cs="Arial"/>
                <w:b/>
                <w:bCs/>
                <w:shd w:val="clear" w:color="auto" w:fill="FFFFFF"/>
              </w:rPr>
              <w:t>solution</w:t>
            </w:r>
          </w:p>
        </w:tc>
      </w:tr>
      <w:tr w:rsidR="00891F5D" w:rsidRPr="00891F5D" w14:paraId="1687787B" w14:textId="77777777" w:rsidTr="001D4222">
        <w:tc>
          <w:tcPr>
            <w:tcW w:w="3005" w:type="dxa"/>
          </w:tcPr>
          <w:p w14:paraId="6F8EDAAB"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Closing periods and year ends</w:t>
            </w:r>
          </w:p>
        </w:tc>
        <w:tc>
          <w:tcPr>
            <w:tcW w:w="3005" w:type="dxa"/>
          </w:tcPr>
          <w:p w14:paraId="5667D458"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Time consuming procedures certifying cut off</w:t>
            </w:r>
          </w:p>
        </w:tc>
        <w:tc>
          <w:tcPr>
            <w:tcW w:w="3006" w:type="dxa"/>
          </w:tcPr>
          <w:p w14:paraId="684A287B"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 xml:space="preserve">There is cut off in </w:t>
            </w:r>
            <w:r w:rsidRPr="00891F5D">
              <w:rPr>
                <w:rFonts w:ascii="Arial" w:hAnsi="Arial" w:cs="Arial"/>
              </w:rPr>
              <w:t xml:space="preserve">Blockchain </w:t>
            </w:r>
            <w:r w:rsidRPr="00891F5D">
              <w:rPr>
                <w:rFonts w:ascii="Arial" w:hAnsi="Arial" w:cs="Arial"/>
                <w:shd w:val="clear" w:color="auto" w:fill="FFFFFF"/>
              </w:rPr>
              <w:t>and vendor solutions that facilitate timely production, verified and professional financial statements and expert dash boards</w:t>
            </w:r>
          </w:p>
          <w:p w14:paraId="7FFFE1D4" w14:textId="77777777" w:rsidR="00891F5D" w:rsidRPr="00891F5D" w:rsidRDefault="00891F5D" w:rsidP="00891F5D">
            <w:pPr>
              <w:spacing w:line="480" w:lineRule="auto"/>
              <w:rPr>
                <w:rFonts w:ascii="Arial" w:hAnsi="Arial" w:cs="Arial"/>
                <w:shd w:val="clear" w:color="auto" w:fill="FFFFFF"/>
              </w:rPr>
            </w:pPr>
          </w:p>
        </w:tc>
      </w:tr>
      <w:tr w:rsidR="00891F5D" w:rsidRPr="00891F5D" w14:paraId="07D0EE8C" w14:textId="77777777" w:rsidTr="001D4222">
        <w:tc>
          <w:tcPr>
            <w:tcW w:w="3005" w:type="dxa"/>
          </w:tcPr>
          <w:p w14:paraId="6625C0E7"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lastRenderedPageBreak/>
              <w:t>Internal and external reporting</w:t>
            </w:r>
          </w:p>
          <w:p w14:paraId="51663CED" w14:textId="77777777" w:rsidR="00891F5D" w:rsidRPr="00891F5D" w:rsidRDefault="00891F5D" w:rsidP="00891F5D">
            <w:pPr>
              <w:spacing w:line="480" w:lineRule="auto"/>
              <w:rPr>
                <w:rFonts w:ascii="Arial" w:hAnsi="Arial" w:cs="Arial"/>
                <w:shd w:val="clear" w:color="auto" w:fill="FFFFFF"/>
              </w:rPr>
            </w:pPr>
          </w:p>
        </w:tc>
        <w:tc>
          <w:tcPr>
            <w:tcW w:w="3005" w:type="dxa"/>
          </w:tcPr>
          <w:p w14:paraId="5A3C3639"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Time consuming tests that validate and information</w:t>
            </w:r>
          </w:p>
        </w:tc>
        <w:tc>
          <w:tcPr>
            <w:tcW w:w="3006" w:type="dxa"/>
          </w:tcPr>
          <w:p w14:paraId="52F918A6" w14:textId="0C99160D"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 xml:space="preserve">See above and </w:t>
            </w:r>
            <w:r w:rsidR="00121F16" w:rsidRPr="00891F5D">
              <w:rPr>
                <w:rFonts w:ascii="Arial" w:hAnsi="Arial" w:cs="Arial"/>
                <w:shd w:val="clear" w:color="auto" w:fill="FFFFFF"/>
              </w:rPr>
              <w:t>enables accountants</w:t>
            </w:r>
            <w:r w:rsidRPr="00891F5D">
              <w:rPr>
                <w:rFonts w:ascii="Arial" w:hAnsi="Arial" w:cs="Arial"/>
                <w:shd w:val="clear" w:color="auto" w:fill="FFFFFF"/>
              </w:rPr>
              <w:t xml:space="preserve"> to offer more value-added services such as management consulting and IT solutions</w:t>
            </w:r>
          </w:p>
          <w:p w14:paraId="39338061" w14:textId="77777777" w:rsidR="00891F5D" w:rsidRPr="00891F5D" w:rsidRDefault="00891F5D" w:rsidP="00891F5D">
            <w:pPr>
              <w:spacing w:line="480" w:lineRule="auto"/>
              <w:rPr>
                <w:rFonts w:ascii="Arial" w:hAnsi="Arial" w:cs="Arial"/>
                <w:shd w:val="clear" w:color="auto" w:fill="FFFFFF"/>
              </w:rPr>
            </w:pPr>
          </w:p>
        </w:tc>
      </w:tr>
      <w:tr w:rsidR="00891F5D" w:rsidRPr="00891F5D" w14:paraId="0DC3AEFE" w14:textId="77777777" w:rsidTr="001D4222">
        <w:tc>
          <w:tcPr>
            <w:tcW w:w="3005" w:type="dxa"/>
          </w:tcPr>
          <w:p w14:paraId="755C1426"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Reconciliation and settlement of control accounts</w:t>
            </w:r>
          </w:p>
          <w:p w14:paraId="687DE4D9"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 xml:space="preserve"> </w:t>
            </w:r>
          </w:p>
        </w:tc>
        <w:tc>
          <w:tcPr>
            <w:tcW w:w="3005" w:type="dxa"/>
          </w:tcPr>
          <w:p w14:paraId="40C13A2A"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Laborious process of comparing internal and external documentation</w:t>
            </w:r>
          </w:p>
        </w:tc>
        <w:tc>
          <w:tcPr>
            <w:tcW w:w="3006" w:type="dxa"/>
          </w:tcPr>
          <w:p w14:paraId="4FE13539"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rPr>
              <w:t xml:space="preserve">Blockchain </w:t>
            </w:r>
            <w:r w:rsidRPr="00891F5D">
              <w:rPr>
                <w:rFonts w:ascii="Arial" w:hAnsi="Arial" w:cs="Arial"/>
                <w:shd w:val="clear" w:color="auto" w:fill="FFFFFF"/>
              </w:rPr>
              <w:t xml:space="preserve">facilitates proficient and simplified processes all underpinned by consensus of major stakeholders or actors in the </w:t>
            </w:r>
            <w:r w:rsidRPr="00891F5D">
              <w:rPr>
                <w:rFonts w:ascii="Arial" w:hAnsi="Arial" w:cs="Arial"/>
              </w:rPr>
              <w:t xml:space="preserve">Blockchain network </w:t>
            </w:r>
          </w:p>
        </w:tc>
      </w:tr>
    </w:tbl>
    <w:p w14:paraId="271CED3D" w14:textId="77777777" w:rsidR="00891F5D" w:rsidRPr="00891F5D" w:rsidRDefault="00891F5D" w:rsidP="00891F5D">
      <w:pPr>
        <w:spacing w:line="480" w:lineRule="auto"/>
        <w:jc w:val="both"/>
        <w:rPr>
          <w:rFonts w:ascii="Arial" w:hAnsi="Arial" w:cs="Arial"/>
        </w:rPr>
      </w:pPr>
    </w:p>
    <w:p w14:paraId="1BC60206" w14:textId="2435A9C1" w:rsidR="00891F5D" w:rsidRPr="00891F5D" w:rsidRDefault="00891F5D" w:rsidP="00891F5D">
      <w:pPr>
        <w:shd w:val="clear" w:color="auto" w:fill="FFFFFF"/>
        <w:spacing w:after="0" w:line="480" w:lineRule="auto"/>
        <w:jc w:val="both"/>
        <w:rPr>
          <w:rFonts w:ascii="Arial" w:eastAsia="Times New Roman" w:hAnsi="Arial" w:cs="Arial"/>
          <w:lang w:eastAsia="en-GB"/>
        </w:rPr>
      </w:pPr>
      <w:r w:rsidRPr="00891F5D">
        <w:rPr>
          <w:rFonts w:ascii="Arial" w:eastAsia="Times New Roman" w:hAnsi="Arial" w:cs="Arial"/>
          <w:lang w:eastAsia="en-GB"/>
        </w:rPr>
        <w:t xml:space="preserve">The </w:t>
      </w:r>
      <w:r w:rsidR="00CD45B6">
        <w:rPr>
          <w:rFonts w:ascii="Arial" w:eastAsiaTheme="minorHAnsi" w:hAnsi="Arial" w:cs="Arial"/>
          <w:kern w:val="0"/>
          <w:lang w:eastAsia="en-US"/>
          <w14:ligatures w14:val="none"/>
        </w:rPr>
        <w:t>researcher</w:t>
      </w:r>
      <w:r w:rsidRPr="00891F5D">
        <w:rPr>
          <w:rFonts w:ascii="Arial" w:eastAsia="Times New Roman" w:hAnsi="Arial" w:cs="Arial"/>
          <w:lang w:eastAsia="en-GB"/>
        </w:rPr>
        <w:t xml:space="preserve"> contends that the following features of </w:t>
      </w:r>
      <w:r w:rsidRPr="00891F5D">
        <w:rPr>
          <w:rFonts w:ascii="Arial" w:hAnsi="Arial" w:cs="Arial"/>
        </w:rPr>
        <w:t>Blockchain Technology</w:t>
      </w:r>
      <w:r w:rsidRPr="00891F5D">
        <w:rPr>
          <w:rFonts w:ascii="Arial" w:eastAsia="Times New Roman" w:hAnsi="Arial" w:cs="Arial"/>
          <w:lang w:eastAsia="en-GB"/>
        </w:rPr>
        <w:t xml:space="preserve"> can potentially dampen if not eliminate the risk of </w:t>
      </w:r>
      <w:r w:rsidRPr="00891F5D">
        <w:rPr>
          <w:rFonts w:ascii="Arial" w:hAnsi="Arial" w:cs="Arial"/>
        </w:rPr>
        <w:t>Accounting Fraud</w:t>
      </w:r>
      <w:r w:rsidRPr="00891F5D">
        <w:rPr>
          <w:rFonts w:ascii="Arial" w:eastAsia="Times New Roman" w:hAnsi="Arial" w:cs="Arial"/>
          <w:lang w:eastAsia="en-GB"/>
        </w:rPr>
        <w:t>:</w:t>
      </w:r>
    </w:p>
    <w:p w14:paraId="164850E3" w14:textId="77777777" w:rsidR="00891F5D" w:rsidRPr="00891F5D" w:rsidRDefault="00891F5D" w:rsidP="00891F5D">
      <w:pPr>
        <w:spacing w:line="480" w:lineRule="auto"/>
        <w:jc w:val="both"/>
        <w:rPr>
          <w:rFonts w:asciiTheme="minorBidi" w:hAnsiTheme="minorBidi"/>
        </w:rPr>
      </w:pPr>
      <w:r w:rsidRPr="00891F5D">
        <w:rPr>
          <w:rFonts w:asciiTheme="minorBidi" w:hAnsiTheme="minorBidi"/>
          <w:b/>
          <w:bCs/>
          <w:i/>
          <w:iCs/>
        </w:rPr>
        <w:t>• Integrity</w:t>
      </w:r>
      <w:r w:rsidRPr="00891F5D">
        <w:rPr>
          <w:rFonts w:asciiTheme="minorBidi" w:hAnsiTheme="minorBidi"/>
        </w:rPr>
        <w:t xml:space="preserve"> - A certifiable record of every transaction is created by the structure of a Blockchain, and this record can only be produced and/or altered with consensus.</w:t>
      </w:r>
    </w:p>
    <w:p w14:paraId="6F53CA7C" w14:textId="77777777" w:rsidR="00891F5D" w:rsidRPr="00891F5D" w:rsidRDefault="00891F5D" w:rsidP="00891F5D">
      <w:pPr>
        <w:spacing w:line="480" w:lineRule="auto"/>
        <w:jc w:val="both"/>
        <w:rPr>
          <w:rFonts w:asciiTheme="minorBidi" w:hAnsiTheme="minorBidi"/>
        </w:rPr>
      </w:pPr>
      <w:r w:rsidRPr="00891F5D">
        <w:rPr>
          <w:rFonts w:asciiTheme="minorBidi" w:hAnsiTheme="minorBidi"/>
          <w:b/>
          <w:bCs/>
          <w:i/>
          <w:iCs/>
        </w:rPr>
        <w:t>• Traceability</w:t>
      </w:r>
      <w:r w:rsidRPr="00891F5D">
        <w:rPr>
          <w:rFonts w:asciiTheme="minorBidi" w:hAnsiTheme="minorBidi"/>
          <w:i/>
          <w:iCs/>
        </w:rPr>
        <w:t xml:space="preserve"> —</w:t>
      </w:r>
      <w:r w:rsidRPr="00891F5D">
        <w:rPr>
          <w:rFonts w:asciiTheme="minorBidi" w:hAnsiTheme="minorBidi"/>
        </w:rPr>
        <w:t xml:space="preserve"> Due to blockchain's irrevocability and immutability, each stage of a business transaction or process is assigned a permanent, time-stamped audit trail.</w:t>
      </w:r>
    </w:p>
    <w:p w14:paraId="7C8BF5D2" w14:textId="77777777" w:rsidR="00891F5D" w:rsidRPr="00891F5D" w:rsidRDefault="00891F5D" w:rsidP="00891F5D">
      <w:pPr>
        <w:spacing w:line="480" w:lineRule="auto"/>
        <w:jc w:val="both"/>
        <w:rPr>
          <w:rFonts w:asciiTheme="minorBidi" w:hAnsiTheme="minorBidi"/>
        </w:rPr>
      </w:pPr>
      <w:r w:rsidRPr="00891F5D">
        <w:rPr>
          <w:rFonts w:asciiTheme="minorBidi" w:hAnsiTheme="minorBidi"/>
          <w:b/>
          <w:bCs/>
          <w:i/>
          <w:iCs/>
        </w:rPr>
        <w:t>• Transparency</w:t>
      </w:r>
      <w:r w:rsidRPr="00891F5D">
        <w:rPr>
          <w:rFonts w:asciiTheme="minorBidi" w:hAnsiTheme="minorBidi"/>
          <w:i/>
          <w:iCs/>
        </w:rPr>
        <w:t xml:space="preserve"> - </w:t>
      </w:r>
      <w:r w:rsidRPr="00891F5D">
        <w:rPr>
          <w:rFonts w:asciiTheme="minorBidi" w:hAnsiTheme="minorBidi"/>
        </w:rPr>
        <w:t>Blockchain's decentralized network enables a transparent platform that makes it simple to identify, investigate, and report information and transactions that are fraudulent.</w:t>
      </w:r>
    </w:p>
    <w:p w14:paraId="20628662" w14:textId="30B592F6" w:rsidR="00891F5D" w:rsidRPr="00891F5D" w:rsidRDefault="00891F5D" w:rsidP="00891F5D">
      <w:pPr>
        <w:spacing w:line="480" w:lineRule="auto"/>
        <w:jc w:val="both"/>
        <w:rPr>
          <w:rFonts w:asciiTheme="minorBidi" w:hAnsiTheme="minorBidi"/>
        </w:rPr>
      </w:pPr>
      <w:r w:rsidRPr="00891F5D">
        <w:rPr>
          <w:rFonts w:asciiTheme="minorBidi" w:hAnsiTheme="minorBidi"/>
          <w:b/>
          <w:bCs/>
          <w:i/>
          <w:iCs/>
        </w:rPr>
        <w:lastRenderedPageBreak/>
        <w:t>• Security</w:t>
      </w:r>
      <w:r w:rsidRPr="00891F5D">
        <w:rPr>
          <w:rFonts w:asciiTheme="minorBidi" w:hAnsiTheme="minorBidi"/>
          <w:i/>
          <w:iCs/>
        </w:rPr>
        <w:t xml:space="preserve"> -</w:t>
      </w:r>
      <w:r w:rsidRPr="00891F5D">
        <w:rPr>
          <w:rFonts w:asciiTheme="minorBidi" w:hAnsiTheme="minorBidi"/>
        </w:rPr>
        <w:t xml:space="preserve"> Blockchain prevents any single participant or entity from stealing organisations assets by disintermediating data storage. (As previously stated, it is theoretically possible for an actor or participant in the Blockchain to gain control of 51%, but doing so would need extraordinary processing power and changing hash keys since, the old ones would also need to be altered as well. Even if a change is made, all Blockchain participants could still detect the assault and take protective measures, such as blocking access to their segment of the network. Additionally, the </w:t>
      </w:r>
      <w:r w:rsidR="00780A0E">
        <w:rPr>
          <w:rFonts w:ascii="Arial" w:eastAsiaTheme="minorHAnsi" w:hAnsi="Arial" w:cs="Arial"/>
          <w:kern w:val="0"/>
          <w:lang w:eastAsia="en-US"/>
          <w14:ligatures w14:val="none"/>
        </w:rPr>
        <w:t>researcher</w:t>
      </w:r>
      <w:r w:rsidRPr="00891F5D">
        <w:rPr>
          <w:rFonts w:asciiTheme="minorBidi" w:hAnsiTheme="minorBidi"/>
        </w:rPr>
        <w:t xml:space="preserve"> thinks that as Blockchain Technology advances and spreads, it will become more robust and eventually it may require 100% control to carry out any fraud.)</w:t>
      </w:r>
    </w:p>
    <w:p w14:paraId="7ECA1246" w14:textId="77777777" w:rsidR="00891F5D" w:rsidRPr="00891F5D" w:rsidRDefault="00891F5D" w:rsidP="00891F5D">
      <w:pPr>
        <w:shd w:val="clear" w:color="auto" w:fill="FFFFFF"/>
        <w:spacing w:after="0" w:line="480" w:lineRule="auto"/>
        <w:jc w:val="both"/>
        <w:rPr>
          <w:rFonts w:ascii="Arial" w:eastAsia="Times New Roman" w:hAnsi="Arial" w:cs="Arial"/>
          <w:lang w:eastAsia="en-GB"/>
        </w:rPr>
      </w:pPr>
      <w:r w:rsidRPr="00891F5D">
        <w:rPr>
          <w:rFonts w:ascii="Arial" w:eastAsia="Times New Roman" w:hAnsi="Arial" w:cs="Arial"/>
          <w:lang w:eastAsia="en-GB"/>
        </w:rPr>
        <w:t xml:space="preserve">The following are well documented and notorious billion Dollar examples of financial and Accounting Fraud where </w:t>
      </w:r>
      <w:r w:rsidRPr="00891F5D">
        <w:rPr>
          <w:rFonts w:ascii="Arial" w:hAnsi="Arial" w:cs="Arial"/>
        </w:rPr>
        <w:t>Blockchain Technology</w:t>
      </w:r>
      <w:r w:rsidRPr="00891F5D">
        <w:rPr>
          <w:rFonts w:ascii="Arial" w:eastAsia="Times New Roman" w:hAnsi="Arial" w:cs="Arial"/>
          <w:lang w:eastAsia="en-GB"/>
        </w:rPr>
        <w:t xml:space="preserve"> could have been used to limit the magnitude of the fallout if not prevent them altogether.</w:t>
      </w:r>
    </w:p>
    <w:p w14:paraId="292BFBDF" w14:textId="77777777" w:rsidR="00891F5D" w:rsidRPr="00891F5D" w:rsidRDefault="00891F5D" w:rsidP="00891F5D">
      <w:pPr>
        <w:shd w:val="clear" w:color="auto" w:fill="FFFFFF"/>
        <w:spacing w:after="0" w:line="480" w:lineRule="auto"/>
        <w:jc w:val="both"/>
        <w:rPr>
          <w:rFonts w:asciiTheme="minorBidi" w:hAnsiTheme="minorBidi"/>
        </w:rPr>
      </w:pPr>
    </w:p>
    <w:p w14:paraId="176A57FB" w14:textId="77777777" w:rsidR="00891F5D" w:rsidRPr="00891F5D" w:rsidRDefault="00891F5D" w:rsidP="00891F5D">
      <w:pPr>
        <w:shd w:val="clear" w:color="auto" w:fill="FFFFFF"/>
        <w:spacing w:after="0" w:line="480" w:lineRule="auto"/>
        <w:jc w:val="both"/>
        <w:rPr>
          <w:rFonts w:ascii="Arial" w:eastAsia="Times New Roman" w:hAnsi="Arial" w:cs="Arial"/>
          <w:b/>
          <w:bCs/>
          <w:i/>
          <w:iCs/>
          <w:lang w:eastAsia="en-GB"/>
        </w:rPr>
      </w:pPr>
      <w:r w:rsidRPr="00891F5D">
        <w:rPr>
          <w:rFonts w:asciiTheme="minorBidi" w:hAnsiTheme="minorBidi"/>
        </w:rPr>
        <w:t xml:space="preserve">Bernard Madoff, who designed a Ponzi or pyramid investment scheme in which the initial investors took money (falsely characterized as gains) at the expense of new participants, was jailed for securities fraud in 2009. Investor losses were estimated to be as high as $65 billion. It is argued that better internal and external auditability and transparency of the fund could have been achieved at the time if Blockchain smart contracts had been available and utilised. This would have been supported by pre-programmed rules and protocols written in permanent code that would have been strictly adhered to by the active nodes.  Since the assets could only be invested in accordance with those established guidelines, it would have been improbable to claim ownership of or dispose of an asset that did not comply with the prescribed rules </w:t>
      </w:r>
      <w:r w:rsidRPr="00891F5D">
        <w:rPr>
          <w:rFonts w:ascii="Arial" w:eastAsia="Times New Roman" w:hAnsi="Arial" w:cs="Arial"/>
          <w:lang w:eastAsia="en-GB"/>
        </w:rPr>
        <w:t xml:space="preserve">i.e. </w:t>
      </w:r>
      <w:r w:rsidRPr="00891F5D">
        <w:rPr>
          <w:rFonts w:ascii="Arial" w:eastAsia="Times New Roman" w:hAnsi="Arial" w:cs="Arial"/>
          <w:b/>
          <w:bCs/>
          <w:i/>
          <w:iCs/>
          <w:lang w:eastAsia="en-GB"/>
        </w:rPr>
        <w:t xml:space="preserve">No management override. </w:t>
      </w:r>
    </w:p>
    <w:p w14:paraId="65BDF3F9" w14:textId="77777777" w:rsidR="00891F5D" w:rsidRPr="00891F5D" w:rsidRDefault="00891F5D" w:rsidP="00891F5D">
      <w:pPr>
        <w:shd w:val="clear" w:color="auto" w:fill="FFFFFF"/>
        <w:spacing w:after="0" w:line="480" w:lineRule="auto"/>
        <w:jc w:val="both"/>
        <w:rPr>
          <w:rFonts w:ascii="Arial" w:eastAsia="Times New Roman" w:hAnsi="Arial" w:cs="Arial"/>
          <w:b/>
          <w:bCs/>
          <w:i/>
          <w:iCs/>
          <w:lang w:eastAsia="en-GB"/>
        </w:rPr>
      </w:pPr>
    </w:p>
    <w:p w14:paraId="434595B6" w14:textId="77777777" w:rsidR="00891F5D" w:rsidRPr="00891F5D" w:rsidRDefault="00891F5D" w:rsidP="00891F5D">
      <w:pPr>
        <w:spacing w:line="480" w:lineRule="auto"/>
        <w:jc w:val="both"/>
        <w:rPr>
          <w:rFonts w:asciiTheme="minorBidi" w:hAnsiTheme="minorBidi"/>
        </w:rPr>
      </w:pPr>
      <w:r w:rsidRPr="00891F5D">
        <w:rPr>
          <w:rFonts w:asciiTheme="minorBidi" w:hAnsiTheme="minorBidi"/>
        </w:rPr>
        <w:lastRenderedPageBreak/>
        <w:t>The now-defunct external auditor Arthur Anderson was tasked with auditing the financial statements and providing assurances to the stakeholders in the infamous Enron case. Unfortunately, following the destruction of thousands of audit files and records, the firm was found guilty of obstructing justice. The auditing process is made more affordable, streamlined, and transparent by using Blockchain technology and smart contracts. Consequently, the transactions would have been readily accessible to all parties and any Accounting Fraud would have been discovered if the data had been entered into a public ledger or Blockchain.  Even if a permissioned network had been in use, the Enron could have limited the users and their access privileges.</w:t>
      </w:r>
      <w:r w:rsidRPr="00891F5D">
        <w:rPr>
          <w:sz w:val="22"/>
          <w:szCs w:val="22"/>
        </w:rPr>
        <w:t xml:space="preserve"> </w:t>
      </w:r>
      <w:r w:rsidRPr="00891F5D">
        <w:rPr>
          <w:rFonts w:asciiTheme="minorBidi" w:hAnsiTheme="minorBidi"/>
        </w:rPr>
        <w:t xml:space="preserve">As a result, certain participants would receive cryptographic identity cards that would allow them to view all or just some transactions.  However, even these privileged users would not have been able to change the Blockchain without unanimous agreement or consensus, indicating that many participants would have to work together to commit fraud, i.e., </w:t>
      </w:r>
      <w:r w:rsidRPr="00891F5D">
        <w:rPr>
          <w:rFonts w:asciiTheme="minorBidi" w:hAnsiTheme="minorBidi"/>
          <w:b/>
          <w:bCs/>
          <w:i/>
          <w:iCs/>
        </w:rPr>
        <w:t>Control Fraud.</w:t>
      </w:r>
    </w:p>
    <w:p w14:paraId="5F8D436D" w14:textId="77777777" w:rsidR="00891F5D" w:rsidRDefault="00891F5D" w:rsidP="00891F5D">
      <w:pPr>
        <w:shd w:val="clear" w:color="auto" w:fill="FFFFFF"/>
        <w:spacing w:after="0" w:line="480" w:lineRule="auto"/>
        <w:jc w:val="both"/>
        <w:rPr>
          <w:rFonts w:ascii="Arial" w:eastAsia="Times New Roman" w:hAnsi="Arial" w:cs="Arial"/>
          <w:lang w:eastAsia="en-GB"/>
        </w:rPr>
      </w:pPr>
      <w:r w:rsidRPr="00891F5D">
        <w:rPr>
          <w:rFonts w:ascii="Arial" w:eastAsia="Times New Roman" w:hAnsi="Arial" w:cs="Arial"/>
          <w:lang w:eastAsia="en-GB"/>
        </w:rPr>
        <w:t xml:space="preserve">In both cases, the encrypted information would remain permanent and all participants or actors clearly perceptible, meaning anyone attempting to commit a fraud would be visible. </w:t>
      </w:r>
    </w:p>
    <w:p w14:paraId="2B41C794" w14:textId="77777777" w:rsidR="001C0886" w:rsidRPr="00891F5D" w:rsidRDefault="001C0886" w:rsidP="00891F5D">
      <w:pPr>
        <w:shd w:val="clear" w:color="auto" w:fill="FFFFFF"/>
        <w:spacing w:after="0" w:line="480" w:lineRule="auto"/>
        <w:jc w:val="both"/>
        <w:rPr>
          <w:rFonts w:ascii="Arial" w:eastAsia="Times New Roman" w:hAnsi="Arial" w:cs="Arial"/>
          <w:lang w:eastAsia="en-GB"/>
        </w:rPr>
      </w:pPr>
    </w:p>
    <w:p w14:paraId="4960A468" w14:textId="77777777" w:rsidR="00891F5D" w:rsidRPr="00891F5D" w:rsidRDefault="00891F5D" w:rsidP="00891F5D">
      <w:pPr>
        <w:spacing w:line="480" w:lineRule="auto"/>
        <w:jc w:val="both"/>
        <w:rPr>
          <w:rFonts w:asciiTheme="minorBidi" w:hAnsiTheme="minorBidi"/>
        </w:rPr>
      </w:pPr>
      <w:r w:rsidRPr="00891F5D">
        <w:rPr>
          <w:rFonts w:ascii="Arial" w:hAnsi="Arial" w:cs="Arial"/>
          <w:shd w:val="clear" w:color="auto" w:fill="FFFFFF"/>
        </w:rPr>
        <w:t xml:space="preserve">Consider the following example of Luca &amp; Co, a midsize accounting firm that has created a </w:t>
      </w:r>
      <w:r w:rsidRPr="00891F5D">
        <w:rPr>
          <w:rFonts w:ascii="Arial" w:hAnsi="Arial" w:cs="Arial"/>
          <w:b/>
          <w:bCs/>
          <w:shd w:val="clear" w:color="auto" w:fill="FFFFFF"/>
        </w:rPr>
        <w:t xml:space="preserve">private </w:t>
      </w:r>
      <w:r w:rsidRPr="00891F5D">
        <w:rPr>
          <w:rFonts w:ascii="Arial" w:hAnsi="Arial" w:cs="Arial"/>
        </w:rPr>
        <w:t xml:space="preserve">Blockchain </w:t>
      </w:r>
      <w:r w:rsidRPr="00891F5D">
        <w:rPr>
          <w:rFonts w:ascii="Arial" w:hAnsi="Arial" w:cs="Arial"/>
          <w:shd w:val="clear" w:color="auto" w:fill="FFFFFF"/>
        </w:rPr>
        <w:t xml:space="preserve">controlled by the firm, with its largest 50 audit clients as members of the network. Rather than manually corroborating outstanding year end balances such as receivables or payables which is highly time consuming and cumbersome, </w:t>
      </w:r>
      <w:r w:rsidRPr="00891F5D">
        <w:rPr>
          <w:rFonts w:ascii="Arial" w:hAnsi="Arial" w:cs="Arial"/>
        </w:rPr>
        <w:t xml:space="preserve">Blockchain </w:t>
      </w:r>
      <w:r w:rsidRPr="00891F5D">
        <w:rPr>
          <w:rFonts w:ascii="Arial" w:hAnsi="Arial" w:cs="Arial"/>
          <w:shd w:val="clear" w:color="auto" w:fill="FFFFFF"/>
        </w:rPr>
        <w:t xml:space="preserve">enables this process to be achieved virtually instantaneously. </w:t>
      </w:r>
      <w:r w:rsidRPr="00891F5D">
        <w:rPr>
          <w:rFonts w:asciiTheme="minorBidi" w:hAnsiTheme="minorBidi"/>
        </w:rPr>
        <w:t xml:space="preserve">Data blocks are continuously reviewed and confirmed by network members because they are authenticated and uploaded to the Blockchain. In a private blockchain </w:t>
      </w:r>
      <w:r w:rsidRPr="00891F5D">
        <w:rPr>
          <w:rFonts w:asciiTheme="minorBidi" w:hAnsiTheme="minorBidi"/>
        </w:rPr>
        <w:lastRenderedPageBreak/>
        <w:t>ecosystem, confirmations may be hastened, improved, or perhaps judged superfluous. It is important to note that every participant in the network can audit the Blockchain and is thereby aware of the conditions, constraints, details, and agreements between counterparties. Therefore, the method by which receivables or payables are examined and authenticated may vary if counterparties are aware of who is owed money and the terms of that payment.</w:t>
      </w:r>
    </w:p>
    <w:p w14:paraId="1B9014A2" w14:textId="77777777" w:rsidR="00891F5D" w:rsidRPr="00891F5D" w:rsidRDefault="00891F5D" w:rsidP="00891F5D">
      <w:pPr>
        <w:shd w:val="clear" w:color="auto" w:fill="FFFFFF"/>
        <w:spacing w:after="0" w:line="480" w:lineRule="auto"/>
        <w:jc w:val="both"/>
      </w:pPr>
      <w:r w:rsidRPr="00891F5D">
        <w:rPr>
          <w:rFonts w:ascii="Arial" w:hAnsi="Arial" w:cs="Arial"/>
          <w:shd w:val="clear" w:color="auto" w:fill="FFFFFF"/>
        </w:rPr>
        <w:t>Consider another hypothetical example where DEFF Ltd sells goods to ABCC. The financial controller at DEFF Ltd, uses a general ledger in a leading piece of accounting software such as Xero to track DEFF’s sales with ABCC including closing balances. However, it is important to note that under</w:t>
      </w:r>
      <w:r w:rsidRPr="00891F5D">
        <w:rPr>
          <w:rFonts w:ascii="Arial" w:hAnsi="Arial" w:cs="Arial"/>
        </w:rPr>
        <w:t xml:space="preserve"> Blockchain</w:t>
      </w:r>
      <w:r w:rsidRPr="00891F5D">
        <w:rPr>
          <w:rFonts w:ascii="Arial" w:hAnsi="Arial" w:cs="Arial"/>
          <w:shd w:val="clear" w:color="auto" w:fill="FFFFFF"/>
        </w:rPr>
        <w:t xml:space="preserve"> a closing balance does not exist, thus, the benefit for DEFF and ABCC is that both companies can view transactions at any time and mutually agree that it is accurate. The benefit for DEFF’s financial controller is that the numbers cannot be changed, and much less time is spent reconciling accounts and validating numbers. Since transactions cannot be changed or manipulated easily, this reduces the chance of cut-off and reliability problems, and reduces </w:t>
      </w:r>
      <w:r w:rsidRPr="00891F5D">
        <w:rPr>
          <w:rFonts w:ascii="Arial" w:hAnsi="Arial" w:cs="Arial"/>
        </w:rPr>
        <w:t>Accounting Fraud</w:t>
      </w:r>
      <w:r w:rsidRPr="00891F5D">
        <w:rPr>
          <w:rFonts w:ascii="Arial" w:hAnsi="Arial" w:cs="Arial"/>
          <w:shd w:val="clear" w:color="auto" w:fill="FFFFFF"/>
        </w:rPr>
        <w:t>.</w:t>
      </w:r>
    </w:p>
    <w:p w14:paraId="01743F15" w14:textId="77777777" w:rsidR="00891F5D" w:rsidRPr="00891F5D" w:rsidRDefault="00891F5D" w:rsidP="00891F5D">
      <w:pPr>
        <w:spacing w:line="480" w:lineRule="auto"/>
        <w:jc w:val="both"/>
        <w:rPr>
          <w:rFonts w:ascii="Arial" w:hAnsi="Arial" w:cs="Arial"/>
          <w:shd w:val="clear" w:color="auto" w:fill="FFFFFF"/>
        </w:rPr>
      </w:pPr>
      <w:r w:rsidRPr="00891F5D">
        <w:rPr>
          <w:rFonts w:ascii="Arial" w:hAnsi="Arial" w:cs="Arial"/>
          <w:shd w:val="clear" w:color="auto" w:fill="FFFFFF"/>
        </w:rPr>
        <w:t xml:space="preserve">In the final hypothetical example such as ALY &amp; Co has a payroll bureau of 200 clients. The payroll administrator – Zain - spends at least three days a week using specialist payroll software and client-supplied data to create the payments. He must tediously authenticate hours, salaries, various adjustments such as bonuses, and any statutory payments for the employees such as sick leave. In stark contrast if Zain started using a private </w:t>
      </w:r>
      <w:r w:rsidRPr="00891F5D">
        <w:rPr>
          <w:rFonts w:ascii="Arial" w:hAnsi="Arial" w:cs="Arial"/>
        </w:rPr>
        <w:t xml:space="preserve">Blockchain </w:t>
      </w:r>
      <w:r w:rsidRPr="00891F5D">
        <w:rPr>
          <w:rFonts w:ascii="Arial" w:hAnsi="Arial" w:cs="Arial"/>
          <w:shd w:val="clear" w:color="auto" w:fill="FFFFFF"/>
        </w:rPr>
        <w:t xml:space="preserve">for each client, he would spend several hours a week performing verifications, because the 200 blockchains are automatically implementing the programmed requirements of the payroll process known as </w:t>
      </w:r>
      <w:r w:rsidRPr="00891F5D">
        <w:rPr>
          <w:rFonts w:ascii="Arial" w:hAnsi="Arial" w:cs="Arial"/>
          <w:b/>
          <w:bCs/>
          <w:shd w:val="clear" w:color="auto" w:fill="FFFFFF"/>
        </w:rPr>
        <w:t xml:space="preserve">“smart contracts.” </w:t>
      </w:r>
      <w:r w:rsidRPr="00891F5D">
        <w:rPr>
          <w:rFonts w:ascii="Arial" w:hAnsi="Arial" w:cs="Arial"/>
          <w:shd w:val="clear" w:color="auto" w:fill="FFFFFF"/>
        </w:rPr>
        <w:t xml:space="preserve">A smart contract is a series of </w:t>
      </w:r>
      <w:r w:rsidRPr="00891F5D">
        <w:rPr>
          <w:rFonts w:ascii="Arial" w:hAnsi="Arial" w:cs="Arial"/>
          <w:b/>
          <w:bCs/>
          <w:shd w:val="clear" w:color="auto" w:fill="FFFFFF"/>
        </w:rPr>
        <w:t>“if, then”</w:t>
      </w:r>
      <w:r w:rsidRPr="00891F5D">
        <w:rPr>
          <w:rFonts w:ascii="Arial" w:hAnsi="Arial" w:cs="Arial"/>
          <w:shd w:val="clear" w:color="auto" w:fill="FFFFFF"/>
        </w:rPr>
        <w:t xml:space="preserve"> statements and agreements that have been </w:t>
      </w:r>
      <w:r w:rsidRPr="00891F5D">
        <w:rPr>
          <w:rFonts w:ascii="Arial" w:hAnsi="Arial" w:cs="Arial"/>
          <w:shd w:val="clear" w:color="auto" w:fill="FFFFFF"/>
        </w:rPr>
        <w:lastRenderedPageBreak/>
        <w:t>approved by all parties concerned, which were extensively discussed in the relevant chapter.</w:t>
      </w:r>
    </w:p>
    <w:p w14:paraId="63A4ACE4" w14:textId="77777777" w:rsidR="00891F5D" w:rsidRPr="00891F5D" w:rsidRDefault="00891F5D" w:rsidP="00891F5D">
      <w:pPr>
        <w:spacing w:line="480" w:lineRule="auto"/>
        <w:jc w:val="both"/>
        <w:rPr>
          <w:rFonts w:ascii="Arial" w:hAnsi="Arial" w:cs="Arial"/>
          <w:shd w:val="clear" w:color="auto" w:fill="FFFFFF"/>
        </w:rPr>
      </w:pPr>
      <w:r w:rsidRPr="00891F5D">
        <w:rPr>
          <w:rFonts w:ascii="Arial" w:hAnsi="Arial" w:cs="Arial"/>
          <w:shd w:val="clear" w:color="auto" w:fill="FFFFFF"/>
        </w:rPr>
        <w:t>There are potential ‘win-win’ benefits for the accountant and their client are summarised and outlined in Figure 2.19</w:t>
      </w:r>
    </w:p>
    <w:p w14:paraId="3F89A3BC" w14:textId="77777777" w:rsidR="00891F5D" w:rsidRPr="00891F5D" w:rsidRDefault="00891F5D" w:rsidP="00891F5D">
      <w:pPr>
        <w:spacing w:line="480" w:lineRule="auto"/>
        <w:jc w:val="both"/>
        <w:rPr>
          <w:rFonts w:ascii="Arial" w:hAnsi="Arial" w:cs="Arial"/>
          <w:b/>
          <w:bCs/>
          <w:shd w:val="clear" w:color="auto" w:fill="FFFFFF"/>
        </w:rPr>
      </w:pPr>
      <w:bookmarkStart w:id="660" w:name="_Hlk147083322"/>
      <w:r w:rsidRPr="00891F5D">
        <w:rPr>
          <w:rFonts w:ascii="Arial" w:hAnsi="Arial" w:cs="Arial"/>
          <w:b/>
          <w:bCs/>
          <w:shd w:val="clear" w:color="auto" w:fill="FFFFFF"/>
        </w:rPr>
        <w:t xml:space="preserve">2.19 Benefits of </w:t>
      </w:r>
      <w:r w:rsidRPr="00891F5D">
        <w:rPr>
          <w:rFonts w:ascii="Arial" w:hAnsi="Arial" w:cs="Arial"/>
          <w:b/>
          <w:bCs/>
        </w:rPr>
        <w:t xml:space="preserve">Blockchain </w:t>
      </w:r>
      <w:r w:rsidRPr="00891F5D">
        <w:rPr>
          <w:rFonts w:ascii="Arial" w:hAnsi="Arial" w:cs="Arial"/>
          <w:b/>
          <w:bCs/>
          <w:shd w:val="clear" w:color="auto" w:fill="FFFFFF"/>
        </w:rPr>
        <w:t>to the Accountancy Profession:</w:t>
      </w:r>
    </w:p>
    <w:tbl>
      <w:tblPr>
        <w:tblStyle w:val="TableGrid"/>
        <w:tblW w:w="0" w:type="auto"/>
        <w:tblLook w:val="04A0" w:firstRow="1" w:lastRow="0" w:firstColumn="1" w:lastColumn="0" w:noHBand="0" w:noVBand="1"/>
      </w:tblPr>
      <w:tblGrid>
        <w:gridCol w:w="3005"/>
        <w:gridCol w:w="3005"/>
        <w:gridCol w:w="3006"/>
      </w:tblGrid>
      <w:tr w:rsidR="00891F5D" w:rsidRPr="00891F5D" w14:paraId="5BE0CF04" w14:textId="77777777" w:rsidTr="001D4222">
        <w:tc>
          <w:tcPr>
            <w:tcW w:w="3005" w:type="dxa"/>
          </w:tcPr>
          <w:bookmarkEnd w:id="660"/>
          <w:p w14:paraId="1E5B40BC" w14:textId="77777777" w:rsidR="00891F5D" w:rsidRPr="00891F5D" w:rsidRDefault="00891F5D" w:rsidP="00891F5D">
            <w:pPr>
              <w:spacing w:line="480" w:lineRule="auto"/>
              <w:jc w:val="both"/>
              <w:rPr>
                <w:rFonts w:ascii="Arial" w:hAnsi="Arial" w:cs="Arial"/>
                <w:b/>
                <w:bCs/>
                <w:shd w:val="clear" w:color="auto" w:fill="FFFFFF"/>
              </w:rPr>
            </w:pPr>
            <w:r w:rsidRPr="00891F5D">
              <w:rPr>
                <w:rFonts w:ascii="Arial" w:hAnsi="Arial" w:cs="Arial"/>
                <w:b/>
                <w:bCs/>
                <w:shd w:val="clear" w:color="auto" w:fill="FFFFFF"/>
              </w:rPr>
              <w:t xml:space="preserve"> </w:t>
            </w:r>
            <w:r w:rsidRPr="00891F5D">
              <w:rPr>
                <w:rFonts w:ascii="Arial" w:hAnsi="Arial" w:cs="Arial"/>
                <w:b/>
                <w:bCs/>
              </w:rPr>
              <w:t>Blockchain</w:t>
            </w:r>
            <w:r w:rsidRPr="00891F5D">
              <w:rPr>
                <w:rFonts w:ascii="Arial" w:hAnsi="Arial" w:cs="Arial"/>
              </w:rPr>
              <w:t xml:space="preserve"> </w:t>
            </w:r>
            <w:r w:rsidRPr="00891F5D">
              <w:rPr>
                <w:rFonts w:ascii="Arial" w:hAnsi="Arial" w:cs="Arial"/>
                <w:b/>
                <w:bCs/>
              </w:rPr>
              <w:t>Attribute</w:t>
            </w:r>
          </w:p>
        </w:tc>
        <w:tc>
          <w:tcPr>
            <w:tcW w:w="3005" w:type="dxa"/>
          </w:tcPr>
          <w:p w14:paraId="2DCF332E" w14:textId="77777777" w:rsidR="00891F5D" w:rsidRPr="00891F5D" w:rsidRDefault="00891F5D" w:rsidP="00891F5D">
            <w:pPr>
              <w:spacing w:line="480" w:lineRule="auto"/>
              <w:jc w:val="both"/>
              <w:rPr>
                <w:rFonts w:ascii="Arial" w:hAnsi="Arial" w:cs="Arial"/>
                <w:b/>
                <w:bCs/>
                <w:shd w:val="clear" w:color="auto" w:fill="FFFFFF"/>
              </w:rPr>
            </w:pPr>
            <w:r w:rsidRPr="00891F5D">
              <w:rPr>
                <w:rFonts w:ascii="Arial" w:hAnsi="Arial" w:cs="Arial"/>
                <w:b/>
                <w:bCs/>
                <w:shd w:val="clear" w:color="auto" w:fill="FFFFFF"/>
              </w:rPr>
              <w:t>Accountant ‘Win’ / Benefit</w:t>
            </w:r>
          </w:p>
        </w:tc>
        <w:tc>
          <w:tcPr>
            <w:tcW w:w="3006" w:type="dxa"/>
          </w:tcPr>
          <w:p w14:paraId="00EB3F1C" w14:textId="77777777" w:rsidR="00891F5D" w:rsidRPr="00891F5D" w:rsidRDefault="00891F5D" w:rsidP="00891F5D">
            <w:pPr>
              <w:spacing w:line="480" w:lineRule="auto"/>
              <w:jc w:val="both"/>
              <w:rPr>
                <w:rFonts w:ascii="Arial" w:hAnsi="Arial" w:cs="Arial"/>
                <w:b/>
                <w:bCs/>
                <w:shd w:val="clear" w:color="auto" w:fill="FFFFFF"/>
              </w:rPr>
            </w:pPr>
            <w:r w:rsidRPr="00891F5D">
              <w:rPr>
                <w:rFonts w:ascii="Arial" w:hAnsi="Arial" w:cs="Arial"/>
                <w:b/>
                <w:bCs/>
                <w:shd w:val="clear" w:color="auto" w:fill="FFFFFF"/>
              </w:rPr>
              <w:t>Client ‘Win’ / Benefit</w:t>
            </w:r>
          </w:p>
        </w:tc>
      </w:tr>
      <w:tr w:rsidR="00891F5D" w:rsidRPr="00891F5D" w14:paraId="63F020B9" w14:textId="77777777" w:rsidTr="001D4222">
        <w:tc>
          <w:tcPr>
            <w:tcW w:w="3005" w:type="dxa"/>
          </w:tcPr>
          <w:p w14:paraId="5A72AEFC"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Real time or live supply and production of information</w:t>
            </w:r>
          </w:p>
        </w:tc>
        <w:tc>
          <w:tcPr>
            <w:tcW w:w="3005" w:type="dxa"/>
          </w:tcPr>
          <w:p w14:paraId="7CAFD960"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Capacity to undertake real time analytical reviews / procedures which enables enhanced assurance regarding the financial statements, a higher quality audit opinion and better assessment around going concern.</w:t>
            </w:r>
          </w:p>
          <w:p w14:paraId="0133444B"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Less Accounting Fraud and potential containment of the Corporate Psychopath Accountant</w:t>
            </w:r>
          </w:p>
          <w:p w14:paraId="26CFB402" w14:textId="77777777" w:rsidR="00891F5D" w:rsidRPr="00891F5D" w:rsidRDefault="00891F5D" w:rsidP="00891F5D">
            <w:pPr>
              <w:spacing w:line="480" w:lineRule="auto"/>
              <w:rPr>
                <w:rFonts w:ascii="Arial" w:hAnsi="Arial" w:cs="Arial"/>
                <w:shd w:val="clear" w:color="auto" w:fill="FFFFFF"/>
              </w:rPr>
            </w:pPr>
          </w:p>
        </w:tc>
        <w:tc>
          <w:tcPr>
            <w:tcW w:w="3006" w:type="dxa"/>
          </w:tcPr>
          <w:p w14:paraId="09398480"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 xml:space="preserve">Robust and accurate information available in real time which will ultimately lead to superior decision-making. </w:t>
            </w:r>
          </w:p>
          <w:p w14:paraId="7E9CE452" w14:textId="77777777" w:rsidR="00891F5D" w:rsidRPr="00891F5D" w:rsidRDefault="00891F5D" w:rsidP="00891F5D">
            <w:pPr>
              <w:spacing w:line="480" w:lineRule="auto"/>
              <w:rPr>
                <w:rFonts w:ascii="Arial" w:hAnsi="Arial" w:cs="Arial"/>
                <w:shd w:val="clear" w:color="auto" w:fill="FFFFFF"/>
              </w:rPr>
            </w:pPr>
          </w:p>
        </w:tc>
      </w:tr>
      <w:tr w:rsidR="00891F5D" w:rsidRPr="00891F5D" w14:paraId="34489CE2" w14:textId="77777777" w:rsidTr="001D4222">
        <w:tc>
          <w:tcPr>
            <w:tcW w:w="3005" w:type="dxa"/>
          </w:tcPr>
          <w:p w14:paraId="0E245644"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lastRenderedPageBreak/>
              <w:t>Authentication of data by network actors</w:t>
            </w:r>
          </w:p>
          <w:p w14:paraId="230E2840" w14:textId="77777777" w:rsidR="00891F5D" w:rsidRPr="00891F5D" w:rsidRDefault="00891F5D" w:rsidP="00891F5D">
            <w:pPr>
              <w:spacing w:line="480" w:lineRule="auto"/>
              <w:rPr>
                <w:rFonts w:ascii="Arial" w:hAnsi="Arial" w:cs="Arial"/>
                <w:shd w:val="clear" w:color="auto" w:fill="FFFFFF"/>
              </w:rPr>
            </w:pPr>
          </w:p>
        </w:tc>
        <w:tc>
          <w:tcPr>
            <w:tcW w:w="3005" w:type="dxa"/>
          </w:tcPr>
          <w:p w14:paraId="712AE5E8"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Considerably less time spent confirming and verifying information.</w:t>
            </w:r>
          </w:p>
          <w:p w14:paraId="15C2DA23" w14:textId="77777777" w:rsidR="00891F5D" w:rsidRPr="00891F5D" w:rsidRDefault="00891F5D" w:rsidP="00891F5D">
            <w:pPr>
              <w:spacing w:line="480" w:lineRule="auto"/>
              <w:rPr>
                <w:rFonts w:ascii="Arial" w:hAnsi="Arial" w:cs="Arial"/>
                <w:shd w:val="clear" w:color="auto" w:fill="FFFFFF"/>
              </w:rPr>
            </w:pPr>
          </w:p>
        </w:tc>
        <w:tc>
          <w:tcPr>
            <w:tcW w:w="3006" w:type="dxa"/>
          </w:tcPr>
          <w:p w14:paraId="6F373712"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Materially less time spent chasing outstanding balances and resolving issues</w:t>
            </w:r>
          </w:p>
        </w:tc>
      </w:tr>
      <w:tr w:rsidR="00891F5D" w:rsidRPr="00891F5D" w14:paraId="278CEF46" w14:textId="77777777" w:rsidTr="001D4222">
        <w:tc>
          <w:tcPr>
            <w:tcW w:w="3005" w:type="dxa"/>
          </w:tcPr>
          <w:p w14:paraId="60B760F1"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Various levels or degrees of access</w:t>
            </w:r>
          </w:p>
        </w:tc>
        <w:tc>
          <w:tcPr>
            <w:tcW w:w="3005" w:type="dxa"/>
          </w:tcPr>
          <w:p w14:paraId="760EEB65"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 xml:space="preserve">Permissioned access to </w:t>
            </w:r>
            <w:r w:rsidRPr="00891F5D">
              <w:rPr>
                <w:rFonts w:ascii="Arial" w:hAnsi="Arial" w:cs="Arial"/>
              </w:rPr>
              <w:t xml:space="preserve">Blockchain </w:t>
            </w:r>
            <w:r w:rsidRPr="00891F5D">
              <w:rPr>
                <w:rFonts w:ascii="Arial" w:hAnsi="Arial" w:cs="Arial"/>
                <w:shd w:val="clear" w:color="auto" w:fill="FFFFFF"/>
              </w:rPr>
              <w:t>and potential for continuous audit</w:t>
            </w:r>
          </w:p>
        </w:tc>
        <w:tc>
          <w:tcPr>
            <w:tcW w:w="3006" w:type="dxa"/>
          </w:tcPr>
          <w:p w14:paraId="35696679" w14:textId="77777777" w:rsidR="00891F5D" w:rsidRPr="00891F5D" w:rsidRDefault="00891F5D" w:rsidP="00891F5D">
            <w:pPr>
              <w:spacing w:line="480" w:lineRule="auto"/>
              <w:rPr>
                <w:rFonts w:ascii="Arial" w:hAnsi="Arial" w:cs="Arial"/>
                <w:shd w:val="clear" w:color="auto" w:fill="FFFFFF"/>
              </w:rPr>
            </w:pPr>
            <w:r w:rsidRPr="00891F5D">
              <w:rPr>
                <w:rFonts w:ascii="Arial" w:hAnsi="Arial" w:cs="Arial"/>
                <w:shd w:val="clear" w:color="auto" w:fill="FFFFFF"/>
              </w:rPr>
              <w:t xml:space="preserve">Ability to add users with differentiated or permissioned access on the </w:t>
            </w:r>
            <w:r w:rsidRPr="00891F5D">
              <w:rPr>
                <w:rFonts w:ascii="Arial" w:hAnsi="Arial" w:cs="Arial"/>
              </w:rPr>
              <w:t>Blockchain network</w:t>
            </w:r>
          </w:p>
        </w:tc>
      </w:tr>
    </w:tbl>
    <w:p w14:paraId="64C41690" w14:textId="77777777" w:rsidR="00891F5D" w:rsidRPr="00891F5D" w:rsidRDefault="00891F5D" w:rsidP="00891F5D">
      <w:pPr>
        <w:spacing w:line="256" w:lineRule="auto"/>
        <w:rPr>
          <w:sz w:val="22"/>
          <w:szCs w:val="22"/>
        </w:rPr>
      </w:pPr>
    </w:p>
    <w:p w14:paraId="51A26CC0" w14:textId="77777777" w:rsidR="00891F5D" w:rsidRPr="00891F5D" w:rsidRDefault="00891F5D" w:rsidP="00891F5D">
      <w:pPr>
        <w:spacing w:line="480" w:lineRule="auto"/>
        <w:jc w:val="both"/>
        <w:rPr>
          <w:rFonts w:ascii="Arial" w:eastAsiaTheme="minorHAnsi" w:hAnsi="Arial" w:cs="Arial"/>
          <w:kern w:val="0"/>
          <w:lang w:eastAsia="en-US"/>
          <w14:ligatures w14:val="none"/>
        </w:rPr>
      </w:pPr>
    </w:p>
    <w:bookmarkStart w:id="661" w:name="_Hlk145856327"/>
    <w:bookmarkStart w:id="662" w:name="NNN"/>
    <w:bookmarkStart w:id="663" w:name="BC12"/>
    <w:bookmarkStart w:id="664" w:name="A63"/>
    <w:bookmarkStart w:id="665" w:name="D76"/>
    <w:p w14:paraId="5F32E4CE" w14:textId="547A65A4" w:rsidR="00891F5D" w:rsidRPr="00891F5D" w:rsidRDefault="006D49FA" w:rsidP="006E585F">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b/>
          <w:bCs/>
          <w:kern w:val="0"/>
          <w:lang w:eastAsia="en-US"/>
          <w14:ligatures w14:val="none"/>
        </w:rPr>
      </w:pPr>
      <w:r>
        <w:rPr>
          <w:rFonts w:ascii="Arial" w:eastAsiaTheme="minorHAnsi" w:hAnsi="Arial" w:cs="Arial"/>
          <w:b/>
          <w:bCs/>
          <w:kern w:val="0"/>
          <w:lang w:eastAsia="en-US"/>
          <w14:ligatures w14:val="none"/>
        </w:rPr>
        <w:fldChar w:fldCharType="begin"/>
      </w:r>
      <w:r>
        <w:rPr>
          <w:rFonts w:ascii="Arial" w:eastAsiaTheme="minorHAnsi" w:hAnsi="Arial" w:cs="Arial"/>
          <w:b/>
          <w:bCs/>
          <w:kern w:val="0"/>
          <w:lang w:eastAsia="en-US"/>
          <w14:ligatures w14:val="none"/>
        </w:rPr>
        <w:instrText>HYPERLINK  \l "C76"</w:instrText>
      </w:r>
      <w:r>
        <w:rPr>
          <w:rFonts w:ascii="Arial" w:eastAsiaTheme="minorHAnsi" w:hAnsi="Arial" w:cs="Arial"/>
          <w:b/>
          <w:bCs/>
          <w:kern w:val="0"/>
          <w:lang w:eastAsia="en-US"/>
          <w14:ligatures w14:val="none"/>
        </w:rPr>
      </w:r>
      <w:r>
        <w:rPr>
          <w:rFonts w:ascii="Arial" w:eastAsiaTheme="minorHAnsi" w:hAnsi="Arial" w:cs="Arial"/>
          <w:b/>
          <w:bCs/>
          <w:kern w:val="0"/>
          <w:lang w:eastAsia="en-US"/>
          <w14:ligatures w14:val="none"/>
        </w:rPr>
        <w:fldChar w:fldCharType="separate"/>
      </w:r>
      <w:r w:rsidR="00891F5D" w:rsidRPr="006D49FA">
        <w:rPr>
          <w:rStyle w:val="Hyperlink"/>
          <w:rFonts w:ascii="Arial" w:eastAsiaTheme="minorHAnsi" w:hAnsi="Arial" w:cs="Arial"/>
          <w:b/>
          <w:bCs/>
          <w:kern w:val="0"/>
          <w:lang w:eastAsia="en-US"/>
          <w14:ligatures w14:val="none"/>
        </w:rPr>
        <w:t>2.11.11 Further Resear</w:t>
      </w:r>
      <w:r w:rsidR="00891F5D" w:rsidRPr="006D49FA">
        <w:rPr>
          <w:rStyle w:val="Hyperlink"/>
          <w:rFonts w:ascii="Arial" w:eastAsiaTheme="minorHAnsi" w:hAnsi="Arial" w:cs="Arial"/>
          <w:b/>
          <w:bCs/>
          <w:kern w:val="0"/>
          <w:lang w:eastAsia="en-US"/>
          <w14:ligatures w14:val="none"/>
        </w:rPr>
        <w:t>ch Questions</w:t>
      </w:r>
      <w:r>
        <w:rPr>
          <w:rFonts w:ascii="Arial" w:eastAsiaTheme="minorHAnsi" w:hAnsi="Arial" w:cs="Arial"/>
          <w:b/>
          <w:bCs/>
          <w:kern w:val="0"/>
          <w:lang w:eastAsia="en-US"/>
          <w14:ligatures w14:val="none"/>
        </w:rPr>
        <w:fldChar w:fldCharType="end"/>
      </w:r>
      <w:r w:rsidR="00891F5D" w:rsidRPr="00891F5D">
        <w:rPr>
          <w:rFonts w:ascii="Arial" w:eastAsiaTheme="minorHAnsi" w:hAnsi="Arial" w:cs="Arial"/>
          <w:b/>
          <w:bCs/>
          <w:kern w:val="0"/>
          <w:lang w:eastAsia="en-US"/>
          <w14:ligatures w14:val="none"/>
        </w:rPr>
        <w:t xml:space="preserve"> </w:t>
      </w:r>
    </w:p>
    <w:bookmarkEnd w:id="661"/>
    <w:bookmarkEnd w:id="662"/>
    <w:bookmarkEnd w:id="663"/>
    <w:bookmarkEnd w:id="664"/>
    <w:bookmarkEnd w:id="665"/>
    <w:p w14:paraId="3E80919F" w14:textId="77777777" w:rsidR="00891F5D" w:rsidRPr="00891F5D" w:rsidRDefault="00891F5D" w:rsidP="00891F5D">
      <w:pPr>
        <w:spacing w:before="100" w:beforeAutospacing="1" w:after="100" w:afterAutospacing="1" w:line="480" w:lineRule="auto"/>
        <w:jc w:val="both"/>
        <w:rPr>
          <w:rFonts w:ascii="Arial" w:eastAsia="Times New Roman" w:hAnsi="Arial" w:cs="Arial"/>
          <w:kern w:val="0"/>
          <w:lang w:eastAsia="en-GB"/>
          <w14:ligatures w14:val="none"/>
        </w:rPr>
      </w:pPr>
      <w:r w:rsidRPr="00891F5D">
        <w:rPr>
          <w:rFonts w:ascii="Arial" w:eastAsia="Times New Roman" w:hAnsi="Arial" w:cs="Arial"/>
          <w:kern w:val="0"/>
          <w:lang w:eastAsia="en-GB"/>
          <w14:ligatures w14:val="none"/>
        </w:rPr>
        <w:t xml:space="preserve">The researcher thinks that the benefits from BCT are many thus it is important to gauge the perceptions of auditors which will be achieved through a Qualitative Study or semi-structured interview with auditors and subject matter experts. This will be a unique study as other qualitative studies to date have focussed on the merely the awareness of BCT (as highlighted in the previous sections of this chapter) whereas the researcher will be exploring the intersection of BCT, psychopathy / The Corporate Psychopath Accountant and Accounting Fraud. </w:t>
      </w:r>
    </w:p>
    <w:p w14:paraId="655F51FB" w14:textId="77777777" w:rsidR="00891F5D" w:rsidRPr="00891F5D" w:rsidRDefault="00891F5D" w:rsidP="00891F5D">
      <w:pPr>
        <w:spacing w:before="100" w:beforeAutospacing="1" w:after="100" w:afterAutospacing="1" w:line="480" w:lineRule="auto"/>
        <w:jc w:val="both"/>
        <w:rPr>
          <w:rFonts w:ascii="Arial" w:eastAsia="Times New Roman" w:hAnsi="Arial" w:cs="Arial"/>
          <w:kern w:val="0"/>
          <w:lang w:eastAsia="en-GB"/>
          <w14:ligatures w14:val="none"/>
        </w:rPr>
      </w:pPr>
      <w:r w:rsidRPr="00891F5D">
        <w:rPr>
          <w:rFonts w:ascii="Arial" w:eastAsia="Times New Roman" w:hAnsi="Arial" w:cs="Arial"/>
          <w:kern w:val="0"/>
          <w:lang w:eastAsia="en-GB"/>
          <w14:ligatures w14:val="none"/>
        </w:rPr>
        <w:t>According to the Association for Certified Fraud Examiners (2019), in their 2018 report, the average fraud loss is USD 2.75 million dollar. The most prevalent fraud being asset misappropriation and the most devastating being financial statement manipulation or Accounting Fraud (ACFE, 2019). Hence, there is an urgent need for solutions and BCT may be a potential solution for Accounting Fraud.</w:t>
      </w:r>
    </w:p>
    <w:p w14:paraId="14D9067E" w14:textId="77777777" w:rsidR="00891F5D" w:rsidRPr="00891F5D" w:rsidRDefault="00891F5D" w:rsidP="00891F5D">
      <w:pPr>
        <w:spacing w:before="100" w:beforeAutospacing="1" w:after="100" w:afterAutospacing="1" w:line="480" w:lineRule="auto"/>
        <w:jc w:val="both"/>
        <w:rPr>
          <w:rFonts w:ascii="Arial" w:eastAsia="Times New Roman" w:hAnsi="Arial" w:cs="Arial"/>
          <w:kern w:val="0"/>
          <w:lang w:eastAsia="en-GB"/>
          <w14:ligatures w14:val="none"/>
        </w:rPr>
      </w:pPr>
      <w:r w:rsidRPr="00891F5D">
        <w:rPr>
          <w:rFonts w:ascii="Arial" w:eastAsia="Times New Roman" w:hAnsi="Arial" w:cs="Arial"/>
          <w:kern w:val="0"/>
          <w:lang w:eastAsia="en-GB"/>
          <w14:ligatures w14:val="none"/>
        </w:rPr>
        <w:lastRenderedPageBreak/>
        <w:t xml:space="preserve">The Big 4 firm EY believes that BCT will have the same impact as enterprise resource planning systems have had on the world (EY, 2017). Since, BCT will increase transparency in the organisation and potentially reduce many intermediaries or the human element resulting in a reduction in Accounting Fraud (EY, 2018a). KPMG also believes that BCT could be utilised to dampen corporate fraud, as BCT is underpinned by an immutable and transparent structure (KPMG, 2018b). Consequently, strange, or fraudulent transactions can be easily identified as an audit trail will be present (KPMG, 2018b). </w:t>
      </w:r>
    </w:p>
    <w:p w14:paraId="64DAD05C" w14:textId="77777777" w:rsidR="00891F5D" w:rsidRPr="00891F5D" w:rsidRDefault="00891F5D" w:rsidP="00891F5D">
      <w:pPr>
        <w:spacing w:line="480" w:lineRule="auto"/>
        <w:jc w:val="both"/>
        <w:rPr>
          <w:rFonts w:ascii="Arial" w:eastAsiaTheme="minorHAnsi" w:hAnsi="Arial" w:cs="Arial"/>
          <w:kern w:val="0"/>
          <w:lang w:eastAsia="en-US"/>
          <w14:ligatures w14:val="none"/>
        </w:rPr>
      </w:pPr>
      <w:r w:rsidRPr="00891F5D">
        <w:rPr>
          <w:rFonts w:ascii="Arial" w:eastAsia="Times New Roman" w:hAnsi="Arial" w:cs="Arial"/>
          <w:kern w:val="0"/>
          <w:lang w:eastAsia="en-GB"/>
          <w14:ligatures w14:val="none"/>
        </w:rPr>
        <w:t>The second part (RQ5 – RQ6) of the research study will explore whether the nascent BCT can diminish the influence of the corporate psychopath, decrease Accounting Fraud, and enhance external audit. Auditors and subject matter experts will be invited to participate through a semi-structured interview.</w:t>
      </w:r>
      <w:r w:rsidRPr="00891F5D">
        <w:rPr>
          <w:rFonts w:ascii="Arial" w:eastAsiaTheme="minorHAnsi" w:hAnsi="Arial" w:cs="Arial"/>
          <w:kern w:val="0"/>
          <w:lang w:eastAsia="en-US"/>
          <w14:ligatures w14:val="none"/>
        </w:rPr>
        <w:t xml:space="preserve"> The sub research questions are:</w:t>
      </w:r>
    </w:p>
    <w:p w14:paraId="3978494A" w14:textId="77777777" w:rsidR="00891F5D" w:rsidRPr="00891F5D" w:rsidRDefault="00891F5D" w:rsidP="00891F5D">
      <w:pPr>
        <w:spacing w:before="100" w:beforeAutospacing="1" w:after="100" w:afterAutospacing="1" w:line="480" w:lineRule="auto"/>
        <w:jc w:val="both"/>
        <w:rPr>
          <w:rFonts w:ascii="Arial" w:eastAsia="Times New Roman" w:hAnsi="Arial" w:cs="Arial"/>
          <w:b/>
          <w:bCs/>
          <w:kern w:val="0"/>
          <w:lang w:eastAsia="en-GB"/>
          <w14:ligatures w14:val="none"/>
        </w:rPr>
      </w:pPr>
      <w:r w:rsidRPr="00891F5D">
        <w:rPr>
          <w:rFonts w:ascii="Arial" w:eastAsia="Times New Roman" w:hAnsi="Arial" w:cs="Arial"/>
          <w:b/>
          <w:bCs/>
          <w:kern w:val="0"/>
          <w:lang w:eastAsia="en-GB"/>
          <w14:ligatures w14:val="none"/>
        </w:rPr>
        <w:t>SRQ5: Have auditors ever experienced psychopathic senior managers / clients and to what extent did this impact the audit assignment?</w:t>
      </w:r>
    </w:p>
    <w:p w14:paraId="56A07CFD" w14:textId="77777777" w:rsidR="00891F5D" w:rsidRPr="00891F5D" w:rsidRDefault="00891F5D" w:rsidP="00891F5D">
      <w:pPr>
        <w:spacing w:before="100" w:beforeAutospacing="1" w:after="100" w:afterAutospacing="1" w:line="480" w:lineRule="auto"/>
        <w:jc w:val="both"/>
        <w:rPr>
          <w:rFonts w:ascii="Arial" w:eastAsia="Times New Roman" w:hAnsi="Arial" w:cs="Arial"/>
          <w:b/>
          <w:bCs/>
          <w:kern w:val="0"/>
          <w:lang w:eastAsia="en-GB"/>
          <w14:ligatures w14:val="none"/>
        </w:rPr>
      </w:pPr>
      <w:r w:rsidRPr="00891F5D">
        <w:rPr>
          <w:rFonts w:ascii="Arial" w:eastAsia="Times New Roman" w:hAnsi="Arial" w:cs="Arial"/>
          <w:b/>
          <w:bCs/>
          <w:kern w:val="0"/>
          <w:lang w:eastAsia="en-GB"/>
          <w14:ligatures w14:val="none"/>
        </w:rPr>
        <w:t>SRQ6: To what extent do auditors and / or subject matter experts believe that the BCT features of distributed ledger, immutability and permissioned rights can lessen the influence of the Corporate Accountant Psychopath and Accounting Fraud?</w:t>
      </w:r>
    </w:p>
    <w:bookmarkStart w:id="666" w:name="OOO"/>
    <w:bookmarkStart w:id="667" w:name="BC13"/>
    <w:bookmarkStart w:id="668" w:name="A64"/>
    <w:bookmarkStart w:id="669" w:name="D77"/>
    <w:p w14:paraId="65E7DF55" w14:textId="44D0D974" w:rsidR="00891F5D" w:rsidRPr="00891F5D" w:rsidRDefault="006D49FA" w:rsidP="00891F5D">
      <w:pPr>
        <w:pBdr>
          <w:top w:val="single" w:sz="4" w:space="1" w:color="auto"/>
          <w:left w:val="single" w:sz="4" w:space="4" w:color="auto"/>
          <w:bottom w:val="single" w:sz="4" w:space="1" w:color="auto"/>
          <w:right w:val="single" w:sz="4" w:space="4" w:color="auto"/>
        </w:pBdr>
        <w:spacing w:after="0" w:line="480" w:lineRule="auto"/>
        <w:rPr>
          <w:rFonts w:asciiTheme="minorBidi" w:eastAsiaTheme="minorHAnsi" w:hAnsiTheme="minorBidi"/>
          <w:b/>
          <w:bCs/>
          <w:lang w:eastAsia="en-US"/>
        </w:rPr>
      </w:pPr>
      <w:r>
        <w:rPr>
          <w:rFonts w:asciiTheme="minorBidi" w:eastAsiaTheme="minorHAnsi" w:hAnsiTheme="minorBidi"/>
          <w:b/>
          <w:bCs/>
          <w:lang w:eastAsia="en-US"/>
        </w:rPr>
        <w:fldChar w:fldCharType="begin"/>
      </w:r>
      <w:r>
        <w:rPr>
          <w:rFonts w:asciiTheme="minorBidi" w:eastAsiaTheme="minorHAnsi" w:hAnsiTheme="minorBidi"/>
          <w:b/>
          <w:bCs/>
          <w:lang w:eastAsia="en-US"/>
        </w:rPr>
        <w:instrText>HYPERLINK  \l "C77"</w:instrText>
      </w:r>
      <w:r>
        <w:rPr>
          <w:rFonts w:asciiTheme="minorBidi" w:eastAsiaTheme="minorHAnsi" w:hAnsiTheme="minorBidi"/>
          <w:b/>
          <w:bCs/>
          <w:lang w:eastAsia="en-US"/>
        </w:rPr>
      </w:r>
      <w:r>
        <w:rPr>
          <w:rFonts w:asciiTheme="minorBidi" w:eastAsiaTheme="minorHAnsi" w:hAnsiTheme="minorBidi"/>
          <w:b/>
          <w:bCs/>
          <w:lang w:eastAsia="en-US"/>
        </w:rPr>
        <w:fldChar w:fldCharType="separate"/>
      </w:r>
      <w:r w:rsidR="00891F5D" w:rsidRPr="006D49FA">
        <w:rPr>
          <w:rStyle w:val="Hyperlink"/>
          <w:rFonts w:asciiTheme="minorBidi" w:eastAsiaTheme="minorHAnsi" w:hAnsiTheme="minorBidi"/>
          <w:b/>
          <w:bCs/>
          <w:lang w:eastAsia="en-US"/>
        </w:rPr>
        <w:t>2.11.11.1 Complete List of Sub Research Questions (SRQs)</w:t>
      </w:r>
      <w:r>
        <w:rPr>
          <w:rFonts w:asciiTheme="minorBidi" w:eastAsiaTheme="minorHAnsi" w:hAnsiTheme="minorBidi"/>
          <w:b/>
          <w:bCs/>
          <w:lang w:eastAsia="en-US"/>
        </w:rPr>
        <w:fldChar w:fldCharType="end"/>
      </w:r>
    </w:p>
    <w:bookmarkEnd w:id="666"/>
    <w:bookmarkEnd w:id="667"/>
    <w:bookmarkEnd w:id="668"/>
    <w:bookmarkEnd w:id="669"/>
    <w:p w14:paraId="0B6FAF87" w14:textId="77777777" w:rsidR="00891F5D" w:rsidRPr="00891F5D" w:rsidRDefault="00891F5D" w:rsidP="00891F5D">
      <w:pPr>
        <w:spacing w:after="0" w:line="480" w:lineRule="auto"/>
        <w:rPr>
          <w:rFonts w:asciiTheme="minorBidi" w:eastAsiaTheme="minorHAnsi" w:hAnsiTheme="minorBidi"/>
          <w:lang w:eastAsia="en-US"/>
        </w:rPr>
      </w:pPr>
      <w:r w:rsidRPr="00891F5D">
        <w:rPr>
          <w:rFonts w:asciiTheme="minorBidi" w:eastAsiaTheme="minorHAnsi" w:hAnsiTheme="minorBidi"/>
          <w:lang w:eastAsia="en-US"/>
        </w:rPr>
        <w:t>In summary the complete set of Sub-RQs is as follows:</w:t>
      </w:r>
    </w:p>
    <w:p w14:paraId="56AD73E1" w14:textId="77777777" w:rsidR="00891F5D" w:rsidRPr="00891F5D" w:rsidRDefault="00891F5D" w:rsidP="00891F5D">
      <w:pPr>
        <w:spacing w:before="100" w:beforeAutospacing="1" w:after="100" w:afterAutospacing="1" w:line="480" w:lineRule="auto"/>
        <w:jc w:val="both"/>
        <w:rPr>
          <w:rFonts w:ascii="Arial" w:eastAsia="Times New Roman" w:hAnsi="Arial" w:cs="Arial"/>
          <w:b/>
          <w:bCs/>
          <w:kern w:val="0"/>
          <w:lang w:eastAsia="en-GB"/>
          <w14:ligatures w14:val="none"/>
        </w:rPr>
      </w:pPr>
      <w:r w:rsidRPr="00891F5D">
        <w:rPr>
          <w:rFonts w:ascii="Arial" w:eastAsia="Times New Roman" w:hAnsi="Arial" w:cs="Arial"/>
          <w:b/>
          <w:bCs/>
          <w:kern w:val="0"/>
          <w:lang w:eastAsia="en-GB"/>
          <w14:ligatures w14:val="none"/>
        </w:rPr>
        <w:t xml:space="preserve">SRQ1:  How do L6 Accounting students’ scores vary on the LSRP? </w:t>
      </w:r>
    </w:p>
    <w:p w14:paraId="57437486" w14:textId="77777777" w:rsidR="00891F5D" w:rsidRPr="00891F5D" w:rsidRDefault="00891F5D" w:rsidP="00891F5D">
      <w:pPr>
        <w:spacing w:before="100" w:beforeAutospacing="1" w:after="100" w:afterAutospacing="1" w:line="480" w:lineRule="auto"/>
        <w:jc w:val="both"/>
        <w:rPr>
          <w:rFonts w:ascii="Arial" w:eastAsia="Times New Roman" w:hAnsi="Arial" w:cs="Arial"/>
          <w:b/>
          <w:bCs/>
          <w:kern w:val="0"/>
          <w:lang w:eastAsia="en-GB"/>
          <w14:ligatures w14:val="none"/>
        </w:rPr>
      </w:pPr>
      <w:r w:rsidRPr="00891F5D">
        <w:rPr>
          <w:rFonts w:ascii="Arial" w:eastAsia="Times New Roman" w:hAnsi="Arial" w:cs="Arial"/>
          <w:b/>
          <w:bCs/>
          <w:kern w:val="0"/>
          <w:lang w:eastAsia="en-GB"/>
          <w14:ligatures w14:val="none"/>
        </w:rPr>
        <w:t xml:space="preserve">SRQ2:  Do Accounting students’ scores differ across age and gender? </w:t>
      </w:r>
    </w:p>
    <w:p w14:paraId="51DA2733" w14:textId="77777777" w:rsidR="00891F5D" w:rsidRPr="00891F5D" w:rsidRDefault="00891F5D" w:rsidP="00891F5D">
      <w:pPr>
        <w:spacing w:before="100" w:beforeAutospacing="1" w:after="100" w:afterAutospacing="1" w:line="480" w:lineRule="auto"/>
        <w:jc w:val="both"/>
        <w:rPr>
          <w:rFonts w:ascii="Arial" w:eastAsia="Times New Roman" w:hAnsi="Arial" w:cs="Arial"/>
          <w:b/>
          <w:bCs/>
          <w:kern w:val="0"/>
          <w:lang w:eastAsia="en-GB"/>
          <w14:ligatures w14:val="none"/>
        </w:rPr>
      </w:pPr>
      <w:r w:rsidRPr="00891F5D">
        <w:rPr>
          <w:rFonts w:ascii="Arial" w:eastAsia="Times New Roman" w:hAnsi="Arial" w:cs="Arial"/>
          <w:b/>
          <w:bCs/>
          <w:kern w:val="0"/>
          <w:lang w:eastAsia="en-GB"/>
          <w14:ligatures w14:val="none"/>
        </w:rPr>
        <w:lastRenderedPageBreak/>
        <w:t>SRQ3:  How highly do the LSRP scores correlate with the approval of dubious or explicitly fraudulent practices?</w:t>
      </w:r>
    </w:p>
    <w:p w14:paraId="391EA64C" w14:textId="77777777" w:rsidR="00891F5D" w:rsidRPr="00891F5D" w:rsidRDefault="00891F5D" w:rsidP="00891F5D">
      <w:pPr>
        <w:spacing w:before="100" w:beforeAutospacing="1" w:after="100" w:afterAutospacing="1" w:line="480" w:lineRule="auto"/>
        <w:jc w:val="both"/>
        <w:rPr>
          <w:rFonts w:ascii="Arial" w:eastAsia="Times New Roman" w:hAnsi="Arial" w:cs="Arial"/>
          <w:b/>
          <w:bCs/>
          <w:kern w:val="0"/>
          <w:lang w:eastAsia="en-GB"/>
          <w14:ligatures w14:val="none"/>
        </w:rPr>
      </w:pPr>
      <w:r w:rsidRPr="00891F5D">
        <w:rPr>
          <w:rFonts w:ascii="Arial" w:eastAsia="Times New Roman" w:hAnsi="Arial" w:cs="Arial"/>
          <w:b/>
          <w:bCs/>
          <w:kern w:val="0"/>
          <w:lang w:eastAsia="en-GB"/>
          <w14:ligatures w14:val="none"/>
        </w:rPr>
        <w:t xml:space="preserve">SRQ4: Would a lengthy prison sentence or / and significant fine deter Accounting Fraud? </w:t>
      </w:r>
    </w:p>
    <w:p w14:paraId="67DE721F" w14:textId="77777777" w:rsidR="00891F5D" w:rsidRPr="00891F5D" w:rsidRDefault="00891F5D" w:rsidP="00891F5D">
      <w:pPr>
        <w:spacing w:before="100" w:beforeAutospacing="1" w:after="100" w:afterAutospacing="1" w:line="480" w:lineRule="auto"/>
        <w:jc w:val="both"/>
        <w:rPr>
          <w:rFonts w:ascii="Arial" w:eastAsia="Times New Roman" w:hAnsi="Arial" w:cs="Arial"/>
          <w:b/>
          <w:bCs/>
          <w:kern w:val="0"/>
          <w:lang w:eastAsia="en-GB"/>
          <w14:ligatures w14:val="none"/>
        </w:rPr>
      </w:pPr>
      <w:r w:rsidRPr="00891F5D">
        <w:rPr>
          <w:rFonts w:ascii="Arial" w:eastAsia="Times New Roman" w:hAnsi="Arial" w:cs="Arial"/>
          <w:b/>
          <w:bCs/>
          <w:kern w:val="0"/>
          <w:lang w:eastAsia="en-GB"/>
          <w14:ligatures w14:val="none"/>
        </w:rPr>
        <w:t>SRQ5: Have auditors ever experienced psychopathic senior managers / clients and to what extent did this impact the audit assignment?</w:t>
      </w:r>
    </w:p>
    <w:p w14:paraId="5BCCF829" w14:textId="77777777" w:rsidR="00891F5D" w:rsidRPr="00891F5D" w:rsidRDefault="00891F5D" w:rsidP="00891F5D">
      <w:pPr>
        <w:spacing w:before="100" w:beforeAutospacing="1" w:after="100" w:afterAutospacing="1" w:line="480" w:lineRule="auto"/>
        <w:jc w:val="both"/>
        <w:rPr>
          <w:rFonts w:ascii="Arial" w:eastAsia="Times New Roman" w:hAnsi="Arial" w:cs="Arial"/>
          <w:b/>
          <w:bCs/>
          <w:kern w:val="0"/>
          <w:lang w:eastAsia="en-GB"/>
          <w14:ligatures w14:val="none"/>
        </w:rPr>
      </w:pPr>
      <w:r w:rsidRPr="00891F5D">
        <w:rPr>
          <w:rFonts w:ascii="Arial" w:eastAsia="Times New Roman" w:hAnsi="Arial" w:cs="Arial"/>
          <w:b/>
          <w:bCs/>
          <w:kern w:val="0"/>
          <w:lang w:eastAsia="en-GB"/>
          <w14:ligatures w14:val="none"/>
        </w:rPr>
        <w:t>SRQ6: To what extent do auditors and / or subject matter experts believe that the BCT features of distributed ledger, immutability and permissioned rights can lessen the influence of the Corporate Accountant Psychopath and Accounting Fraud?</w:t>
      </w:r>
    </w:p>
    <w:p w14:paraId="6159221F" w14:textId="77777777" w:rsidR="00891F5D" w:rsidRPr="00891F5D" w:rsidRDefault="00891F5D" w:rsidP="00891F5D">
      <w:pPr>
        <w:spacing w:before="100" w:beforeAutospacing="1" w:after="100" w:afterAutospacing="1" w:line="480" w:lineRule="auto"/>
        <w:jc w:val="both"/>
        <w:rPr>
          <w:rFonts w:ascii="Arial" w:eastAsia="Times New Roman" w:hAnsi="Arial" w:cs="Arial"/>
          <w:kern w:val="0"/>
          <w:lang w:eastAsia="en-GB"/>
          <w14:ligatures w14:val="none"/>
        </w:rPr>
      </w:pPr>
      <w:r w:rsidRPr="00891F5D">
        <w:rPr>
          <w:rFonts w:ascii="Arial" w:eastAsia="Times New Roman" w:hAnsi="Arial" w:cs="Arial"/>
          <w:kern w:val="0"/>
          <w:lang w:eastAsia="en-GB"/>
          <w14:ligatures w14:val="none"/>
        </w:rPr>
        <w:t xml:space="preserve">In the final sections the researcher will end with hypotheses for this study. </w:t>
      </w:r>
    </w:p>
    <w:bookmarkStart w:id="670" w:name="HY1"/>
    <w:bookmarkStart w:id="671" w:name="A65"/>
    <w:bookmarkStart w:id="672" w:name="D78"/>
    <w:p w14:paraId="337EE850" w14:textId="589D9819" w:rsidR="00891F5D" w:rsidRPr="00891F5D" w:rsidRDefault="005F34EE" w:rsidP="006E585F">
      <w:pPr>
        <w:pBdr>
          <w:top w:val="single" w:sz="4" w:space="1" w:color="auto"/>
          <w:left w:val="single" w:sz="4" w:space="4" w:color="auto"/>
          <w:bottom w:val="single" w:sz="4" w:space="1" w:color="auto"/>
          <w:right w:val="single" w:sz="4" w:space="4" w:color="auto"/>
        </w:pBdr>
        <w:spacing w:before="100" w:beforeAutospacing="1" w:after="100" w:afterAutospacing="1" w:line="240" w:lineRule="auto"/>
        <w:jc w:val="both"/>
        <w:rPr>
          <w:rFonts w:ascii="Arial" w:eastAsia="Times New Roman" w:hAnsi="Arial" w:cs="Arial"/>
          <w:b/>
          <w:bCs/>
          <w:kern w:val="0"/>
          <w:lang w:eastAsia="en-GB"/>
          <w14:ligatures w14:val="none"/>
        </w:rPr>
      </w:pPr>
      <w:r>
        <w:rPr>
          <w:rFonts w:ascii="Arial" w:eastAsia="Times New Roman" w:hAnsi="Arial" w:cs="Arial"/>
          <w:b/>
          <w:bCs/>
          <w:kern w:val="0"/>
          <w:lang w:eastAsia="en-GB"/>
          <w14:ligatures w14:val="none"/>
        </w:rPr>
        <w:fldChar w:fldCharType="begin"/>
      </w:r>
      <w:r>
        <w:rPr>
          <w:rFonts w:ascii="Arial" w:eastAsia="Times New Roman" w:hAnsi="Arial" w:cs="Arial"/>
          <w:b/>
          <w:bCs/>
          <w:kern w:val="0"/>
          <w:lang w:eastAsia="en-GB"/>
          <w14:ligatures w14:val="none"/>
        </w:rPr>
        <w:instrText>HYPERLINK  \l "C78"</w:instrText>
      </w:r>
      <w:r>
        <w:rPr>
          <w:rFonts w:ascii="Arial" w:eastAsia="Times New Roman" w:hAnsi="Arial" w:cs="Arial"/>
          <w:b/>
          <w:bCs/>
          <w:kern w:val="0"/>
          <w:lang w:eastAsia="en-GB"/>
          <w14:ligatures w14:val="none"/>
        </w:rPr>
      </w:r>
      <w:r>
        <w:rPr>
          <w:rFonts w:ascii="Arial" w:eastAsia="Times New Roman" w:hAnsi="Arial" w:cs="Arial"/>
          <w:b/>
          <w:bCs/>
          <w:kern w:val="0"/>
          <w:lang w:eastAsia="en-GB"/>
          <w14:ligatures w14:val="none"/>
        </w:rPr>
        <w:fldChar w:fldCharType="separate"/>
      </w:r>
      <w:r w:rsidR="00891F5D" w:rsidRPr="005F34EE">
        <w:rPr>
          <w:rStyle w:val="Hyperlink"/>
          <w:rFonts w:ascii="Arial" w:eastAsia="Times New Roman" w:hAnsi="Arial" w:cs="Arial"/>
          <w:b/>
          <w:bCs/>
          <w:kern w:val="0"/>
          <w:lang w:eastAsia="en-GB"/>
          <w14:ligatures w14:val="none"/>
        </w:rPr>
        <w:t>2.12 Hypothe</w:t>
      </w:r>
      <w:r w:rsidR="00891F5D" w:rsidRPr="005F34EE">
        <w:rPr>
          <w:rStyle w:val="Hyperlink"/>
          <w:rFonts w:ascii="Arial" w:eastAsia="Times New Roman" w:hAnsi="Arial" w:cs="Arial"/>
          <w:b/>
          <w:bCs/>
          <w:kern w:val="0"/>
          <w:lang w:eastAsia="en-GB"/>
          <w14:ligatures w14:val="none"/>
        </w:rPr>
        <w:t>ses</w:t>
      </w:r>
      <w:r>
        <w:rPr>
          <w:rFonts w:ascii="Arial" w:eastAsia="Times New Roman" w:hAnsi="Arial" w:cs="Arial"/>
          <w:b/>
          <w:bCs/>
          <w:kern w:val="0"/>
          <w:lang w:eastAsia="en-GB"/>
          <w14:ligatures w14:val="none"/>
        </w:rPr>
        <w:fldChar w:fldCharType="end"/>
      </w:r>
    </w:p>
    <w:bookmarkEnd w:id="670"/>
    <w:bookmarkEnd w:id="671"/>
    <w:bookmarkEnd w:id="672"/>
    <w:p w14:paraId="26A311DE" w14:textId="77777777" w:rsidR="00891F5D" w:rsidRPr="00891F5D" w:rsidRDefault="00891F5D" w:rsidP="00891F5D">
      <w:pPr>
        <w:spacing w:after="0" w:line="480" w:lineRule="auto"/>
        <w:jc w:val="both"/>
        <w:rPr>
          <w:rFonts w:ascii="Arial" w:eastAsia="Times New Roman" w:hAnsi="Arial" w:cs="Arial"/>
          <w:kern w:val="0"/>
          <w14:ligatures w14:val="none"/>
        </w:rPr>
      </w:pPr>
      <w:r w:rsidRPr="00891F5D">
        <w:rPr>
          <w:rFonts w:ascii="Arial" w:eastAsia="Times New Roman" w:hAnsi="Arial" w:cs="Arial"/>
          <w:kern w:val="0"/>
          <w14:ligatures w14:val="none"/>
        </w:rPr>
        <w:t>In a literature review, hypothesis testing entails assessing the body of research to ascertain if the conclusions of earlier investigations confirm or contradict a particular idea. In contrast to primary research, which entails gathering and evaluating fresh data, hypothesis testing in a literature review concentrates on combining and evaluating the findings of several studies to make judgments regarding the hypothesis under consideration (Gough et al., 2017, Cooper, 2016).</w:t>
      </w:r>
    </w:p>
    <w:p w14:paraId="58F12C17" w14:textId="77777777" w:rsidR="00891F5D" w:rsidRPr="00891F5D" w:rsidRDefault="00891F5D" w:rsidP="00891F5D">
      <w:pPr>
        <w:spacing w:after="0" w:line="480" w:lineRule="auto"/>
        <w:jc w:val="both"/>
        <w:rPr>
          <w:rFonts w:ascii="Arial" w:eastAsia="Times New Roman" w:hAnsi="Arial" w:cs="Arial"/>
          <w:kern w:val="0"/>
          <w14:ligatures w14:val="none"/>
        </w:rPr>
      </w:pPr>
    </w:p>
    <w:p w14:paraId="37356245" w14:textId="77777777" w:rsidR="00891F5D" w:rsidRPr="00891F5D" w:rsidRDefault="00891F5D" w:rsidP="00891F5D">
      <w:pPr>
        <w:spacing w:after="0" w:line="480" w:lineRule="auto"/>
        <w:jc w:val="both"/>
        <w:rPr>
          <w:rFonts w:ascii="Arial" w:eastAsia="Times New Roman" w:hAnsi="Arial" w:cs="Arial"/>
          <w:kern w:val="0"/>
          <w14:ligatures w14:val="none"/>
        </w:rPr>
      </w:pPr>
      <w:r w:rsidRPr="00891F5D">
        <w:rPr>
          <w:rFonts w:ascii="Arial" w:eastAsia="Times New Roman" w:hAnsi="Arial" w:cs="Arial"/>
          <w:kern w:val="0"/>
          <w14:ligatures w14:val="none"/>
        </w:rPr>
        <w:t xml:space="preserve">This doctoral study is exploring the impact of Psychopathy on Accounting Fraud and the potential mitigating role of Blockchain Technology (BCT). Psychopathy has been connected to unethical behaviour in corporate contexts. It is typified by characteristics including lack of empathy, manipulativeness, and deceitfulness. Psychopath </w:t>
      </w:r>
      <w:r w:rsidRPr="00891F5D">
        <w:rPr>
          <w:rFonts w:ascii="Arial" w:eastAsia="Times New Roman" w:hAnsi="Arial" w:cs="Arial"/>
          <w:kern w:val="0"/>
          <w14:ligatures w14:val="none"/>
        </w:rPr>
        <w:lastRenderedPageBreak/>
        <w:t xml:space="preserve">characteristics in finance professionals may have an impact on Accounting Fraud, a major problem in the industry. Due its inherent transparency and immutability, BCT has the potential to facilitate an environment that is secure and accountable, hence reducing the possibility of Accounting Fraud. </w:t>
      </w:r>
    </w:p>
    <w:p w14:paraId="1607CAD5" w14:textId="77777777" w:rsidR="00891F5D" w:rsidRPr="00891F5D" w:rsidRDefault="00891F5D" w:rsidP="00891F5D">
      <w:pPr>
        <w:spacing w:before="100" w:beforeAutospacing="1" w:after="100" w:afterAutospacing="1" w:line="480" w:lineRule="auto"/>
        <w:jc w:val="both"/>
        <w:rPr>
          <w:rFonts w:asciiTheme="minorBidi" w:eastAsia="Times New Roman" w:hAnsiTheme="minorBidi"/>
          <w:kern w:val="0"/>
          <w14:ligatures w14:val="none"/>
        </w:rPr>
      </w:pPr>
      <w:r w:rsidRPr="00891F5D">
        <w:rPr>
          <w:rFonts w:ascii="Arial" w:eastAsia="Times New Roman" w:hAnsi="Arial" w:cs="Arial"/>
          <w:kern w:val="0"/>
          <w14:ligatures w14:val="none"/>
        </w:rPr>
        <w:t xml:space="preserve">According to the literature it is apparent there exists a correlation or relationship between psychopathic characteristics and unethical decision-making in business contexts (Babiak &amp; Hare 2021, Boddy 2022, Galperin &amp; Burke 2020, Kowalski &amp; Twardowska 2022, Mathieu et al 2021, Smith &amp; Lilienfeld 2021, and Spurk et al 2020). </w:t>
      </w:r>
      <w:r w:rsidRPr="00891F5D">
        <w:rPr>
          <w:rFonts w:asciiTheme="minorBidi" w:eastAsia="Times New Roman" w:hAnsiTheme="minorBidi"/>
          <w:kern w:val="0"/>
          <w14:ligatures w14:val="none"/>
        </w:rPr>
        <w:t>These references provide an overview of how psychopathic traits may influence corporate behaviour, leadership, and organisational outcomes.</w:t>
      </w:r>
    </w:p>
    <w:p w14:paraId="43FD1815" w14:textId="77777777" w:rsidR="00891F5D" w:rsidRPr="00891F5D" w:rsidRDefault="00891F5D" w:rsidP="00891F5D">
      <w:pPr>
        <w:spacing w:after="0" w:line="480" w:lineRule="auto"/>
        <w:jc w:val="both"/>
        <w:rPr>
          <w:rFonts w:ascii="Arial" w:eastAsia="Times New Roman" w:hAnsi="Arial" w:cs="Arial"/>
          <w:kern w:val="0"/>
          <w14:ligatures w14:val="none"/>
        </w:rPr>
      </w:pPr>
      <w:r w:rsidRPr="00891F5D">
        <w:rPr>
          <w:rFonts w:ascii="Arial" w:eastAsia="Times New Roman" w:hAnsi="Arial" w:cs="Arial"/>
          <w:kern w:val="0"/>
          <w14:ligatures w14:val="none"/>
        </w:rPr>
        <w:t xml:space="preserve">Studies have indicated that psychopathy can lead to higher instances of Accounting Fraud due to deficient ethical constraints (Boddy 2022, Gao </w:t>
      </w:r>
      <w:r w:rsidRPr="00891F5D">
        <w:rPr>
          <w:rFonts w:ascii="Arial" w:hAnsi="Arial" w:cs="Arial"/>
        </w:rPr>
        <w:t>&amp; Jiang 2020, Smith &amp; Lilienfeld 2021, Taylor &amp; Walton 2020 and Zhu and Chen 2020).</w:t>
      </w:r>
      <w:r w:rsidRPr="00891F5D">
        <w:rPr>
          <w:rFonts w:ascii="Arial" w:eastAsia="Times New Roman" w:hAnsi="Arial" w:cs="Arial"/>
          <w:kern w:val="0"/>
          <w14:ligatures w14:val="none"/>
        </w:rPr>
        <w:t xml:space="preserve"> When taken as a whole, these references demonstrate a positive correlation between psychopathic characteristics and the tendency to commit Accounting Fraud, underscoring the need of corporate governance awareness and prevention measures.</w:t>
      </w:r>
    </w:p>
    <w:p w14:paraId="5F91BB23" w14:textId="77777777" w:rsidR="00891F5D" w:rsidRPr="00891F5D" w:rsidRDefault="00891F5D" w:rsidP="00891F5D">
      <w:pPr>
        <w:spacing w:line="480" w:lineRule="auto"/>
        <w:jc w:val="both"/>
        <w:rPr>
          <w:rFonts w:ascii="Arial" w:eastAsia="Times New Roman" w:hAnsi="Arial" w:cs="Arial"/>
          <w:kern w:val="0"/>
          <w14:ligatures w14:val="none"/>
        </w:rPr>
      </w:pPr>
      <w:r w:rsidRPr="00891F5D">
        <w:rPr>
          <w:rFonts w:ascii="Arial" w:eastAsia="Times New Roman" w:hAnsi="Arial" w:cs="Arial"/>
          <w:kern w:val="0"/>
          <w14:ligatures w14:val="none"/>
        </w:rPr>
        <w:t xml:space="preserve">Literature indicates that BCT's decentralised and transparent nature dampens Accounting Fraud as negatively tampering records becomes increasingly difficult (Elshqirat 2023, Baker Tilly 2023, Ishfaq 2022, Jenkins &amp; Sielski 2023, CPA Journal 2022, Pimentel &amp; Boulianne 2020). Collectively these studies cover a range of topics regarding how BCT might improve accounting's security and transparency while lowering Accounting Fraud rates. The immutable ledger of BCT guarantees that every transaction is documented and cannot be changed, resulting in a dependable and transparent record-keeping system. This lessens the possibility of Accounting Fraud </w:t>
      </w:r>
      <w:r w:rsidRPr="00891F5D">
        <w:rPr>
          <w:rFonts w:ascii="Arial" w:eastAsia="Times New Roman" w:hAnsi="Arial" w:cs="Arial"/>
          <w:kern w:val="0"/>
          <w14:ligatures w14:val="none"/>
        </w:rPr>
        <w:lastRenderedPageBreak/>
        <w:t xml:space="preserve">and financial manipulation. Additionally, BCT-enabled continuous and real-time auditing can quickly spot inconsistencies, reducing the risk of Accounting Fraud. These references point to how BCT has the potential to revolutionise financial reporting by increasing security, accuracy, and transparency which should lower Accounting Fraud rates and enhance business conduct or ethics and curb the Corporate Psychopath Accountant. </w:t>
      </w:r>
    </w:p>
    <w:p w14:paraId="74C521ED" w14:textId="77777777" w:rsidR="00891F5D" w:rsidRPr="00891F5D" w:rsidRDefault="00891F5D" w:rsidP="00891F5D">
      <w:pPr>
        <w:spacing w:line="480" w:lineRule="auto"/>
        <w:jc w:val="both"/>
        <w:rPr>
          <w:rFonts w:ascii="Arial" w:eastAsia="Times New Roman" w:hAnsi="Arial" w:cs="Arial"/>
          <w:b/>
          <w:bCs/>
          <w:kern w:val="0"/>
          <w14:ligatures w14:val="none"/>
        </w:rPr>
      </w:pPr>
      <w:r w:rsidRPr="00891F5D">
        <w:rPr>
          <w:rFonts w:ascii="Arial" w:eastAsia="Times New Roman" w:hAnsi="Arial" w:cs="Arial"/>
          <w:b/>
          <w:bCs/>
          <w:kern w:val="0"/>
          <w14:ligatures w14:val="none"/>
        </w:rPr>
        <w:t>Development of Hypotheses</w:t>
      </w:r>
    </w:p>
    <w:p w14:paraId="49B376BC" w14:textId="77777777" w:rsidR="00891F5D" w:rsidRPr="00891F5D" w:rsidRDefault="00891F5D" w:rsidP="00891F5D">
      <w:pPr>
        <w:spacing w:after="240" w:line="480" w:lineRule="auto"/>
        <w:jc w:val="both"/>
        <w:rPr>
          <w:rFonts w:asciiTheme="minorBidi" w:eastAsia="Times New Roman" w:hAnsiTheme="minorBidi"/>
          <w:kern w:val="0"/>
          <w14:ligatures w14:val="none"/>
        </w:rPr>
      </w:pPr>
      <w:r w:rsidRPr="00891F5D">
        <w:rPr>
          <w:rFonts w:asciiTheme="minorBidi" w:eastAsia="Times New Roman" w:hAnsiTheme="minorBidi"/>
          <w:kern w:val="0"/>
          <w14:ligatures w14:val="none"/>
        </w:rPr>
        <w:t>Based on the comprehensive literature review in the previous sections and the above highlights the researcher has formulated the following hypotheses:</w:t>
      </w:r>
    </w:p>
    <w:p w14:paraId="04DEEB09" w14:textId="77777777" w:rsidR="00891F5D" w:rsidRPr="00891F5D" w:rsidRDefault="00891F5D" w:rsidP="00891F5D">
      <w:pPr>
        <w:spacing w:after="240" w:line="480" w:lineRule="auto"/>
        <w:jc w:val="both"/>
        <w:rPr>
          <w:rFonts w:asciiTheme="minorBidi" w:eastAsia="Times New Roman" w:hAnsiTheme="minorBidi"/>
          <w:b/>
          <w:bCs/>
          <w:kern w:val="0"/>
          <w14:ligatures w14:val="none"/>
        </w:rPr>
      </w:pPr>
      <w:r w:rsidRPr="00891F5D">
        <w:rPr>
          <w:rFonts w:asciiTheme="minorBidi" w:eastAsia="Times New Roman" w:hAnsiTheme="minorBidi"/>
          <w:b/>
          <w:bCs/>
          <w:kern w:val="0"/>
          <w14:ligatures w14:val="none"/>
        </w:rPr>
        <w:t>H1: Accounting Fraud and Psychopathy</w:t>
      </w:r>
    </w:p>
    <w:p w14:paraId="76EB587C" w14:textId="77777777" w:rsidR="00891F5D" w:rsidRPr="00891F5D" w:rsidRDefault="00891F5D" w:rsidP="00891F5D">
      <w:pPr>
        <w:spacing w:after="240" w:line="480" w:lineRule="auto"/>
        <w:jc w:val="both"/>
        <w:rPr>
          <w:rFonts w:asciiTheme="minorBidi" w:eastAsia="Times New Roman" w:hAnsiTheme="minorBidi"/>
          <w:kern w:val="0"/>
          <w14:ligatures w14:val="none"/>
        </w:rPr>
      </w:pPr>
      <w:r w:rsidRPr="00891F5D">
        <w:rPr>
          <w:rFonts w:asciiTheme="minorBidi" w:eastAsia="Times New Roman" w:hAnsiTheme="minorBidi"/>
          <w:kern w:val="0"/>
          <w14:ligatures w14:val="none"/>
        </w:rPr>
        <w:t xml:space="preserve">H1a: </w:t>
      </w:r>
      <w:bookmarkStart w:id="673" w:name="_Hlk169616484"/>
      <w:r w:rsidRPr="00891F5D">
        <w:rPr>
          <w:rFonts w:asciiTheme="minorBidi" w:eastAsia="Times New Roman" w:hAnsiTheme="minorBidi"/>
          <w:kern w:val="0"/>
          <w14:ligatures w14:val="none"/>
        </w:rPr>
        <w:t xml:space="preserve">The percentage of L6 Accounting &amp; Finance students with strong psychopathy is more than 1% of the general population. </w:t>
      </w:r>
      <w:bookmarkEnd w:id="673"/>
    </w:p>
    <w:p w14:paraId="3DAE914C" w14:textId="77777777" w:rsidR="00891F5D" w:rsidRPr="00891F5D" w:rsidRDefault="00891F5D" w:rsidP="00891F5D">
      <w:pPr>
        <w:spacing w:after="240" w:line="480" w:lineRule="auto"/>
        <w:jc w:val="both"/>
        <w:rPr>
          <w:rFonts w:asciiTheme="minorBidi" w:eastAsia="Times New Roman" w:hAnsiTheme="minorBidi"/>
          <w:kern w:val="0"/>
          <w14:ligatures w14:val="none"/>
        </w:rPr>
      </w:pPr>
      <w:r w:rsidRPr="00891F5D">
        <w:rPr>
          <w:rFonts w:asciiTheme="minorBidi" w:eastAsia="Times New Roman" w:hAnsiTheme="minorBidi"/>
          <w:kern w:val="0"/>
          <w14:ligatures w14:val="none"/>
        </w:rPr>
        <w:t>H1b: The explanatory variables for psychopathy in L6 Accounting &amp; Finance students is down to background variables.</w:t>
      </w:r>
    </w:p>
    <w:p w14:paraId="6D08DB03" w14:textId="77777777" w:rsidR="00891F5D" w:rsidRPr="00891F5D" w:rsidRDefault="00891F5D" w:rsidP="00891F5D">
      <w:pPr>
        <w:spacing w:after="240" w:line="480" w:lineRule="auto"/>
        <w:jc w:val="both"/>
        <w:rPr>
          <w:rFonts w:asciiTheme="minorBidi" w:eastAsia="Times New Roman" w:hAnsiTheme="minorBidi"/>
          <w:kern w:val="0"/>
          <w14:ligatures w14:val="none"/>
        </w:rPr>
      </w:pPr>
      <w:r w:rsidRPr="00891F5D">
        <w:rPr>
          <w:rFonts w:asciiTheme="minorBidi" w:eastAsia="Times New Roman" w:hAnsiTheme="minorBidi"/>
          <w:kern w:val="0"/>
          <w14:ligatures w14:val="none"/>
        </w:rPr>
        <w:t>H1c: The percentage professionals with strong psychopathy is more than 1% of the general population.</w:t>
      </w:r>
    </w:p>
    <w:p w14:paraId="07C6EA18" w14:textId="77777777" w:rsidR="00891F5D" w:rsidRPr="00891F5D" w:rsidRDefault="00891F5D" w:rsidP="00891F5D">
      <w:pPr>
        <w:spacing w:after="240" w:line="480" w:lineRule="auto"/>
        <w:jc w:val="both"/>
        <w:rPr>
          <w:rFonts w:asciiTheme="minorBidi" w:eastAsia="Times New Roman" w:hAnsiTheme="minorBidi"/>
          <w:kern w:val="0"/>
          <w14:ligatures w14:val="none"/>
        </w:rPr>
      </w:pPr>
      <w:r w:rsidRPr="00891F5D">
        <w:rPr>
          <w:rFonts w:asciiTheme="minorBidi" w:eastAsia="Times New Roman" w:hAnsiTheme="minorBidi"/>
          <w:kern w:val="0"/>
          <w14:ligatures w14:val="none"/>
        </w:rPr>
        <w:t xml:space="preserve">H1d: The main explanatory variable for psychopathy in professionals is due to work experience. </w:t>
      </w:r>
    </w:p>
    <w:p w14:paraId="750F52B0" w14:textId="77777777" w:rsidR="00891F5D" w:rsidRPr="00891F5D" w:rsidRDefault="00891F5D" w:rsidP="00891F5D">
      <w:pPr>
        <w:spacing w:after="240" w:line="480" w:lineRule="auto"/>
        <w:jc w:val="both"/>
        <w:rPr>
          <w:rFonts w:asciiTheme="minorBidi" w:eastAsia="Times New Roman" w:hAnsiTheme="minorBidi"/>
          <w:b/>
          <w:bCs/>
          <w:kern w:val="0"/>
          <w14:ligatures w14:val="none"/>
        </w:rPr>
      </w:pPr>
      <w:r w:rsidRPr="00891F5D">
        <w:rPr>
          <w:rFonts w:asciiTheme="minorBidi" w:eastAsia="Times New Roman" w:hAnsiTheme="minorBidi"/>
          <w:b/>
          <w:bCs/>
          <w:kern w:val="0"/>
          <w14:ligatures w14:val="none"/>
        </w:rPr>
        <w:t>H2: BCT &amp; Accounting Fraud</w:t>
      </w:r>
    </w:p>
    <w:p w14:paraId="67E41E13" w14:textId="77777777" w:rsidR="00891F5D" w:rsidRPr="00891F5D" w:rsidRDefault="00891F5D" w:rsidP="00891F5D">
      <w:pPr>
        <w:spacing w:after="240" w:line="480" w:lineRule="auto"/>
        <w:jc w:val="both"/>
        <w:rPr>
          <w:rFonts w:asciiTheme="minorBidi" w:eastAsia="Times New Roman" w:hAnsiTheme="minorBidi"/>
          <w:kern w:val="0"/>
          <w14:ligatures w14:val="none"/>
        </w:rPr>
      </w:pPr>
      <w:r w:rsidRPr="00891F5D">
        <w:rPr>
          <w:rFonts w:asciiTheme="minorBidi" w:eastAsia="Times New Roman" w:hAnsiTheme="minorBidi"/>
          <w:kern w:val="0"/>
          <w14:ligatures w14:val="none"/>
        </w:rPr>
        <w:t>H2: The use of BCT reduces the incidence of Accounting Fraud in the accounting function of an organisation.</w:t>
      </w:r>
    </w:p>
    <w:p w14:paraId="3562ADB9" w14:textId="77777777" w:rsidR="00891F5D" w:rsidRPr="00891F5D" w:rsidRDefault="00891F5D" w:rsidP="00891F5D">
      <w:pPr>
        <w:spacing w:before="100" w:beforeAutospacing="1" w:after="100" w:afterAutospacing="1" w:line="480" w:lineRule="auto"/>
        <w:jc w:val="both"/>
        <w:rPr>
          <w:rFonts w:asciiTheme="minorBidi" w:eastAsia="Times New Roman" w:hAnsiTheme="minorBidi"/>
          <w:kern w:val="0"/>
          <w14:ligatures w14:val="none"/>
        </w:rPr>
      </w:pPr>
      <w:r w:rsidRPr="00891F5D">
        <w:rPr>
          <w:rFonts w:asciiTheme="minorBidi" w:eastAsia="Times New Roman" w:hAnsiTheme="minorBidi"/>
          <w:b/>
          <w:bCs/>
          <w:kern w:val="0"/>
          <w14:ligatures w14:val="none"/>
        </w:rPr>
        <w:lastRenderedPageBreak/>
        <w:t>H3: Interaction Between Psychopathy and Blockchain Technology</w:t>
      </w:r>
    </w:p>
    <w:p w14:paraId="25AF5E7C" w14:textId="77777777" w:rsidR="00891F5D" w:rsidRPr="00891F5D" w:rsidRDefault="00891F5D" w:rsidP="00891F5D">
      <w:pPr>
        <w:spacing w:before="100" w:beforeAutospacing="1" w:after="100" w:afterAutospacing="1" w:line="480" w:lineRule="auto"/>
        <w:jc w:val="both"/>
        <w:rPr>
          <w:rFonts w:asciiTheme="minorBidi" w:eastAsia="Times New Roman" w:hAnsiTheme="minorBidi"/>
          <w:kern w:val="0"/>
          <w14:ligatures w14:val="none"/>
        </w:rPr>
      </w:pPr>
      <w:r w:rsidRPr="00891F5D">
        <w:rPr>
          <w:rFonts w:asciiTheme="minorBidi" w:eastAsia="Times New Roman" w:hAnsiTheme="minorBidi"/>
          <w:b/>
          <w:bCs/>
          <w:kern w:val="0"/>
          <w14:ligatures w14:val="none"/>
        </w:rPr>
        <w:t>H3a</w:t>
      </w:r>
      <w:r w:rsidRPr="00891F5D">
        <w:rPr>
          <w:rFonts w:asciiTheme="minorBidi" w:eastAsia="Times New Roman" w:hAnsiTheme="minorBidi"/>
          <w:kern w:val="0"/>
          <w14:ligatures w14:val="none"/>
        </w:rPr>
        <w:t>: BCT moderates the relationship between psychopathic characteristics and Accounting Fraud, such that the relationship is weaker in environments where BCT is implemented.</w:t>
      </w:r>
    </w:p>
    <w:p w14:paraId="53C89170" w14:textId="77777777" w:rsidR="00891F5D" w:rsidRPr="00891F5D" w:rsidRDefault="00891F5D" w:rsidP="00891F5D">
      <w:pPr>
        <w:spacing w:before="100" w:beforeAutospacing="1" w:after="100" w:afterAutospacing="1" w:line="480" w:lineRule="auto"/>
        <w:jc w:val="both"/>
        <w:rPr>
          <w:rFonts w:asciiTheme="minorBidi" w:eastAsia="Times New Roman" w:hAnsiTheme="minorBidi"/>
          <w:kern w:val="0"/>
          <w14:ligatures w14:val="none"/>
        </w:rPr>
      </w:pPr>
      <w:r w:rsidRPr="00891F5D">
        <w:rPr>
          <w:rFonts w:asciiTheme="minorBidi" w:eastAsia="Times New Roman" w:hAnsiTheme="minorBidi"/>
          <w:b/>
          <w:bCs/>
          <w:kern w:val="0"/>
          <w14:ligatures w14:val="none"/>
        </w:rPr>
        <w:t>H3b</w:t>
      </w:r>
      <w:r w:rsidRPr="00891F5D">
        <w:rPr>
          <w:rFonts w:asciiTheme="minorBidi" w:eastAsia="Times New Roman" w:hAnsiTheme="minorBidi"/>
          <w:kern w:val="0"/>
          <w14:ligatures w14:val="none"/>
        </w:rPr>
        <w:t>: The mitigating effect of BCT on Accounting Fraud is more prominent in individuals with higher levels of psychopathic characteristics.</w:t>
      </w:r>
    </w:p>
    <w:p w14:paraId="73995B2D" w14:textId="230D6015" w:rsidR="00891F5D" w:rsidRPr="00B33F0B" w:rsidRDefault="00891F5D" w:rsidP="00B33F0B">
      <w:pPr>
        <w:spacing w:line="480" w:lineRule="auto"/>
        <w:jc w:val="both"/>
        <w:rPr>
          <w:rFonts w:asciiTheme="minorBidi" w:eastAsia="Times New Roman" w:hAnsiTheme="minorBidi"/>
          <w:kern w:val="0"/>
          <w14:ligatures w14:val="none"/>
        </w:rPr>
      </w:pPr>
      <w:r w:rsidRPr="00891F5D">
        <w:rPr>
          <w:rFonts w:asciiTheme="minorBidi" w:eastAsia="Times New Roman" w:hAnsiTheme="minorBidi"/>
          <w:kern w:val="0"/>
          <w14:ligatures w14:val="none"/>
        </w:rPr>
        <w:t>By developing these hypotheses, the researcher will investigate the complex nexus between psychopathy, Accounting Fraud, and the potential extenuating effects of BCT.</w:t>
      </w:r>
    </w:p>
    <w:bookmarkStart w:id="674" w:name="HY2"/>
    <w:bookmarkStart w:id="675" w:name="A66"/>
    <w:bookmarkStart w:id="676" w:name="D79"/>
    <w:p w14:paraId="5D4BC874" w14:textId="7AF38CE7" w:rsidR="00891F5D" w:rsidRPr="00891F5D" w:rsidRDefault="006D49FA" w:rsidP="001E789B">
      <w:pPr>
        <w:pBdr>
          <w:top w:val="single" w:sz="4" w:space="1" w:color="auto"/>
          <w:left w:val="single" w:sz="4" w:space="4" w:color="auto"/>
          <w:bottom w:val="single" w:sz="4" w:space="1" w:color="auto"/>
          <w:right w:val="single" w:sz="4" w:space="4" w:color="auto"/>
        </w:pBdr>
        <w:spacing w:line="240" w:lineRule="auto"/>
        <w:jc w:val="both"/>
        <w:rPr>
          <w:rFonts w:asciiTheme="minorBidi" w:eastAsia="Times New Roman" w:hAnsiTheme="minorBidi"/>
          <w:b/>
          <w:bCs/>
          <w:kern w:val="0"/>
          <w14:ligatures w14:val="none"/>
        </w:rPr>
      </w:pPr>
      <w:r>
        <w:rPr>
          <w:rFonts w:asciiTheme="minorBidi" w:eastAsia="Times New Roman" w:hAnsiTheme="minorBidi"/>
          <w:b/>
          <w:bCs/>
          <w:kern w:val="0"/>
          <w14:ligatures w14:val="none"/>
        </w:rPr>
        <w:fldChar w:fldCharType="begin"/>
      </w:r>
      <w:r>
        <w:rPr>
          <w:rFonts w:asciiTheme="minorBidi" w:eastAsia="Times New Roman" w:hAnsiTheme="minorBidi"/>
          <w:b/>
          <w:bCs/>
          <w:kern w:val="0"/>
          <w14:ligatures w14:val="none"/>
        </w:rPr>
        <w:instrText>HYPERLINK  \l "C79"</w:instrText>
      </w:r>
      <w:r>
        <w:rPr>
          <w:rFonts w:asciiTheme="minorBidi" w:eastAsia="Times New Roman" w:hAnsiTheme="minorBidi"/>
          <w:b/>
          <w:bCs/>
          <w:kern w:val="0"/>
          <w14:ligatures w14:val="none"/>
        </w:rPr>
      </w:r>
      <w:r>
        <w:rPr>
          <w:rFonts w:asciiTheme="minorBidi" w:eastAsia="Times New Roman" w:hAnsiTheme="minorBidi"/>
          <w:b/>
          <w:bCs/>
          <w:kern w:val="0"/>
          <w14:ligatures w14:val="none"/>
        </w:rPr>
        <w:fldChar w:fldCharType="separate"/>
      </w:r>
      <w:r w:rsidR="00891F5D" w:rsidRPr="006D49FA">
        <w:rPr>
          <w:rStyle w:val="Hyperlink"/>
          <w:rFonts w:asciiTheme="minorBidi" w:eastAsia="Times New Roman" w:hAnsiTheme="minorBidi"/>
          <w:b/>
          <w:bCs/>
          <w:kern w:val="0"/>
          <w14:ligatures w14:val="none"/>
        </w:rPr>
        <w:t>2.12.1 Testing Hypot</w:t>
      </w:r>
      <w:r w:rsidR="00891F5D" w:rsidRPr="006D49FA">
        <w:rPr>
          <w:rStyle w:val="Hyperlink"/>
          <w:rFonts w:asciiTheme="minorBidi" w:eastAsia="Times New Roman" w:hAnsiTheme="minorBidi"/>
          <w:b/>
          <w:bCs/>
          <w:kern w:val="0"/>
          <w14:ligatures w14:val="none"/>
        </w:rPr>
        <w:t>heses</w:t>
      </w:r>
      <w:r>
        <w:rPr>
          <w:rFonts w:asciiTheme="minorBidi" w:eastAsia="Times New Roman" w:hAnsiTheme="minorBidi"/>
          <w:b/>
          <w:bCs/>
          <w:kern w:val="0"/>
          <w14:ligatures w14:val="none"/>
        </w:rPr>
        <w:fldChar w:fldCharType="end"/>
      </w:r>
    </w:p>
    <w:bookmarkEnd w:id="674"/>
    <w:bookmarkEnd w:id="675"/>
    <w:bookmarkEnd w:id="676"/>
    <w:p w14:paraId="3F55F4C4" w14:textId="77777777" w:rsidR="00891F5D" w:rsidRPr="00891F5D" w:rsidRDefault="00891F5D" w:rsidP="00891F5D">
      <w:pPr>
        <w:spacing w:before="100" w:beforeAutospacing="1" w:after="100" w:afterAutospacing="1" w:line="480" w:lineRule="auto"/>
        <w:jc w:val="both"/>
        <w:outlineLvl w:val="3"/>
        <w:rPr>
          <w:rFonts w:asciiTheme="minorBidi" w:eastAsia="Times New Roman" w:hAnsiTheme="minorBidi"/>
          <w:kern w:val="0"/>
          <w14:ligatures w14:val="none"/>
        </w:rPr>
      </w:pPr>
      <w:r w:rsidRPr="00891F5D">
        <w:rPr>
          <w:rFonts w:asciiTheme="minorBidi" w:eastAsia="Times New Roman" w:hAnsiTheme="minorBidi"/>
          <w:kern w:val="0"/>
          <w14:ligatures w14:val="none"/>
        </w:rPr>
        <w:t>As already noted, the overarching aim of this study is:</w:t>
      </w:r>
    </w:p>
    <w:p w14:paraId="5F9BC8E3" w14:textId="77777777" w:rsidR="00891F5D" w:rsidRPr="00891F5D" w:rsidRDefault="00891F5D" w:rsidP="00891F5D">
      <w:pPr>
        <w:tabs>
          <w:tab w:val="center" w:pos="4555"/>
        </w:tabs>
        <w:spacing w:line="480" w:lineRule="auto"/>
        <w:jc w:val="both"/>
        <w:rPr>
          <w:rFonts w:asciiTheme="minorBidi" w:hAnsiTheme="minorBidi"/>
          <w:b/>
          <w:bCs/>
          <w:i/>
          <w:iCs/>
        </w:rPr>
      </w:pPr>
      <w:r w:rsidRPr="00891F5D">
        <w:rPr>
          <w:rFonts w:asciiTheme="minorBidi" w:hAnsiTheme="minorBidi"/>
          <w:b/>
          <w:bCs/>
          <w:i/>
          <w:iCs/>
        </w:rPr>
        <w:t xml:space="preserve">The research aim’s to understand the extent to which Blockchain Technology can influence the behaviour of the Corporate Psychopath and reduce Accounting Fraud. </w:t>
      </w:r>
    </w:p>
    <w:p w14:paraId="76768374" w14:textId="77777777" w:rsidR="00891F5D" w:rsidRPr="00891F5D" w:rsidRDefault="00891F5D" w:rsidP="00891F5D">
      <w:pPr>
        <w:spacing w:before="100" w:beforeAutospacing="1" w:after="100" w:afterAutospacing="1" w:line="480" w:lineRule="auto"/>
        <w:jc w:val="both"/>
        <w:outlineLvl w:val="3"/>
        <w:rPr>
          <w:rFonts w:asciiTheme="minorBidi" w:eastAsia="Times New Roman" w:hAnsiTheme="minorBidi"/>
          <w:b/>
          <w:bCs/>
          <w:kern w:val="0"/>
          <w14:ligatures w14:val="none"/>
        </w:rPr>
      </w:pPr>
      <w:r w:rsidRPr="00891F5D">
        <w:rPr>
          <w:rFonts w:asciiTheme="minorBidi" w:eastAsia="Times New Roman" w:hAnsiTheme="minorBidi"/>
          <w:b/>
          <w:bCs/>
          <w:kern w:val="0"/>
          <w14:ligatures w14:val="none"/>
        </w:rPr>
        <w:t>Methodology</w:t>
      </w:r>
    </w:p>
    <w:p w14:paraId="3B9DF4EC" w14:textId="77777777" w:rsidR="00891F5D" w:rsidRPr="00891F5D" w:rsidRDefault="00891F5D" w:rsidP="00891F5D">
      <w:pPr>
        <w:spacing w:before="100" w:beforeAutospacing="1" w:after="100" w:afterAutospacing="1" w:line="480" w:lineRule="auto"/>
        <w:jc w:val="both"/>
        <w:rPr>
          <w:rFonts w:ascii="Arial" w:eastAsia="Times New Roman" w:hAnsi="Arial" w:cs="Arial"/>
          <w:kern w:val="0"/>
          <w:lang w:eastAsia="en-GB"/>
          <w14:ligatures w14:val="none"/>
        </w:rPr>
      </w:pPr>
      <w:r w:rsidRPr="00891F5D">
        <w:rPr>
          <w:rFonts w:ascii="Arial" w:eastAsia="Times New Roman" w:hAnsi="Arial" w:cs="Arial"/>
          <w:kern w:val="0"/>
          <w:lang w:eastAsia="en-GB"/>
          <w14:ligatures w14:val="none"/>
        </w:rPr>
        <w:t>The next chapter will extensively discuss and justify the research methodology and philosophical position including design, strategy, and adoption of a mixed methods approach. This final section outlines how the hypotheses will be tested.</w:t>
      </w:r>
    </w:p>
    <w:p w14:paraId="35C9DE46" w14:textId="77777777" w:rsidR="00891F5D" w:rsidRPr="00891F5D" w:rsidRDefault="00891F5D" w:rsidP="00891F5D">
      <w:pPr>
        <w:spacing w:before="100" w:beforeAutospacing="1" w:after="100" w:afterAutospacing="1" w:line="480" w:lineRule="auto"/>
        <w:jc w:val="both"/>
        <w:rPr>
          <w:rFonts w:asciiTheme="minorBidi" w:eastAsia="Times New Roman" w:hAnsiTheme="minorBidi"/>
          <w:kern w:val="0"/>
          <w14:ligatures w14:val="none"/>
        </w:rPr>
      </w:pPr>
      <w:r w:rsidRPr="00891F5D">
        <w:rPr>
          <w:rFonts w:asciiTheme="minorBidi" w:eastAsia="Times New Roman" w:hAnsiTheme="minorBidi"/>
          <w:b/>
          <w:bCs/>
          <w:kern w:val="0"/>
          <w14:ligatures w14:val="none"/>
        </w:rPr>
        <w:t>Participants</w:t>
      </w:r>
      <w:r w:rsidRPr="00891F5D">
        <w:rPr>
          <w:rFonts w:asciiTheme="minorBidi" w:eastAsia="Times New Roman" w:hAnsiTheme="minorBidi"/>
          <w:kern w:val="0"/>
          <w14:ligatures w14:val="none"/>
        </w:rPr>
        <w:t>: Final year SBS accounting and finance students, audit professionals and subject matter experts.</w:t>
      </w:r>
    </w:p>
    <w:p w14:paraId="37A46D81" w14:textId="77777777" w:rsidR="001C0886" w:rsidRDefault="001C0886" w:rsidP="00891F5D">
      <w:pPr>
        <w:spacing w:before="100" w:beforeAutospacing="1" w:after="100" w:afterAutospacing="1" w:line="480" w:lineRule="auto"/>
        <w:jc w:val="both"/>
        <w:rPr>
          <w:rFonts w:asciiTheme="minorBidi" w:eastAsia="Times New Roman" w:hAnsiTheme="minorBidi"/>
          <w:b/>
          <w:bCs/>
          <w:kern w:val="0"/>
          <w14:ligatures w14:val="none"/>
        </w:rPr>
      </w:pPr>
    </w:p>
    <w:p w14:paraId="1C60E36C" w14:textId="3A09BCB0" w:rsidR="00891F5D" w:rsidRPr="00891F5D" w:rsidRDefault="00891F5D" w:rsidP="00891F5D">
      <w:pPr>
        <w:spacing w:before="100" w:beforeAutospacing="1" w:after="100" w:afterAutospacing="1" w:line="480" w:lineRule="auto"/>
        <w:jc w:val="both"/>
        <w:rPr>
          <w:rFonts w:asciiTheme="minorBidi" w:eastAsia="Times New Roman" w:hAnsiTheme="minorBidi"/>
          <w:kern w:val="0"/>
          <w14:ligatures w14:val="none"/>
        </w:rPr>
      </w:pPr>
      <w:r w:rsidRPr="00891F5D">
        <w:rPr>
          <w:rFonts w:asciiTheme="minorBidi" w:eastAsia="Times New Roman" w:hAnsiTheme="minorBidi"/>
          <w:b/>
          <w:bCs/>
          <w:kern w:val="0"/>
          <w14:ligatures w14:val="none"/>
        </w:rPr>
        <w:lastRenderedPageBreak/>
        <w:t>Measures</w:t>
      </w:r>
    </w:p>
    <w:p w14:paraId="4C015E5B" w14:textId="77777777" w:rsidR="00891F5D" w:rsidRPr="00891F5D" w:rsidRDefault="00891F5D" w:rsidP="00891F5D">
      <w:pPr>
        <w:spacing w:before="100" w:beforeAutospacing="1" w:after="100" w:afterAutospacing="1" w:line="480" w:lineRule="auto"/>
        <w:jc w:val="both"/>
        <w:rPr>
          <w:rFonts w:asciiTheme="minorBidi" w:eastAsia="Times New Roman" w:hAnsiTheme="minorBidi"/>
          <w:kern w:val="0"/>
          <w14:ligatures w14:val="none"/>
        </w:rPr>
      </w:pPr>
      <w:r w:rsidRPr="00891F5D">
        <w:rPr>
          <w:rFonts w:asciiTheme="minorBidi" w:eastAsia="Times New Roman" w:hAnsiTheme="minorBidi"/>
          <w:b/>
          <w:bCs/>
          <w:kern w:val="0"/>
          <w14:ligatures w14:val="none"/>
        </w:rPr>
        <w:t>Psychopathy:</w:t>
      </w:r>
      <w:r w:rsidRPr="00891F5D">
        <w:rPr>
          <w:rFonts w:asciiTheme="minorBidi" w:eastAsia="Times New Roman" w:hAnsiTheme="minorBidi"/>
          <w:kern w:val="0"/>
          <w14:ligatures w14:val="none"/>
        </w:rPr>
        <w:t xml:space="preserve"> Measured utilising the Levenson Self-Report Psychopathy Scale (LSRP).</w:t>
      </w:r>
    </w:p>
    <w:p w14:paraId="6B8DA4C5" w14:textId="77777777" w:rsidR="00891F5D" w:rsidRPr="00891F5D" w:rsidRDefault="00891F5D" w:rsidP="00891F5D">
      <w:pPr>
        <w:spacing w:before="100" w:beforeAutospacing="1" w:after="100" w:afterAutospacing="1" w:line="480" w:lineRule="auto"/>
        <w:jc w:val="both"/>
        <w:rPr>
          <w:rFonts w:asciiTheme="minorBidi" w:eastAsia="Times New Roman" w:hAnsiTheme="minorBidi"/>
          <w:kern w:val="0"/>
          <w14:ligatures w14:val="none"/>
        </w:rPr>
      </w:pPr>
      <w:r w:rsidRPr="00891F5D">
        <w:rPr>
          <w:rFonts w:asciiTheme="minorBidi" w:eastAsia="Times New Roman" w:hAnsiTheme="minorBidi"/>
          <w:b/>
          <w:bCs/>
          <w:kern w:val="0"/>
          <w14:ligatures w14:val="none"/>
        </w:rPr>
        <w:t>Accounting Fraud Tendencies:</w:t>
      </w:r>
      <w:r w:rsidRPr="00891F5D">
        <w:rPr>
          <w:rFonts w:asciiTheme="minorBidi" w:eastAsia="Times New Roman" w:hAnsiTheme="minorBidi"/>
          <w:kern w:val="0"/>
          <w14:ligatures w14:val="none"/>
        </w:rPr>
        <w:t xml:space="preserve"> Assessed through a hypothetical scenarios survey.</w:t>
      </w:r>
    </w:p>
    <w:p w14:paraId="33F6FFFF" w14:textId="77777777" w:rsidR="00891F5D" w:rsidRPr="00891F5D" w:rsidRDefault="00891F5D" w:rsidP="00891F5D">
      <w:pPr>
        <w:spacing w:before="100" w:beforeAutospacing="1" w:after="100" w:afterAutospacing="1" w:line="480" w:lineRule="auto"/>
        <w:jc w:val="both"/>
        <w:rPr>
          <w:rFonts w:asciiTheme="minorBidi" w:eastAsia="Times New Roman" w:hAnsiTheme="minorBidi"/>
          <w:kern w:val="0"/>
          <w14:ligatures w14:val="none"/>
        </w:rPr>
      </w:pPr>
      <w:r w:rsidRPr="00891F5D">
        <w:rPr>
          <w:rFonts w:asciiTheme="minorBidi" w:eastAsia="Times New Roman" w:hAnsiTheme="minorBidi"/>
          <w:b/>
          <w:bCs/>
          <w:kern w:val="0"/>
          <w14:ligatures w14:val="none"/>
        </w:rPr>
        <w:t>Blockchain Implementation:</w:t>
      </w:r>
      <w:r w:rsidRPr="00891F5D">
        <w:rPr>
          <w:rFonts w:asciiTheme="minorBidi" w:eastAsia="Times New Roman" w:hAnsiTheme="minorBidi"/>
          <w:kern w:val="0"/>
          <w14:ligatures w14:val="none"/>
        </w:rPr>
        <w:t xml:space="preserve"> Evaluated through a semi-structured interviews on the use and knowledge of BCT.</w:t>
      </w:r>
    </w:p>
    <w:p w14:paraId="753DCF07" w14:textId="0F9F0F2A" w:rsidR="00891F5D" w:rsidRPr="00891F5D" w:rsidRDefault="00891F5D" w:rsidP="00542E86">
      <w:pPr>
        <w:spacing w:before="100" w:beforeAutospacing="1" w:after="100" w:afterAutospacing="1" w:line="480" w:lineRule="auto"/>
        <w:jc w:val="both"/>
        <w:rPr>
          <w:rFonts w:asciiTheme="minorBidi" w:eastAsia="Times New Roman" w:hAnsiTheme="minorBidi"/>
          <w:kern w:val="0"/>
          <w14:ligatures w14:val="none"/>
        </w:rPr>
      </w:pPr>
      <w:r w:rsidRPr="00891F5D">
        <w:rPr>
          <w:rFonts w:asciiTheme="minorBidi" w:eastAsia="Times New Roman" w:hAnsiTheme="minorBidi"/>
          <w:b/>
          <w:bCs/>
          <w:kern w:val="0"/>
          <w14:ligatures w14:val="none"/>
        </w:rPr>
        <w:t>Data Analysis</w:t>
      </w:r>
      <w:r w:rsidRPr="00891F5D">
        <w:rPr>
          <w:rFonts w:asciiTheme="minorBidi" w:eastAsia="Times New Roman" w:hAnsiTheme="minorBidi"/>
          <w:kern w:val="0"/>
          <w14:ligatures w14:val="none"/>
        </w:rPr>
        <w:t>: Multiple regression analysis to test the direct effects (H1) and semi-structured interviews (H2, H3)</w:t>
      </w:r>
    </w:p>
    <w:p w14:paraId="5F3C4896" w14:textId="77777777" w:rsidR="00891F5D" w:rsidRPr="00891F5D" w:rsidRDefault="00891F5D" w:rsidP="00891F5D">
      <w:pPr>
        <w:spacing w:before="100" w:beforeAutospacing="1" w:after="100" w:afterAutospacing="1" w:line="480" w:lineRule="auto"/>
        <w:jc w:val="both"/>
        <w:rPr>
          <w:rFonts w:asciiTheme="minorBidi" w:eastAsia="Times New Roman" w:hAnsiTheme="minorBidi"/>
          <w:kern w:val="0"/>
          <w14:ligatures w14:val="none"/>
        </w:rPr>
      </w:pPr>
      <w:r w:rsidRPr="00891F5D">
        <w:rPr>
          <w:rFonts w:asciiTheme="minorBidi" w:eastAsia="Times New Roman" w:hAnsiTheme="minorBidi"/>
          <w:b/>
          <w:bCs/>
          <w:kern w:val="0"/>
          <w14:ligatures w14:val="none"/>
        </w:rPr>
        <w:t>Hypothesis Testing Framework:</w:t>
      </w:r>
    </w:p>
    <w:p w14:paraId="26B984E0" w14:textId="77777777" w:rsidR="00891F5D" w:rsidRPr="00891F5D" w:rsidRDefault="00891F5D" w:rsidP="00891F5D">
      <w:pPr>
        <w:spacing w:before="100" w:beforeAutospacing="1" w:after="100" w:afterAutospacing="1" w:line="480" w:lineRule="auto"/>
        <w:jc w:val="both"/>
        <w:rPr>
          <w:rFonts w:asciiTheme="minorBidi" w:eastAsia="Times New Roman" w:hAnsiTheme="minorBidi"/>
          <w:kern w:val="0"/>
          <w14:ligatures w14:val="none"/>
        </w:rPr>
      </w:pPr>
      <w:r w:rsidRPr="00891F5D">
        <w:rPr>
          <w:rFonts w:asciiTheme="minorBidi" w:eastAsia="Times New Roman" w:hAnsiTheme="minorBidi"/>
          <w:b/>
          <w:bCs/>
          <w:kern w:val="0"/>
          <w14:ligatures w14:val="none"/>
        </w:rPr>
        <w:t>H1a to H1d</w:t>
      </w:r>
      <w:r w:rsidRPr="00891F5D">
        <w:rPr>
          <w:rFonts w:asciiTheme="minorBidi" w:eastAsia="Times New Roman" w:hAnsiTheme="minorBidi"/>
          <w:kern w:val="0"/>
          <w14:ligatures w14:val="none"/>
        </w:rPr>
        <w:t>: Undertake a multiple regression analysis to determine the relationship between psychopathic tendency (independent variable) and likelihood of engaging in Accounting Fraud (dependent variable).</w:t>
      </w:r>
    </w:p>
    <w:p w14:paraId="5112E750" w14:textId="532BD1E8" w:rsidR="00105C2F" w:rsidRPr="00891F5D" w:rsidRDefault="00891F5D" w:rsidP="00B33F0B">
      <w:pPr>
        <w:spacing w:before="100" w:beforeAutospacing="1" w:after="100" w:afterAutospacing="1" w:line="480" w:lineRule="auto"/>
        <w:jc w:val="both"/>
        <w:rPr>
          <w:rFonts w:asciiTheme="minorBidi" w:eastAsia="Times New Roman" w:hAnsiTheme="minorBidi"/>
          <w:kern w:val="0"/>
          <w14:ligatures w14:val="none"/>
        </w:rPr>
      </w:pPr>
      <w:r w:rsidRPr="00891F5D">
        <w:rPr>
          <w:rFonts w:asciiTheme="minorBidi" w:eastAsia="Times New Roman" w:hAnsiTheme="minorBidi"/>
          <w:b/>
          <w:bCs/>
          <w:kern w:val="0"/>
          <w14:ligatures w14:val="none"/>
        </w:rPr>
        <w:t>H2, H3a and H3b</w:t>
      </w:r>
      <w:r w:rsidRPr="00891F5D">
        <w:rPr>
          <w:rFonts w:asciiTheme="minorBidi" w:eastAsia="Times New Roman" w:hAnsiTheme="minorBidi"/>
          <w:kern w:val="0"/>
          <w14:ligatures w14:val="none"/>
        </w:rPr>
        <w:t xml:space="preserve">: Conduct semi-structured interviews of senior audit professionals and subject matter experts to gauge their experiences of corporate psychopathy and to what extent they think that the characteristics of </w:t>
      </w:r>
      <w:r w:rsidRPr="00891F5D">
        <w:rPr>
          <w:rFonts w:asciiTheme="minorBidi" w:eastAsia="Times New Roman" w:hAnsiTheme="minorBidi"/>
        </w:rPr>
        <w:t>transparency, immutability, and decentralisation</w:t>
      </w:r>
      <w:r w:rsidRPr="00891F5D">
        <w:rPr>
          <w:rFonts w:asciiTheme="minorBidi" w:eastAsia="Times New Roman" w:hAnsiTheme="minorBidi"/>
          <w:kern w:val="0"/>
          <w14:ligatures w14:val="none"/>
        </w:rPr>
        <w:t xml:space="preserve"> will lessen Accounting Fraud and the potentially contain the Corporate Psychopath Accountant.</w:t>
      </w:r>
    </w:p>
    <w:bookmarkStart w:id="677" w:name="A67"/>
    <w:bookmarkStart w:id="678" w:name="D80"/>
    <w:p w14:paraId="36081426" w14:textId="3F4D879D" w:rsidR="00891F5D" w:rsidRPr="00891F5D" w:rsidRDefault="00CA4EDB" w:rsidP="001E789B">
      <w:pPr>
        <w:pBdr>
          <w:top w:val="single" w:sz="4" w:space="1" w:color="auto"/>
          <w:left w:val="single" w:sz="4" w:space="4" w:color="auto"/>
          <w:bottom w:val="single" w:sz="4" w:space="1" w:color="auto"/>
          <w:right w:val="single" w:sz="4" w:space="4" w:color="auto"/>
        </w:pBdr>
        <w:spacing w:before="100" w:beforeAutospacing="1" w:after="100" w:afterAutospacing="1" w:line="240" w:lineRule="auto"/>
        <w:jc w:val="both"/>
        <w:rPr>
          <w:rFonts w:ascii="Arial" w:eastAsia="Times New Roman" w:hAnsi="Arial" w:cs="Arial"/>
          <w:b/>
          <w:bCs/>
          <w:kern w:val="0"/>
          <w:lang w:eastAsia="en-GB"/>
          <w14:ligatures w14:val="none"/>
        </w:rPr>
      </w:pPr>
      <w:r>
        <w:rPr>
          <w:rFonts w:asciiTheme="minorBidi" w:eastAsia="Times New Roman" w:hAnsiTheme="minorBidi"/>
          <w:b/>
          <w:bCs/>
          <w:kern w:val="0"/>
          <w14:ligatures w14:val="none"/>
        </w:rPr>
        <w:fldChar w:fldCharType="begin"/>
      </w:r>
      <w:r>
        <w:rPr>
          <w:rFonts w:asciiTheme="minorBidi" w:eastAsia="Times New Roman" w:hAnsiTheme="minorBidi"/>
          <w:b/>
          <w:bCs/>
          <w:kern w:val="0"/>
          <w14:ligatures w14:val="none"/>
        </w:rPr>
        <w:instrText>HYPERLINK  \l "C80"</w:instrText>
      </w:r>
      <w:r>
        <w:rPr>
          <w:rFonts w:asciiTheme="minorBidi" w:eastAsia="Times New Roman" w:hAnsiTheme="minorBidi"/>
          <w:b/>
          <w:bCs/>
          <w:kern w:val="0"/>
          <w14:ligatures w14:val="none"/>
        </w:rPr>
      </w:r>
      <w:r>
        <w:rPr>
          <w:rFonts w:asciiTheme="minorBidi" w:eastAsia="Times New Roman" w:hAnsiTheme="minorBidi"/>
          <w:b/>
          <w:bCs/>
          <w:kern w:val="0"/>
          <w14:ligatures w14:val="none"/>
        </w:rPr>
        <w:fldChar w:fldCharType="separate"/>
      </w:r>
      <w:r w:rsidR="00891F5D" w:rsidRPr="00CA4EDB">
        <w:rPr>
          <w:rStyle w:val="Hyperlink"/>
          <w:rFonts w:asciiTheme="minorBidi" w:eastAsia="Times New Roman" w:hAnsiTheme="minorBidi"/>
          <w:b/>
          <w:bCs/>
          <w:kern w:val="0"/>
          <w14:ligatures w14:val="none"/>
        </w:rPr>
        <w:t>2.13 Chapter Su</w:t>
      </w:r>
      <w:r w:rsidR="00891F5D" w:rsidRPr="00CA4EDB">
        <w:rPr>
          <w:rStyle w:val="Hyperlink"/>
          <w:rFonts w:asciiTheme="minorBidi" w:eastAsia="Times New Roman" w:hAnsiTheme="minorBidi"/>
          <w:b/>
          <w:bCs/>
          <w:kern w:val="0"/>
          <w14:ligatures w14:val="none"/>
        </w:rPr>
        <w:t>mmary</w:t>
      </w:r>
      <w:r>
        <w:rPr>
          <w:rFonts w:asciiTheme="minorBidi" w:eastAsia="Times New Roman" w:hAnsiTheme="minorBidi"/>
          <w:b/>
          <w:bCs/>
          <w:kern w:val="0"/>
          <w14:ligatures w14:val="none"/>
        </w:rPr>
        <w:fldChar w:fldCharType="end"/>
      </w:r>
    </w:p>
    <w:bookmarkEnd w:id="677"/>
    <w:bookmarkEnd w:id="678"/>
    <w:p w14:paraId="6EF9C860" w14:textId="77777777" w:rsidR="00891F5D" w:rsidRPr="00891F5D" w:rsidRDefault="00891F5D" w:rsidP="00891F5D">
      <w:pPr>
        <w:spacing w:after="0" w:line="480" w:lineRule="auto"/>
        <w:jc w:val="both"/>
        <w:rPr>
          <w:rFonts w:asciiTheme="minorBidi" w:hAnsiTheme="minorBidi"/>
        </w:rPr>
      </w:pPr>
      <w:r w:rsidRPr="00891F5D">
        <w:rPr>
          <w:rFonts w:asciiTheme="minorBidi" w:hAnsiTheme="minorBidi"/>
        </w:rPr>
        <w:t xml:space="preserve">In summary this chapter explored the literature in two parts, part one explored evaluated the Accounting Fraud literature around five themes and was underpinned </w:t>
      </w:r>
      <w:r w:rsidRPr="00891F5D">
        <w:rPr>
          <w:rFonts w:asciiTheme="minorBidi" w:hAnsiTheme="minorBidi"/>
        </w:rPr>
        <w:lastRenderedPageBreak/>
        <w:t>by Research Objective One – Three, see below. Part Two did the same and surveyed the Blockchain Technology and was directed by Research Objective Four – see below:</w:t>
      </w:r>
    </w:p>
    <w:p w14:paraId="7F88EB28" w14:textId="77777777" w:rsidR="00891F5D" w:rsidRPr="00891F5D" w:rsidRDefault="00891F5D" w:rsidP="00891F5D">
      <w:pPr>
        <w:spacing w:after="0" w:line="480" w:lineRule="auto"/>
        <w:jc w:val="both"/>
        <w:rPr>
          <w:rFonts w:asciiTheme="minorBidi" w:hAnsiTheme="minorBidi"/>
        </w:rPr>
      </w:pPr>
    </w:p>
    <w:tbl>
      <w:tblPr>
        <w:tblStyle w:val="TableGrid"/>
        <w:tblW w:w="0" w:type="auto"/>
        <w:tblLook w:val="04A0" w:firstRow="1" w:lastRow="0" w:firstColumn="1" w:lastColumn="0" w:noHBand="0" w:noVBand="1"/>
      </w:tblPr>
      <w:tblGrid>
        <w:gridCol w:w="603"/>
        <w:gridCol w:w="8413"/>
      </w:tblGrid>
      <w:tr w:rsidR="00891F5D" w:rsidRPr="00891F5D" w14:paraId="6749E65F" w14:textId="77777777" w:rsidTr="001D4222">
        <w:tc>
          <w:tcPr>
            <w:tcW w:w="603" w:type="dxa"/>
          </w:tcPr>
          <w:p w14:paraId="42B2471B" w14:textId="77777777" w:rsidR="00891F5D" w:rsidRPr="00891F5D" w:rsidRDefault="00891F5D" w:rsidP="00891F5D">
            <w:pPr>
              <w:spacing w:line="480" w:lineRule="auto"/>
              <w:jc w:val="both"/>
              <w:rPr>
                <w:rFonts w:asciiTheme="minorBidi" w:hAnsiTheme="minorBidi"/>
                <w:b/>
                <w:bCs/>
                <w:i/>
                <w:iCs/>
              </w:rPr>
            </w:pPr>
            <w:r w:rsidRPr="00891F5D">
              <w:rPr>
                <w:rFonts w:asciiTheme="minorBidi" w:hAnsiTheme="minorBidi"/>
                <w:b/>
                <w:bCs/>
                <w:i/>
                <w:iCs/>
              </w:rPr>
              <w:t>No.</w:t>
            </w:r>
          </w:p>
        </w:tc>
        <w:tc>
          <w:tcPr>
            <w:tcW w:w="8413" w:type="dxa"/>
            <w:shd w:val="clear" w:color="auto" w:fill="D9D9D9" w:themeFill="background1" w:themeFillShade="D9"/>
          </w:tcPr>
          <w:p w14:paraId="4C5EAE1A" w14:textId="77777777" w:rsidR="00891F5D" w:rsidRPr="00891F5D" w:rsidRDefault="00891F5D" w:rsidP="00891F5D">
            <w:pPr>
              <w:spacing w:line="480" w:lineRule="auto"/>
              <w:jc w:val="both"/>
              <w:rPr>
                <w:rFonts w:asciiTheme="minorBidi" w:hAnsiTheme="minorBidi"/>
                <w:b/>
                <w:bCs/>
                <w:i/>
                <w:iCs/>
                <w:u w:val="single"/>
              </w:rPr>
            </w:pPr>
            <w:r w:rsidRPr="00891F5D">
              <w:rPr>
                <w:rFonts w:asciiTheme="minorBidi" w:hAnsiTheme="minorBidi"/>
                <w:b/>
                <w:bCs/>
                <w:i/>
                <w:iCs/>
                <w:u w:val="single"/>
              </w:rPr>
              <w:t>Research Objectives &amp; Questions</w:t>
            </w:r>
          </w:p>
        </w:tc>
      </w:tr>
      <w:tr w:rsidR="00891F5D" w:rsidRPr="00891F5D" w14:paraId="33FE83DE" w14:textId="77777777" w:rsidTr="001D4222">
        <w:tc>
          <w:tcPr>
            <w:tcW w:w="603" w:type="dxa"/>
          </w:tcPr>
          <w:p w14:paraId="1917BCEE" w14:textId="77777777" w:rsidR="00891F5D" w:rsidRPr="00891F5D" w:rsidRDefault="00891F5D" w:rsidP="00891F5D">
            <w:pPr>
              <w:spacing w:line="480" w:lineRule="auto"/>
              <w:jc w:val="both"/>
              <w:rPr>
                <w:rFonts w:asciiTheme="minorBidi" w:hAnsiTheme="minorBidi"/>
                <w:i/>
                <w:iCs/>
              </w:rPr>
            </w:pPr>
            <w:r w:rsidRPr="00891F5D">
              <w:rPr>
                <w:rFonts w:asciiTheme="minorBidi" w:hAnsiTheme="minorBidi"/>
                <w:i/>
                <w:iCs/>
              </w:rPr>
              <w:t>1</w:t>
            </w:r>
          </w:p>
        </w:tc>
        <w:tc>
          <w:tcPr>
            <w:tcW w:w="8413" w:type="dxa"/>
          </w:tcPr>
          <w:p w14:paraId="3EB7B7F3" w14:textId="77777777" w:rsidR="00891F5D" w:rsidRPr="00891F5D" w:rsidRDefault="00891F5D" w:rsidP="00891F5D">
            <w:pPr>
              <w:spacing w:line="480" w:lineRule="auto"/>
              <w:jc w:val="both"/>
              <w:rPr>
                <w:rFonts w:asciiTheme="minorBidi" w:hAnsiTheme="minorBidi"/>
              </w:rPr>
            </w:pPr>
            <w:r w:rsidRPr="00891F5D">
              <w:rPr>
                <w:rFonts w:asciiTheme="minorBidi" w:hAnsiTheme="minorBidi"/>
                <w:b/>
                <w:bCs/>
                <w:u w:val="single"/>
              </w:rPr>
              <w:t>Objective 1:</w:t>
            </w:r>
            <w:r w:rsidRPr="00891F5D">
              <w:rPr>
                <w:rFonts w:asciiTheme="minorBidi" w:hAnsiTheme="minorBidi"/>
              </w:rPr>
              <w:t xml:space="preserve"> To undertake a broad review and synthesis of existing literature on Accounting Fraud, identifying key themes &amp; techniques, findings, and gaps in the research.</w:t>
            </w:r>
          </w:p>
          <w:p w14:paraId="2918B5AD" w14:textId="77777777" w:rsidR="00891F5D" w:rsidRPr="00891F5D" w:rsidRDefault="00891F5D" w:rsidP="00891F5D">
            <w:pPr>
              <w:spacing w:line="480" w:lineRule="auto"/>
              <w:jc w:val="both"/>
              <w:rPr>
                <w:rFonts w:asciiTheme="minorBidi" w:hAnsiTheme="minorBidi"/>
              </w:rPr>
            </w:pPr>
            <w:r w:rsidRPr="00891F5D">
              <w:rPr>
                <w:rFonts w:asciiTheme="minorBidi" w:hAnsiTheme="minorBidi"/>
                <w:b/>
                <w:bCs/>
                <w:u w:val="single"/>
              </w:rPr>
              <w:t>Question 1</w:t>
            </w:r>
            <w:r w:rsidRPr="00891F5D">
              <w:rPr>
                <w:rFonts w:asciiTheme="minorBidi" w:hAnsiTheme="minorBidi"/>
                <w:u w:val="single"/>
              </w:rPr>
              <w:t>:</w:t>
            </w:r>
            <w:r w:rsidRPr="00891F5D">
              <w:rPr>
                <w:rFonts w:asciiTheme="minorBidi" w:hAnsiTheme="minorBidi"/>
              </w:rPr>
              <w:t xml:space="preserve"> What does the current literature state about Accounting Fraud?</w:t>
            </w:r>
          </w:p>
        </w:tc>
      </w:tr>
      <w:tr w:rsidR="00891F5D" w:rsidRPr="00891F5D" w14:paraId="77ADFD90" w14:textId="77777777" w:rsidTr="001D4222">
        <w:tc>
          <w:tcPr>
            <w:tcW w:w="603" w:type="dxa"/>
          </w:tcPr>
          <w:p w14:paraId="4615A334" w14:textId="77777777" w:rsidR="00891F5D" w:rsidRPr="00891F5D" w:rsidRDefault="00891F5D" w:rsidP="00891F5D">
            <w:pPr>
              <w:spacing w:line="480" w:lineRule="auto"/>
              <w:jc w:val="both"/>
              <w:rPr>
                <w:rFonts w:asciiTheme="minorBidi" w:hAnsiTheme="minorBidi"/>
                <w:i/>
                <w:iCs/>
              </w:rPr>
            </w:pPr>
            <w:r w:rsidRPr="00891F5D">
              <w:rPr>
                <w:rFonts w:asciiTheme="minorBidi" w:hAnsiTheme="minorBidi"/>
                <w:i/>
                <w:iCs/>
              </w:rPr>
              <w:t>2</w:t>
            </w:r>
          </w:p>
        </w:tc>
        <w:tc>
          <w:tcPr>
            <w:tcW w:w="8413" w:type="dxa"/>
          </w:tcPr>
          <w:p w14:paraId="4722EDA3" w14:textId="77777777" w:rsidR="00891F5D" w:rsidRPr="00891F5D" w:rsidRDefault="00891F5D" w:rsidP="00891F5D">
            <w:pPr>
              <w:spacing w:line="480" w:lineRule="auto"/>
              <w:jc w:val="both"/>
              <w:rPr>
                <w:rFonts w:asciiTheme="minorBidi" w:hAnsiTheme="minorBidi"/>
              </w:rPr>
            </w:pPr>
            <w:r w:rsidRPr="00891F5D">
              <w:rPr>
                <w:rFonts w:asciiTheme="minorBidi" w:hAnsiTheme="minorBidi"/>
                <w:b/>
                <w:bCs/>
                <w:u w:val="single"/>
              </w:rPr>
              <w:t>Objective 2:</w:t>
            </w:r>
            <w:r w:rsidRPr="00891F5D">
              <w:rPr>
                <w:rFonts w:asciiTheme="minorBidi" w:hAnsiTheme="minorBidi"/>
              </w:rPr>
              <w:t xml:space="preserve"> To critically evaluate key features of corporate governance that influence the occurrence and prevention of Accounting Fraud within organisations including mechanisms that should moderate Accounting Fraud.</w:t>
            </w:r>
          </w:p>
          <w:p w14:paraId="220367B3" w14:textId="77777777" w:rsidR="00891F5D" w:rsidRPr="00891F5D" w:rsidRDefault="00891F5D" w:rsidP="00891F5D">
            <w:pPr>
              <w:spacing w:line="480" w:lineRule="auto"/>
              <w:jc w:val="both"/>
              <w:rPr>
                <w:rFonts w:asciiTheme="minorBidi" w:hAnsiTheme="minorBidi"/>
                <w:u w:val="single"/>
              </w:rPr>
            </w:pPr>
            <w:r w:rsidRPr="00891F5D">
              <w:rPr>
                <w:rFonts w:asciiTheme="minorBidi" w:hAnsiTheme="minorBidi"/>
                <w:b/>
                <w:bCs/>
                <w:u w:val="single"/>
              </w:rPr>
              <w:t>Question 2</w:t>
            </w:r>
            <w:r w:rsidRPr="00891F5D">
              <w:rPr>
                <w:rFonts w:asciiTheme="minorBidi" w:hAnsiTheme="minorBidi"/>
                <w:u w:val="single"/>
              </w:rPr>
              <w:t>:</w:t>
            </w:r>
            <w:r w:rsidRPr="00891F5D">
              <w:rPr>
                <w:rFonts w:asciiTheme="minorBidi" w:hAnsiTheme="minorBidi"/>
              </w:rPr>
              <w:t xml:space="preserve"> What is the relationship between Corporate Governance and Accounting Fraud?</w:t>
            </w:r>
          </w:p>
        </w:tc>
      </w:tr>
      <w:tr w:rsidR="00891F5D" w:rsidRPr="00891F5D" w14:paraId="738F3C4F" w14:textId="77777777" w:rsidTr="001D4222">
        <w:tc>
          <w:tcPr>
            <w:tcW w:w="603" w:type="dxa"/>
          </w:tcPr>
          <w:p w14:paraId="68E57EB6" w14:textId="77777777" w:rsidR="00891F5D" w:rsidRPr="00891F5D" w:rsidRDefault="00891F5D" w:rsidP="00891F5D">
            <w:pPr>
              <w:spacing w:line="480" w:lineRule="auto"/>
              <w:jc w:val="both"/>
              <w:rPr>
                <w:rFonts w:asciiTheme="minorBidi" w:hAnsiTheme="minorBidi"/>
                <w:i/>
                <w:iCs/>
              </w:rPr>
            </w:pPr>
            <w:r w:rsidRPr="00891F5D">
              <w:rPr>
                <w:rFonts w:asciiTheme="minorBidi" w:hAnsiTheme="minorBidi"/>
                <w:i/>
                <w:iCs/>
              </w:rPr>
              <w:t>3</w:t>
            </w:r>
          </w:p>
        </w:tc>
        <w:tc>
          <w:tcPr>
            <w:tcW w:w="8413" w:type="dxa"/>
          </w:tcPr>
          <w:p w14:paraId="473B00A1" w14:textId="77777777" w:rsidR="00891F5D" w:rsidRPr="00891F5D" w:rsidRDefault="00891F5D" w:rsidP="00891F5D">
            <w:pPr>
              <w:spacing w:line="480" w:lineRule="auto"/>
              <w:jc w:val="both"/>
              <w:rPr>
                <w:rFonts w:asciiTheme="minorBidi" w:hAnsiTheme="minorBidi"/>
              </w:rPr>
            </w:pPr>
            <w:r w:rsidRPr="00891F5D">
              <w:rPr>
                <w:rFonts w:asciiTheme="minorBidi" w:hAnsiTheme="minorBidi"/>
                <w:b/>
                <w:bCs/>
                <w:u w:val="single"/>
              </w:rPr>
              <w:t>Objective 3:</w:t>
            </w:r>
            <w:r w:rsidRPr="00891F5D">
              <w:rPr>
                <w:rFonts w:asciiTheme="minorBidi" w:hAnsiTheme="minorBidi"/>
              </w:rPr>
              <w:t xml:space="preserve"> To explore and demarcate the distinctions between general psychopathy and corporate psychopathy, focusing on behavioural aspects, and influence on organisational settings.</w:t>
            </w:r>
          </w:p>
          <w:p w14:paraId="3D940BA3" w14:textId="77777777" w:rsidR="00891F5D" w:rsidRPr="00891F5D" w:rsidRDefault="00891F5D" w:rsidP="00891F5D">
            <w:pPr>
              <w:spacing w:line="480" w:lineRule="auto"/>
              <w:jc w:val="both"/>
              <w:rPr>
                <w:rFonts w:asciiTheme="minorBidi" w:hAnsiTheme="minorBidi"/>
                <w:u w:val="single"/>
              </w:rPr>
            </w:pPr>
            <w:r w:rsidRPr="00891F5D">
              <w:rPr>
                <w:rFonts w:asciiTheme="minorBidi" w:hAnsiTheme="minorBidi"/>
                <w:b/>
                <w:bCs/>
                <w:u w:val="single"/>
              </w:rPr>
              <w:t>Question 3</w:t>
            </w:r>
            <w:r w:rsidRPr="00891F5D">
              <w:rPr>
                <w:rFonts w:asciiTheme="minorBidi" w:hAnsiTheme="minorBidi"/>
                <w:u w:val="single"/>
              </w:rPr>
              <w:t>:</w:t>
            </w:r>
            <w:r w:rsidRPr="00891F5D">
              <w:rPr>
                <w:rFonts w:asciiTheme="minorBidi" w:hAnsiTheme="minorBidi"/>
              </w:rPr>
              <w:t xml:space="preserve"> What is the difference between a Psychopath and a Corporate Psychopath?</w:t>
            </w:r>
          </w:p>
        </w:tc>
      </w:tr>
      <w:tr w:rsidR="00891F5D" w:rsidRPr="00891F5D" w14:paraId="588EC428" w14:textId="77777777" w:rsidTr="001D4222">
        <w:tc>
          <w:tcPr>
            <w:tcW w:w="603" w:type="dxa"/>
          </w:tcPr>
          <w:p w14:paraId="5909A992" w14:textId="77777777" w:rsidR="00891F5D" w:rsidRPr="00891F5D" w:rsidRDefault="00891F5D" w:rsidP="00891F5D">
            <w:pPr>
              <w:spacing w:line="480" w:lineRule="auto"/>
              <w:jc w:val="both"/>
              <w:rPr>
                <w:rFonts w:asciiTheme="minorBidi" w:hAnsiTheme="minorBidi"/>
                <w:i/>
                <w:iCs/>
              </w:rPr>
            </w:pPr>
            <w:r w:rsidRPr="00891F5D">
              <w:rPr>
                <w:rFonts w:asciiTheme="minorBidi" w:hAnsiTheme="minorBidi"/>
                <w:i/>
                <w:iCs/>
              </w:rPr>
              <w:t>4</w:t>
            </w:r>
          </w:p>
        </w:tc>
        <w:tc>
          <w:tcPr>
            <w:tcW w:w="8413" w:type="dxa"/>
          </w:tcPr>
          <w:p w14:paraId="62BB1E14" w14:textId="77777777" w:rsidR="00891F5D" w:rsidRPr="00891F5D" w:rsidRDefault="00891F5D" w:rsidP="00891F5D">
            <w:pPr>
              <w:spacing w:line="480" w:lineRule="auto"/>
              <w:jc w:val="both"/>
              <w:rPr>
                <w:rFonts w:asciiTheme="minorBidi" w:eastAsia="Times New Roman" w:hAnsiTheme="minorBidi"/>
                <w:kern w:val="0"/>
                <w14:ligatures w14:val="none"/>
              </w:rPr>
            </w:pPr>
            <w:r w:rsidRPr="00891F5D">
              <w:rPr>
                <w:rFonts w:asciiTheme="minorBidi" w:hAnsiTheme="minorBidi"/>
                <w:b/>
                <w:bCs/>
                <w:u w:val="single"/>
              </w:rPr>
              <w:t>Objective 4:</w:t>
            </w:r>
            <w:r w:rsidRPr="00891F5D">
              <w:rPr>
                <w:rFonts w:asciiTheme="minorBidi" w:eastAsia="Times New Roman" w:hAnsiTheme="minorBidi"/>
                <w:kern w:val="0"/>
                <w14:ligatures w14:val="none"/>
              </w:rPr>
              <w:t xml:space="preserve"> To appraise the effectiveness of Blockchain Technology in enhancing the transparency of financial transactions in environments controlled by a CPA.</w:t>
            </w:r>
          </w:p>
          <w:p w14:paraId="3F7DCF84" w14:textId="77777777" w:rsidR="00891F5D" w:rsidRPr="00891F5D" w:rsidRDefault="00891F5D" w:rsidP="00891F5D">
            <w:pPr>
              <w:spacing w:line="480" w:lineRule="auto"/>
              <w:jc w:val="both"/>
              <w:rPr>
                <w:rFonts w:asciiTheme="minorBidi" w:hAnsiTheme="minorBidi"/>
                <w:u w:val="single"/>
              </w:rPr>
            </w:pPr>
            <w:r w:rsidRPr="00891F5D">
              <w:rPr>
                <w:rFonts w:asciiTheme="minorBidi" w:hAnsiTheme="minorBidi"/>
                <w:b/>
                <w:bCs/>
                <w:u w:val="single"/>
              </w:rPr>
              <w:t>Question 4</w:t>
            </w:r>
            <w:r w:rsidRPr="00891F5D">
              <w:rPr>
                <w:rFonts w:asciiTheme="minorBidi" w:hAnsiTheme="minorBidi"/>
                <w:u w:val="single"/>
              </w:rPr>
              <w:t>:</w:t>
            </w:r>
            <w:r w:rsidRPr="00891F5D">
              <w:rPr>
                <w:rFonts w:asciiTheme="minorBidi" w:eastAsia="Times New Roman" w:hAnsiTheme="minorBidi"/>
                <w:kern w:val="0"/>
                <w14:ligatures w14:val="none"/>
              </w:rPr>
              <w:t xml:space="preserve"> What influence would Blockchain Technology have on financial transactions' transparency in organisations run by psychopathic individuals?</w:t>
            </w:r>
          </w:p>
        </w:tc>
      </w:tr>
    </w:tbl>
    <w:p w14:paraId="78081E20" w14:textId="77777777" w:rsidR="00891F5D" w:rsidRPr="00891F5D" w:rsidRDefault="00891F5D" w:rsidP="00891F5D">
      <w:pPr>
        <w:spacing w:after="0" w:line="480" w:lineRule="auto"/>
        <w:jc w:val="both"/>
        <w:rPr>
          <w:rFonts w:asciiTheme="minorBidi" w:eastAsiaTheme="minorHAnsi" w:hAnsiTheme="minorBidi"/>
          <w:b/>
          <w:bCs/>
          <w:iCs/>
          <w:kern w:val="0"/>
          <w:lang w:val="en-US" w:eastAsia="en-US"/>
          <w14:ligatures w14:val="none"/>
        </w:rPr>
      </w:pPr>
    </w:p>
    <w:p w14:paraId="50CF6F46" w14:textId="77777777" w:rsidR="001C0886" w:rsidRDefault="001C0886" w:rsidP="00891F5D">
      <w:pPr>
        <w:spacing w:after="0" w:line="480" w:lineRule="auto"/>
        <w:jc w:val="both"/>
        <w:rPr>
          <w:rFonts w:asciiTheme="minorBidi" w:eastAsiaTheme="minorHAnsi" w:hAnsiTheme="minorBidi"/>
          <w:b/>
          <w:bCs/>
          <w:iCs/>
          <w:kern w:val="0"/>
          <w:lang w:val="en-US" w:eastAsia="en-US"/>
          <w14:ligatures w14:val="none"/>
        </w:rPr>
      </w:pPr>
    </w:p>
    <w:p w14:paraId="6A78AB88" w14:textId="22988913" w:rsidR="00891F5D" w:rsidRPr="00891F5D" w:rsidRDefault="00891F5D" w:rsidP="00891F5D">
      <w:pPr>
        <w:spacing w:after="0" w:line="480" w:lineRule="auto"/>
        <w:jc w:val="both"/>
        <w:rPr>
          <w:rFonts w:asciiTheme="minorBidi" w:eastAsiaTheme="minorHAnsi" w:hAnsiTheme="minorBidi"/>
          <w:b/>
          <w:bCs/>
          <w:iCs/>
          <w:kern w:val="0"/>
          <w:lang w:val="en-US" w:eastAsia="en-US"/>
          <w14:ligatures w14:val="none"/>
        </w:rPr>
      </w:pPr>
      <w:r w:rsidRPr="00891F5D">
        <w:rPr>
          <w:rFonts w:asciiTheme="minorBidi" w:eastAsiaTheme="minorHAnsi" w:hAnsiTheme="minorBidi"/>
          <w:b/>
          <w:bCs/>
          <w:iCs/>
          <w:kern w:val="0"/>
          <w:lang w:val="en-US" w:eastAsia="en-US"/>
          <w14:ligatures w14:val="none"/>
        </w:rPr>
        <w:lastRenderedPageBreak/>
        <w:t>Part One was organized around five themes:</w:t>
      </w:r>
    </w:p>
    <w:p w14:paraId="32596EA0" w14:textId="77777777" w:rsidR="00891F5D" w:rsidRPr="00891F5D" w:rsidRDefault="00891F5D">
      <w:pPr>
        <w:numPr>
          <w:ilvl w:val="0"/>
          <w:numId w:val="18"/>
        </w:numPr>
        <w:spacing w:line="480" w:lineRule="auto"/>
        <w:contextualSpacing/>
        <w:jc w:val="both"/>
        <w:rPr>
          <w:rFonts w:asciiTheme="minorBidi" w:eastAsiaTheme="minorHAnsi" w:hAnsiTheme="minorBidi"/>
          <w:kern w:val="0"/>
          <w:lang w:val="en-US" w:eastAsia="en-US"/>
          <w14:ligatures w14:val="none"/>
        </w:rPr>
      </w:pPr>
      <w:r w:rsidRPr="00891F5D">
        <w:rPr>
          <w:rFonts w:asciiTheme="minorBidi" w:eastAsiaTheme="minorHAnsi" w:hAnsiTheme="minorBidi"/>
          <w:kern w:val="0"/>
          <w:lang w:val="en-US" w:eastAsia="en-US"/>
          <w14:ligatures w14:val="none"/>
        </w:rPr>
        <w:t>Types of Accounting Fraud with applications to recent accounting scandals</w:t>
      </w:r>
    </w:p>
    <w:p w14:paraId="2BF5D162" w14:textId="77777777" w:rsidR="00891F5D" w:rsidRPr="00891F5D" w:rsidRDefault="00891F5D">
      <w:pPr>
        <w:numPr>
          <w:ilvl w:val="0"/>
          <w:numId w:val="18"/>
        </w:numPr>
        <w:spacing w:line="480" w:lineRule="auto"/>
        <w:contextualSpacing/>
        <w:jc w:val="both"/>
        <w:rPr>
          <w:rFonts w:asciiTheme="minorBidi" w:eastAsiaTheme="minorHAnsi" w:hAnsiTheme="minorBidi"/>
          <w:kern w:val="0"/>
          <w:lang w:val="en-US" w:eastAsia="en-US"/>
          <w14:ligatures w14:val="none"/>
        </w:rPr>
      </w:pPr>
      <w:r w:rsidRPr="00891F5D">
        <w:rPr>
          <w:rFonts w:asciiTheme="minorBidi" w:eastAsiaTheme="minorHAnsi" w:hAnsiTheme="minorBidi"/>
          <w:kern w:val="0"/>
          <w:lang w:val="en-US" w:eastAsia="en-US"/>
          <w14:ligatures w14:val="none"/>
        </w:rPr>
        <w:t>The Motivations for committing Accounting Fraud</w:t>
      </w:r>
    </w:p>
    <w:p w14:paraId="106E6D9A" w14:textId="77777777" w:rsidR="00891F5D" w:rsidRPr="00891F5D" w:rsidRDefault="00891F5D">
      <w:pPr>
        <w:numPr>
          <w:ilvl w:val="0"/>
          <w:numId w:val="18"/>
        </w:numPr>
        <w:spacing w:line="480" w:lineRule="auto"/>
        <w:contextualSpacing/>
        <w:jc w:val="both"/>
        <w:rPr>
          <w:rFonts w:asciiTheme="minorBidi" w:eastAsiaTheme="minorHAnsi" w:hAnsiTheme="minorBidi"/>
          <w:kern w:val="0"/>
          <w:lang w:val="en-US" w:eastAsia="en-US"/>
          <w14:ligatures w14:val="none"/>
        </w:rPr>
      </w:pPr>
      <w:r w:rsidRPr="00891F5D">
        <w:rPr>
          <w:rFonts w:asciiTheme="minorBidi" w:eastAsiaTheme="minorHAnsi" w:hAnsiTheme="minorBidi"/>
          <w:kern w:val="0"/>
          <w:lang w:val="en-US" w:eastAsia="en-US"/>
          <w14:ligatures w14:val="none"/>
        </w:rPr>
        <w:t>The Relationship between Accounting Fraud and Corporate Governance</w:t>
      </w:r>
    </w:p>
    <w:p w14:paraId="776F6DFB" w14:textId="77777777" w:rsidR="00891F5D" w:rsidRPr="00891F5D" w:rsidRDefault="00891F5D">
      <w:pPr>
        <w:numPr>
          <w:ilvl w:val="0"/>
          <w:numId w:val="18"/>
        </w:numPr>
        <w:spacing w:line="480" w:lineRule="auto"/>
        <w:contextualSpacing/>
        <w:jc w:val="both"/>
        <w:rPr>
          <w:rFonts w:asciiTheme="minorBidi" w:eastAsiaTheme="minorHAnsi" w:hAnsiTheme="minorBidi"/>
          <w:kern w:val="0"/>
          <w:lang w:val="en-US" w:eastAsia="en-US"/>
          <w14:ligatures w14:val="none"/>
        </w:rPr>
      </w:pPr>
      <w:r w:rsidRPr="00891F5D">
        <w:rPr>
          <w:rFonts w:asciiTheme="minorBidi" w:eastAsiaTheme="minorHAnsi" w:hAnsiTheme="minorBidi"/>
          <w:kern w:val="0"/>
          <w:lang w:val="en-US" w:eastAsia="en-US"/>
          <w14:ligatures w14:val="none"/>
        </w:rPr>
        <w:t>The Socio-Economic and Psychological pressures causing Accounting Fraud</w:t>
      </w:r>
    </w:p>
    <w:p w14:paraId="08DB2980" w14:textId="77777777" w:rsidR="00891F5D" w:rsidRPr="00891F5D" w:rsidRDefault="00891F5D">
      <w:pPr>
        <w:numPr>
          <w:ilvl w:val="0"/>
          <w:numId w:val="18"/>
        </w:numPr>
        <w:spacing w:line="480" w:lineRule="auto"/>
        <w:contextualSpacing/>
        <w:jc w:val="both"/>
        <w:rPr>
          <w:rFonts w:asciiTheme="minorBidi" w:eastAsiaTheme="minorHAnsi" w:hAnsiTheme="minorBidi"/>
          <w:kern w:val="0"/>
          <w:lang w:val="en-US" w:eastAsia="en-US"/>
          <w14:ligatures w14:val="none"/>
        </w:rPr>
      </w:pPr>
      <w:r w:rsidRPr="00891F5D">
        <w:rPr>
          <w:rFonts w:asciiTheme="minorBidi" w:eastAsiaTheme="minorHAnsi" w:hAnsiTheme="minorBidi"/>
          <w:kern w:val="0"/>
          <w:lang w:val="en-US" w:eastAsia="en-US"/>
          <w14:ligatures w14:val="none"/>
        </w:rPr>
        <w:t>Emergence of the Corporate Psychopath Accountant</w:t>
      </w:r>
    </w:p>
    <w:p w14:paraId="5AD3DBF4" w14:textId="77777777" w:rsidR="00891F5D" w:rsidRPr="00891F5D" w:rsidRDefault="00891F5D" w:rsidP="00891F5D">
      <w:pPr>
        <w:spacing w:after="0" w:line="480" w:lineRule="auto"/>
        <w:jc w:val="both"/>
        <w:rPr>
          <w:rFonts w:asciiTheme="minorBidi" w:eastAsiaTheme="minorHAnsi" w:hAnsiTheme="minorBidi"/>
          <w:iCs/>
          <w:kern w:val="0"/>
          <w:lang w:val="en-US" w:eastAsia="en-US"/>
          <w14:ligatures w14:val="none"/>
        </w:rPr>
      </w:pPr>
    </w:p>
    <w:p w14:paraId="0CAA1249" w14:textId="77777777" w:rsidR="00891F5D" w:rsidRDefault="00891F5D" w:rsidP="00891F5D">
      <w:pPr>
        <w:spacing w:after="0" w:line="480" w:lineRule="auto"/>
        <w:jc w:val="both"/>
        <w:rPr>
          <w:rFonts w:asciiTheme="minorBidi" w:eastAsiaTheme="minorHAnsi" w:hAnsiTheme="minorBidi"/>
          <w:kern w:val="0"/>
          <w:lang w:eastAsia="en-US"/>
          <w14:ligatures w14:val="none"/>
        </w:rPr>
      </w:pPr>
      <w:r w:rsidRPr="00891F5D">
        <w:rPr>
          <w:rFonts w:asciiTheme="minorBidi" w:eastAsiaTheme="minorHAnsi" w:hAnsiTheme="minorBidi"/>
          <w:iCs/>
          <w:kern w:val="0"/>
          <w:lang w:val="en-US" w:eastAsia="en-US"/>
          <w14:ligatures w14:val="none"/>
        </w:rPr>
        <w:t>The researcher believes that given the constraints of time and budget he has more than adequately addressed the first three Research Objectives (RO).</w:t>
      </w:r>
      <w:r w:rsidRPr="00891F5D">
        <w:rPr>
          <w:rFonts w:asciiTheme="minorBidi" w:eastAsiaTheme="minorHAnsi" w:hAnsiTheme="minorBidi"/>
          <w:kern w:val="0"/>
          <w:lang w:eastAsia="en-US"/>
          <w14:ligatures w14:val="none"/>
        </w:rPr>
        <w:t xml:space="preserve"> Accounting Fraud was defined and discussed including its techniques, motivations, socio-economic and psychological pressures (RO1) and its relationship with Corporate Governance (RO2).</w:t>
      </w:r>
    </w:p>
    <w:p w14:paraId="2201BBE2" w14:textId="77777777" w:rsidR="00B33F0B" w:rsidRPr="00891F5D" w:rsidRDefault="00B33F0B" w:rsidP="00891F5D">
      <w:pPr>
        <w:spacing w:after="0" w:line="480" w:lineRule="auto"/>
        <w:jc w:val="both"/>
        <w:rPr>
          <w:rFonts w:asciiTheme="minorBidi" w:eastAsiaTheme="minorHAnsi" w:hAnsiTheme="minorBidi"/>
          <w:kern w:val="0"/>
          <w:lang w:eastAsia="en-US"/>
          <w14:ligatures w14:val="none"/>
        </w:rPr>
      </w:pPr>
    </w:p>
    <w:p w14:paraId="738C2A8C" w14:textId="77777777" w:rsidR="00891F5D" w:rsidRPr="00891F5D" w:rsidRDefault="00891F5D" w:rsidP="00891F5D">
      <w:pPr>
        <w:spacing w:after="0" w:line="480" w:lineRule="auto"/>
        <w:jc w:val="both"/>
        <w:rPr>
          <w:rFonts w:asciiTheme="minorBidi" w:eastAsiaTheme="minorHAnsi" w:hAnsiTheme="minorBidi"/>
          <w:iCs/>
          <w:kern w:val="0"/>
          <w:lang w:val="en-US" w:eastAsia="en-US"/>
          <w14:ligatures w14:val="none"/>
        </w:rPr>
      </w:pPr>
      <w:r w:rsidRPr="00891F5D">
        <w:rPr>
          <w:rFonts w:asciiTheme="minorBidi" w:eastAsiaTheme="minorHAnsi" w:hAnsiTheme="minorBidi"/>
          <w:kern w:val="0"/>
          <w:lang w:eastAsia="en-US"/>
          <w14:ligatures w14:val="none"/>
        </w:rPr>
        <w:t xml:space="preserve">The foremost model in the fraud literature, namely Donald Cressey’s Fraud Triangle was extensively discussed and critiqued and synthesised </w:t>
      </w:r>
      <w:r w:rsidRPr="00891F5D">
        <w:rPr>
          <w:rFonts w:asciiTheme="minorBidi" w:eastAsiaTheme="minorHAnsi" w:hAnsiTheme="minorBidi"/>
          <w:iCs/>
          <w:kern w:val="0"/>
          <w:lang w:val="en-US" w:eastAsia="en-US"/>
          <w14:ligatures w14:val="none"/>
        </w:rPr>
        <w:t xml:space="preserve">with the Dark Triad element of psychopathy (RO1). The emergence of the Corporate Psychopath Accountant was carefully discussed and established (RO3). Furthermore, the researcher was able to identify a literature gap (RO1) and further Sub Research Questions. </w:t>
      </w:r>
    </w:p>
    <w:p w14:paraId="63492741" w14:textId="77777777" w:rsidR="00891F5D" w:rsidRPr="00891F5D" w:rsidRDefault="00891F5D" w:rsidP="00891F5D">
      <w:pPr>
        <w:spacing w:after="0" w:line="480" w:lineRule="auto"/>
        <w:jc w:val="both"/>
        <w:rPr>
          <w:rFonts w:asciiTheme="minorBidi" w:eastAsiaTheme="minorHAnsi" w:hAnsiTheme="minorBidi"/>
          <w:iCs/>
          <w:kern w:val="0"/>
          <w:lang w:val="en-US" w:eastAsia="en-US"/>
          <w14:ligatures w14:val="none"/>
        </w:rPr>
      </w:pPr>
    </w:p>
    <w:p w14:paraId="0873E61F" w14:textId="77777777" w:rsidR="00891F5D" w:rsidRPr="00891F5D" w:rsidRDefault="00891F5D" w:rsidP="00891F5D">
      <w:pPr>
        <w:spacing w:after="0" w:line="480" w:lineRule="auto"/>
        <w:jc w:val="both"/>
        <w:rPr>
          <w:rFonts w:asciiTheme="minorBidi" w:eastAsia="Times New Roman" w:hAnsiTheme="minorBidi"/>
          <w:kern w:val="0"/>
          <w14:ligatures w14:val="none"/>
        </w:rPr>
      </w:pPr>
      <w:r w:rsidRPr="00891F5D">
        <w:rPr>
          <w:rFonts w:asciiTheme="minorBidi" w:eastAsiaTheme="minorHAnsi" w:hAnsiTheme="minorBidi"/>
          <w:iCs/>
          <w:kern w:val="0"/>
          <w:lang w:val="en-US" w:eastAsia="en-US"/>
          <w14:ligatures w14:val="none"/>
        </w:rPr>
        <w:t xml:space="preserve">Finally, </w:t>
      </w:r>
      <w:r w:rsidRPr="00891F5D">
        <w:rPr>
          <w:rFonts w:asciiTheme="minorBidi" w:eastAsia="Times New Roman" w:hAnsiTheme="minorBidi"/>
          <w:kern w:val="0"/>
          <w14:ligatures w14:val="none"/>
        </w:rPr>
        <w:t xml:space="preserve">the researcher developed the hypotheses based on the comprehensive literature review contained in part one and two. </w:t>
      </w:r>
    </w:p>
    <w:p w14:paraId="614FF040" w14:textId="77777777" w:rsidR="00891F5D" w:rsidRDefault="00891F5D" w:rsidP="00891F5D">
      <w:pPr>
        <w:spacing w:before="100" w:beforeAutospacing="1" w:after="100" w:afterAutospacing="1" w:line="480" w:lineRule="auto"/>
        <w:jc w:val="both"/>
        <w:rPr>
          <w:rFonts w:ascii="Arial" w:eastAsia="Times New Roman" w:hAnsi="Arial" w:cs="Arial"/>
          <w:kern w:val="0"/>
          <w:lang w:eastAsia="en-GB"/>
          <w14:ligatures w14:val="none"/>
        </w:rPr>
      </w:pPr>
    </w:p>
    <w:p w14:paraId="759E872A" w14:textId="77777777" w:rsidR="004C5E98" w:rsidRDefault="004C5E98" w:rsidP="00891F5D">
      <w:pPr>
        <w:spacing w:before="100" w:beforeAutospacing="1" w:after="100" w:afterAutospacing="1" w:line="480" w:lineRule="auto"/>
        <w:jc w:val="both"/>
        <w:rPr>
          <w:rFonts w:ascii="Arial" w:eastAsia="Times New Roman" w:hAnsi="Arial" w:cs="Arial"/>
          <w:kern w:val="0"/>
          <w:lang w:eastAsia="en-GB"/>
          <w14:ligatures w14:val="none"/>
        </w:rPr>
      </w:pPr>
    </w:p>
    <w:p w14:paraId="53CE1968" w14:textId="77777777" w:rsidR="001C0886" w:rsidRPr="00891F5D" w:rsidRDefault="001C0886" w:rsidP="00891F5D">
      <w:pPr>
        <w:spacing w:before="100" w:beforeAutospacing="1" w:after="100" w:afterAutospacing="1" w:line="480" w:lineRule="auto"/>
        <w:jc w:val="both"/>
        <w:rPr>
          <w:rFonts w:ascii="Arial" w:eastAsia="Times New Roman" w:hAnsi="Arial" w:cs="Arial"/>
          <w:kern w:val="0"/>
          <w:lang w:eastAsia="en-GB"/>
          <w14:ligatures w14:val="none"/>
        </w:rPr>
      </w:pPr>
    </w:p>
    <w:bookmarkStart w:id="679" w:name="B0"/>
    <w:bookmarkStart w:id="680" w:name="DH3"/>
    <w:p w14:paraId="4ED83B83" w14:textId="38AE7CF3" w:rsidR="00F7692A" w:rsidRPr="005D3671" w:rsidRDefault="008F3EB3" w:rsidP="00EF16A1">
      <w:pPr>
        <w:pBdr>
          <w:top w:val="single" w:sz="4" w:space="1" w:color="auto"/>
          <w:left w:val="single" w:sz="4" w:space="4" w:color="auto"/>
          <w:bottom w:val="single" w:sz="4" w:space="1" w:color="auto"/>
          <w:right w:val="single" w:sz="4" w:space="4" w:color="auto"/>
        </w:pBdr>
        <w:spacing w:line="240" w:lineRule="auto"/>
        <w:jc w:val="both"/>
        <w:rPr>
          <w:rFonts w:asciiTheme="minorBidi" w:hAnsiTheme="minorBidi"/>
          <w:b/>
          <w:bCs/>
        </w:rPr>
      </w:pPr>
      <w:r>
        <w:rPr>
          <w:rFonts w:asciiTheme="minorBidi" w:hAnsiTheme="minorBidi"/>
          <w:b/>
          <w:bCs/>
        </w:rPr>
        <w:lastRenderedPageBreak/>
        <w:fldChar w:fldCharType="begin"/>
      </w:r>
      <w:r>
        <w:rPr>
          <w:rFonts w:asciiTheme="minorBidi" w:hAnsiTheme="minorBidi"/>
          <w:b/>
          <w:bCs/>
        </w:rPr>
        <w:instrText>HYPERLINK  \l "CH3"</w:instrText>
      </w:r>
      <w:r>
        <w:rPr>
          <w:rFonts w:asciiTheme="minorBidi" w:hAnsiTheme="minorBidi"/>
          <w:b/>
          <w:bCs/>
        </w:rPr>
      </w:r>
      <w:r>
        <w:rPr>
          <w:rFonts w:asciiTheme="minorBidi" w:hAnsiTheme="minorBidi"/>
          <w:b/>
          <w:bCs/>
        </w:rPr>
        <w:fldChar w:fldCharType="separate"/>
      </w:r>
      <w:r w:rsidR="00F7692A" w:rsidRPr="008F3EB3">
        <w:rPr>
          <w:rStyle w:val="Hyperlink"/>
          <w:rFonts w:asciiTheme="minorBidi" w:hAnsiTheme="minorBidi"/>
          <w:b/>
          <w:bCs/>
        </w:rPr>
        <w:t>Chapt</w:t>
      </w:r>
      <w:r w:rsidR="00F7692A" w:rsidRPr="008F3EB3">
        <w:rPr>
          <w:rStyle w:val="Hyperlink"/>
          <w:rFonts w:asciiTheme="minorBidi" w:hAnsiTheme="minorBidi"/>
          <w:b/>
          <w:bCs/>
        </w:rPr>
        <w:t>er 3</w:t>
      </w:r>
      <w:r>
        <w:rPr>
          <w:rFonts w:asciiTheme="minorBidi" w:hAnsiTheme="minorBidi"/>
          <w:b/>
          <w:bCs/>
        </w:rPr>
        <w:fldChar w:fldCharType="end"/>
      </w:r>
    </w:p>
    <w:bookmarkEnd w:id="679"/>
    <w:bookmarkEnd w:id="680"/>
    <w:p w14:paraId="586FDD2A" w14:textId="77777777" w:rsidR="00F7692A" w:rsidRPr="005D3671" w:rsidRDefault="00F7692A" w:rsidP="00F7692A">
      <w:pPr>
        <w:spacing w:after="0" w:line="480" w:lineRule="auto"/>
        <w:jc w:val="both"/>
        <w:rPr>
          <w:rFonts w:asciiTheme="minorBidi" w:eastAsia="Times New Roman" w:hAnsiTheme="minorBidi"/>
          <w:kern w:val="0"/>
          <w14:ligatures w14:val="none"/>
        </w:rPr>
      </w:pPr>
      <w:r w:rsidRPr="005D3671">
        <w:rPr>
          <w:rFonts w:asciiTheme="minorBidi" w:hAnsiTheme="minorBidi"/>
        </w:rPr>
        <w:t>Chapter three considers the research methodology substantiating the methodological approach within the context of this research to study the research objectives and questions providing the answers to the research questions. It is located in the Thesis Framework cycle as follows, see Figure 3.1:</w:t>
      </w:r>
    </w:p>
    <w:tbl>
      <w:tblPr>
        <w:tblStyle w:val="TableGrid"/>
        <w:tblW w:w="0" w:type="auto"/>
        <w:tblLook w:val="04A0" w:firstRow="1" w:lastRow="0" w:firstColumn="1" w:lastColumn="0" w:noHBand="0" w:noVBand="1"/>
      </w:tblPr>
      <w:tblGrid>
        <w:gridCol w:w="2689"/>
        <w:gridCol w:w="425"/>
        <w:gridCol w:w="3204"/>
        <w:gridCol w:w="340"/>
        <w:gridCol w:w="2358"/>
      </w:tblGrid>
      <w:tr w:rsidR="00F7692A" w:rsidRPr="00E479C5" w14:paraId="35299C98" w14:textId="77777777" w:rsidTr="001D4222">
        <w:tc>
          <w:tcPr>
            <w:tcW w:w="9016" w:type="dxa"/>
            <w:gridSpan w:val="5"/>
            <w:tcBorders>
              <w:top w:val="nil"/>
              <w:left w:val="nil"/>
              <w:bottom w:val="nil"/>
              <w:right w:val="nil"/>
            </w:tcBorders>
            <w:shd w:val="clear" w:color="auto" w:fill="D9D9D9" w:themeFill="background1" w:themeFillShade="D9"/>
          </w:tcPr>
          <w:p w14:paraId="56848686"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r w:rsidRPr="005D3671">
              <w:rPr>
                <w:rFonts w:asciiTheme="minorBidi" w:eastAsia="Times New Roman" w:hAnsiTheme="minorBidi"/>
                <w:b/>
                <w:bCs/>
                <w:kern w:val="0"/>
                <w:sz w:val="18"/>
                <w:szCs w:val="18"/>
                <w14:ligatures w14:val="none"/>
              </w:rPr>
              <w:t>Figure 3.1 Thesis Framework</w:t>
            </w:r>
          </w:p>
        </w:tc>
      </w:tr>
      <w:tr w:rsidR="00F7692A" w:rsidRPr="00E479C5" w14:paraId="1A900C31" w14:textId="77777777" w:rsidTr="001D4222">
        <w:tc>
          <w:tcPr>
            <w:tcW w:w="9016" w:type="dxa"/>
            <w:gridSpan w:val="5"/>
            <w:tcBorders>
              <w:top w:val="nil"/>
              <w:left w:val="nil"/>
              <w:bottom w:val="nil"/>
              <w:right w:val="nil"/>
            </w:tcBorders>
          </w:tcPr>
          <w:p w14:paraId="18694BDD"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p>
        </w:tc>
      </w:tr>
      <w:tr w:rsidR="00F7692A" w:rsidRPr="00E479C5" w14:paraId="36B465F7" w14:textId="77777777" w:rsidTr="001D4222">
        <w:tc>
          <w:tcPr>
            <w:tcW w:w="2689" w:type="dxa"/>
            <w:tcBorders>
              <w:top w:val="nil"/>
              <w:left w:val="nil"/>
              <w:bottom w:val="nil"/>
              <w:right w:val="nil"/>
            </w:tcBorders>
            <w:shd w:val="clear" w:color="auto" w:fill="D9D9D9" w:themeFill="background1" w:themeFillShade="D9"/>
          </w:tcPr>
          <w:p w14:paraId="23308267"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r w:rsidRPr="005D3671">
              <w:rPr>
                <w:rFonts w:asciiTheme="minorBidi" w:eastAsia="Times New Roman" w:hAnsiTheme="minorBidi"/>
                <w:b/>
                <w:bCs/>
                <w:kern w:val="0"/>
                <w:sz w:val="18"/>
                <w:szCs w:val="18"/>
                <w14:ligatures w14:val="none"/>
              </w:rPr>
              <w:t>Research</w:t>
            </w:r>
          </w:p>
          <w:p w14:paraId="170771A7"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r w:rsidRPr="005D3671">
              <w:rPr>
                <w:rFonts w:asciiTheme="minorBidi" w:eastAsia="Times New Roman" w:hAnsiTheme="minorBidi"/>
                <w:b/>
                <w:bCs/>
                <w:kern w:val="0"/>
                <w:sz w:val="18"/>
                <w:szCs w:val="18"/>
                <w14:ligatures w14:val="none"/>
              </w:rPr>
              <w:t>Objectives (RO)</w:t>
            </w:r>
          </w:p>
        </w:tc>
        <w:tc>
          <w:tcPr>
            <w:tcW w:w="425" w:type="dxa"/>
            <w:tcBorders>
              <w:top w:val="nil"/>
              <w:left w:val="nil"/>
              <w:bottom w:val="nil"/>
              <w:right w:val="nil"/>
            </w:tcBorders>
            <w:shd w:val="clear" w:color="auto" w:fill="auto"/>
          </w:tcPr>
          <w:p w14:paraId="139FCB0B"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p>
        </w:tc>
        <w:tc>
          <w:tcPr>
            <w:tcW w:w="3204" w:type="dxa"/>
            <w:tcBorders>
              <w:top w:val="nil"/>
              <w:left w:val="nil"/>
              <w:bottom w:val="nil"/>
              <w:right w:val="nil"/>
            </w:tcBorders>
            <w:shd w:val="clear" w:color="auto" w:fill="D9D9D9" w:themeFill="background1" w:themeFillShade="D9"/>
          </w:tcPr>
          <w:p w14:paraId="743D2163" w14:textId="77777777" w:rsidR="00F7692A" w:rsidRPr="005D3671" w:rsidRDefault="00F7692A" w:rsidP="001D4222">
            <w:pPr>
              <w:spacing w:line="480" w:lineRule="auto"/>
              <w:ind w:left="-253"/>
              <w:jc w:val="center"/>
              <w:rPr>
                <w:rFonts w:asciiTheme="minorBidi" w:eastAsia="Times New Roman" w:hAnsiTheme="minorBidi"/>
                <w:b/>
                <w:bCs/>
                <w:kern w:val="0"/>
                <w:sz w:val="18"/>
                <w:szCs w:val="18"/>
                <w14:ligatures w14:val="none"/>
              </w:rPr>
            </w:pPr>
            <w:r w:rsidRPr="005D3671">
              <w:rPr>
                <w:rFonts w:asciiTheme="minorBidi" w:eastAsia="Times New Roman" w:hAnsiTheme="minorBidi"/>
                <w:b/>
                <w:bCs/>
                <w:kern w:val="0"/>
                <w:sz w:val="18"/>
                <w:szCs w:val="18"/>
                <w14:ligatures w14:val="none"/>
              </w:rPr>
              <w:t>Thesis Chapters</w:t>
            </w:r>
          </w:p>
        </w:tc>
        <w:tc>
          <w:tcPr>
            <w:tcW w:w="340" w:type="dxa"/>
            <w:tcBorders>
              <w:top w:val="nil"/>
              <w:left w:val="nil"/>
              <w:bottom w:val="nil"/>
              <w:right w:val="nil"/>
            </w:tcBorders>
            <w:shd w:val="clear" w:color="auto" w:fill="auto"/>
          </w:tcPr>
          <w:p w14:paraId="6836BC3D"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p>
        </w:tc>
        <w:tc>
          <w:tcPr>
            <w:tcW w:w="2358" w:type="dxa"/>
            <w:tcBorders>
              <w:top w:val="nil"/>
              <w:left w:val="nil"/>
              <w:bottom w:val="nil"/>
              <w:right w:val="nil"/>
            </w:tcBorders>
            <w:shd w:val="clear" w:color="auto" w:fill="D9D9D9" w:themeFill="background1" w:themeFillShade="D9"/>
          </w:tcPr>
          <w:p w14:paraId="16E051F2"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r w:rsidRPr="005D3671">
              <w:rPr>
                <w:rFonts w:asciiTheme="minorBidi" w:eastAsia="Times New Roman" w:hAnsiTheme="minorBidi"/>
                <w:b/>
                <w:bCs/>
                <w:kern w:val="0"/>
                <w:sz w:val="18"/>
                <w:szCs w:val="18"/>
                <w14:ligatures w14:val="none"/>
              </w:rPr>
              <w:t>Research Questions (RQ)</w:t>
            </w:r>
          </w:p>
        </w:tc>
      </w:tr>
      <w:tr w:rsidR="00F7692A" w:rsidRPr="00E479C5" w14:paraId="5DF7E318" w14:textId="77777777" w:rsidTr="001D4222">
        <w:tc>
          <w:tcPr>
            <w:tcW w:w="9016" w:type="dxa"/>
            <w:gridSpan w:val="5"/>
            <w:tcBorders>
              <w:top w:val="nil"/>
              <w:left w:val="nil"/>
              <w:bottom w:val="nil"/>
              <w:right w:val="nil"/>
            </w:tcBorders>
          </w:tcPr>
          <w:p w14:paraId="41B87F49"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p>
        </w:tc>
      </w:tr>
      <w:tr w:rsidR="00F7692A" w:rsidRPr="00E479C5" w14:paraId="07B02B17" w14:textId="77777777" w:rsidTr="001D4222">
        <w:tc>
          <w:tcPr>
            <w:tcW w:w="9016" w:type="dxa"/>
            <w:gridSpan w:val="5"/>
            <w:tcBorders>
              <w:top w:val="nil"/>
              <w:left w:val="nil"/>
              <w:bottom w:val="nil"/>
              <w:right w:val="nil"/>
            </w:tcBorders>
            <w:shd w:val="clear" w:color="auto" w:fill="D9D9D9" w:themeFill="background1" w:themeFillShade="D9"/>
          </w:tcPr>
          <w:p w14:paraId="09CFE5D1" w14:textId="77777777" w:rsidR="00F7692A" w:rsidRPr="005D3671" w:rsidRDefault="00F7692A" w:rsidP="001D4222">
            <w:pPr>
              <w:spacing w:line="480" w:lineRule="auto"/>
              <w:ind w:left="316"/>
              <w:jc w:val="center"/>
              <w:rPr>
                <w:rFonts w:asciiTheme="minorBidi" w:eastAsia="Times New Roman" w:hAnsiTheme="minorBidi"/>
                <w:b/>
                <w:bCs/>
                <w:kern w:val="0"/>
                <w:sz w:val="18"/>
                <w:szCs w:val="18"/>
                <w14:ligatures w14:val="none"/>
              </w:rPr>
            </w:pPr>
            <w:r w:rsidRPr="005D3671">
              <w:rPr>
                <w:rFonts w:asciiTheme="minorBidi" w:eastAsia="Times New Roman" w:hAnsiTheme="minorBidi"/>
                <w:b/>
                <w:bCs/>
                <w:kern w:val="0"/>
                <w:sz w:val="18"/>
                <w:szCs w:val="18"/>
                <w14:ligatures w14:val="none"/>
              </w:rPr>
              <w:t>Chapter 1</w:t>
            </w:r>
          </w:p>
        </w:tc>
      </w:tr>
      <w:tr w:rsidR="00F7692A" w:rsidRPr="00E479C5" w14:paraId="05A9D942" w14:textId="77777777" w:rsidTr="001D4222">
        <w:tc>
          <w:tcPr>
            <w:tcW w:w="9016" w:type="dxa"/>
            <w:gridSpan w:val="5"/>
            <w:tcBorders>
              <w:top w:val="nil"/>
              <w:left w:val="nil"/>
              <w:bottom w:val="nil"/>
              <w:right w:val="nil"/>
            </w:tcBorders>
          </w:tcPr>
          <w:p w14:paraId="0C71D29F" w14:textId="1329A802" w:rsidR="00F7692A" w:rsidRPr="005D3671" w:rsidRDefault="00EF16A1" w:rsidP="001D4222">
            <w:pPr>
              <w:spacing w:line="480" w:lineRule="auto"/>
              <w:jc w:val="center"/>
              <w:rPr>
                <w:rFonts w:asciiTheme="minorBidi" w:eastAsia="Times New Roman" w:hAnsiTheme="minorBidi"/>
                <w:b/>
                <w:bCs/>
                <w:kern w:val="0"/>
                <w:sz w:val="18"/>
                <w:szCs w:val="18"/>
                <w14:ligatures w14:val="none"/>
              </w:rPr>
            </w:pPr>
            <w:r w:rsidRPr="005D3671">
              <w:rPr>
                <w:rFonts w:asciiTheme="minorBidi" w:eastAsia="Times New Roman" w:hAnsiTheme="minorBidi"/>
                <w:b/>
                <w:bCs/>
                <w:noProof/>
                <w:kern w:val="0"/>
                <w:sz w:val="18"/>
                <w:szCs w:val="18"/>
              </w:rPr>
              <mc:AlternateContent>
                <mc:Choice Requires="wps">
                  <w:drawing>
                    <wp:anchor distT="0" distB="0" distL="114300" distR="114300" simplePos="0" relativeHeight="251693056" behindDoc="0" locked="0" layoutInCell="1" allowOverlap="1" wp14:anchorId="4B6092DA" wp14:editId="14DEA50A">
                      <wp:simplePos x="0" y="0"/>
                      <wp:positionH relativeFrom="column">
                        <wp:posOffset>2363470</wp:posOffset>
                      </wp:positionH>
                      <wp:positionV relativeFrom="paragraph">
                        <wp:posOffset>16510</wp:posOffset>
                      </wp:positionV>
                      <wp:extent cx="909955" cy="482600"/>
                      <wp:effectExtent l="38100" t="0" r="42545" b="31750"/>
                      <wp:wrapNone/>
                      <wp:docPr id="590471022" name="Arrow: Down 6"/>
                      <wp:cNvGraphicFramePr/>
                      <a:graphic xmlns:a="http://schemas.openxmlformats.org/drawingml/2006/main">
                        <a:graphicData uri="http://schemas.microsoft.com/office/word/2010/wordprocessingShape">
                          <wps:wsp>
                            <wps:cNvSpPr/>
                            <wps:spPr>
                              <a:xfrm>
                                <a:off x="0" y="0"/>
                                <a:ext cx="909955" cy="48260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F77B3D" id="Arrow: Down 6" o:spid="_x0000_s1026" type="#_x0000_t67" style="position:absolute;margin-left:186.1pt;margin-top:1.3pt;width:71.65pt;height:38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" adj="10800" fillcolor="#156082" strokecolor="#042433" strokeweight="1pt"/>
                  </w:pict>
                </mc:Fallback>
              </mc:AlternateContent>
            </w:r>
          </w:p>
        </w:tc>
      </w:tr>
      <w:tr w:rsidR="00F7692A" w:rsidRPr="00E479C5" w14:paraId="0C952113" w14:textId="77777777" w:rsidTr="001D4222">
        <w:tc>
          <w:tcPr>
            <w:tcW w:w="9016" w:type="dxa"/>
            <w:gridSpan w:val="5"/>
            <w:tcBorders>
              <w:top w:val="nil"/>
              <w:left w:val="nil"/>
              <w:bottom w:val="nil"/>
              <w:right w:val="nil"/>
            </w:tcBorders>
          </w:tcPr>
          <w:p w14:paraId="600074FE" w14:textId="5BACE713"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p>
        </w:tc>
      </w:tr>
      <w:tr w:rsidR="00F7692A" w:rsidRPr="00E479C5" w14:paraId="166BE03C" w14:textId="77777777" w:rsidTr="001D4222">
        <w:tc>
          <w:tcPr>
            <w:tcW w:w="2689" w:type="dxa"/>
            <w:tcBorders>
              <w:top w:val="nil"/>
              <w:left w:val="nil"/>
              <w:bottom w:val="nil"/>
              <w:right w:val="nil"/>
            </w:tcBorders>
            <w:shd w:val="clear" w:color="auto" w:fill="D9D9D9" w:themeFill="background1" w:themeFillShade="D9"/>
          </w:tcPr>
          <w:p w14:paraId="50227F7D"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r w:rsidRPr="005D3671">
              <w:rPr>
                <w:rFonts w:asciiTheme="minorBidi" w:eastAsia="Times New Roman" w:hAnsiTheme="minorBidi"/>
                <w:b/>
                <w:bCs/>
                <w:kern w:val="0"/>
                <w:sz w:val="18"/>
                <w:szCs w:val="18"/>
                <w14:ligatures w14:val="none"/>
              </w:rPr>
              <w:t>RO 1 - 4</w:t>
            </w:r>
          </w:p>
        </w:tc>
        <w:tc>
          <w:tcPr>
            <w:tcW w:w="425" w:type="dxa"/>
            <w:tcBorders>
              <w:top w:val="nil"/>
              <w:left w:val="nil"/>
              <w:bottom w:val="nil"/>
              <w:right w:val="nil"/>
            </w:tcBorders>
          </w:tcPr>
          <w:p w14:paraId="5681B0FB"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p>
        </w:tc>
        <w:tc>
          <w:tcPr>
            <w:tcW w:w="3204" w:type="dxa"/>
            <w:tcBorders>
              <w:top w:val="nil"/>
              <w:left w:val="nil"/>
              <w:bottom w:val="nil"/>
              <w:right w:val="nil"/>
            </w:tcBorders>
            <w:shd w:val="clear" w:color="auto" w:fill="D9D9D9" w:themeFill="background1" w:themeFillShade="D9"/>
          </w:tcPr>
          <w:p w14:paraId="486F6D77"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r w:rsidRPr="005D3671">
              <w:rPr>
                <w:rFonts w:asciiTheme="minorBidi" w:eastAsia="Times New Roman" w:hAnsiTheme="minorBidi"/>
                <w:b/>
                <w:bCs/>
                <w:noProof/>
                <w:kern w:val="0"/>
                <w:sz w:val="18"/>
                <w:szCs w:val="18"/>
              </w:rPr>
              <mc:AlternateContent>
                <mc:Choice Requires="wps">
                  <w:drawing>
                    <wp:anchor distT="0" distB="0" distL="114300" distR="114300" simplePos="0" relativeHeight="251694080" behindDoc="0" locked="0" layoutInCell="1" allowOverlap="1" wp14:anchorId="27EEBB8B" wp14:editId="0C9D86DC">
                      <wp:simplePos x="0" y="0"/>
                      <wp:positionH relativeFrom="column">
                        <wp:posOffset>1617980</wp:posOffset>
                      </wp:positionH>
                      <wp:positionV relativeFrom="paragraph">
                        <wp:posOffset>290830</wp:posOffset>
                      </wp:positionV>
                      <wp:extent cx="838200" cy="577850"/>
                      <wp:effectExtent l="0" t="19050" r="38100" b="31750"/>
                      <wp:wrapNone/>
                      <wp:docPr id="2126009386" name="Arrow: Right 3"/>
                      <wp:cNvGraphicFramePr/>
                      <a:graphic xmlns:a="http://schemas.openxmlformats.org/drawingml/2006/main">
                        <a:graphicData uri="http://schemas.microsoft.com/office/word/2010/wordprocessingShape">
                          <wps:wsp>
                            <wps:cNvSpPr/>
                            <wps:spPr>
                              <a:xfrm>
                                <a:off x="0" y="0"/>
                                <a:ext cx="838200" cy="577850"/>
                              </a:xfrm>
                              <a:prstGeom prst="rightArrow">
                                <a:avLst>
                                  <a:gd name="adj1" fmla="val 50000"/>
                                  <a:gd name="adj2" fmla="val 45349"/>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88183F" id="Arrow: Right 3" o:spid="_x0000_s1026" type="#_x0000_t13" style="position:absolute;margin-left:127.4pt;margin-top:22.9pt;width:66pt;height:45.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" adj="14847" fillcolor="#156082" strokecolor="#042433" strokeweight="1pt"/>
                  </w:pict>
                </mc:Fallback>
              </mc:AlternateContent>
            </w:r>
            <w:r w:rsidRPr="005D3671">
              <w:rPr>
                <w:rFonts w:asciiTheme="minorBidi" w:eastAsia="Times New Roman" w:hAnsiTheme="minorBidi"/>
                <w:b/>
                <w:bCs/>
                <w:kern w:val="0"/>
                <w:sz w:val="18"/>
                <w:szCs w:val="18"/>
                <w14:ligatures w14:val="none"/>
              </w:rPr>
              <w:t>Chapter 2</w:t>
            </w:r>
          </w:p>
        </w:tc>
        <w:tc>
          <w:tcPr>
            <w:tcW w:w="340" w:type="dxa"/>
            <w:tcBorders>
              <w:top w:val="nil"/>
              <w:left w:val="nil"/>
              <w:bottom w:val="nil"/>
              <w:right w:val="nil"/>
            </w:tcBorders>
          </w:tcPr>
          <w:p w14:paraId="75C757BA"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p>
        </w:tc>
        <w:tc>
          <w:tcPr>
            <w:tcW w:w="2358" w:type="dxa"/>
            <w:tcBorders>
              <w:top w:val="nil"/>
              <w:left w:val="nil"/>
              <w:bottom w:val="nil"/>
              <w:right w:val="nil"/>
            </w:tcBorders>
            <w:shd w:val="clear" w:color="auto" w:fill="D9D9D9" w:themeFill="background1" w:themeFillShade="D9"/>
          </w:tcPr>
          <w:p w14:paraId="7B7D712E"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r w:rsidRPr="005D3671">
              <w:rPr>
                <w:rFonts w:asciiTheme="minorBidi" w:eastAsia="Times New Roman" w:hAnsiTheme="minorBidi"/>
                <w:b/>
                <w:bCs/>
                <w:kern w:val="0"/>
                <w:sz w:val="18"/>
                <w:szCs w:val="18"/>
                <w14:ligatures w14:val="none"/>
              </w:rPr>
              <w:t xml:space="preserve">RQ 1 </w:t>
            </w:r>
            <w:r>
              <w:rPr>
                <w:rFonts w:asciiTheme="minorBidi" w:eastAsia="Times New Roman" w:hAnsiTheme="minorBidi"/>
                <w:b/>
                <w:bCs/>
                <w:kern w:val="0"/>
                <w:sz w:val="18"/>
                <w:szCs w:val="18"/>
                <w14:ligatures w14:val="none"/>
              </w:rPr>
              <w:t>–</w:t>
            </w:r>
            <w:r w:rsidRPr="005D3671">
              <w:rPr>
                <w:rFonts w:asciiTheme="minorBidi" w:eastAsia="Times New Roman" w:hAnsiTheme="minorBidi"/>
                <w:b/>
                <w:bCs/>
                <w:kern w:val="0"/>
                <w:sz w:val="18"/>
                <w:szCs w:val="18"/>
                <w14:ligatures w14:val="none"/>
              </w:rPr>
              <w:t xml:space="preserve"> 4</w:t>
            </w:r>
          </w:p>
        </w:tc>
      </w:tr>
      <w:tr w:rsidR="00F7692A" w:rsidRPr="00E479C5" w14:paraId="08DE8147" w14:textId="77777777" w:rsidTr="001D4222">
        <w:tc>
          <w:tcPr>
            <w:tcW w:w="9016" w:type="dxa"/>
            <w:gridSpan w:val="5"/>
            <w:tcBorders>
              <w:top w:val="nil"/>
              <w:left w:val="nil"/>
              <w:bottom w:val="nil"/>
              <w:right w:val="nil"/>
            </w:tcBorders>
          </w:tcPr>
          <w:p w14:paraId="43860E47" w14:textId="77777777" w:rsidR="00F7692A" w:rsidRPr="005D3671" w:rsidRDefault="00F7692A" w:rsidP="001D4222">
            <w:pPr>
              <w:spacing w:line="480" w:lineRule="auto"/>
              <w:jc w:val="center"/>
              <w:rPr>
                <w:rFonts w:asciiTheme="minorBidi" w:eastAsia="Times New Roman" w:hAnsiTheme="minorBidi"/>
                <w:b/>
                <w:bCs/>
                <w:noProof/>
                <w:kern w:val="0"/>
                <w:sz w:val="18"/>
                <w:szCs w:val="18"/>
              </w:rPr>
            </w:pPr>
            <w:r w:rsidRPr="005D3671">
              <w:rPr>
                <w:rFonts w:asciiTheme="minorBidi" w:eastAsia="Times New Roman" w:hAnsiTheme="minorBidi"/>
                <w:b/>
                <w:bCs/>
                <w:noProof/>
                <w:kern w:val="0"/>
                <w:sz w:val="18"/>
                <w:szCs w:val="18"/>
              </w:rPr>
              <mc:AlternateContent>
                <mc:Choice Requires="wps">
                  <w:drawing>
                    <wp:anchor distT="0" distB="0" distL="114300" distR="114300" simplePos="0" relativeHeight="251695104" behindDoc="0" locked="0" layoutInCell="1" allowOverlap="1" wp14:anchorId="124B64B7" wp14:editId="71637C32">
                      <wp:simplePos x="0" y="0"/>
                      <wp:positionH relativeFrom="column">
                        <wp:posOffset>1366520</wp:posOffset>
                      </wp:positionH>
                      <wp:positionV relativeFrom="paragraph">
                        <wp:posOffset>24130</wp:posOffset>
                      </wp:positionV>
                      <wp:extent cx="800100" cy="520700"/>
                      <wp:effectExtent l="19050" t="19050" r="19050" b="31750"/>
                      <wp:wrapNone/>
                      <wp:docPr id="1232170593" name="Arrow: Left 4"/>
                      <wp:cNvGraphicFramePr/>
                      <a:graphic xmlns:a="http://schemas.openxmlformats.org/drawingml/2006/main">
                        <a:graphicData uri="http://schemas.microsoft.com/office/word/2010/wordprocessingShape">
                          <wps:wsp>
                            <wps:cNvSpPr/>
                            <wps:spPr>
                              <a:xfrm>
                                <a:off x="0" y="0"/>
                                <a:ext cx="800100" cy="520700"/>
                              </a:xfrm>
                              <a:prstGeom prst="left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6D939E" id="Arrow: Left 4" o:spid="_x0000_s1026" type="#_x0000_t66" style="position:absolute;margin-left:107.6pt;margin-top:1.9pt;width:63pt;height:41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" adj="7029" fillcolor="#156082" strokecolor="#042433" strokeweight="1pt"/>
                  </w:pict>
                </mc:Fallback>
              </mc:AlternateContent>
            </w:r>
          </w:p>
        </w:tc>
      </w:tr>
      <w:tr w:rsidR="00F7692A" w:rsidRPr="00E479C5" w14:paraId="660FB9DB" w14:textId="77777777" w:rsidTr="001D4222">
        <w:tc>
          <w:tcPr>
            <w:tcW w:w="9016" w:type="dxa"/>
            <w:gridSpan w:val="5"/>
            <w:tcBorders>
              <w:top w:val="nil"/>
              <w:left w:val="nil"/>
              <w:bottom w:val="nil"/>
              <w:right w:val="nil"/>
            </w:tcBorders>
          </w:tcPr>
          <w:p w14:paraId="5B123F35"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r w:rsidRPr="005D3671">
              <w:rPr>
                <w:rFonts w:asciiTheme="minorBidi" w:eastAsia="Times New Roman" w:hAnsiTheme="minorBidi"/>
                <w:b/>
                <w:bCs/>
                <w:noProof/>
                <w:kern w:val="0"/>
                <w:sz w:val="18"/>
                <w:szCs w:val="18"/>
              </w:rPr>
              <mc:AlternateContent>
                <mc:Choice Requires="wps">
                  <w:drawing>
                    <wp:anchor distT="0" distB="0" distL="114300" distR="114300" simplePos="0" relativeHeight="251696128" behindDoc="0" locked="0" layoutInCell="1" allowOverlap="1" wp14:anchorId="10A08174" wp14:editId="7892F935">
                      <wp:simplePos x="0" y="0"/>
                      <wp:positionH relativeFrom="column">
                        <wp:posOffset>2388870</wp:posOffset>
                      </wp:positionH>
                      <wp:positionV relativeFrom="paragraph">
                        <wp:posOffset>-241935</wp:posOffset>
                      </wp:positionV>
                      <wp:extent cx="909955" cy="774700"/>
                      <wp:effectExtent l="19050" t="0" r="23495" b="44450"/>
                      <wp:wrapNone/>
                      <wp:docPr id="305512215" name="Arrow: Down 6"/>
                      <wp:cNvGraphicFramePr/>
                      <a:graphic xmlns:a="http://schemas.openxmlformats.org/drawingml/2006/main">
                        <a:graphicData uri="http://schemas.microsoft.com/office/word/2010/wordprocessingShape">
                          <wps:wsp>
                            <wps:cNvSpPr/>
                            <wps:spPr>
                              <a:xfrm>
                                <a:off x="0" y="0"/>
                                <a:ext cx="909955" cy="77470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7C1C65" id="Arrow: Down 6" o:spid="_x0000_s1026" type="#_x0000_t67" style="position:absolute;margin-left:188.1pt;margin-top:-19.05pt;width:71.65pt;height:61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" adj="10800" fillcolor="#156082" strokecolor="#042433" strokeweight="1pt"/>
                  </w:pict>
                </mc:Fallback>
              </mc:AlternateContent>
            </w:r>
          </w:p>
        </w:tc>
      </w:tr>
      <w:tr w:rsidR="00F7692A" w:rsidRPr="00E479C5" w14:paraId="08C2E68E" w14:textId="77777777" w:rsidTr="001D4222">
        <w:tc>
          <w:tcPr>
            <w:tcW w:w="9016" w:type="dxa"/>
            <w:gridSpan w:val="5"/>
            <w:tcBorders>
              <w:top w:val="nil"/>
              <w:left w:val="nil"/>
              <w:bottom w:val="nil"/>
              <w:right w:val="nil"/>
            </w:tcBorders>
          </w:tcPr>
          <w:p w14:paraId="0459EC17" w14:textId="77777777" w:rsidR="00F7692A" w:rsidRPr="005D3671" w:rsidRDefault="00F7692A" w:rsidP="001D4222">
            <w:pPr>
              <w:spacing w:line="480" w:lineRule="auto"/>
              <w:jc w:val="center"/>
              <w:rPr>
                <w:rFonts w:asciiTheme="minorBidi" w:eastAsia="Times New Roman" w:hAnsiTheme="minorBidi"/>
                <w:b/>
                <w:bCs/>
                <w:noProof/>
                <w:kern w:val="0"/>
                <w:sz w:val="18"/>
                <w:szCs w:val="18"/>
              </w:rPr>
            </w:pPr>
            <w:r w:rsidRPr="005D3671">
              <w:rPr>
                <w:rFonts w:asciiTheme="minorBidi" w:eastAsia="Times New Roman" w:hAnsiTheme="minorBidi"/>
                <w:b/>
                <w:bCs/>
                <w:noProof/>
                <w:kern w:val="0"/>
                <w:sz w:val="18"/>
                <w:szCs w:val="18"/>
              </w:rPr>
              <mc:AlternateContent>
                <mc:Choice Requires="wps">
                  <w:drawing>
                    <wp:anchor distT="0" distB="0" distL="114300" distR="114300" simplePos="0" relativeHeight="251697152" behindDoc="0" locked="0" layoutInCell="1" allowOverlap="1" wp14:anchorId="396F5DB1" wp14:editId="006A1776">
                      <wp:simplePos x="0" y="0"/>
                      <wp:positionH relativeFrom="column">
                        <wp:posOffset>134620</wp:posOffset>
                      </wp:positionH>
                      <wp:positionV relativeFrom="paragraph">
                        <wp:posOffset>-433705</wp:posOffset>
                      </wp:positionV>
                      <wp:extent cx="819150" cy="1492250"/>
                      <wp:effectExtent l="19050" t="0" r="19050" b="31750"/>
                      <wp:wrapNone/>
                      <wp:docPr id="367244278" name="Arrow: Down 6"/>
                      <wp:cNvGraphicFramePr/>
                      <a:graphic xmlns:a="http://schemas.openxmlformats.org/drawingml/2006/main">
                        <a:graphicData uri="http://schemas.microsoft.com/office/word/2010/wordprocessingShape">
                          <wps:wsp>
                            <wps:cNvSpPr/>
                            <wps:spPr>
                              <a:xfrm>
                                <a:off x="0" y="0"/>
                                <a:ext cx="819150" cy="149225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00E181" id="Arrow: Down 6" o:spid="_x0000_s1026" type="#_x0000_t67" style="position:absolute;margin-left:10.6pt;margin-top:-34.15pt;width:64.5pt;height:117.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" adj="15671" fillcolor="#156082" strokecolor="#042433" strokeweight="1pt"/>
                  </w:pict>
                </mc:Fallback>
              </mc:AlternateContent>
            </w:r>
          </w:p>
        </w:tc>
      </w:tr>
      <w:tr w:rsidR="00F7692A" w:rsidRPr="00E479C5" w14:paraId="6F0060D6" w14:textId="77777777" w:rsidTr="001D4222">
        <w:tc>
          <w:tcPr>
            <w:tcW w:w="3114" w:type="dxa"/>
            <w:gridSpan w:val="2"/>
            <w:tcBorders>
              <w:top w:val="nil"/>
              <w:left w:val="nil"/>
              <w:bottom w:val="nil"/>
              <w:right w:val="nil"/>
            </w:tcBorders>
          </w:tcPr>
          <w:p w14:paraId="381391E7"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p>
        </w:tc>
        <w:tc>
          <w:tcPr>
            <w:tcW w:w="3204" w:type="dxa"/>
            <w:tcBorders>
              <w:top w:val="nil"/>
              <w:left w:val="nil"/>
              <w:bottom w:val="nil"/>
              <w:right w:val="nil"/>
            </w:tcBorders>
            <w:shd w:val="clear" w:color="auto" w:fill="D9D9D9" w:themeFill="background1" w:themeFillShade="D9"/>
          </w:tcPr>
          <w:p w14:paraId="61D12D39"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r w:rsidRPr="005D3671">
              <w:rPr>
                <w:rFonts w:asciiTheme="minorBidi" w:eastAsia="Times New Roman" w:hAnsiTheme="minorBidi"/>
                <w:b/>
                <w:bCs/>
                <w:kern w:val="0"/>
                <w:sz w:val="18"/>
                <w:szCs w:val="18"/>
                <w14:ligatures w14:val="none"/>
              </w:rPr>
              <w:t>Chapter 3</w:t>
            </w:r>
          </w:p>
        </w:tc>
        <w:tc>
          <w:tcPr>
            <w:tcW w:w="2698" w:type="dxa"/>
            <w:gridSpan w:val="2"/>
            <w:tcBorders>
              <w:top w:val="nil"/>
              <w:left w:val="nil"/>
              <w:bottom w:val="nil"/>
              <w:right w:val="nil"/>
            </w:tcBorders>
          </w:tcPr>
          <w:p w14:paraId="30C0C989"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p>
        </w:tc>
      </w:tr>
      <w:tr w:rsidR="00F7692A" w:rsidRPr="00E479C5" w14:paraId="381C6FDA" w14:textId="77777777" w:rsidTr="001D4222">
        <w:tc>
          <w:tcPr>
            <w:tcW w:w="9016" w:type="dxa"/>
            <w:gridSpan w:val="5"/>
            <w:tcBorders>
              <w:top w:val="nil"/>
              <w:left w:val="nil"/>
              <w:bottom w:val="nil"/>
              <w:right w:val="nil"/>
            </w:tcBorders>
          </w:tcPr>
          <w:p w14:paraId="7C8FEA4C" w14:textId="77777777" w:rsidR="00F7692A" w:rsidRPr="005D3671" w:rsidRDefault="00F7692A" w:rsidP="001D4222">
            <w:pPr>
              <w:spacing w:line="480" w:lineRule="auto"/>
              <w:jc w:val="center"/>
              <w:rPr>
                <w:rFonts w:asciiTheme="minorBidi" w:eastAsia="Times New Roman" w:hAnsiTheme="minorBidi"/>
                <w:b/>
                <w:bCs/>
                <w:noProof/>
                <w:kern w:val="0"/>
                <w:sz w:val="18"/>
                <w:szCs w:val="18"/>
              </w:rPr>
            </w:pPr>
            <w:r w:rsidRPr="005D3671">
              <w:rPr>
                <w:rFonts w:asciiTheme="minorBidi" w:eastAsia="Times New Roman" w:hAnsiTheme="minorBidi"/>
                <w:b/>
                <w:bCs/>
                <w:noProof/>
                <w:kern w:val="0"/>
                <w:sz w:val="18"/>
                <w:szCs w:val="18"/>
              </w:rPr>
              <mc:AlternateContent>
                <mc:Choice Requires="wps">
                  <w:drawing>
                    <wp:anchor distT="0" distB="0" distL="114300" distR="114300" simplePos="0" relativeHeight="251698176" behindDoc="0" locked="0" layoutInCell="1" allowOverlap="1" wp14:anchorId="0112BA46" wp14:editId="4680CFF2">
                      <wp:simplePos x="0" y="0"/>
                      <wp:positionH relativeFrom="column">
                        <wp:posOffset>2280920</wp:posOffset>
                      </wp:positionH>
                      <wp:positionV relativeFrom="paragraph">
                        <wp:posOffset>5715</wp:posOffset>
                      </wp:positionV>
                      <wp:extent cx="1174750" cy="488950"/>
                      <wp:effectExtent l="38100" t="0" r="44450" b="44450"/>
                      <wp:wrapNone/>
                      <wp:docPr id="249523066" name="Arrow: Down 6"/>
                      <wp:cNvGraphicFramePr/>
                      <a:graphic xmlns:a="http://schemas.openxmlformats.org/drawingml/2006/main">
                        <a:graphicData uri="http://schemas.microsoft.com/office/word/2010/wordprocessingShape">
                          <wps:wsp>
                            <wps:cNvSpPr/>
                            <wps:spPr>
                              <a:xfrm>
                                <a:off x="0" y="0"/>
                                <a:ext cx="1174750" cy="48895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376493" id="Arrow: Down 6" o:spid="_x0000_s1026" type="#_x0000_t67" style="position:absolute;margin-left:179.6pt;margin-top:.45pt;width:92.5pt;height:38.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" adj="10800" fillcolor="#156082" strokecolor="#042433" strokeweight="1pt"/>
                  </w:pict>
                </mc:Fallback>
              </mc:AlternateContent>
            </w:r>
          </w:p>
        </w:tc>
      </w:tr>
      <w:tr w:rsidR="00F7692A" w:rsidRPr="00E479C5" w14:paraId="1A595A69" w14:textId="77777777" w:rsidTr="001D4222">
        <w:tc>
          <w:tcPr>
            <w:tcW w:w="9016" w:type="dxa"/>
            <w:gridSpan w:val="5"/>
            <w:tcBorders>
              <w:top w:val="nil"/>
              <w:left w:val="nil"/>
              <w:bottom w:val="nil"/>
              <w:right w:val="nil"/>
            </w:tcBorders>
          </w:tcPr>
          <w:p w14:paraId="35FBDCFB"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p>
        </w:tc>
      </w:tr>
      <w:tr w:rsidR="00F7692A" w:rsidRPr="00E479C5" w14:paraId="43AD4C5D" w14:textId="77777777" w:rsidTr="001D4222">
        <w:tc>
          <w:tcPr>
            <w:tcW w:w="2689" w:type="dxa"/>
            <w:tcBorders>
              <w:top w:val="nil"/>
              <w:left w:val="nil"/>
              <w:bottom w:val="nil"/>
              <w:right w:val="nil"/>
            </w:tcBorders>
            <w:shd w:val="clear" w:color="auto" w:fill="D9D9D9" w:themeFill="background1" w:themeFillShade="D9"/>
          </w:tcPr>
          <w:p w14:paraId="70EE1DB9"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r w:rsidRPr="005D3671">
              <w:rPr>
                <w:rFonts w:asciiTheme="minorBidi" w:eastAsia="Times New Roman" w:hAnsiTheme="minorBidi"/>
                <w:b/>
                <w:bCs/>
                <w:kern w:val="0"/>
                <w:sz w:val="18"/>
                <w:szCs w:val="18"/>
                <w14:ligatures w14:val="none"/>
              </w:rPr>
              <w:t>RO 5</w:t>
            </w:r>
          </w:p>
        </w:tc>
        <w:tc>
          <w:tcPr>
            <w:tcW w:w="425" w:type="dxa"/>
            <w:tcBorders>
              <w:top w:val="nil"/>
              <w:left w:val="nil"/>
              <w:bottom w:val="nil"/>
              <w:right w:val="nil"/>
            </w:tcBorders>
          </w:tcPr>
          <w:p w14:paraId="79F72928"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p>
        </w:tc>
        <w:tc>
          <w:tcPr>
            <w:tcW w:w="3204" w:type="dxa"/>
            <w:tcBorders>
              <w:top w:val="nil"/>
              <w:left w:val="nil"/>
              <w:bottom w:val="nil"/>
              <w:right w:val="nil"/>
            </w:tcBorders>
            <w:shd w:val="clear" w:color="auto" w:fill="D9D9D9" w:themeFill="background1" w:themeFillShade="D9"/>
          </w:tcPr>
          <w:p w14:paraId="19F2D38D"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r w:rsidRPr="005D3671">
              <w:rPr>
                <w:rFonts w:asciiTheme="minorBidi" w:eastAsia="Times New Roman" w:hAnsiTheme="minorBidi"/>
                <w:b/>
                <w:bCs/>
                <w:kern w:val="0"/>
                <w:sz w:val="18"/>
                <w:szCs w:val="18"/>
                <w14:ligatures w14:val="none"/>
              </w:rPr>
              <w:t>Chapter 4</w:t>
            </w:r>
          </w:p>
        </w:tc>
        <w:tc>
          <w:tcPr>
            <w:tcW w:w="340" w:type="dxa"/>
            <w:tcBorders>
              <w:top w:val="nil"/>
              <w:left w:val="nil"/>
              <w:bottom w:val="nil"/>
              <w:right w:val="nil"/>
            </w:tcBorders>
          </w:tcPr>
          <w:p w14:paraId="13AA90FB"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p>
        </w:tc>
        <w:tc>
          <w:tcPr>
            <w:tcW w:w="2358" w:type="dxa"/>
            <w:tcBorders>
              <w:top w:val="nil"/>
              <w:left w:val="nil"/>
              <w:bottom w:val="nil"/>
              <w:right w:val="nil"/>
            </w:tcBorders>
            <w:shd w:val="clear" w:color="auto" w:fill="D9D9D9" w:themeFill="background1" w:themeFillShade="D9"/>
          </w:tcPr>
          <w:p w14:paraId="1188AEF9"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r w:rsidRPr="005D3671">
              <w:rPr>
                <w:rFonts w:asciiTheme="minorBidi" w:eastAsia="Times New Roman" w:hAnsiTheme="minorBidi"/>
                <w:b/>
                <w:bCs/>
                <w:kern w:val="0"/>
                <w:sz w:val="18"/>
                <w:szCs w:val="18"/>
                <w14:ligatures w14:val="none"/>
              </w:rPr>
              <w:t>RQ 5</w:t>
            </w:r>
          </w:p>
        </w:tc>
      </w:tr>
      <w:tr w:rsidR="00F7692A" w:rsidRPr="00E479C5" w14:paraId="38973DA1" w14:textId="77777777" w:rsidTr="001D4222">
        <w:tc>
          <w:tcPr>
            <w:tcW w:w="9016" w:type="dxa"/>
            <w:gridSpan w:val="5"/>
            <w:tcBorders>
              <w:top w:val="nil"/>
              <w:left w:val="nil"/>
              <w:bottom w:val="nil"/>
              <w:right w:val="nil"/>
            </w:tcBorders>
          </w:tcPr>
          <w:p w14:paraId="6A5777AE" w14:textId="77777777" w:rsidR="00F7692A" w:rsidRPr="005D3671" w:rsidRDefault="00F7692A" w:rsidP="001D4222">
            <w:pPr>
              <w:spacing w:line="480" w:lineRule="auto"/>
              <w:jc w:val="center"/>
              <w:rPr>
                <w:rFonts w:asciiTheme="minorBidi" w:eastAsia="Times New Roman" w:hAnsiTheme="minorBidi"/>
                <w:b/>
                <w:bCs/>
                <w:noProof/>
                <w:kern w:val="0"/>
                <w:sz w:val="18"/>
                <w:szCs w:val="18"/>
              </w:rPr>
            </w:pPr>
          </w:p>
        </w:tc>
      </w:tr>
      <w:tr w:rsidR="00F7692A" w:rsidRPr="00E479C5" w14:paraId="0EFEB898" w14:textId="77777777" w:rsidTr="001D4222">
        <w:tc>
          <w:tcPr>
            <w:tcW w:w="9016" w:type="dxa"/>
            <w:gridSpan w:val="5"/>
            <w:tcBorders>
              <w:top w:val="nil"/>
              <w:left w:val="nil"/>
              <w:bottom w:val="nil"/>
              <w:right w:val="nil"/>
            </w:tcBorders>
          </w:tcPr>
          <w:p w14:paraId="1D242727"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r w:rsidRPr="005D3671">
              <w:rPr>
                <w:rFonts w:asciiTheme="minorBidi" w:eastAsia="Times New Roman" w:hAnsiTheme="minorBidi"/>
                <w:b/>
                <w:bCs/>
                <w:noProof/>
                <w:kern w:val="0"/>
                <w:sz w:val="18"/>
                <w:szCs w:val="18"/>
              </w:rPr>
              <mc:AlternateContent>
                <mc:Choice Requires="wps">
                  <w:drawing>
                    <wp:anchor distT="0" distB="0" distL="114300" distR="114300" simplePos="0" relativeHeight="251701248" behindDoc="0" locked="0" layoutInCell="1" allowOverlap="1" wp14:anchorId="56B644F3" wp14:editId="297FFB31">
                      <wp:simplePos x="0" y="0"/>
                      <wp:positionH relativeFrom="column">
                        <wp:posOffset>1297940</wp:posOffset>
                      </wp:positionH>
                      <wp:positionV relativeFrom="paragraph">
                        <wp:posOffset>-266700</wp:posOffset>
                      </wp:positionV>
                      <wp:extent cx="863600" cy="654050"/>
                      <wp:effectExtent l="19050" t="19050" r="12700" b="31750"/>
                      <wp:wrapNone/>
                      <wp:docPr id="1334235824" name="Arrow: Left 4"/>
                      <wp:cNvGraphicFramePr/>
                      <a:graphic xmlns:a="http://schemas.openxmlformats.org/drawingml/2006/main">
                        <a:graphicData uri="http://schemas.microsoft.com/office/word/2010/wordprocessingShape">
                          <wps:wsp>
                            <wps:cNvSpPr/>
                            <wps:spPr>
                              <a:xfrm>
                                <a:off x="0" y="0"/>
                                <a:ext cx="863600" cy="654050"/>
                              </a:xfrm>
                              <a:prstGeom prst="left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638ADC" id="Arrow: Left 4" o:spid="_x0000_s1026" type="#_x0000_t66" style="position:absolute;margin-left:102.2pt;margin-top:-21pt;width:68pt;height:51.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" adj="8179" fillcolor="#156082" strokecolor="#042433" strokeweight="1pt"/>
                  </w:pict>
                </mc:Fallback>
              </mc:AlternateContent>
            </w:r>
            <w:r w:rsidRPr="005D3671">
              <w:rPr>
                <w:rFonts w:asciiTheme="minorBidi" w:eastAsia="Times New Roman" w:hAnsiTheme="minorBidi"/>
                <w:b/>
                <w:bCs/>
                <w:noProof/>
                <w:kern w:val="0"/>
                <w:sz w:val="18"/>
                <w:szCs w:val="18"/>
              </w:rPr>
              <mc:AlternateContent>
                <mc:Choice Requires="wps">
                  <w:drawing>
                    <wp:anchor distT="0" distB="0" distL="114300" distR="114300" simplePos="0" relativeHeight="251700224" behindDoc="0" locked="0" layoutInCell="1" allowOverlap="1" wp14:anchorId="2DD44345" wp14:editId="432577F2">
                      <wp:simplePos x="0" y="0"/>
                      <wp:positionH relativeFrom="column">
                        <wp:posOffset>3647440</wp:posOffset>
                      </wp:positionH>
                      <wp:positionV relativeFrom="paragraph">
                        <wp:posOffset>-260350</wp:posOffset>
                      </wp:positionV>
                      <wp:extent cx="869950" cy="698500"/>
                      <wp:effectExtent l="0" t="19050" r="44450" b="44450"/>
                      <wp:wrapNone/>
                      <wp:docPr id="758073129" name="Arrow: Right 3"/>
                      <wp:cNvGraphicFramePr/>
                      <a:graphic xmlns:a="http://schemas.openxmlformats.org/drawingml/2006/main">
                        <a:graphicData uri="http://schemas.microsoft.com/office/word/2010/wordprocessingShape">
                          <wps:wsp>
                            <wps:cNvSpPr/>
                            <wps:spPr>
                              <a:xfrm>
                                <a:off x="0" y="0"/>
                                <a:ext cx="869950" cy="698500"/>
                              </a:xfrm>
                              <a:prstGeom prst="right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2A1D58" id="Arrow: Right 3" o:spid="_x0000_s1026" type="#_x0000_t13" style="position:absolute;margin-left:287.2pt;margin-top:-20.5pt;width:68.5pt;height:5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" adj="12928" fillcolor="#156082" strokecolor="#042433" strokeweight="1pt"/>
                  </w:pict>
                </mc:Fallback>
              </mc:AlternateContent>
            </w:r>
            <w:r w:rsidRPr="005D3671">
              <w:rPr>
                <w:rFonts w:asciiTheme="minorBidi" w:eastAsia="Times New Roman" w:hAnsiTheme="minorBidi"/>
                <w:b/>
                <w:bCs/>
                <w:noProof/>
                <w:kern w:val="0"/>
                <w:sz w:val="18"/>
                <w:szCs w:val="18"/>
              </w:rPr>
              <mc:AlternateContent>
                <mc:Choice Requires="wps">
                  <w:drawing>
                    <wp:anchor distT="0" distB="0" distL="114300" distR="114300" simplePos="0" relativeHeight="251702272" behindDoc="0" locked="0" layoutInCell="1" allowOverlap="1" wp14:anchorId="0F775C81" wp14:editId="71246F51">
                      <wp:simplePos x="0" y="0"/>
                      <wp:positionH relativeFrom="column">
                        <wp:posOffset>1270</wp:posOffset>
                      </wp:positionH>
                      <wp:positionV relativeFrom="paragraph">
                        <wp:posOffset>-203835</wp:posOffset>
                      </wp:positionV>
                      <wp:extent cx="1155700" cy="704850"/>
                      <wp:effectExtent l="38100" t="0" r="6350" b="38100"/>
                      <wp:wrapNone/>
                      <wp:docPr id="1391125703" name="Arrow: Down 6"/>
                      <wp:cNvGraphicFramePr/>
                      <a:graphic xmlns:a="http://schemas.openxmlformats.org/drawingml/2006/main">
                        <a:graphicData uri="http://schemas.microsoft.com/office/word/2010/wordprocessingShape">
                          <wps:wsp>
                            <wps:cNvSpPr/>
                            <wps:spPr>
                              <a:xfrm>
                                <a:off x="0" y="0"/>
                                <a:ext cx="1155700" cy="70485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FDC9A0" id="Arrow: Down 6" o:spid="_x0000_s1026" type="#_x0000_t67" style="position:absolute;margin-left:.1pt;margin-top:-16.05pt;width:91pt;height:55.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" adj="10800" fillcolor="#156082" strokecolor="#042433" strokeweight="1pt"/>
                  </w:pict>
                </mc:Fallback>
              </mc:AlternateContent>
            </w:r>
          </w:p>
        </w:tc>
      </w:tr>
      <w:tr w:rsidR="00F7692A" w:rsidRPr="00E479C5" w14:paraId="59EB8695" w14:textId="77777777" w:rsidTr="001D4222">
        <w:tc>
          <w:tcPr>
            <w:tcW w:w="9016" w:type="dxa"/>
            <w:gridSpan w:val="5"/>
            <w:tcBorders>
              <w:top w:val="nil"/>
              <w:left w:val="nil"/>
              <w:bottom w:val="nil"/>
              <w:right w:val="nil"/>
            </w:tcBorders>
          </w:tcPr>
          <w:p w14:paraId="5CFC6640" w14:textId="77777777" w:rsidR="00F7692A" w:rsidRPr="005D3671" w:rsidRDefault="00F7692A" w:rsidP="001D4222">
            <w:pPr>
              <w:spacing w:line="480" w:lineRule="auto"/>
              <w:jc w:val="center"/>
              <w:rPr>
                <w:rFonts w:asciiTheme="minorBidi" w:eastAsia="Times New Roman" w:hAnsiTheme="minorBidi"/>
                <w:b/>
                <w:bCs/>
                <w:noProof/>
                <w:kern w:val="0"/>
                <w:sz w:val="18"/>
                <w:szCs w:val="18"/>
              </w:rPr>
            </w:pPr>
            <w:r w:rsidRPr="005D3671">
              <w:rPr>
                <w:rFonts w:asciiTheme="minorBidi" w:eastAsia="Times New Roman" w:hAnsiTheme="minorBidi"/>
                <w:b/>
                <w:bCs/>
                <w:noProof/>
                <w:kern w:val="0"/>
                <w:sz w:val="18"/>
                <w:szCs w:val="18"/>
              </w:rPr>
              <mc:AlternateContent>
                <mc:Choice Requires="wps">
                  <w:drawing>
                    <wp:anchor distT="0" distB="0" distL="114300" distR="114300" simplePos="0" relativeHeight="251699200" behindDoc="0" locked="0" layoutInCell="1" allowOverlap="1" wp14:anchorId="1DCF67F2" wp14:editId="38D36995">
                      <wp:simplePos x="0" y="0"/>
                      <wp:positionH relativeFrom="column">
                        <wp:posOffset>2319020</wp:posOffset>
                      </wp:positionH>
                      <wp:positionV relativeFrom="paragraph">
                        <wp:posOffset>-539115</wp:posOffset>
                      </wp:positionV>
                      <wp:extent cx="1155700" cy="806450"/>
                      <wp:effectExtent l="38100" t="0" r="6350" b="31750"/>
                      <wp:wrapNone/>
                      <wp:docPr id="123536155" name="Arrow: Down 6"/>
                      <wp:cNvGraphicFramePr/>
                      <a:graphic xmlns:a="http://schemas.openxmlformats.org/drawingml/2006/main">
                        <a:graphicData uri="http://schemas.microsoft.com/office/word/2010/wordprocessingShape">
                          <wps:wsp>
                            <wps:cNvSpPr/>
                            <wps:spPr>
                              <a:xfrm>
                                <a:off x="0" y="0"/>
                                <a:ext cx="1155700" cy="80645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FF7CD1" id="Arrow: Down 6" o:spid="_x0000_s1026" type="#_x0000_t67" style="position:absolute;margin-left:182.6pt;margin-top:-42.45pt;width:91pt;height:63.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" adj="10800" fillcolor="#156082" strokecolor="#042433" strokeweight="1pt"/>
                  </w:pict>
                </mc:Fallback>
              </mc:AlternateContent>
            </w:r>
          </w:p>
        </w:tc>
      </w:tr>
      <w:tr w:rsidR="00F7692A" w:rsidRPr="00E479C5" w14:paraId="3A233117" w14:textId="77777777" w:rsidTr="001D4222">
        <w:tc>
          <w:tcPr>
            <w:tcW w:w="2689" w:type="dxa"/>
            <w:tcBorders>
              <w:top w:val="nil"/>
              <w:left w:val="nil"/>
              <w:bottom w:val="nil"/>
              <w:right w:val="nil"/>
            </w:tcBorders>
            <w:shd w:val="clear" w:color="auto" w:fill="D9D9D9" w:themeFill="background1" w:themeFillShade="D9"/>
          </w:tcPr>
          <w:p w14:paraId="3B96DA18"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r w:rsidRPr="005D3671">
              <w:rPr>
                <w:rFonts w:asciiTheme="minorBidi" w:eastAsia="Times New Roman" w:hAnsiTheme="minorBidi"/>
                <w:b/>
                <w:bCs/>
                <w:kern w:val="0"/>
                <w:sz w:val="18"/>
                <w:szCs w:val="18"/>
                <w14:ligatures w14:val="none"/>
              </w:rPr>
              <w:t>RO 6</w:t>
            </w:r>
          </w:p>
        </w:tc>
        <w:tc>
          <w:tcPr>
            <w:tcW w:w="425" w:type="dxa"/>
            <w:tcBorders>
              <w:top w:val="nil"/>
              <w:left w:val="nil"/>
              <w:bottom w:val="nil"/>
              <w:right w:val="nil"/>
            </w:tcBorders>
          </w:tcPr>
          <w:p w14:paraId="2539AE00"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p>
        </w:tc>
        <w:tc>
          <w:tcPr>
            <w:tcW w:w="3204" w:type="dxa"/>
            <w:tcBorders>
              <w:top w:val="nil"/>
              <w:left w:val="nil"/>
              <w:bottom w:val="nil"/>
              <w:right w:val="nil"/>
            </w:tcBorders>
            <w:shd w:val="clear" w:color="auto" w:fill="D9D9D9" w:themeFill="background1" w:themeFillShade="D9"/>
          </w:tcPr>
          <w:p w14:paraId="30D50354"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r w:rsidRPr="005D3671">
              <w:rPr>
                <w:rFonts w:asciiTheme="minorBidi" w:eastAsia="Times New Roman" w:hAnsiTheme="minorBidi"/>
                <w:b/>
                <w:bCs/>
                <w:kern w:val="0"/>
                <w:sz w:val="18"/>
                <w:szCs w:val="18"/>
                <w14:ligatures w14:val="none"/>
              </w:rPr>
              <w:t>Chapter 5</w:t>
            </w:r>
          </w:p>
        </w:tc>
        <w:tc>
          <w:tcPr>
            <w:tcW w:w="340" w:type="dxa"/>
            <w:tcBorders>
              <w:top w:val="nil"/>
              <w:left w:val="nil"/>
              <w:bottom w:val="nil"/>
              <w:right w:val="nil"/>
            </w:tcBorders>
          </w:tcPr>
          <w:p w14:paraId="76ED725F"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p>
        </w:tc>
        <w:tc>
          <w:tcPr>
            <w:tcW w:w="2358" w:type="dxa"/>
            <w:tcBorders>
              <w:top w:val="nil"/>
              <w:left w:val="nil"/>
              <w:bottom w:val="nil"/>
              <w:right w:val="nil"/>
            </w:tcBorders>
            <w:shd w:val="clear" w:color="auto" w:fill="D9D9D9" w:themeFill="background1" w:themeFillShade="D9"/>
          </w:tcPr>
          <w:p w14:paraId="0E49A3F2"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r w:rsidRPr="005D3671">
              <w:rPr>
                <w:rFonts w:asciiTheme="minorBidi" w:eastAsia="Times New Roman" w:hAnsiTheme="minorBidi"/>
                <w:b/>
                <w:bCs/>
                <w:kern w:val="0"/>
                <w:sz w:val="18"/>
                <w:szCs w:val="18"/>
                <w14:ligatures w14:val="none"/>
              </w:rPr>
              <w:t>RQ 6</w:t>
            </w:r>
          </w:p>
        </w:tc>
      </w:tr>
      <w:tr w:rsidR="00F7692A" w:rsidRPr="00E479C5" w14:paraId="0736B175" w14:textId="77777777" w:rsidTr="001D4222">
        <w:tc>
          <w:tcPr>
            <w:tcW w:w="9016" w:type="dxa"/>
            <w:gridSpan w:val="5"/>
            <w:tcBorders>
              <w:top w:val="nil"/>
              <w:left w:val="nil"/>
              <w:bottom w:val="nil"/>
              <w:right w:val="nil"/>
            </w:tcBorders>
          </w:tcPr>
          <w:p w14:paraId="731EFF57" w14:textId="77777777" w:rsidR="00F7692A" w:rsidRPr="005D3671" w:rsidRDefault="00F7692A" w:rsidP="001D4222">
            <w:pPr>
              <w:spacing w:line="480" w:lineRule="auto"/>
              <w:jc w:val="center"/>
              <w:rPr>
                <w:rFonts w:asciiTheme="minorBidi" w:eastAsia="Times New Roman" w:hAnsiTheme="minorBidi"/>
                <w:b/>
                <w:bCs/>
                <w:noProof/>
                <w:kern w:val="0"/>
                <w:sz w:val="18"/>
                <w:szCs w:val="18"/>
              </w:rPr>
            </w:pPr>
          </w:p>
        </w:tc>
      </w:tr>
      <w:tr w:rsidR="00F7692A" w:rsidRPr="00E479C5" w14:paraId="0BD8937F" w14:textId="77777777" w:rsidTr="001D4222">
        <w:tc>
          <w:tcPr>
            <w:tcW w:w="9016" w:type="dxa"/>
            <w:gridSpan w:val="5"/>
            <w:tcBorders>
              <w:top w:val="nil"/>
              <w:left w:val="nil"/>
              <w:bottom w:val="nil"/>
              <w:right w:val="nil"/>
            </w:tcBorders>
          </w:tcPr>
          <w:p w14:paraId="58428AED"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r w:rsidRPr="005D3671">
              <w:rPr>
                <w:rFonts w:asciiTheme="minorBidi" w:eastAsia="Times New Roman" w:hAnsiTheme="minorBidi"/>
                <w:b/>
                <w:bCs/>
                <w:noProof/>
                <w:kern w:val="0"/>
                <w:sz w:val="18"/>
                <w:szCs w:val="18"/>
              </w:rPr>
              <mc:AlternateContent>
                <mc:Choice Requires="wps">
                  <w:drawing>
                    <wp:anchor distT="0" distB="0" distL="114300" distR="114300" simplePos="0" relativeHeight="251705344" behindDoc="0" locked="0" layoutInCell="1" allowOverlap="1" wp14:anchorId="21865B96" wp14:editId="7C40C2C9">
                      <wp:simplePos x="0" y="0"/>
                      <wp:positionH relativeFrom="column">
                        <wp:posOffset>2301240</wp:posOffset>
                      </wp:positionH>
                      <wp:positionV relativeFrom="paragraph">
                        <wp:posOffset>-262255</wp:posOffset>
                      </wp:positionV>
                      <wp:extent cx="1136650" cy="1022350"/>
                      <wp:effectExtent l="19050" t="0" r="44450" b="44450"/>
                      <wp:wrapNone/>
                      <wp:docPr id="710271478" name="Arrow: Down 6"/>
                      <wp:cNvGraphicFramePr/>
                      <a:graphic xmlns:a="http://schemas.openxmlformats.org/drawingml/2006/main">
                        <a:graphicData uri="http://schemas.microsoft.com/office/word/2010/wordprocessingShape">
                          <wps:wsp>
                            <wps:cNvSpPr/>
                            <wps:spPr>
                              <a:xfrm>
                                <a:off x="0" y="0"/>
                                <a:ext cx="1136650" cy="102235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3A626E" id="Arrow: Down 6" o:spid="_x0000_s1026" type="#_x0000_t67" style="position:absolute;margin-left:181.2pt;margin-top:-20.65pt;width:89.5pt;height:80.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" adj="10800" fillcolor="#156082" strokecolor="#042433" strokeweight="1pt"/>
                  </w:pict>
                </mc:Fallback>
              </mc:AlternateContent>
            </w:r>
            <w:r w:rsidRPr="005D3671">
              <w:rPr>
                <w:rFonts w:asciiTheme="minorBidi" w:eastAsia="Times New Roman" w:hAnsiTheme="minorBidi"/>
                <w:b/>
                <w:bCs/>
                <w:noProof/>
                <w:kern w:val="0"/>
                <w:sz w:val="18"/>
                <w:szCs w:val="18"/>
              </w:rPr>
              <mc:AlternateContent>
                <mc:Choice Requires="wps">
                  <w:drawing>
                    <wp:anchor distT="0" distB="0" distL="114300" distR="114300" simplePos="0" relativeHeight="251704320" behindDoc="0" locked="0" layoutInCell="1" allowOverlap="1" wp14:anchorId="1C365B05" wp14:editId="6C4EA1C2">
                      <wp:simplePos x="0" y="0"/>
                      <wp:positionH relativeFrom="column">
                        <wp:posOffset>3493770</wp:posOffset>
                      </wp:positionH>
                      <wp:positionV relativeFrom="paragraph">
                        <wp:posOffset>-216535</wp:posOffset>
                      </wp:positionV>
                      <wp:extent cx="984250" cy="673100"/>
                      <wp:effectExtent l="0" t="19050" r="44450" b="31750"/>
                      <wp:wrapNone/>
                      <wp:docPr id="1471307282" name="Arrow: Right 3"/>
                      <wp:cNvGraphicFramePr/>
                      <a:graphic xmlns:a="http://schemas.openxmlformats.org/drawingml/2006/main">
                        <a:graphicData uri="http://schemas.microsoft.com/office/word/2010/wordprocessingShape">
                          <wps:wsp>
                            <wps:cNvSpPr/>
                            <wps:spPr>
                              <a:xfrm>
                                <a:off x="0" y="0"/>
                                <a:ext cx="984250" cy="673100"/>
                              </a:xfrm>
                              <a:prstGeom prst="right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D84614" id="Arrow: Right 3" o:spid="_x0000_s1026" type="#_x0000_t13" style="position:absolute;margin-left:275.1pt;margin-top:-17.05pt;width:77.5pt;height:53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" adj="14214" fillcolor="#156082" strokecolor="#042433" strokeweight="1pt"/>
                  </w:pict>
                </mc:Fallback>
              </mc:AlternateContent>
            </w:r>
            <w:r w:rsidRPr="005D3671">
              <w:rPr>
                <w:rFonts w:asciiTheme="minorBidi" w:eastAsia="Times New Roman" w:hAnsiTheme="minorBidi"/>
                <w:b/>
                <w:bCs/>
                <w:noProof/>
                <w:kern w:val="0"/>
                <w:sz w:val="18"/>
                <w:szCs w:val="18"/>
              </w:rPr>
              <mc:AlternateContent>
                <mc:Choice Requires="wps">
                  <w:drawing>
                    <wp:anchor distT="0" distB="0" distL="114300" distR="114300" simplePos="0" relativeHeight="251706368" behindDoc="0" locked="0" layoutInCell="1" allowOverlap="1" wp14:anchorId="1FA0929A" wp14:editId="6E24F2FD">
                      <wp:simplePos x="0" y="0"/>
                      <wp:positionH relativeFrom="column">
                        <wp:posOffset>1270</wp:posOffset>
                      </wp:positionH>
                      <wp:positionV relativeFrom="paragraph">
                        <wp:posOffset>-229235</wp:posOffset>
                      </wp:positionV>
                      <wp:extent cx="1155700" cy="1035050"/>
                      <wp:effectExtent l="19050" t="0" r="44450" b="31750"/>
                      <wp:wrapNone/>
                      <wp:docPr id="964721943" name="Arrow: Down 6"/>
                      <wp:cNvGraphicFramePr/>
                      <a:graphic xmlns:a="http://schemas.openxmlformats.org/drawingml/2006/main">
                        <a:graphicData uri="http://schemas.microsoft.com/office/word/2010/wordprocessingShape">
                          <wps:wsp>
                            <wps:cNvSpPr/>
                            <wps:spPr>
                              <a:xfrm>
                                <a:off x="0" y="0"/>
                                <a:ext cx="1155700" cy="103505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BF25DF" id="Arrow: Down 6" o:spid="_x0000_s1026" type="#_x0000_t67" style="position:absolute;margin-left:.1pt;margin-top:-18.05pt;width:91pt;height:81.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" adj="10800" fillcolor="#156082" strokecolor="#042433" strokeweight="1pt"/>
                  </w:pict>
                </mc:Fallback>
              </mc:AlternateContent>
            </w:r>
            <w:r w:rsidRPr="005D3671">
              <w:rPr>
                <w:rFonts w:asciiTheme="minorBidi" w:eastAsia="Times New Roman" w:hAnsiTheme="minorBidi"/>
                <w:b/>
                <w:bCs/>
                <w:noProof/>
                <w:kern w:val="0"/>
                <w:sz w:val="18"/>
                <w:szCs w:val="18"/>
              </w:rPr>
              <mc:AlternateContent>
                <mc:Choice Requires="wps">
                  <w:drawing>
                    <wp:anchor distT="0" distB="0" distL="114300" distR="114300" simplePos="0" relativeHeight="251703296" behindDoc="0" locked="0" layoutInCell="1" allowOverlap="1" wp14:anchorId="1A8AB3F9" wp14:editId="562705D6">
                      <wp:simplePos x="0" y="0"/>
                      <wp:positionH relativeFrom="column">
                        <wp:posOffset>1283970</wp:posOffset>
                      </wp:positionH>
                      <wp:positionV relativeFrom="paragraph">
                        <wp:posOffset>-191135</wp:posOffset>
                      </wp:positionV>
                      <wp:extent cx="939800" cy="673100"/>
                      <wp:effectExtent l="19050" t="19050" r="12700" b="31750"/>
                      <wp:wrapNone/>
                      <wp:docPr id="2023372176" name="Arrow: Left 4"/>
                      <wp:cNvGraphicFramePr/>
                      <a:graphic xmlns:a="http://schemas.openxmlformats.org/drawingml/2006/main">
                        <a:graphicData uri="http://schemas.microsoft.com/office/word/2010/wordprocessingShape">
                          <wps:wsp>
                            <wps:cNvSpPr/>
                            <wps:spPr>
                              <a:xfrm>
                                <a:off x="0" y="0"/>
                                <a:ext cx="939800" cy="673100"/>
                              </a:xfrm>
                              <a:prstGeom prst="left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876A20" id="Arrow: Left 4" o:spid="_x0000_s1026" type="#_x0000_t66" style="position:absolute;margin-left:101.1pt;margin-top:-15.05pt;width:74pt;height:53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" adj="7735" fillcolor="#156082" strokecolor="#042433" strokeweight="1pt"/>
                  </w:pict>
                </mc:Fallback>
              </mc:AlternateContent>
            </w:r>
          </w:p>
        </w:tc>
      </w:tr>
      <w:tr w:rsidR="00F7692A" w:rsidRPr="00E479C5" w14:paraId="0B1F25C7" w14:textId="77777777" w:rsidTr="001D4222">
        <w:tc>
          <w:tcPr>
            <w:tcW w:w="9016" w:type="dxa"/>
            <w:gridSpan w:val="5"/>
            <w:tcBorders>
              <w:top w:val="nil"/>
              <w:left w:val="nil"/>
              <w:bottom w:val="nil"/>
              <w:right w:val="nil"/>
            </w:tcBorders>
          </w:tcPr>
          <w:p w14:paraId="0E9F2A1C" w14:textId="77777777" w:rsidR="00F7692A" w:rsidRPr="005D3671" w:rsidRDefault="00F7692A" w:rsidP="001D4222">
            <w:pPr>
              <w:spacing w:line="480" w:lineRule="auto"/>
              <w:jc w:val="center"/>
              <w:rPr>
                <w:rFonts w:asciiTheme="minorBidi" w:eastAsia="Times New Roman" w:hAnsiTheme="minorBidi"/>
                <w:b/>
                <w:bCs/>
                <w:noProof/>
                <w:kern w:val="0"/>
                <w:sz w:val="18"/>
                <w:szCs w:val="18"/>
              </w:rPr>
            </w:pPr>
          </w:p>
        </w:tc>
      </w:tr>
      <w:tr w:rsidR="00F7692A" w:rsidRPr="00E479C5" w14:paraId="1F89E4F2" w14:textId="77777777" w:rsidTr="001D4222">
        <w:tc>
          <w:tcPr>
            <w:tcW w:w="9016" w:type="dxa"/>
            <w:gridSpan w:val="5"/>
            <w:tcBorders>
              <w:top w:val="nil"/>
              <w:left w:val="nil"/>
              <w:bottom w:val="nil"/>
              <w:right w:val="nil"/>
            </w:tcBorders>
          </w:tcPr>
          <w:p w14:paraId="44F90036" w14:textId="77777777" w:rsidR="00F7692A" w:rsidRPr="005D3671" w:rsidRDefault="00F7692A" w:rsidP="001D4222">
            <w:pPr>
              <w:spacing w:line="480" w:lineRule="auto"/>
              <w:jc w:val="center"/>
              <w:rPr>
                <w:rFonts w:asciiTheme="minorBidi" w:eastAsia="Times New Roman" w:hAnsiTheme="minorBidi"/>
                <w:b/>
                <w:bCs/>
                <w:noProof/>
                <w:kern w:val="0"/>
                <w:sz w:val="18"/>
                <w:szCs w:val="18"/>
              </w:rPr>
            </w:pPr>
          </w:p>
        </w:tc>
      </w:tr>
      <w:tr w:rsidR="00F7692A" w:rsidRPr="00E479C5" w14:paraId="6FC26EFE" w14:textId="77777777" w:rsidTr="001D4222">
        <w:tc>
          <w:tcPr>
            <w:tcW w:w="9016" w:type="dxa"/>
            <w:gridSpan w:val="5"/>
            <w:tcBorders>
              <w:top w:val="nil"/>
              <w:left w:val="nil"/>
              <w:bottom w:val="nil"/>
              <w:right w:val="nil"/>
            </w:tcBorders>
            <w:shd w:val="clear" w:color="auto" w:fill="D9D9D9" w:themeFill="background1" w:themeFillShade="D9"/>
          </w:tcPr>
          <w:p w14:paraId="0820DCC7" w14:textId="77777777" w:rsidR="00F7692A" w:rsidRPr="005D3671" w:rsidRDefault="00F7692A" w:rsidP="001D4222">
            <w:pPr>
              <w:spacing w:line="480" w:lineRule="auto"/>
              <w:jc w:val="center"/>
              <w:rPr>
                <w:rFonts w:asciiTheme="minorBidi" w:eastAsia="Times New Roman" w:hAnsiTheme="minorBidi"/>
                <w:b/>
                <w:bCs/>
                <w:kern w:val="0"/>
                <w:sz w:val="18"/>
                <w:szCs w:val="18"/>
                <w14:ligatures w14:val="none"/>
              </w:rPr>
            </w:pPr>
            <w:r w:rsidRPr="005D3671">
              <w:rPr>
                <w:rFonts w:asciiTheme="minorBidi" w:eastAsia="Times New Roman" w:hAnsiTheme="minorBidi"/>
                <w:b/>
                <w:bCs/>
                <w:kern w:val="0"/>
                <w:sz w:val="18"/>
                <w:szCs w:val="18"/>
                <w14:ligatures w14:val="none"/>
              </w:rPr>
              <w:t>Research Aim</w:t>
            </w:r>
          </w:p>
        </w:tc>
      </w:tr>
    </w:tbl>
    <w:p w14:paraId="11290907" w14:textId="77777777" w:rsidR="00F7692A" w:rsidRDefault="00F7692A" w:rsidP="00F7692A"/>
    <w:p w14:paraId="5074BB3A" w14:textId="77777777" w:rsidR="008F3EB3" w:rsidRDefault="008F3EB3" w:rsidP="00F7692A"/>
    <w:bookmarkStart w:id="681" w:name="D82"/>
    <w:p w14:paraId="6E4C03AB" w14:textId="40096B0D" w:rsidR="00F7692A" w:rsidRPr="00A67A2B" w:rsidRDefault="00455B01" w:rsidP="00F7692A">
      <w:pPr>
        <w:pBdr>
          <w:top w:val="single" w:sz="4" w:space="1" w:color="auto"/>
          <w:left w:val="single" w:sz="4" w:space="4" w:color="auto"/>
          <w:bottom w:val="single" w:sz="4" w:space="1" w:color="auto"/>
          <w:right w:val="single" w:sz="4" w:space="4" w:color="auto"/>
        </w:pBdr>
        <w:rPr>
          <w:rFonts w:asciiTheme="minorBidi" w:hAnsiTheme="minorBidi"/>
          <w:b/>
          <w:bCs/>
        </w:rPr>
      </w:pPr>
      <w:r>
        <w:rPr>
          <w:rFonts w:asciiTheme="minorBidi" w:hAnsiTheme="minorBidi"/>
          <w:b/>
          <w:bCs/>
        </w:rPr>
        <w:lastRenderedPageBreak/>
        <w:fldChar w:fldCharType="begin"/>
      </w:r>
      <w:r>
        <w:rPr>
          <w:rFonts w:asciiTheme="minorBidi" w:hAnsiTheme="minorBidi"/>
          <w:b/>
          <w:bCs/>
        </w:rPr>
        <w:instrText>HYPERLINK  \l "C82"</w:instrText>
      </w:r>
      <w:r>
        <w:rPr>
          <w:rFonts w:asciiTheme="minorBidi" w:hAnsiTheme="minorBidi"/>
          <w:b/>
          <w:bCs/>
        </w:rPr>
      </w:r>
      <w:r>
        <w:rPr>
          <w:rFonts w:asciiTheme="minorBidi" w:hAnsiTheme="minorBidi"/>
          <w:b/>
          <w:bCs/>
        </w:rPr>
        <w:fldChar w:fldCharType="separate"/>
      </w:r>
      <w:r w:rsidR="00F7692A" w:rsidRPr="00455B01">
        <w:rPr>
          <w:rStyle w:val="Hyperlink"/>
          <w:rFonts w:asciiTheme="minorBidi" w:hAnsiTheme="minorBidi"/>
          <w:b/>
          <w:bCs/>
        </w:rPr>
        <w:t>3.1 Chapter Overview</w:t>
      </w:r>
      <w:r>
        <w:rPr>
          <w:rFonts w:asciiTheme="minorBidi" w:hAnsiTheme="minorBidi"/>
          <w:b/>
          <w:bCs/>
        </w:rPr>
        <w:fldChar w:fldCharType="end"/>
      </w:r>
    </w:p>
    <w:bookmarkEnd w:id="681"/>
    <w:p w14:paraId="7535A4D0" w14:textId="77777777" w:rsidR="00F7692A" w:rsidRPr="00D126B5" w:rsidRDefault="00F7692A" w:rsidP="00F7692A">
      <w:pPr>
        <w:spacing w:line="480" w:lineRule="auto"/>
        <w:jc w:val="both"/>
        <w:rPr>
          <w:rFonts w:asciiTheme="minorBidi" w:hAnsiTheme="minorBidi"/>
          <w:color w:val="000000" w:themeColor="text1"/>
        </w:rPr>
      </w:pPr>
      <w:r w:rsidRPr="00D126B5">
        <w:rPr>
          <w:rFonts w:asciiTheme="minorBidi" w:hAnsiTheme="minorBidi"/>
          <w:color w:val="000000" w:themeColor="text1"/>
        </w:rPr>
        <w:t xml:space="preserve">The purpose of this doctoral study is to better understand why the phenomenon of Accounting Fraud takes place through the lens of the Fraud Triangle and the Dark Triad focussing on psychopathy, potentially modelling the Corporate Psychopath Accountant (CPA) and exploring whether the nascent Blockchain Technology (BCT) can reduce incidence of Accounting Fraud and contain the CPA. </w:t>
      </w:r>
    </w:p>
    <w:p w14:paraId="2600BCC5" w14:textId="77777777" w:rsidR="00F7692A" w:rsidRPr="0013736D" w:rsidRDefault="00F7692A" w:rsidP="00F7692A">
      <w:pPr>
        <w:spacing w:line="480" w:lineRule="auto"/>
        <w:jc w:val="both"/>
        <w:rPr>
          <w:rFonts w:asciiTheme="minorBidi" w:hAnsiTheme="minorBidi"/>
        </w:rPr>
      </w:pPr>
      <w:r w:rsidRPr="00D126B5">
        <w:rPr>
          <w:rFonts w:asciiTheme="minorBidi" w:hAnsiTheme="minorBidi"/>
          <w:color w:val="000000" w:themeColor="text1"/>
        </w:rPr>
        <w:t xml:space="preserve">This will be achieved by initially utilising a </w:t>
      </w:r>
      <w:r w:rsidRPr="00D126B5">
        <w:rPr>
          <w:rFonts w:ascii="Arial" w:hAnsi="Arial" w:cs="Arial"/>
          <w:color w:val="000000" w:themeColor="text1"/>
          <w:bdr w:val="none" w:sz="0" w:space="0" w:color="auto" w:frame="1"/>
        </w:rPr>
        <w:t xml:space="preserve">Quantitative Study which is a variation of the LSRP psychology and associated questionnaire to conduct face to face structured interviews </w:t>
      </w:r>
      <w:r w:rsidRPr="00D126B5">
        <w:rPr>
          <w:rFonts w:ascii="Arial" w:hAnsi="Arial" w:cs="Arial"/>
          <w:color w:val="000000" w:themeColor="text1"/>
        </w:rPr>
        <w:t xml:space="preserve">testing the potential psychopathic tendency among final year accounting and finance students in the University of Salford and accounting / audit professionals which has to date not been done in the literature. </w:t>
      </w:r>
      <w:r w:rsidRPr="00D126B5">
        <w:rPr>
          <w:rFonts w:ascii="Arial" w:hAnsi="Arial" w:cs="Arial"/>
          <w:color w:val="000000" w:themeColor="text1"/>
          <w:shd w:val="clear" w:color="auto" w:fill="FFFFFF"/>
        </w:rPr>
        <w:t xml:space="preserve">The researcher </w:t>
      </w:r>
      <w:r>
        <w:rPr>
          <w:rFonts w:ascii="Arial" w:hAnsi="Arial" w:cs="Arial"/>
          <w:color w:val="000000" w:themeColor="text1"/>
          <w:shd w:val="clear" w:color="auto" w:fill="FFFFFF"/>
        </w:rPr>
        <w:t>believes</w:t>
      </w:r>
      <w:r w:rsidRPr="00D126B5">
        <w:rPr>
          <w:rFonts w:ascii="Arial" w:hAnsi="Arial" w:cs="Arial"/>
          <w:color w:val="000000" w:themeColor="text1"/>
          <w:shd w:val="clear" w:color="auto" w:fill="FFFFFF"/>
        </w:rPr>
        <w:t xml:space="preserve"> that the advantages from BCT are manifold and will evaluate the perceptions of auditors </w:t>
      </w:r>
      <w:r w:rsidRPr="0013736D">
        <w:rPr>
          <w:rFonts w:ascii="Arial" w:hAnsi="Arial" w:cs="Arial"/>
          <w:shd w:val="clear" w:color="auto" w:fill="FFFFFF"/>
        </w:rPr>
        <w:t xml:space="preserve">through a Qualitative Study or semi-structured interview with auditors and subject matter experts. </w:t>
      </w:r>
    </w:p>
    <w:p w14:paraId="05569920" w14:textId="77777777" w:rsidR="00F7692A" w:rsidRPr="0013736D" w:rsidRDefault="00F7692A" w:rsidP="00F7692A">
      <w:pPr>
        <w:spacing w:line="480" w:lineRule="auto"/>
        <w:jc w:val="both"/>
        <w:rPr>
          <w:rFonts w:asciiTheme="minorBidi" w:hAnsiTheme="minorBidi"/>
        </w:rPr>
      </w:pPr>
      <w:r w:rsidRPr="0013736D">
        <w:rPr>
          <w:rFonts w:asciiTheme="minorBidi" w:hAnsiTheme="minorBidi"/>
        </w:rPr>
        <w:t xml:space="preserve">Part one of the literature review (chapter two) extensively elaborated the types and techniques of Accounting Fraud including recent accounting scandals, the motivations for Accounting Fraud, and socio-economic and psychological pressures and established the existence of the Corporate Psychopath Accountant. The second part of the literature review explored and outlined the nascent BCT which is underpinned by triple entry accounting in contrast to triple entry bookkeeping. </w:t>
      </w:r>
    </w:p>
    <w:p w14:paraId="663D2602" w14:textId="4C87D32F" w:rsidR="00F7692A" w:rsidRPr="0013736D" w:rsidRDefault="00F7692A" w:rsidP="00F7692A">
      <w:pPr>
        <w:spacing w:beforeAutospacing="1" w:after="0" w:afterAutospacing="1" w:line="480" w:lineRule="auto"/>
        <w:jc w:val="both"/>
        <w:textAlignment w:val="baseline"/>
        <w:rPr>
          <w:rFonts w:ascii="Arial" w:eastAsiaTheme="majorEastAsia" w:hAnsi="Arial" w:cs="Arial"/>
          <w:kern w:val="0"/>
          <w14:ligatures w14:val="none"/>
        </w:rPr>
      </w:pPr>
      <w:bookmarkStart w:id="682" w:name="_Hlk171466954"/>
      <w:r w:rsidRPr="0013736D">
        <w:rPr>
          <w:rFonts w:asciiTheme="minorBidi" w:eastAsia="Times New Roman" w:hAnsiTheme="minorBidi" w:cs="Times New Roman"/>
          <w:kern w:val="0"/>
          <w14:ligatures w14:val="none"/>
        </w:rPr>
        <w:t xml:space="preserve">The following theoretical frameworks were utilised to better understand the phenomenon of Accounting Fraud. Agency Theory (Jensen &amp; Meckling, 1976) was briefly used as a lens to help understand and establish the role audit plays in the capital market and underpins the researchers Corporate Governance Cosmos (Sheikh, 2017). </w:t>
      </w:r>
      <w:r w:rsidRPr="0013736D">
        <w:rPr>
          <w:rFonts w:asciiTheme="minorBidi" w:eastAsia="Times New Roman" w:hAnsiTheme="minorBidi" w:cs="Times New Roman"/>
          <w:kern w:val="0"/>
          <w14:ligatures w14:val="none"/>
        </w:rPr>
        <w:lastRenderedPageBreak/>
        <w:t xml:space="preserve">The Fraud Triangle Theory (Cressey, 1950; Cressey, 1953) was used to explain why agents (managers) commit Accounting Fraud and was thoroughly critiqued including alternatives. The </w:t>
      </w:r>
      <w:r w:rsidR="00F539B7">
        <w:rPr>
          <w:rFonts w:asciiTheme="minorBidi" w:eastAsia="Times New Roman" w:hAnsiTheme="minorBidi" w:cs="Times New Roman"/>
          <w:kern w:val="0"/>
          <w14:ligatures w14:val="none"/>
        </w:rPr>
        <w:t>researcher</w:t>
      </w:r>
      <w:r w:rsidRPr="0013736D">
        <w:rPr>
          <w:rFonts w:asciiTheme="minorBidi" w:eastAsia="Times New Roman" w:hAnsiTheme="minorBidi" w:cs="Times New Roman"/>
          <w:kern w:val="0"/>
          <w14:ligatures w14:val="none"/>
        </w:rPr>
        <w:t xml:space="preserve"> extended C R I M E (Rezaee, 2005) model where </w:t>
      </w:r>
      <w:r w:rsidRPr="0013736D">
        <w:rPr>
          <w:rFonts w:asciiTheme="minorBidi" w:eastAsia="Times New Roman" w:hAnsiTheme="minorBidi" w:cs="Times New Roman"/>
          <w:i/>
          <w:iCs/>
          <w:kern w:val="0"/>
          <w14:ligatures w14:val="none"/>
        </w:rPr>
        <w:t>‘’Cooks’’, ‘’Recipes ‘’, ‘’Incentives’’</w:t>
      </w:r>
      <w:proofErr w:type="gramStart"/>
      <w:r w:rsidRPr="0013736D">
        <w:rPr>
          <w:rFonts w:asciiTheme="minorBidi" w:eastAsia="Times New Roman" w:hAnsiTheme="minorBidi" w:cs="Times New Roman"/>
          <w:i/>
          <w:iCs/>
          <w:kern w:val="0"/>
          <w14:ligatures w14:val="none"/>
        </w:rPr>
        <w:t>, ’</w:t>
      </w:r>
      <w:proofErr w:type="gramEnd"/>
      <w:r w:rsidRPr="0013736D">
        <w:rPr>
          <w:rFonts w:asciiTheme="minorBidi" w:eastAsia="Times New Roman" w:hAnsiTheme="minorBidi" w:cs="Times New Roman"/>
          <w:i/>
          <w:iCs/>
          <w:kern w:val="0"/>
          <w14:ligatures w14:val="none"/>
        </w:rPr>
        <w:t xml:space="preserve">’Monitoring’’, and ‘’End results’’ </w:t>
      </w:r>
      <w:r w:rsidRPr="0013736D">
        <w:rPr>
          <w:rFonts w:asciiTheme="minorBidi" w:eastAsia="Times New Roman" w:hAnsiTheme="minorBidi" w:cs="Times New Roman"/>
          <w:kern w:val="0"/>
          <w14:ligatures w14:val="none"/>
        </w:rPr>
        <w:t xml:space="preserve">explain the causes and effects of Accounting Fraud, to C R I M E L or </w:t>
      </w:r>
      <w:r w:rsidRPr="0013736D">
        <w:rPr>
          <w:rFonts w:asciiTheme="minorBidi" w:eastAsia="Times New Roman" w:hAnsiTheme="minorBidi" w:cs="Times New Roman"/>
          <w:i/>
          <w:iCs/>
          <w:kern w:val="0"/>
          <w14:ligatures w14:val="none"/>
        </w:rPr>
        <w:t>‘’Learning’’</w:t>
      </w:r>
      <w:r w:rsidRPr="0013736D">
        <w:rPr>
          <w:rFonts w:asciiTheme="minorBidi" w:eastAsia="Times New Roman" w:hAnsiTheme="minorBidi" w:cs="Times New Roman"/>
          <w:kern w:val="0"/>
          <w14:ligatures w14:val="none"/>
        </w:rPr>
        <w:t xml:space="preserve"> as he noticed that corporate psychopathy appeared in 33 case international case studies. This led to an exploration of Dark Triad Theory (Psychopathy, Machiavelli, Narcissism) (</w:t>
      </w:r>
      <w:r w:rsidRPr="0013736D">
        <w:rPr>
          <w:rFonts w:ascii="Arial" w:eastAsiaTheme="majorEastAsia" w:hAnsi="Arial" w:cs="Arial"/>
          <w:kern w:val="0"/>
          <w:bdr w:val="none" w:sz="0" w:space="0" w:color="auto" w:frame="1"/>
          <w14:ligatures w14:val="none"/>
        </w:rPr>
        <w:t>Paulhus and Williams</w:t>
      </w:r>
      <w:r w:rsidRPr="0013736D">
        <w:rPr>
          <w:rFonts w:ascii="Arial" w:eastAsia="Times New Roman" w:hAnsi="Arial" w:cs="Arial"/>
          <w:kern w:val="0"/>
          <w:bdr w:val="none" w:sz="0" w:space="0" w:color="auto" w:frame="1"/>
          <w14:ligatures w14:val="none"/>
        </w:rPr>
        <w:t xml:space="preserve">, </w:t>
      </w:r>
      <w:r w:rsidRPr="0013736D">
        <w:rPr>
          <w:rFonts w:ascii="Arial" w:eastAsiaTheme="majorEastAsia" w:hAnsi="Arial" w:cs="Arial"/>
          <w:kern w:val="0"/>
          <w:bdr w:val="none" w:sz="0" w:space="0" w:color="auto" w:frame="1"/>
          <w14:ligatures w14:val="none"/>
        </w:rPr>
        <w:t>2002)</w:t>
      </w:r>
      <w:r w:rsidRPr="0013736D">
        <w:rPr>
          <w:rFonts w:asciiTheme="minorBidi" w:eastAsia="Times New Roman" w:hAnsiTheme="minorBidi" w:cs="Times New Roman"/>
          <w:kern w:val="0"/>
          <w14:ligatures w14:val="none"/>
        </w:rPr>
        <w:t xml:space="preserve"> focussing on Corporate Psychopathy highlighted by prominent CFO’s such as </w:t>
      </w:r>
      <w:r w:rsidRPr="0013736D">
        <w:rPr>
          <w:rFonts w:ascii="Arial" w:eastAsiaTheme="majorEastAsia" w:hAnsi="Arial" w:cs="Arial"/>
          <w:kern w:val="0"/>
          <w14:ligatures w14:val="none"/>
        </w:rPr>
        <w:t>Crazy Eddie Antar a self-confessed psychopath</w:t>
      </w:r>
      <w:r w:rsidRPr="0013736D">
        <w:rPr>
          <w:rFonts w:ascii="Arial" w:eastAsia="Times New Roman" w:hAnsi="Arial" w:cs="Arial"/>
          <w:kern w:val="0"/>
          <w14:ligatures w14:val="none"/>
        </w:rPr>
        <w:t xml:space="preserve"> who </w:t>
      </w:r>
      <w:r w:rsidRPr="0013736D">
        <w:rPr>
          <w:rFonts w:ascii="Arial" w:eastAsiaTheme="majorEastAsia" w:hAnsi="Arial" w:cs="Arial"/>
          <w:kern w:val="0"/>
          <w14:ligatures w14:val="none"/>
        </w:rPr>
        <w:t>used this portrayal to</w:t>
      </w:r>
      <w:r w:rsidRPr="0013736D">
        <w:rPr>
          <w:rFonts w:ascii="Arial" w:eastAsia="Times New Roman" w:hAnsi="Arial" w:cs="Arial"/>
          <w:kern w:val="0"/>
          <w14:ligatures w14:val="none"/>
        </w:rPr>
        <w:t xml:space="preserve"> obtain</w:t>
      </w:r>
      <w:r w:rsidRPr="0013736D">
        <w:rPr>
          <w:rFonts w:ascii="Arial" w:eastAsiaTheme="majorEastAsia" w:hAnsi="Arial" w:cs="Arial"/>
          <w:kern w:val="0"/>
          <w14:ligatures w14:val="none"/>
        </w:rPr>
        <w:t xml:space="preserve"> a </w:t>
      </w:r>
      <w:r w:rsidRPr="0013736D">
        <w:rPr>
          <w:rFonts w:ascii="Arial" w:eastAsia="Times New Roman" w:hAnsi="Arial" w:cs="Arial"/>
          <w:kern w:val="0"/>
          <w14:ligatures w14:val="none"/>
        </w:rPr>
        <w:t>lower</w:t>
      </w:r>
      <w:r w:rsidRPr="0013736D">
        <w:rPr>
          <w:rFonts w:ascii="Arial" w:eastAsiaTheme="majorEastAsia" w:hAnsi="Arial" w:cs="Arial"/>
          <w:kern w:val="0"/>
          <w14:ligatures w14:val="none"/>
        </w:rPr>
        <w:t xml:space="preserve"> sentence for his fraud (Wall Street Journal, 2012)</w:t>
      </w:r>
      <w:r w:rsidRPr="0013736D">
        <w:rPr>
          <w:rFonts w:ascii="Arial" w:eastAsia="Times New Roman" w:hAnsi="Arial" w:cs="Arial"/>
          <w:kern w:val="0"/>
          <w14:ligatures w14:val="none"/>
        </w:rPr>
        <w:t xml:space="preserve">. </w:t>
      </w:r>
      <w:r w:rsidRPr="0013736D">
        <w:rPr>
          <w:rFonts w:ascii="Arial" w:eastAsiaTheme="majorEastAsia" w:hAnsi="Arial" w:cs="Arial"/>
          <w:kern w:val="0"/>
          <w14:ligatures w14:val="none"/>
        </w:rPr>
        <w:t>Bailey (2017) argued that psychopathic tendency has a direct effect upon rationalization of the Fraud Triangle. Hence, the researcher is proposing the ‘’Corporate Psychopath Accountant Equation’’ (CPA Equation) which argues that Accounting Fraud may persist due to the rationalisation of the act / fraud caused by psychopathy:</w:t>
      </w:r>
    </w:p>
    <w:p w14:paraId="7162E29E" w14:textId="1D2F0B05" w:rsidR="00952F7A" w:rsidRPr="00271C30" w:rsidRDefault="00F7692A" w:rsidP="00271C30">
      <w:pPr>
        <w:spacing w:beforeAutospacing="1" w:after="0" w:afterAutospacing="1" w:line="480" w:lineRule="auto"/>
        <w:jc w:val="center"/>
        <w:textAlignment w:val="baseline"/>
        <w:rPr>
          <w:rFonts w:ascii="Arial" w:eastAsiaTheme="majorEastAsia" w:hAnsi="Arial" w:cs="Arial"/>
          <w:kern w:val="0"/>
          <w:shd w:val="clear" w:color="auto" w:fill="FFFF00"/>
          <w14:ligatures w14:val="none"/>
        </w:rPr>
      </w:pPr>
      <w:r w:rsidRPr="0013736D">
        <w:rPr>
          <w:rFonts w:ascii="Arial" w:eastAsiaTheme="majorEastAsia" w:hAnsi="Arial" w:cs="Arial"/>
          <w:kern w:val="0"/>
          <w14:ligatures w14:val="none"/>
        </w:rPr>
        <w:t>Rationalisation = Corporate Accountant Psychopathy = Accounting Fraud</w:t>
      </w:r>
      <w:bookmarkEnd w:id="682"/>
    </w:p>
    <w:p w14:paraId="28C36328" w14:textId="37DE9766" w:rsidR="00F7692A" w:rsidRPr="0013736D" w:rsidRDefault="00F7692A" w:rsidP="00F7692A">
      <w:pPr>
        <w:spacing w:line="480" w:lineRule="auto"/>
        <w:jc w:val="both"/>
        <w:rPr>
          <w:rFonts w:asciiTheme="minorBidi" w:hAnsiTheme="minorBidi"/>
        </w:rPr>
      </w:pPr>
      <w:r w:rsidRPr="0013736D">
        <w:rPr>
          <w:rFonts w:asciiTheme="minorBidi" w:hAnsiTheme="minorBidi"/>
        </w:rPr>
        <w:t>The theoretical frameworks used in this study resulted in the following Research Objectives and Questions:</w:t>
      </w:r>
    </w:p>
    <w:tbl>
      <w:tblPr>
        <w:tblStyle w:val="TableGrid"/>
        <w:tblW w:w="0" w:type="auto"/>
        <w:tblLook w:val="04A0" w:firstRow="1" w:lastRow="0" w:firstColumn="1" w:lastColumn="0" w:noHBand="0" w:noVBand="1"/>
      </w:tblPr>
      <w:tblGrid>
        <w:gridCol w:w="603"/>
        <w:gridCol w:w="8413"/>
      </w:tblGrid>
      <w:tr w:rsidR="00F7692A" w:rsidRPr="0013736D" w14:paraId="5BB13F1D" w14:textId="77777777" w:rsidTr="001D4222">
        <w:trPr>
          <w:trHeight w:val="1067"/>
        </w:trPr>
        <w:tc>
          <w:tcPr>
            <w:tcW w:w="9016" w:type="dxa"/>
            <w:gridSpan w:val="2"/>
            <w:shd w:val="clear" w:color="auto" w:fill="D9D9D9" w:themeFill="background1" w:themeFillShade="D9"/>
          </w:tcPr>
          <w:p w14:paraId="6ABFD091" w14:textId="77777777" w:rsidR="00F7692A" w:rsidRPr="0013736D" w:rsidRDefault="00F7692A" w:rsidP="001D4222">
            <w:pPr>
              <w:pStyle w:val="QuotesAZ"/>
              <w:ind w:firstLine="0"/>
              <w:rPr>
                <w:rFonts w:asciiTheme="minorBidi" w:hAnsiTheme="minorBidi"/>
                <w:b/>
                <w:bCs/>
                <w:sz w:val="22"/>
              </w:rPr>
            </w:pPr>
            <w:r w:rsidRPr="0013736D">
              <w:rPr>
                <w:rFonts w:asciiTheme="minorBidi" w:hAnsiTheme="minorBidi"/>
                <w:b/>
                <w:bCs/>
                <w:sz w:val="22"/>
                <w:u w:val="single"/>
              </w:rPr>
              <w:t>Research Aim</w:t>
            </w:r>
            <w:r w:rsidRPr="0013736D">
              <w:rPr>
                <w:rFonts w:asciiTheme="minorBidi" w:hAnsiTheme="minorBidi"/>
                <w:b/>
                <w:bCs/>
                <w:sz w:val="22"/>
              </w:rPr>
              <w:t>: To what extent can Blockchain Technology influence the behaviour of the Corporate Psychopath and reduce Accounting Fraud</w:t>
            </w:r>
          </w:p>
        </w:tc>
      </w:tr>
      <w:tr w:rsidR="00F7692A" w:rsidRPr="0013736D" w14:paraId="60C94A29" w14:textId="77777777" w:rsidTr="001D4222">
        <w:tc>
          <w:tcPr>
            <w:tcW w:w="603" w:type="dxa"/>
          </w:tcPr>
          <w:p w14:paraId="39CF1FB7" w14:textId="77777777" w:rsidR="00F7692A" w:rsidRPr="0013736D" w:rsidRDefault="00F7692A" w:rsidP="001D4222">
            <w:pPr>
              <w:pStyle w:val="ListParagraph"/>
              <w:spacing w:line="360" w:lineRule="auto"/>
              <w:ind w:left="0"/>
              <w:jc w:val="both"/>
              <w:rPr>
                <w:rFonts w:asciiTheme="minorBidi" w:hAnsiTheme="minorBidi"/>
                <w:b/>
                <w:bCs/>
                <w:i/>
                <w:iCs/>
                <w:sz w:val="22"/>
                <w:szCs w:val="22"/>
              </w:rPr>
            </w:pPr>
            <w:r w:rsidRPr="0013736D">
              <w:rPr>
                <w:rFonts w:asciiTheme="minorBidi" w:hAnsiTheme="minorBidi"/>
                <w:b/>
                <w:bCs/>
                <w:i/>
                <w:iCs/>
                <w:sz w:val="22"/>
                <w:szCs w:val="22"/>
              </w:rPr>
              <w:t>No.</w:t>
            </w:r>
          </w:p>
        </w:tc>
        <w:tc>
          <w:tcPr>
            <w:tcW w:w="8413" w:type="dxa"/>
            <w:shd w:val="clear" w:color="auto" w:fill="D9D9D9" w:themeFill="background1" w:themeFillShade="D9"/>
          </w:tcPr>
          <w:p w14:paraId="5A0083B3" w14:textId="77777777" w:rsidR="00F7692A" w:rsidRPr="0013736D" w:rsidRDefault="00F7692A" w:rsidP="001D4222">
            <w:pPr>
              <w:pStyle w:val="ListParagraph"/>
              <w:spacing w:line="360" w:lineRule="auto"/>
              <w:ind w:left="0"/>
              <w:jc w:val="both"/>
              <w:rPr>
                <w:rFonts w:asciiTheme="minorBidi" w:hAnsiTheme="minorBidi"/>
                <w:b/>
                <w:bCs/>
                <w:i/>
                <w:iCs/>
                <w:sz w:val="22"/>
                <w:szCs w:val="22"/>
                <w:u w:val="single"/>
              </w:rPr>
            </w:pPr>
            <w:r w:rsidRPr="0013736D">
              <w:rPr>
                <w:rFonts w:asciiTheme="minorBidi" w:hAnsiTheme="minorBidi"/>
                <w:b/>
                <w:bCs/>
                <w:i/>
                <w:iCs/>
                <w:sz w:val="22"/>
                <w:szCs w:val="22"/>
                <w:u w:val="single"/>
              </w:rPr>
              <w:t>Research Objectives &amp; Questions</w:t>
            </w:r>
          </w:p>
        </w:tc>
      </w:tr>
      <w:tr w:rsidR="00F7692A" w:rsidRPr="0013736D" w14:paraId="0679B3F1" w14:textId="77777777" w:rsidTr="001D4222">
        <w:tc>
          <w:tcPr>
            <w:tcW w:w="603" w:type="dxa"/>
          </w:tcPr>
          <w:p w14:paraId="252EE275" w14:textId="77777777" w:rsidR="00F7692A" w:rsidRPr="0013736D" w:rsidRDefault="00F7692A" w:rsidP="001D4222">
            <w:pPr>
              <w:pStyle w:val="ListParagraph"/>
              <w:spacing w:line="360" w:lineRule="auto"/>
              <w:ind w:left="0"/>
              <w:jc w:val="both"/>
              <w:rPr>
                <w:rFonts w:asciiTheme="minorBidi" w:hAnsiTheme="minorBidi"/>
                <w:i/>
                <w:iCs/>
                <w:sz w:val="22"/>
                <w:szCs w:val="22"/>
              </w:rPr>
            </w:pPr>
            <w:r w:rsidRPr="0013736D">
              <w:rPr>
                <w:rFonts w:asciiTheme="minorBidi" w:hAnsiTheme="minorBidi"/>
                <w:i/>
                <w:iCs/>
                <w:sz w:val="22"/>
                <w:szCs w:val="22"/>
              </w:rPr>
              <w:t>1</w:t>
            </w:r>
          </w:p>
        </w:tc>
        <w:tc>
          <w:tcPr>
            <w:tcW w:w="8413" w:type="dxa"/>
          </w:tcPr>
          <w:p w14:paraId="12B27AFF" w14:textId="77777777" w:rsidR="00F7692A" w:rsidRPr="0013736D" w:rsidRDefault="00F7692A" w:rsidP="001D4222">
            <w:pPr>
              <w:spacing w:line="360" w:lineRule="auto"/>
              <w:jc w:val="both"/>
              <w:rPr>
                <w:rFonts w:asciiTheme="minorBidi" w:hAnsiTheme="minorBidi"/>
                <w:sz w:val="22"/>
                <w:szCs w:val="22"/>
              </w:rPr>
            </w:pPr>
            <w:r w:rsidRPr="0013736D">
              <w:rPr>
                <w:rFonts w:asciiTheme="minorBidi" w:hAnsiTheme="minorBidi"/>
                <w:b/>
                <w:bCs/>
                <w:sz w:val="22"/>
                <w:szCs w:val="22"/>
                <w:u w:val="single"/>
              </w:rPr>
              <w:t>Objective 1:</w:t>
            </w:r>
            <w:r w:rsidRPr="0013736D">
              <w:rPr>
                <w:rFonts w:asciiTheme="minorBidi" w:hAnsiTheme="minorBidi"/>
                <w:sz w:val="22"/>
                <w:szCs w:val="22"/>
              </w:rPr>
              <w:t xml:space="preserve"> To undertake a broad review and synthesis of existing literature on Accounting Fraud, identifying key themes &amp; techniques, findings, and gaps in the research.</w:t>
            </w:r>
          </w:p>
          <w:p w14:paraId="64254FF7" w14:textId="77777777" w:rsidR="00F7692A" w:rsidRPr="0013736D" w:rsidRDefault="00F7692A" w:rsidP="001D4222">
            <w:pPr>
              <w:spacing w:line="360" w:lineRule="auto"/>
              <w:jc w:val="both"/>
              <w:rPr>
                <w:rFonts w:asciiTheme="minorBidi" w:hAnsiTheme="minorBidi"/>
                <w:sz w:val="22"/>
                <w:szCs w:val="22"/>
              </w:rPr>
            </w:pPr>
            <w:r w:rsidRPr="0013736D">
              <w:rPr>
                <w:rFonts w:asciiTheme="minorBidi" w:hAnsiTheme="minorBidi"/>
                <w:b/>
                <w:bCs/>
                <w:sz w:val="22"/>
                <w:szCs w:val="22"/>
                <w:u w:val="single"/>
              </w:rPr>
              <w:t>Question 1:</w:t>
            </w:r>
            <w:r w:rsidRPr="0013736D">
              <w:rPr>
                <w:rFonts w:asciiTheme="minorBidi" w:hAnsiTheme="minorBidi"/>
                <w:sz w:val="22"/>
                <w:szCs w:val="22"/>
              </w:rPr>
              <w:t xml:space="preserve"> What does the current literature state about Accounting Fraud?</w:t>
            </w:r>
          </w:p>
        </w:tc>
      </w:tr>
      <w:tr w:rsidR="00F7692A" w:rsidRPr="0013736D" w14:paraId="168B2A10" w14:textId="77777777" w:rsidTr="001D4222">
        <w:tc>
          <w:tcPr>
            <w:tcW w:w="603" w:type="dxa"/>
          </w:tcPr>
          <w:p w14:paraId="05F8C5AC" w14:textId="77777777" w:rsidR="00F7692A" w:rsidRPr="0013736D" w:rsidRDefault="00F7692A" w:rsidP="001D4222">
            <w:pPr>
              <w:pStyle w:val="ListParagraph"/>
              <w:spacing w:line="360" w:lineRule="auto"/>
              <w:ind w:left="0"/>
              <w:jc w:val="both"/>
              <w:rPr>
                <w:rFonts w:asciiTheme="minorBidi" w:hAnsiTheme="minorBidi"/>
                <w:i/>
                <w:iCs/>
                <w:sz w:val="22"/>
                <w:szCs w:val="22"/>
              </w:rPr>
            </w:pPr>
            <w:r w:rsidRPr="0013736D">
              <w:rPr>
                <w:rFonts w:asciiTheme="minorBidi" w:hAnsiTheme="minorBidi"/>
                <w:i/>
                <w:iCs/>
                <w:sz w:val="22"/>
                <w:szCs w:val="22"/>
              </w:rPr>
              <w:lastRenderedPageBreak/>
              <w:t>2</w:t>
            </w:r>
          </w:p>
        </w:tc>
        <w:tc>
          <w:tcPr>
            <w:tcW w:w="8413" w:type="dxa"/>
          </w:tcPr>
          <w:p w14:paraId="33C415E7" w14:textId="77777777" w:rsidR="00F7692A" w:rsidRPr="0013736D" w:rsidRDefault="00F7692A" w:rsidP="001D4222">
            <w:pPr>
              <w:spacing w:line="360" w:lineRule="auto"/>
              <w:jc w:val="both"/>
              <w:rPr>
                <w:rFonts w:asciiTheme="minorBidi" w:hAnsiTheme="minorBidi"/>
                <w:sz w:val="22"/>
                <w:szCs w:val="22"/>
              </w:rPr>
            </w:pPr>
            <w:r w:rsidRPr="0013736D">
              <w:rPr>
                <w:rFonts w:asciiTheme="minorBidi" w:hAnsiTheme="minorBidi"/>
                <w:b/>
                <w:bCs/>
                <w:sz w:val="22"/>
                <w:szCs w:val="22"/>
                <w:u w:val="single"/>
              </w:rPr>
              <w:t>Objective 2:</w:t>
            </w:r>
            <w:r w:rsidRPr="0013736D">
              <w:rPr>
                <w:rFonts w:asciiTheme="minorBidi" w:hAnsiTheme="minorBidi"/>
                <w:sz w:val="22"/>
                <w:szCs w:val="22"/>
              </w:rPr>
              <w:t xml:space="preserve"> To critically evaluate key features of corporate governance that influence the occurrence and prevention of Accounting Fraud within organisations including mechanisms that should moderate Accounting Fraud.</w:t>
            </w:r>
          </w:p>
          <w:p w14:paraId="0488FE29" w14:textId="77777777" w:rsidR="00F7692A" w:rsidRPr="0013736D" w:rsidRDefault="00F7692A" w:rsidP="001D4222">
            <w:pPr>
              <w:spacing w:line="360" w:lineRule="auto"/>
              <w:jc w:val="both"/>
              <w:rPr>
                <w:rFonts w:asciiTheme="minorBidi" w:hAnsiTheme="minorBidi"/>
                <w:sz w:val="22"/>
                <w:szCs w:val="22"/>
                <w:u w:val="single"/>
              </w:rPr>
            </w:pPr>
            <w:r w:rsidRPr="0013736D">
              <w:rPr>
                <w:rFonts w:asciiTheme="minorBidi" w:hAnsiTheme="minorBidi"/>
                <w:b/>
                <w:bCs/>
                <w:sz w:val="22"/>
                <w:szCs w:val="22"/>
                <w:u w:val="single"/>
              </w:rPr>
              <w:t>Question 2:</w:t>
            </w:r>
            <w:r w:rsidRPr="0013736D">
              <w:rPr>
                <w:rFonts w:asciiTheme="minorBidi" w:hAnsiTheme="minorBidi"/>
                <w:sz w:val="22"/>
                <w:szCs w:val="22"/>
              </w:rPr>
              <w:t xml:space="preserve"> What is the relationship between Corporate Governance and Accounting Fraud?</w:t>
            </w:r>
          </w:p>
        </w:tc>
      </w:tr>
      <w:tr w:rsidR="00F7692A" w:rsidRPr="0013736D" w14:paraId="6E8670C3" w14:textId="77777777" w:rsidTr="001D4222">
        <w:tc>
          <w:tcPr>
            <w:tcW w:w="603" w:type="dxa"/>
          </w:tcPr>
          <w:p w14:paraId="73D96002" w14:textId="77777777" w:rsidR="00F7692A" w:rsidRPr="0013736D" w:rsidRDefault="00F7692A" w:rsidP="001D4222">
            <w:pPr>
              <w:pStyle w:val="ListParagraph"/>
              <w:spacing w:line="360" w:lineRule="auto"/>
              <w:ind w:left="0"/>
              <w:jc w:val="both"/>
              <w:rPr>
                <w:rFonts w:asciiTheme="minorBidi" w:hAnsiTheme="minorBidi"/>
                <w:i/>
                <w:iCs/>
                <w:sz w:val="22"/>
                <w:szCs w:val="22"/>
              </w:rPr>
            </w:pPr>
            <w:r w:rsidRPr="0013736D">
              <w:rPr>
                <w:rFonts w:asciiTheme="minorBidi" w:hAnsiTheme="minorBidi"/>
                <w:i/>
                <w:iCs/>
                <w:sz w:val="22"/>
                <w:szCs w:val="22"/>
              </w:rPr>
              <w:t>3</w:t>
            </w:r>
          </w:p>
        </w:tc>
        <w:tc>
          <w:tcPr>
            <w:tcW w:w="8413" w:type="dxa"/>
          </w:tcPr>
          <w:p w14:paraId="75450F67" w14:textId="77777777" w:rsidR="00F7692A" w:rsidRPr="0013736D" w:rsidRDefault="00F7692A" w:rsidP="001D4222">
            <w:pPr>
              <w:spacing w:line="360" w:lineRule="auto"/>
              <w:jc w:val="both"/>
              <w:rPr>
                <w:rFonts w:asciiTheme="minorBidi" w:hAnsiTheme="minorBidi"/>
                <w:sz w:val="22"/>
                <w:szCs w:val="22"/>
              </w:rPr>
            </w:pPr>
            <w:r w:rsidRPr="0013736D">
              <w:rPr>
                <w:rFonts w:asciiTheme="minorBidi" w:hAnsiTheme="minorBidi"/>
                <w:b/>
                <w:bCs/>
                <w:sz w:val="22"/>
                <w:szCs w:val="22"/>
                <w:u w:val="single"/>
              </w:rPr>
              <w:t>Objective 3:</w:t>
            </w:r>
            <w:r w:rsidRPr="0013736D">
              <w:rPr>
                <w:rFonts w:asciiTheme="minorBidi" w:hAnsiTheme="minorBidi"/>
                <w:sz w:val="22"/>
                <w:szCs w:val="22"/>
              </w:rPr>
              <w:t xml:space="preserve"> To explore and demarcate the distinctions between general psychopathy and corporate psychopathy, focusing on behavioural aspects, and influence on organisational settings.</w:t>
            </w:r>
          </w:p>
          <w:p w14:paraId="756CEB29" w14:textId="77777777" w:rsidR="00F7692A" w:rsidRPr="0013736D" w:rsidRDefault="00F7692A" w:rsidP="001D4222">
            <w:pPr>
              <w:spacing w:line="360" w:lineRule="auto"/>
              <w:jc w:val="both"/>
              <w:rPr>
                <w:rFonts w:asciiTheme="minorBidi" w:hAnsiTheme="minorBidi"/>
                <w:sz w:val="22"/>
                <w:szCs w:val="22"/>
                <w:u w:val="single"/>
              </w:rPr>
            </w:pPr>
            <w:r w:rsidRPr="0013736D">
              <w:rPr>
                <w:rFonts w:asciiTheme="minorBidi" w:hAnsiTheme="minorBidi"/>
                <w:b/>
                <w:bCs/>
                <w:sz w:val="22"/>
                <w:szCs w:val="22"/>
                <w:u w:val="single"/>
              </w:rPr>
              <w:t>Question 3:</w:t>
            </w:r>
            <w:r w:rsidRPr="0013736D">
              <w:rPr>
                <w:rFonts w:asciiTheme="minorBidi" w:hAnsiTheme="minorBidi"/>
                <w:sz w:val="22"/>
                <w:szCs w:val="22"/>
              </w:rPr>
              <w:t xml:space="preserve"> What is the difference between a Psychopath and a Corporate Psychopath?</w:t>
            </w:r>
          </w:p>
        </w:tc>
      </w:tr>
      <w:tr w:rsidR="00F7692A" w:rsidRPr="0013736D" w14:paraId="2665E301" w14:textId="77777777" w:rsidTr="001D4222">
        <w:tc>
          <w:tcPr>
            <w:tcW w:w="603" w:type="dxa"/>
          </w:tcPr>
          <w:p w14:paraId="36A0E632" w14:textId="77777777" w:rsidR="00F7692A" w:rsidRPr="0013736D" w:rsidRDefault="00F7692A" w:rsidP="001D4222">
            <w:pPr>
              <w:pStyle w:val="ListParagraph"/>
              <w:spacing w:line="360" w:lineRule="auto"/>
              <w:ind w:left="0"/>
              <w:jc w:val="both"/>
              <w:rPr>
                <w:rFonts w:asciiTheme="minorBidi" w:hAnsiTheme="minorBidi"/>
                <w:i/>
                <w:iCs/>
                <w:sz w:val="22"/>
                <w:szCs w:val="22"/>
              </w:rPr>
            </w:pPr>
            <w:r w:rsidRPr="0013736D">
              <w:rPr>
                <w:rFonts w:asciiTheme="minorBidi" w:hAnsiTheme="minorBidi"/>
                <w:i/>
                <w:iCs/>
                <w:sz w:val="22"/>
                <w:szCs w:val="22"/>
              </w:rPr>
              <w:t>4</w:t>
            </w:r>
          </w:p>
        </w:tc>
        <w:tc>
          <w:tcPr>
            <w:tcW w:w="8413" w:type="dxa"/>
          </w:tcPr>
          <w:p w14:paraId="55ABE1A8" w14:textId="77777777" w:rsidR="00F7692A" w:rsidRPr="0013736D" w:rsidRDefault="00F7692A" w:rsidP="001D4222">
            <w:pPr>
              <w:spacing w:line="360" w:lineRule="auto"/>
              <w:jc w:val="both"/>
              <w:rPr>
                <w:rFonts w:asciiTheme="minorBidi" w:eastAsia="Times New Roman" w:hAnsiTheme="minorBidi"/>
                <w:kern w:val="0"/>
                <w:sz w:val="22"/>
                <w:szCs w:val="22"/>
                <w14:ligatures w14:val="none"/>
              </w:rPr>
            </w:pPr>
            <w:r w:rsidRPr="0013736D">
              <w:rPr>
                <w:rFonts w:asciiTheme="minorBidi" w:hAnsiTheme="minorBidi"/>
                <w:b/>
                <w:bCs/>
                <w:sz w:val="22"/>
                <w:szCs w:val="22"/>
                <w:u w:val="single"/>
              </w:rPr>
              <w:t>Objective 4:</w:t>
            </w:r>
            <w:r w:rsidRPr="0013736D">
              <w:rPr>
                <w:rFonts w:asciiTheme="minorBidi" w:eastAsia="Times New Roman" w:hAnsiTheme="minorBidi"/>
                <w:kern w:val="0"/>
                <w:sz w:val="22"/>
                <w:szCs w:val="22"/>
                <w14:ligatures w14:val="none"/>
              </w:rPr>
              <w:t xml:space="preserve"> To appraise the effectiveness of Blockchain Technology in enhancing the transparency of financial transactions in environments controlled by a CPA.</w:t>
            </w:r>
          </w:p>
          <w:p w14:paraId="3DFCCD89" w14:textId="77777777" w:rsidR="00F7692A" w:rsidRPr="0013736D" w:rsidRDefault="00F7692A" w:rsidP="001D4222">
            <w:pPr>
              <w:spacing w:line="360" w:lineRule="auto"/>
              <w:jc w:val="both"/>
              <w:rPr>
                <w:rFonts w:asciiTheme="minorBidi" w:hAnsiTheme="minorBidi"/>
                <w:sz w:val="22"/>
                <w:szCs w:val="22"/>
                <w:u w:val="single"/>
              </w:rPr>
            </w:pPr>
            <w:r w:rsidRPr="0013736D">
              <w:rPr>
                <w:rFonts w:asciiTheme="minorBidi" w:hAnsiTheme="minorBidi"/>
                <w:b/>
                <w:bCs/>
                <w:sz w:val="22"/>
                <w:szCs w:val="22"/>
                <w:u w:val="single"/>
              </w:rPr>
              <w:t>Question 4:</w:t>
            </w:r>
            <w:r w:rsidRPr="0013736D">
              <w:rPr>
                <w:rFonts w:asciiTheme="minorBidi" w:eastAsia="Times New Roman" w:hAnsiTheme="minorBidi"/>
                <w:kern w:val="0"/>
                <w:sz w:val="22"/>
                <w:szCs w:val="22"/>
                <w14:ligatures w14:val="none"/>
              </w:rPr>
              <w:t xml:space="preserve"> What influence would Blockchain Technology have on financial transactions' transparency in organisations run by psychopathic individuals?</w:t>
            </w:r>
          </w:p>
        </w:tc>
      </w:tr>
      <w:tr w:rsidR="00F7692A" w:rsidRPr="0013736D" w14:paraId="1C4EC563" w14:textId="77777777" w:rsidTr="001D4222">
        <w:tc>
          <w:tcPr>
            <w:tcW w:w="603" w:type="dxa"/>
          </w:tcPr>
          <w:p w14:paraId="2DC255DC" w14:textId="77777777" w:rsidR="00F7692A" w:rsidRPr="0013736D" w:rsidRDefault="00F7692A" w:rsidP="001D4222">
            <w:pPr>
              <w:pStyle w:val="ListParagraph"/>
              <w:spacing w:line="360" w:lineRule="auto"/>
              <w:ind w:left="0"/>
              <w:jc w:val="both"/>
              <w:rPr>
                <w:rFonts w:asciiTheme="minorBidi" w:hAnsiTheme="minorBidi"/>
                <w:i/>
                <w:iCs/>
                <w:sz w:val="22"/>
                <w:szCs w:val="22"/>
              </w:rPr>
            </w:pPr>
            <w:r w:rsidRPr="0013736D">
              <w:rPr>
                <w:rFonts w:asciiTheme="minorBidi" w:hAnsiTheme="minorBidi"/>
                <w:i/>
                <w:iCs/>
                <w:sz w:val="22"/>
                <w:szCs w:val="22"/>
              </w:rPr>
              <w:t>5</w:t>
            </w:r>
          </w:p>
        </w:tc>
        <w:tc>
          <w:tcPr>
            <w:tcW w:w="8413" w:type="dxa"/>
          </w:tcPr>
          <w:p w14:paraId="1364B11E" w14:textId="77777777" w:rsidR="00F7692A" w:rsidRPr="0013736D" w:rsidRDefault="00F7692A" w:rsidP="001D4222">
            <w:pPr>
              <w:spacing w:line="360" w:lineRule="auto"/>
              <w:jc w:val="both"/>
              <w:rPr>
                <w:rFonts w:asciiTheme="minorBidi" w:eastAsia="Times New Roman" w:hAnsiTheme="minorBidi"/>
                <w:kern w:val="0"/>
                <w:sz w:val="22"/>
                <w:szCs w:val="22"/>
                <w14:ligatures w14:val="none"/>
              </w:rPr>
            </w:pPr>
            <w:r w:rsidRPr="0013736D">
              <w:rPr>
                <w:rFonts w:asciiTheme="minorBidi" w:hAnsiTheme="minorBidi"/>
                <w:b/>
                <w:bCs/>
                <w:sz w:val="22"/>
                <w:szCs w:val="22"/>
                <w:u w:val="single"/>
              </w:rPr>
              <w:t>Objective 5:</w:t>
            </w:r>
            <w:r w:rsidRPr="0013736D">
              <w:rPr>
                <w:rFonts w:asciiTheme="minorBidi" w:eastAsia="Times New Roman" w:hAnsiTheme="minorBidi"/>
                <w:kern w:val="0"/>
                <w:sz w:val="22"/>
                <w:szCs w:val="22"/>
                <w14:ligatures w14:val="none"/>
              </w:rPr>
              <w:t xml:space="preserve"> To investigate the mechanisms by which Blockchain Technology can monitor and constrain Accounting Fraud in organisations led by a CPA. </w:t>
            </w:r>
          </w:p>
          <w:p w14:paraId="18EB775C" w14:textId="77777777" w:rsidR="00F7692A" w:rsidRPr="0013736D" w:rsidRDefault="00F7692A" w:rsidP="001D4222">
            <w:pPr>
              <w:spacing w:line="360" w:lineRule="auto"/>
              <w:jc w:val="both"/>
              <w:rPr>
                <w:rFonts w:asciiTheme="minorBidi" w:hAnsiTheme="minorBidi"/>
                <w:sz w:val="22"/>
                <w:szCs w:val="22"/>
                <w:u w:val="single"/>
              </w:rPr>
            </w:pPr>
            <w:r w:rsidRPr="0013736D">
              <w:rPr>
                <w:rFonts w:asciiTheme="minorBidi" w:hAnsiTheme="minorBidi"/>
                <w:b/>
                <w:bCs/>
                <w:sz w:val="22"/>
                <w:szCs w:val="22"/>
                <w:u w:val="single"/>
              </w:rPr>
              <w:t>Question 5:</w:t>
            </w:r>
            <w:r w:rsidRPr="0013736D">
              <w:rPr>
                <w:rFonts w:asciiTheme="minorBidi" w:eastAsia="Times New Roman" w:hAnsiTheme="minorBidi"/>
                <w:kern w:val="0"/>
                <w:sz w:val="22"/>
                <w:szCs w:val="22"/>
                <w14:ligatures w14:val="none"/>
              </w:rPr>
              <w:t xml:space="preserve"> W</w:t>
            </w:r>
            <w:r w:rsidRPr="0013736D">
              <w:rPr>
                <w:rFonts w:asciiTheme="minorBidi" w:hAnsiTheme="minorBidi"/>
                <w:sz w:val="22"/>
                <w:szCs w:val="22"/>
              </w:rPr>
              <w:t>hat role would Blockchain Technology play in monitoring and preventing Accounting Fraud managed by psychopathic leaders?</w:t>
            </w:r>
          </w:p>
        </w:tc>
      </w:tr>
      <w:tr w:rsidR="00F7692A" w:rsidRPr="0013736D" w14:paraId="116D69E5" w14:textId="77777777" w:rsidTr="001D4222">
        <w:tc>
          <w:tcPr>
            <w:tcW w:w="603" w:type="dxa"/>
          </w:tcPr>
          <w:p w14:paraId="14F72CF3" w14:textId="77777777" w:rsidR="00F7692A" w:rsidRPr="0013736D" w:rsidRDefault="00F7692A" w:rsidP="001D4222">
            <w:pPr>
              <w:pStyle w:val="ListParagraph"/>
              <w:spacing w:line="360" w:lineRule="auto"/>
              <w:ind w:left="0"/>
              <w:jc w:val="both"/>
              <w:rPr>
                <w:rFonts w:asciiTheme="minorBidi" w:hAnsiTheme="minorBidi"/>
                <w:i/>
                <w:iCs/>
                <w:sz w:val="22"/>
                <w:szCs w:val="22"/>
              </w:rPr>
            </w:pPr>
            <w:r w:rsidRPr="0013736D">
              <w:rPr>
                <w:rFonts w:asciiTheme="minorBidi" w:hAnsiTheme="minorBidi"/>
                <w:i/>
                <w:iCs/>
                <w:sz w:val="22"/>
                <w:szCs w:val="22"/>
              </w:rPr>
              <w:t>6</w:t>
            </w:r>
          </w:p>
        </w:tc>
        <w:tc>
          <w:tcPr>
            <w:tcW w:w="8413" w:type="dxa"/>
          </w:tcPr>
          <w:p w14:paraId="698432C7" w14:textId="77777777" w:rsidR="00F7692A" w:rsidRPr="0013736D" w:rsidRDefault="00F7692A" w:rsidP="001D4222">
            <w:pPr>
              <w:spacing w:line="360" w:lineRule="auto"/>
              <w:jc w:val="both"/>
              <w:rPr>
                <w:rFonts w:asciiTheme="minorBidi" w:eastAsia="Times New Roman" w:hAnsiTheme="minorBidi"/>
                <w:kern w:val="0"/>
                <w:sz w:val="22"/>
                <w:szCs w:val="22"/>
                <w14:ligatures w14:val="none"/>
              </w:rPr>
            </w:pPr>
            <w:r w:rsidRPr="0013736D">
              <w:rPr>
                <w:rFonts w:asciiTheme="minorBidi" w:hAnsiTheme="minorBidi"/>
                <w:b/>
                <w:bCs/>
                <w:sz w:val="22"/>
                <w:szCs w:val="22"/>
                <w:u w:val="single"/>
              </w:rPr>
              <w:t>Objective 6</w:t>
            </w:r>
            <w:r w:rsidRPr="0013736D">
              <w:rPr>
                <w:rFonts w:asciiTheme="minorBidi" w:hAnsiTheme="minorBidi"/>
                <w:sz w:val="22"/>
                <w:szCs w:val="22"/>
                <w:u w:val="single"/>
              </w:rPr>
              <w:t>:</w:t>
            </w:r>
            <w:r w:rsidRPr="0013736D">
              <w:rPr>
                <w:rFonts w:asciiTheme="minorBidi" w:eastAsia="Times New Roman" w:hAnsiTheme="minorBidi"/>
                <w:kern w:val="0"/>
                <w:sz w:val="22"/>
                <w:szCs w:val="22"/>
                <w14:ligatures w14:val="none"/>
              </w:rPr>
              <w:t xml:space="preserve"> </w:t>
            </w:r>
            <w:r w:rsidRPr="0013736D">
              <w:rPr>
                <w:rFonts w:asciiTheme="minorBidi" w:hAnsiTheme="minorBidi"/>
                <w:sz w:val="22"/>
                <w:szCs w:val="22"/>
              </w:rPr>
              <w:t>To propose a structured theoretical model, for consideration by the global accounting profession, with a view to implementation.</w:t>
            </w:r>
          </w:p>
          <w:p w14:paraId="0F9CE798" w14:textId="77777777" w:rsidR="00F7692A" w:rsidRPr="0013736D" w:rsidRDefault="00F7692A" w:rsidP="001D4222">
            <w:pPr>
              <w:spacing w:line="360" w:lineRule="auto"/>
              <w:jc w:val="both"/>
              <w:rPr>
                <w:rFonts w:asciiTheme="minorBidi" w:hAnsiTheme="minorBidi"/>
                <w:sz w:val="22"/>
                <w:szCs w:val="22"/>
                <w:u w:val="single"/>
              </w:rPr>
            </w:pPr>
            <w:r w:rsidRPr="0013736D">
              <w:rPr>
                <w:rFonts w:asciiTheme="minorBidi" w:hAnsiTheme="minorBidi"/>
                <w:b/>
                <w:bCs/>
                <w:sz w:val="22"/>
                <w:szCs w:val="22"/>
                <w:u w:val="single"/>
              </w:rPr>
              <w:t>Question 6:</w:t>
            </w:r>
            <w:r w:rsidRPr="0013736D">
              <w:rPr>
                <w:rFonts w:asciiTheme="minorBidi" w:eastAsia="Times New Roman" w:hAnsiTheme="minorBidi"/>
                <w:kern w:val="0"/>
                <w:sz w:val="22"/>
                <w:szCs w:val="22"/>
                <w14:ligatures w14:val="none"/>
              </w:rPr>
              <w:t xml:space="preserve"> </w:t>
            </w:r>
            <w:r w:rsidRPr="0013736D">
              <w:rPr>
                <w:rFonts w:asciiTheme="minorBidi" w:hAnsiTheme="minorBidi"/>
                <w:sz w:val="22"/>
                <w:szCs w:val="22"/>
              </w:rPr>
              <w:t>What are the alternatives to Blockchain Technology which may influence the behaviour of the CPA and lessen Accounting Fraud?</w:t>
            </w:r>
          </w:p>
        </w:tc>
      </w:tr>
    </w:tbl>
    <w:p w14:paraId="2D842818" w14:textId="77777777" w:rsidR="00F7692A" w:rsidRPr="0013736D" w:rsidRDefault="00F7692A" w:rsidP="00F7692A">
      <w:pPr>
        <w:pStyle w:val="ListParagraph"/>
        <w:spacing w:line="480" w:lineRule="auto"/>
        <w:ind w:left="0"/>
        <w:jc w:val="both"/>
        <w:rPr>
          <w:rFonts w:asciiTheme="minorBidi" w:hAnsiTheme="minorBidi"/>
          <w:b/>
          <w:bCs/>
        </w:rPr>
      </w:pPr>
    </w:p>
    <w:p w14:paraId="316BD11B" w14:textId="65B99DF8" w:rsidR="00F7692A" w:rsidRPr="0013736D" w:rsidRDefault="00F7692A" w:rsidP="00304468">
      <w:pPr>
        <w:spacing w:after="0" w:line="480" w:lineRule="auto"/>
        <w:jc w:val="both"/>
        <w:textAlignment w:val="baseline"/>
        <w:rPr>
          <w:rFonts w:ascii="Arial" w:eastAsiaTheme="majorEastAsia" w:hAnsi="Arial" w:cs="Arial"/>
          <w:kern w:val="0"/>
          <w14:ligatures w14:val="none"/>
        </w:rPr>
      </w:pPr>
      <w:r w:rsidRPr="0013736D">
        <w:rPr>
          <w:rFonts w:ascii="Arial" w:eastAsiaTheme="majorEastAsia" w:hAnsi="Arial" w:cs="Arial"/>
          <w:kern w:val="0"/>
          <w14:ligatures w14:val="none"/>
        </w:rPr>
        <w:t>The extensive literature review in chapter two resulted in six further Sub Research questions which could be allocated as follows, see Table 3.1.</w:t>
      </w:r>
    </w:p>
    <w:p w14:paraId="1041BF78" w14:textId="77777777" w:rsidR="00F7692A" w:rsidRPr="001E7AED" w:rsidRDefault="00F7692A" w:rsidP="00F7692A">
      <w:pPr>
        <w:spacing w:after="0" w:line="480" w:lineRule="auto"/>
        <w:jc w:val="both"/>
        <w:textAlignment w:val="baseline"/>
        <w:rPr>
          <w:rFonts w:ascii="Arial" w:eastAsiaTheme="majorEastAsia" w:hAnsi="Arial" w:cs="Arial"/>
          <w:b/>
          <w:bCs/>
          <w:kern w:val="0"/>
          <w14:ligatures w14:val="none"/>
        </w:rPr>
      </w:pPr>
      <w:r w:rsidRPr="001E7AED">
        <w:rPr>
          <w:rFonts w:ascii="Arial" w:eastAsiaTheme="majorEastAsia" w:hAnsi="Arial" w:cs="Arial"/>
          <w:b/>
          <w:bCs/>
          <w:kern w:val="0"/>
          <w14:ligatures w14:val="none"/>
        </w:rPr>
        <w:t>Table 3.1 Inclusion of Sub Research Questions (SRQ1 – SRQ6)</w:t>
      </w:r>
    </w:p>
    <w:tbl>
      <w:tblPr>
        <w:tblStyle w:val="TableGrid"/>
        <w:tblW w:w="0" w:type="auto"/>
        <w:tblLook w:val="04A0" w:firstRow="1" w:lastRow="0" w:firstColumn="1" w:lastColumn="0" w:noHBand="0" w:noVBand="1"/>
      </w:tblPr>
      <w:tblGrid>
        <w:gridCol w:w="603"/>
        <w:gridCol w:w="8413"/>
      </w:tblGrid>
      <w:tr w:rsidR="00F7692A" w:rsidRPr="00FC7946" w14:paraId="53779B33" w14:textId="77777777" w:rsidTr="001D4222">
        <w:trPr>
          <w:trHeight w:val="1067"/>
        </w:trPr>
        <w:tc>
          <w:tcPr>
            <w:tcW w:w="9016" w:type="dxa"/>
            <w:gridSpan w:val="2"/>
            <w:shd w:val="clear" w:color="auto" w:fill="D9D9D9" w:themeFill="background1" w:themeFillShade="D9"/>
          </w:tcPr>
          <w:p w14:paraId="455B1D15" w14:textId="77777777" w:rsidR="00F7692A" w:rsidRPr="00FC7946" w:rsidRDefault="00F7692A" w:rsidP="001D4222">
            <w:pPr>
              <w:pStyle w:val="QuotesAZ"/>
              <w:ind w:firstLine="0"/>
              <w:rPr>
                <w:rFonts w:asciiTheme="minorBidi" w:hAnsiTheme="minorBidi"/>
                <w:b/>
                <w:bCs/>
                <w:sz w:val="22"/>
              </w:rPr>
            </w:pPr>
            <w:r w:rsidRPr="00FC7946">
              <w:rPr>
                <w:rFonts w:asciiTheme="minorBidi" w:hAnsiTheme="minorBidi"/>
                <w:b/>
                <w:bCs/>
                <w:sz w:val="22"/>
                <w:u w:val="single"/>
              </w:rPr>
              <w:t>Research Aim</w:t>
            </w:r>
            <w:r w:rsidRPr="00FC7946">
              <w:rPr>
                <w:rFonts w:asciiTheme="minorBidi" w:hAnsiTheme="minorBidi"/>
                <w:b/>
                <w:bCs/>
                <w:sz w:val="22"/>
              </w:rPr>
              <w:t>: To what extent can Blockchain Technology influence the behaviour of the Corporate Psychopath and reduce Accounting Fraud</w:t>
            </w:r>
          </w:p>
        </w:tc>
      </w:tr>
      <w:tr w:rsidR="00F7692A" w:rsidRPr="00FC7946" w14:paraId="2D8EF8A3" w14:textId="77777777" w:rsidTr="001D4222">
        <w:tc>
          <w:tcPr>
            <w:tcW w:w="603" w:type="dxa"/>
          </w:tcPr>
          <w:p w14:paraId="2E89D4EF" w14:textId="77777777" w:rsidR="00F7692A" w:rsidRPr="00FC7946" w:rsidRDefault="00F7692A" w:rsidP="001D4222">
            <w:pPr>
              <w:pStyle w:val="ListParagraph"/>
              <w:spacing w:line="360" w:lineRule="auto"/>
              <w:ind w:left="0"/>
              <w:jc w:val="both"/>
              <w:rPr>
                <w:rFonts w:asciiTheme="minorBidi" w:hAnsiTheme="minorBidi"/>
                <w:b/>
                <w:bCs/>
                <w:i/>
                <w:iCs/>
                <w:sz w:val="22"/>
                <w:szCs w:val="22"/>
              </w:rPr>
            </w:pPr>
            <w:r w:rsidRPr="00FC7946">
              <w:rPr>
                <w:rFonts w:asciiTheme="minorBidi" w:hAnsiTheme="minorBidi"/>
                <w:b/>
                <w:bCs/>
                <w:i/>
                <w:iCs/>
                <w:sz w:val="22"/>
                <w:szCs w:val="22"/>
              </w:rPr>
              <w:t>No.</w:t>
            </w:r>
          </w:p>
        </w:tc>
        <w:tc>
          <w:tcPr>
            <w:tcW w:w="8413" w:type="dxa"/>
            <w:shd w:val="clear" w:color="auto" w:fill="D9D9D9" w:themeFill="background1" w:themeFillShade="D9"/>
          </w:tcPr>
          <w:p w14:paraId="78BAB3C1" w14:textId="77777777" w:rsidR="00F7692A" w:rsidRPr="00FC7946" w:rsidRDefault="00F7692A" w:rsidP="001D4222">
            <w:pPr>
              <w:pStyle w:val="ListParagraph"/>
              <w:spacing w:line="360" w:lineRule="auto"/>
              <w:ind w:left="0"/>
              <w:jc w:val="both"/>
              <w:rPr>
                <w:rFonts w:asciiTheme="minorBidi" w:hAnsiTheme="minorBidi"/>
                <w:b/>
                <w:bCs/>
                <w:i/>
                <w:iCs/>
                <w:sz w:val="22"/>
                <w:szCs w:val="22"/>
                <w:u w:val="single"/>
              </w:rPr>
            </w:pPr>
            <w:r w:rsidRPr="00FC7946">
              <w:rPr>
                <w:rFonts w:asciiTheme="minorBidi" w:hAnsiTheme="minorBidi"/>
                <w:b/>
                <w:bCs/>
                <w:i/>
                <w:iCs/>
                <w:sz w:val="22"/>
                <w:szCs w:val="22"/>
                <w:u w:val="single"/>
              </w:rPr>
              <w:t>Research Objectives &amp; Questions</w:t>
            </w:r>
          </w:p>
        </w:tc>
      </w:tr>
      <w:tr w:rsidR="00F7692A" w:rsidRPr="00FC7946" w14:paraId="1CC297E7" w14:textId="77777777" w:rsidTr="001D4222">
        <w:tc>
          <w:tcPr>
            <w:tcW w:w="603" w:type="dxa"/>
          </w:tcPr>
          <w:p w14:paraId="60E55310" w14:textId="77777777" w:rsidR="00F7692A" w:rsidRPr="0013736D" w:rsidRDefault="00F7692A" w:rsidP="001D4222">
            <w:pPr>
              <w:pStyle w:val="ListParagraph"/>
              <w:spacing w:line="360" w:lineRule="auto"/>
              <w:ind w:left="0"/>
              <w:jc w:val="both"/>
              <w:rPr>
                <w:rFonts w:asciiTheme="minorBidi" w:hAnsiTheme="minorBidi"/>
                <w:i/>
                <w:iCs/>
                <w:sz w:val="22"/>
                <w:szCs w:val="22"/>
              </w:rPr>
            </w:pPr>
            <w:r w:rsidRPr="0013736D">
              <w:rPr>
                <w:rFonts w:asciiTheme="minorBidi" w:hAnsiTheme="minorBidi"/>
                <w:i/>
                <w:iCs/>
                <w:sz w:val="22"/>
                <w:szCs w:val="22"/>
              </w:rPr>
              <w:t>1</w:t>
            </w:r>
          </w:p>
        </w:tc>
        <w:tc>
          <w:tcPr>
            <w:tcW w:w="8413" w:type="dxa"/>
          </w:tcPr>
          <w:p w14:paraId="58B08273" w14:textId="77777777" w:rsidR="00F7692A" w:rsidRPr="0013736D" w:rsidRDefault="00F7692A" w:rsidP="001D4222">
            <w:pPr>
              <w:spacing w:line="360" w:lineRule="auto"/>
              <w:jc w:val="both"/>
              <w:rPr>
                <w:rFonts w:asciiTheme="minorBidi" w:hAnsiTheme="minorBidi"/>
                <w:sz w:val="22"/>
                <w:szCs w:val="22"/>
              </w:rPr>
            </w:pPr>
            <w:r w:rsidRPr="0013736D">
              <w:rPr>
                <w:rFonts w:asciiTheme="minorBidi" w:hAnsiTheme="minorBidi"/>
                <w:b/>
                <w:bCs/>
                <w:sz w:val="22"/>
                <w:szCs w:val="22"/>
                <w:u w:val="single"/>
              </w:rPr>
              <w:t>Objective 1:</w:t>
            </w:r>
            <w:r w:rsidRPr="0013736D">
              <w:rPr>
                <w:rFonts w:asciiTheme="minorBidi" w:hAnsiTheme="minorBidi"/>
                <w:sz w:val="22"/>
                <w:szCs w:val="22"/>
              </w:rPr>
              <w:t xml:space="preserve"> To undertake a broad review and synthesis of existing literature on Accounting Fraud, identifying key themes &amp; techniques, findings, and gaps in the research.</w:t>
            </w:r>
          </w:p>
          <w:p w14:paraId="0689565D" w14:textId="77777777" w:rsidR="00F7692A" w:rsidRPr="0013736D" w:rsidRDefault="00F7692A" w:rsidP="001D4222">
            <w:pPr>
              <w:spacing w:line="360" w:lineRule="auto"/>
              <w:jc w:val="both"/>
              <w:rPr>
                <w:rFonts w:asciiTheme="minorBidi" w:hAnsiTheme="minorBidi"/>
                <w:sz w:val="22"/>
                <w:szCs w:val="22"/>
              </w:rPr>
            </w:pPr>
            <w:r w:rsidRPr="0013736D">
              <w:rPr>
                <w:rFonts w:asciiTheme="minorBidi" w:hAnsiTheme="minorBidi"/>
                <w:b/>
                <w:bCs/>
                <w:sz w:val="22"/>
                <w:szCs w:val="22"/>
                <w:u w:val="single"/>
              </w:rPr>
              <w:t>Question 1:</w:t>
            </w:r>
            <w:r w:rsidRPr="0013736D">
              <w:rPr>
                <w:rFonts w:asciiTheme="minorBidi" w:hAnsiTheme="minorBidi"/>
                <w:sz w:val="22"/>
                <w:szCs w:val="22"/>
              </w:rPr>
              <w:t xml:space="preserve"> What does the current literature state about Accounting Fraud?</w:t>
            </w:r>
          </w:p>
          <w:p w14:paraId="5DC2E66E" w14:textId="77777777" w:rsidR="00F7692A" w:rsidRPr="0013736D" w:rsidRDefault="00F7692A" w:rsidP="001D4222">
            <w:pPr>
              <w:spacing w:line="360" w:lineRule="auto"/>
              <w:jc w:val="both"/>
              <w:rPr>
                <w:rFonts w:asciiTheme="minorBidi" w:hAnsiTheme="minorBidi"/>
                <w:sz w:val="22"/>
                <w:szCs w:val="22"/>
              </w:rPr>
            </w:pPr>
          </w:p>
          <w:p w14:paraId="190EF017" w14:textId="77777777" w:rsidR="00F7692A" w:rsidRPr="0013736D" w:rsidRDefault="00F7692A" w:rsidP="001D4222">
            <w:pPr>
              <w:spacing w:line="360" w:lineRule="auto"/>
              <w:jc w:val="both"/>
              <w:rPr>
                <w:rFonts w:asciiTheme="minorBidi" w:hAnsiTheme="minorBidi"/>
                <w:b/>
                <w:bCs/>
                <w:sz w:val="22"/>
                <w:szCs w:val="22"/>
              </w:rPr>
            </w:pPr>
            <w:r w:rsidRPr="0013736D">
              <w:rPr>
                <w:rFonts w:asciiTheme="minorBidi" w:hAnsiTheme="minorBidi"/>
                <w:b/>
                <w:bCs/>
                <w:sz w:val="22"/>
                <w:szCs w:val="22"/>
              </w:rPr>
              <w:t>SRQ4: Would a lengthy prison sentence or / and significant fine deter Accounting Fraud? </w:t>
            </w:r>
          </w:p>
          <w:p w14:paraId="6D1D6BEF" w14:textId="77777777" w:rsidR="00F7692A" w:rsidRPr="0013736D" w:rsidRDefault="00F7692A" w:rsidP="001D4222">
            <w:pPr>
              <w:rPr>
                <w:rFonts w:asciiTheme="minorBidi" w:eastAsia="Times New Roman" w:hAnsiTheme="minorBidi"/>
                <w:b/>
                <w:bCs/>
                <w:sz w:val="22"/>
                <w:szCs w:val="22"/>
              </w:rPr>
            </w:pPr>
            <w:r w:rsidRPr="0013736D">
              <w:rPr>
                <w:rFonts w:asciiTheme="minorBidi" w:hAnsiTheme="minorBidi"/>
                <w:b/>
                <w:bCs/>
                <w:sz w:val="22"/>
                <w:szCs w:val="22"/>
              </w:rPr>
              <w:t> </w:t>
            </w:r>
            <w:r w:rsidRPr="0013736D">
              <w:rPr>
                <w:rFonts w:asciiTheme="minorBidi" w:hAnsiTheme="minorBidi"/>
                <w:b/>
                <w:bCs/>
                <w:sz w:val="22"/>
                <w:szCs w:val="22"/>
                <w:lang w:val="en-US"/>
              </w:rPr>
              <w:t> </w:t>
            </w:r>
          </w:p>
        </w:tc>
      </w:tr>
      <w:tr w:rsidR="00F7692A" w:rsidRPr="00FC7946" w14:paraId="5007BB05" w14:textId="77777777" w:rsidTr="001D4222">
        <w:tc>
          <w:tcPr>
            <w:tcW w:w="603" w:type="dxa"/>
          </w:tcPr>
          <w:p w14:paraId="704A37EE" w14:textId="77777777" w:rsidR="00F7692A" w:rsidRPr="00FC7946" w:rsidRDefault="00F7692A" w:rsidP="001D4222">
            <w:pPr>
              <w:pStyle w:val="ListParagraph"/>
              <w:spacing w:line="360" w:lineRule="auto"/>
              <w:ind w:left="0"/>
              <w:jc w:val="both"/>
              <w:rPr>
                <w:rFonts w:asciiTheme="minorBidi" w:hAnsiTheme="minorBidi"/>
                <w:i/>
                <w:iCs/>
                <w:sz w:val="22"/>
                <w:szCs w:val="22"/>
              </w:rPr>
            </w:pPr>
            <w:r w:rsidRPr="00FC7946">
              <w:rPr>
                <w:rFonts w:asciiTheme="minorBidi" w:hAnsiTheme="minorBidi"/>
                <w:i/>
                <w:iCs/>
                <w:sz w:val="22"/>
                <w:szCs w:val="22"/>
              </w:rPr>
              <w:lastRenderedPageBreak/>
              <w:t>3</w:t>
            </w:r>
          </w:p>
        </w:tc>
        <w:tc>
          <w:tcPr>
            <w:tcW w:w="8413" w:type="dxa"/>
          </w:tcPr>
          <w:p w14:paraId="6A509C72" w14:textId="77777777" w:rsidR="00F7692A" w:rsidRPr="00EB565F" w:rsidRDefault="00F7692A" w:rsidP="001D4222">
            <w:pPr>
              <w:spacing w:line="360" w:lineRule="auto"/>
              <w:jc w:val="both"/>
              <w:rPr>
                <w:rFonts w:asciiTheme="minorBidi" w:hAnsiTheme="minorBidi"/>
                <w:sz w:val="22"/>
                <w:szCs w:val="22"/>
              </w:rPr>
            </w:pPr>
            <w:r w:rsidRPr="00EB565F">
              <w:rPr>
                <w:rFonts w:asciiTheme="minorBidi" w:hAnsiTheme="minorBidi"/>
                <w:b/>
                <w:bCs/>
                <w:sz w:val="22"/>
                <w:szCs w:val="22"/>
                <w:u w:val="single"/>
              </w:rPr>
              <w:t>Objective 3:</w:t>
            </w:r>
            <w:r w:rsidRPr="00EB565F">
              <w:rPr>
                <w:rFonts w:asciiTheme="minorBidi" w:hAnsiTheme="minorBidi"/>
                <w:sz w:val="22"/>
                <w:szCs w:val="22"/>
              </w:rPr>
              <w:t xml:space="preserve"> To explore and demarcate the distinctions between general psychopathy and corporate psychopathy, focusing on behavioural aspects, and influence on organisational settings.</w:t>
            </w:r>
          </w:p>
          <w:p w14:paraId="318EAC57" w14:textId="77777777" w:rsidR="00F7692A" w:rsidRPr="00EB565F" w:rsidRDefault="00F7692A" w:rsidP="001D4222">
            <w:pPr>
              <w:spacing w:line="360" w:lineRule="auto"/>
              <w:jc w:val="both"/>
              <w:rPr>
                <w:rFonts w:asciiTheme="minorBidi" w:hAnsiTheme="minorBidi"/>
                <w:sz w:val="22"/>
                <w:szCs w:val="22"/>
              </w:rPr>
            </w:pPr>
            <w:r w:rsidRPr="00EB565F">
              <w:rPr>
                <w:rFonts w:asciiTheme="minorBidi" w:hAnsiTheme="minorBidi"/>
                <w:b/>
                <w:bCs/>
                <w:sz w:val="22"/>
                <w:szCs w:val="22"/>
                <w:u w:val="single"/>
              </w:rPr>
              <w:t>Question 3:</w:t>
            </w:r>
            <w:r w:rsidRPr="00EB565F">
              <w:rPr>
                <w:rFonts w:asciiTheme="minorBidi" w:hAnsiTheme="minorBidi"/>
                <w:sz w:val="22"/>
                <w:szCs w:val="22"/>
              </w:rPr>
              <w:t xml:space="preserve"> What is the difference between a Psychopath and a Corporate Psychopath?</w:t>
            </w:r>
          </w:p>
          <w:p w14:paraId="497640CC" w14:textId="77777777" w:rsidR="00F7692A" w:rsidRPr="00EB565F" w:rsidRDefault="00F7692A" w:rsidP="001D4222">
            <w:pPr>
              <w:spacing w:line="360" w:lineRule="auto"/>
              <w:jc w:val="both"/>
              <w:rPr>
                <w:rFonts w:asciiTheme="minorBidi" w:eastAsia="Times New Roman" w:hAnsiTheme="minorBidi"/>
                <w:b/>
                <w:bCs/>
                <w:sz w:val="22"/>
                <w:szCs w:val="22"/>
              </w:rPr>
            </w:pPr>
            <w:r w:rsidRPr="00EB565F">
              <w:rPr>
                <w:rFonts w:asciiTheme="minorBidi" w:hAnsiTheme="minorBidi"/>
                <w:b/>
                <w:bCs/>
                <w:sz w:val="22"/>
                <w:szCs w:val="22"/>
              </w:rPr>
              <w:t>SRQ1:  How do L6 Accounting students’ scores vary on the LSRP?  </w:t>
            </w:r>
          </w:p>
          <w:p w14:paraId="58A0BEFB" w14:textId="77777777" w:rsidR="00F7692A" w:rsidRPr="00EB565F" w:rsidRDefault="00F7692A" w:rsidP="001D4222">
            <w:pPr>
              <w:spacing w:line="360" w:lineRule="auto"/>
              <w:jc w:val="both"/>
              <w:rPr>
                <w:rFonts w:asciiTheme="minorBidi" w:eastAsia="Times New Roman" w:hAnsiTheme="minorBidi"/>
                <w:b/>
                <w:bCs/>
                <w:sz w:val="22"/>
                <w:szCs w:val="22"/>
              </w:rPr>
            </w:pPr>
            <w:r w:rsidRPr="00EB565F">
              <w:rPr>
                <w:rFonts w:asciiTheme="minorBidi" w:hAnsiTheme="minorBidi"/>
                <w:b/>
                <w:bCs/>
                <w:sz w:val="22"/>
                <w:szCs w:val="22"/>
              </w:rPr>
              <w:t>SRQ2:  Do Accounting students’ scores differ across age and gender?  </w:t>
            </w:r>
          </w:p>
          <w:p w14:paraId="29CB7A1A" w14:textId="77777777" w:rsidR="00F7692A" w:rsidRPr="00EB565F" w:rsidRDefault="00F7692A" w:rsidP="001D4222">
            <w:pPr>
              <w:spacing w:line="360" w:lineRule="auto"/>
              <w:jc w:val="both"/>
              <w:rPr>
                <w:rFonts w:asciiTheme="minorBidi" w:hAnsiTheme="minorBidi"/>
                <w:sz w:val="22"/>
                <w:szCs w:val="22"/>
              </w:rPr>
            </w:pPr>
            <w:r w:rsidRPr="00EB565F">
              <w:rPr>
                <w:rFonts w:asciiTheme="minorBidi" w:hAnsiTheme="minorBidi"/>
                <w:b/>
                <w:bCs/>
                <w:sz w:val="22"/>
                <w:szCs w:val="22"/>
              </w:rPr>
              <w:t>SRQ3:  How highly do the LSRP scores correlate with the approval of dubious or explicitly fraudulent practices?</w:t>
            </w:r>
            <w:r w:rsidRPr="00EB565F">
              <w:rPr>
                <w:rFonts w:asciiTheme="minorBidi" w:hAnsiTheme="minorBidi"/>
                <w:sz w:val="22"/>
                <w:szCs w:val="22"/>
              </w:rPr>
              <w:t> </w:t>
            </w:r>
          </w:p>
          <w:p w14:paraId="7E1805E4" w14:textId="77777777" w:rsidR="00F7692A" w:rsidRPr="00EB565F" w:rsidRDefault="00F7692A" w:rsidP="001D4222">
            <w:pPr>
              <w:spacing w:line="360" w:lineRule="auto"/>
              <w:jc w:val="both"/>
              <w:rPr>
                <w:rFonts w:asciiTheme="minorBidi" w:eastAsia="Times New Roman" w:hAnsiTheme="minorBidi"/>
                <w:b/>
                <w:bCs/>
                <w:sz w:val="22"/>
                <w:szCs w:val="22"/>
              </w:rPr>
            </w:pPr>
            <w:r w:rsidRPr="00EB565F">
              <w:rPr>
                <w:rFonts w:asciiTheme="minorBidi" w:hAnsiTheme="minorBidi"/>
                <w:b/>
                <w:bCs/>
                <w:sz w:val="22"/>
                <w:szCs w:val="22"/>
              </w:rPr>
              <w:t>SRQ5: Have auditors ever experienced psychopathic senior managers / clients and to what extent did this impact the audit assignment? </w:t>
            </w:r>
          </w:p>
          <w:p w14:paraId="7AA702D8" w14:textId="77777777" w:rsidR="00F7692A" w:rsidRPr="00EB565F" w:rsidRDefault="00F7692A" w:rsidP="001D4222">
            <w:pPr>
              <w:jc w:val="both"/>
              <w:rPr>
                <w:rFonts w:asciiTheme="minorBidi" w:hAnsiTheme="minorBidi"/>
                <w:sz w:val="22"/>
                <w:szCs w:val="22"/>
              </w:rPr>
            </w:pPr>
          </w:p>
          <w:p w14:paraId="742524F5" w14:textId="77777777" w:rsidR="00F7692A" w:rsidRPr="00EB565F" w:rsidRDefault="00F7692A" w:rsidP="001D4222">
            <w:pPr>
              <w:jc w:val="both"/>
              <w:rPr>
                <w:rFonts w:asciiTheme="minorBidi" w:eastAsia="Times New Roman" w:hAnsiTheme="minorBidi"/>
                <w:sz w:val="22"/>
                <w:szCs w:val="22"/>
              </w:rPr>
            </w:pPr>
          </w:p>
        </w:tc>
      </w:tr>
      <w:tr w:rsidR="00F7692A" w:rsidRPr="00FC7946" w14:paraId="0FA6EC64" w14:textId="77777777" w:rsidTr="001D4222">
        <w:tc>
          <w:tcPr>
            <w:tcW w:w="603" w:type="dxa"/>
          </w:tcPr>
          <w:p w14:paraId="539E9DEF" w14:textId="77777777" w:rsidR="00F7692A" w:rsidRPr="00FC7946" w:rsidRDefault="00F7692A" w:rsidP="001D4222">
            <w:pPr>
              <w:pStyle w:val="ListParagraph"/>
              <w:spacing w:line="360" w:lineRule="auto"/>
              <w:ind w:left="0"/>
              <w:jc w:val="both"/>
              <w:rPr>
                <w:rFonts w:asciiTheme="minorBidi" w:hAnsiTheme="minorBidi"/>
                <w:i/>
                <w:iCs/>
                <w:sz w:val="22"/>
                <w:szCs w:val="22"/>
              </w:rPr>
            </w:pPr>
            <w:r w:rsidRPr="00FC7946">
              <w:rPr>
                <w:rFonts w:asciiTheme="minorBidi" w:hAnsiTheme="minorBidi"/>
                <w:i/>
                <w:iCs/>
                <w:sz w:val="22"/>
                <w:szCs w:val="22"/>
              </w:rPr>
              <w:t>6</w:t>
            </w:r>
          </w:p>
        </w:tc>
        <w:tc>
          <w:tcPr>
            <w:tcW w:w="8413" w:type="dxa"/>
          </w:tcPr>
          <w:p w14:paraId="071DC1FA" w14:textId="77777777" w:rsidR="00F7692A" w:rsidRPr="0013736D" w:rsidRDefault="00F7692A" w:rsidP="001D4222">
            <w:pPr>
              <w:spacing w:line="360" w:lineRule="auto"/>
              <w:jc w:val="both"/>
              <w:rPr>
                <w:rFonts w:asciiTheme="minorBidi" w:eastAsia="Times New Roman" w:hAnsiTheme="minorBidi"/>
                <w:kern w:val="0"/>
                <w:sz w:val="22"/>
                <w:szCs w:val="22"/>
                <w14:ligatures w14:val="none"/>
              </w:rPr>
            </w:pPr>
            <w:r w:rsidRPr="0013736D">
              <w:rPr>
                <w:rFonts w:asciiTheme="minorBidi" w:hAnsiTheme="minorBidi"/>
                <w:b/>
                <w:bCs/>
                <w:sz w:val="22"/>
                <w:szCs w:val="22"/>
                <w:u w:val="single"/>
              </w:rPr>
              <w:t>Objective 6</w:t>
            </w:r>
            <w:r w:rsidRPr="0013736D">
              <w:rPr>
                <w:rFonts w:asciiTheme="minorBidi" w:hAnsiTheme="minorBidi"/>
                <w:sz w:val="22"/>
                <w:szCs w:val="22"/>
                <w:u w:val="single"/>
              </w:rPr>
              <w:t>:</w:t>
            </w:r>
            <w:r w:rsidRPr="0013736D">
              <w:rPr>
                <w:rFonts w:asciiTheme="minorBidi" w:eastAsia="Times New Roman" w:hAnsiTheme="minorBidi"/>
                <w:kern w:val="0"/>
                <w:sz w:val="22"/>
                <w:szCs w:val="22"/>
                <w14:ligatures w14:val="none"/>
              </w:rPr>
              <w:t xml:space="preserve"> </w:t>
            </w:r>
            <w:r w:rsidRPr="0013736D">
              <w:rPr>
                <w:rFonts w:asciiTheme="minorBidi" w:hAnsiTheme="minorBidi"/>
                <w:sz w:val="22"/>
                <w:szCs w:val="22"/>
              </w:rPr>
              <w:t>To propose a structured theoretical model, for consideration by the global accounting profession, with a view to implementation.</w:t>
            </w:r>
          </w:p>
          <w:p w14:paraId="1BA759BB" w14:textId="77777777" w:rsidR="00F7692A" w:rsidRDefault="00F7692A" w:rsidP="001D4222">
            <w:pPr>
              <w:spacing w:line="360" w:lineRule="auto"/>
              <w:jc w:val="both"/>
              <w:rPr>
                <w:rFonts w:asciiTheme="minorBidi" w:hAnsiTheme="minorBidi"/>
                <w:sz w:val="22"/>
                <w:szCs w:val="22"/>
              </w:rPr>
            </w:pPr>
            <w:r w:rsidRPr="0013736D">
              <w:rPr>
                <w:rFonts w:asciiTheme="minorBidi" w:hAnsiTheme="minorBidi"/>
                <w:b/>
                <w:bCs/>
                <w:sz w:val="22"/>
                <w:szCs w:val="22"/>
                <w:u w:val="single"/>
              </w:rPr>
              <w:t>Question 6:</w:t>
            </w:r>
            <w:r w:rsidRPr="0013736D">
              <w:rPr>
                <w:rFonts w:asciiTheme="minorBidi" w:eastAsia="Times New Roman" w:hAnsiTheme="minorBidi"/>
                <w:kern w:val="0"/>
                <w:sz w:val="22"/>
                <w:szCs w:val="22"/>
                <w14:ligatures w14:val="none"/>
              </w:rPr>
              <w:t xml:space="preserve"> </w:t>
            </w:r>
            <w:r w:rsidRPr="0013736D">
              <w:rPr>
                <w:rFonts w:asciiTheme="minorBidi" w:hAnsiTheme="minorBidi"/>
                <w:sz w:val="22"/>
                <w:szCs w:val="22"/>
              </w:rPr>
              <w:t>What are the alternatives to Blockchain Technology which may influence the behaviour of the CPA and lessen Accounting Fraud?</w:t>
            </w:r>
          </w:p>
          <w:p w14:paraId="7E2A2077" w14:textId="77777777" w:rsidR="00F7692A" w:rsidRPr="0013736D" w:rsidRDefault="00F7692A" w:rsidP="001D4222">
            <w:pPr>
              <w:spacing w:line="360" w:lineRule="auto"/>
              <w:jc w:val="both"/>
              <w:rPr>
                <w:rFonts w:asciiTheme="minorBidi" w:hAnsiTheme="minorBidi"/>
                <w:sz w:val="22"/>
                <w:szCs w:val="22"/>
              </w:rPr>
            </w:pPr>
          </w:p>
          <w:p w14:paraId="312C64A6" w14:textId="77777777" w:rsidR="00F7692A" w:rsidRPr="0013736D" w:rsidRDefault="00F7692A" w:rsidP="001D4222">
            <w:pPr>
              <w:spacing w:line="360" w:lineRule="auto"/>
              <w:jc w:val="both"/>
              <w:rPr>
                <w:rFonts w:asciiTheme="minorBidi" w:eastAsia="Times New Roman" w:hAnsiTheme="minorBidi"/>
                <w:b/>
                <w:bCs/>
                <w:sz w:val="22"/>
                <w:szCs w:val="22"/>
                <w:lang w:val="en-US"/>
              </w:rPr>
            </w:pPr>
            <w:r w:rsidRPr="0013736D">
              <w:rPr>
                <w:rFonts w:asciiTheme="minorBidi" w:hAnsiTheme="minorBidi"/>
                <w:b/>
                <w:bCs/>
                <w:sz w:val="22"/>
                <w:szCs w:val="22"/>
              </w:rPr>
              <w:t>SRQ6: To what extent do auditors and / or subject matter experts believe that the BCT features of distributed ledger, immutability and permissioned rights can lessen the influence of the Corporate Accountant Psychopath and Accounting Fraud? </w:t>
            </w:r>
          </w:p>
          <w:p w14:paraId="0F1E120B" w14:textId="77777777" w:rsidR="00F7692A" w:rsidRPr="0013736D" w:rsidRDefault="00F7692A" w:rsidP="001D4222">
            <w:pPr>
              <w:spacing w:line="360" w:lineRule="auto"/>
              <w:jc w:val="both"/>
              <w:rPr>
                <w:rFonts w:asciiTheme="minorBidi" w:hAnsiTheme="minorBidi"/>
                <w:sz w:val="22"/>
                <w:szCs w:val="22"/>
                <w:u w:val="single"/>
              </w:rPr>
            </w:pPr>
          </w:p>
        </w:tc>
      </w:tr>
    </w:tbl>
    <w:p w14:paraId="11C77B3E" w14:textId="77777777" w:rsidR="00F7692A" w:rsidRDefault="00F7692A" w:rsidP="00F7692A">
      <w:pPr>
        <w:spacing w:after="0" w:line="480" w:lineRule="auto"/>
        <w:jc w:val="both"/>
        <w:textAlignment w:val="baseline"/>
        <w:rPr>
          <w:rFonts w:ascii="Arial" w:eastAsiaTheme="majorEastAsia" w:hAnsi="Arial" w:cs="Arial"/>
          <w:color w:val="FF0000"/>
          <w:kern w:val="0"/>
          <w14:ligatures w14:val="none"/>
        </w:rPr>
      </w:pPr>
    </w:p>
    <w:p w14:paraId="2CCFB4DE" w14:textId="77777777" w:rsidR="00F7692A" w:rsidRPr="00D126B5" w:rsidRDefault="00F7692A" w:rsidP="00F7692A">
      <w:pPr>
        <w:spacing w:line="480" w:lineRule="auto"/>
        <w:jc w:val="both"/>
        <w:rPr>
          <w:rFonts w:asciiTheme="minorBidi" w:hAnsiTheme="minorBidi"/>
          <w:color w:val="000000" w:themeColor="text1"/>
        </w:rPr>
      </w:pPr>
      <w:r w:rsidRPr="00D126B5">
        <w:rPr>
          <w:rFonts w:asciiTheme="minorBidi" w:hAnsiTheme="minorBidi"/>
          <w:color w:val="000000" w:themeColor="text1"/>
        </w:rPr>
        <w:t xml:space="preserve">To achieve the </w:t>
      </w:r>
      <w:r>
        <w:rPr>
          <w:rFonts w:asciiTheme="minorBidi" w:hAnsiTheme="minorBidi"/>
          <w:color w:val="000000" w:themeColor="text1"/>
        </w:rPr>
        <w:t>aim</w:t>
      </w:r>
      <w:r w:rsidRPr="00D126B5">
        <w:rPr>
          <w:rFonts w:asciiTheme="minorBidi" w:hAnsiTheme="minorBidi"/>
          <w:color w:val="000000" w:themeColor="text1"/>
        </w:rPr>
        <w:t xml:space="preserve"> of this study and posit potential answers to the research questions listed above, the philosophical assumptions that underpin this study will be outlined and discussed in this chapter along with the rationale for research design, data collection techniques, sampling methods, and data analysis approach. This is important as findings are shaped by the assumption and experiences of the researcher conducting the study and doing data analysis (Thomas, 2006).</w:t>
      </w:r>
    </w:p>
    <w:bookmarkStart w:id="683" w:name="D83"/>
    <w:p w14:paraId="375A7D18" w14:textId="271EA116" w:rsidR="00F7692A" w:rsidRPr="00D126B5" w:rsidRDefault="00455B01" w:rsidP="00952F7A">
      <w:pPr>
        <w:pBdr>
          <w:top w:val="single" w:sz="4" w:space="1" w:color="auto"/>
          <w:left w:val="single" w:sz="4" w:space="4" w:color="auto"/>
          <w:bottom w:val="single" w:sz="4" w:space="1" w:color="auto"/>
          <w:right w:val="single" w:sz="4" w:space="4" w:color="auto"/>
        </w:pBdr>
        <w:spacing w:line="240" w:lineRule="auto"/>
        <w:jc w:val="both"/>
        <w:rPr>
          <w:rFonts w:asciiTheme="minorBidi" w:hAnsiTheme="minorBidi"/>
          <w:b/>
          <w:bCs/>
          <w:color w:val="000000" w:themeColor="text1"/>
        </w:rPr>
      </w:pPr>
      <w:r>
        <w:rPr>
          <w:rFonts w:asciiTheme="minorBidi" w:hAnsiTheme="minorBidi"/>
          <w:b/>
          <w:bCs/>
          <w:color w:val="000000" w:themeColor="text1"/>
        </w:rPr>
        <w:lastRenderedPageBreak/>
        <w:fldChar w:fldCharType="begin"/>
      </w:r>
      <w:r>
        <w:rPr>
          <w:rFonts w:asciiTheme="minorBidi" w:hAnsiTheme="minorBidi"/>
          <w:b/>
          <w:bCs/>
          <w:color w:val="000000" w:themeColor="text1"/>
        </w:rPr>
        <w:instrText>HYPERLINK  \l "C83"</w:instrText>
      </w:r>
      <w:r>
        <w:rPr>
          <w:rFonts w:asciiTheme="minorBidi" w:hAnsiTheme="minorBidi"/>
          <w:b/>
          <w:bCs/>
          <w:color w:val="000000" w:themeColor="text1"/>
        </w:rPr>
      </w:r>
      <w:r>
        <w:rPr>
          <w:rFonts w:asciiTheme="minorBidi" w:hAnsiTheme="minorBidi"/>
          <w:b/>
          <w:bCs/>
          <w:color w:val="000000" w:themeColor="text1"/>
        </w:rPr>
        <w:fldChar w:fldCharType="separate"/>
      </w:r>
      <w:r w:rsidR="00F7692A" w:rsidRPr="00455B01">
        <w:rPr>
          <w:rStyle w:val="Hyperlink"/>
          <w:rFonts w:asciiTheme="minorBidi" w:hAnsiTheme="minorBidi"/>
          <w:b/>
          <w:bCs/>
        </w:rPr>
        <w:t>3.2 Research Design</w:t>
      </w:r>
      <w:r>
        <w:rPr>
          <w:rFonts w:asciiTheme="minorBidi" w:hAnsiTheme="minorBidi"/>
          <w:b/>
          <w:bCs/>
          <w:color w:val="000000" w:themeColor="text1"/>
        </w:rPr>
        <w:fldChar w:fldCharType="end"/>
      </w:r>
    </w:p>
    <w:bookmarkEnd w:id="683"/>
    <w:p w14:paraId="257DD065" w14:textId="77777777" w:rsidR="00F7692A" w:rsidRPr="00D126B5" w:rsidRDefault="00F7692A" w:rsidP="00F7692A">
      <w:pPr>
        <w:spacing w:after="240" w:line="480" w:lineRule="auto"/>
        <w:jc w:val="both"/>
        <w:rPr>
          <w:rFonts w:asciiTheme="minorBidi" w:eastAsia="Times New Roman" w:hAnsiTheme="minorBidi"/>
          <w:color w:val="000000" w:themeColor="text1"/>
          <w:kern w:val="0"/>
          <w14:ligatures w14:val="none"/>
        </w:rPr>
      </w:pPr>
      <w:r w:rsidRPr="00D126B5">
        <w:rPr>
          <w:rFonts w:asciiTheme="minorBidi" w:hAnsiTheme="minorBidi"/>
          <w:color w:val="000000" w:themeColor="text1"/>
        </w:rPr>
        <w:t xml:space="preserve">In this section we will explore and </w:t>
      </w:r>
      <w:bookmarkStart w:id="684" w:name="_Hlk171468044"/>
      <w:r w:rsidRPr="00D126B5">
        <w:rPr>
          <w:rFonts w:asciiTheme="minorBidi" w:hAnsiTheme="minorBidi"/>
          <w:color w:val="000000" w:themeColor="text1"/>
        </w:rPr>
        <w:t xml:space="preserve">justify the research design which </w:t>
      </w:r>
      <w:r w:rsidRPr="00D126B5">
        <w:rPr>
          <w:rFonts w:asciiTheme="minorBidi" w:eastAsia="Times New Roman" w:hAnsiTheme="minorBidi"/>
          <w:color w:val="000000" w:themeColor="text1"/>
          <w:kern w:val="0"/>
          <w14:ligatures w14:val="none"/>
        </w:rPr>
        <w:t xml:space="preserve">comprises of the study's philosophical position, methodology, research approach, researcher strategy, data types, and data analysis techniques </w:t>
      </w:r>
      <w:bookmarkEnd w:id="684"/>
      <w:r w:rsidRPr="00D126B5">
        <w:rPr>
          <w:rFonts w:asciiTheme="minorBidi" w:eastAsia="Times New Roman" w:hAnsiTheme="minorBidi"/>
          <w:color w:val="000000" w:themeColor="text1"/>
          <w:kern w:val="0"/>
          <w14:ligatures w14:val="none"/>
        </w:rPr>
        <w:t xml:space="preserve">(Saunders et al., 2018). </w:t>
      </w:r>
    </w:p>
    <w:bookmarkStart w:id="685" w:name="D84"/>
    <w:p w14:paraId="66B081E3" w14:textId="574407E0" w:rsidR="00F7692A" w:rsidRPr="00D126B5" w:rsidRDefault="00455B01" w:rsidP="00952F7A">
      <w:pPr>
        <w:pBdr>
          <w:top w:val="single" w:sz="4" w:space="1" w:color="auto"/>
          <w:left w:val="single" w:sz="4" w:space="4" w:color="auto"/>
          <w:bottom w:val="single" w:sz="4" w:space="1" w:color="auto"/>
          <w:right w:val="single" w:sz="4" w:space="4" w:color="auto"/>
        </w:pBdr>
        <w:spacing w:after="240" w:line="240" w:lineRule="auto"/>
        <w:jc w:val="both"/>
        <w:rPr>
          <w:rFonts w:asciiTheme="minorBidi" w:eastAsia="Times New Roman" w:hAnsiTheme="minorBidi"/>
          <w:b/>
          <w:bCs/>
          <w:color w:val="000000" w:themeColor="text1"/>
          <w:kern w:val="0"/>
          <w14:ligatures w14:val="none"/>
        </w:rPr>
      </w:pPr>
      <w:r>
        <w:rPr>
          <w:rFonts w:asciiTheme="minorBidi" w:eastAsia="Times New Roman" w:hAnsiTheme="minorBidi"/>
          <w:b/>
          <w:bCs/>
          <w:color w:val="000000" w:themeColor="text1"/>
          <w:kern w:val="0"/>
          <w14:ligatures w14:val="none"/>
        </w:rPr>
        <w:fldChar w:fldCharType="begin"/>
      </w:r>
      <w:r>
        <w:rPr>
          <w:rFonts w:asciiTheme="minorBidi" w:eastAsia="Times New Roman" w:hAnsiTheme="minorBidi"/>
          <w:b/>
          <w:bCs/>
          <w:color w:val="000000" w:themeColor="text1"/>
          <w:kern w:val="0"/>
          <w14:ligatures w14:val="none"/>
        </w:rPr>
        <w:instrText>HYPERLINK  \l "C84"</w:instrText>
      </w:r>
      <w:r>
        <w:rPr>
          <w:rFonts w:asciiTheme="minorBidi" w:eastAsia="Times New Roman" w:hAnsiTheme="minorBidi"/>
          <w:b/>
          <w:bCs/>
          <w:color w:val="000000" w:themeColor="text1"/>
          <w:kern w:val="0"/>
          <w14:ligatures w14:val="none"/>
        </w:rPr>
      </w:r>
      <w:r>
        <w:rPr>
          <w:rFonts w:asciiTheme="minorBidi" w:eastAsia="Times New Roman" w:hAnsiTheme="minorBidi"/>
          <w:b/>
          <w:bCs/>
          <w:color w:val="000000" w:themeColor="text1"/>
          <w:kern w:val="0"/>
          <w14:ligatures w14:val="none"/>
        </w:rPr>
        <w:fldChar w:fldCharType="separate"/>
      </w:r>
      <w:r w:rsidR="00F7692A" w:rsidRPr="00455B01">
        <w:rPr>
          <w:rStyle w:val="Hyperlink"/>
          <w:rFonts w:asciiTheme="minorBidi" w:eastAsia="Times New Roman" w:hAnsiTheme="minorBidi"/>
          <w:b/>
          <w:bCs/>
          <w:kern w:val="0"/>
          <w14:ligatures w14:val="none"/>
        </w:rPr>
        <w:t>3.2.1 Philosophical Position</w:t>
      </w:r>
      <w:r>
        <w:rPr>
          <w:rFonts w:asciiTheme="minorBidi" w:eastAsia="Times New Roman" w:hAnsiTheme="minorBidi"/>
          <w:b/>
          <w:bCs/>
          <w:color w:val="000000" w:themeColor="text1"/>
          <w:kern w:val="0"/>
          <w14:ligatures w14:val="none"/>
        </w:rPr>
        <w:fldChar w:fldCharType="end"/>
      </w:r>
    </w:p>
    <w:bookmarkEnd w:id="685"/>
    <w:p w14:paraId="1C73E172" w14:textId="77777777" w:rsidR="00F7692A" w:rsidRPr="00D126B5" w:rsidRDefault="00F7692A" w:rsidP="00F7692A">
      <w:pPr>
        <w:spacing w:after="0" w:line="480" w:lineRule="auto"/>
        <w:jc w:val="both"/>
        <w:rPr>
          <w:rFonts w:asciiTheme="minorBidi" w:eastAsia="Times New Roman" w:hAnsiTheme="minorBidi"/>
          <w:color w:val="000000" w:themeColor="text1"/>
          <w:kern w:val="0"/>
          <w14:ligatures w14:val="none"/>
        </w:rPr>
      </w:pPr>
      <w:r w:rsidRPr="00D126B5">
        <w:rPr>
          <w:rFonts w:asciiTheme="minorBidi" w:eastAsia="Times New Roman" w:hAnsiTheme="minorBidi"/>
          <w:color w:val="000000" w:themeColor="text1"/>
          <w:kern w:val="0"/>
          <w14:ligatures w14:val="none"/>
        </w:rPr>
        <w:t xml:space="preserve">A research endeavour should start with a consideration of the philosophical challenges and questions that arise from any research method and methodological approach (Johnson &amp; Clark, 2006; Eriksson &amp; Kovalainen, 2008). Since, certain research techniques have a close relationship to both research philosophies and the processes by which new knowledge might be generated in the field of study (Eriksson &amp; Kovalainen, 2008; Saunders, et al., 2018). </w:t>
      </w:r>
    </w:p>
    <w:p w14:paraId="249C8F2F" w14:textId="77777777" w:rsidR="00F7692A" w:rsidRPr="00D126B5" w:rsidRDefault="00F7692A" w:rsidP="00F7692A">
      <w:pPr>
        <w:spacing w:after="0" w:line="480" w:lineRule="auto"/>
        <w:jc w:val="both"/>
        <w:rPr>
          <w:rFonts w:asciiTheme="minorBidi" w:eastAsia="Times New Roman" w:hAnsiTheme="minorBidi"/>
          <w:color w:val="000000" w:themeColor="text1"/>
          <w:kern w:val="0"/>
          <w14:ligatures w14:val="none"/>
        </w:rPr>
      </w:pPr>
    </w:p>
    <w:p w14:paraId="252DBD77" w14:textId="77777777" w:rsidR="00F7692A" w:rsidRDefault="00F7692A" w:rsidP="00F7692A">
      <w:pPr>
        <w:spacing w:after="0" w:line="480" w:lineRule="auto"/>
        <w:jc w:val="both"/>
        <w:rPr>
          <w:rFonts w:asciiTheme="minorBidi" w:eastAsia="Times New Roman" w:hAnsiTheme="minorBidi"/>
          <w:color w:val="000000" w:themeColor="text1"/>
          <w:kern w:val="0"/>
          <w14:ligatures w14:val="none"/>
        </w:rPr>
      </w:pPr>
      <w:r w:rsidRPr="00D126B5">
        <w:rPr>
          <w:rFonts w:asciiTheme="minorBidi" w:eastAsia="Times New Roman" w:hAnsiTheme="minorBidi"/>
          <w:color w:val="000000" w:themeColor="text1"/>
          <w:kern w:val="0"/>
          <w14:ligatures w14:val="none"/>
        </w:rPr>
        <w:t xml:space="preserve">It is crucial to remember that there is no one appropriate method for conducting research (Ritchie, et al., 2014). A variety of factors influence how researchers conduct their work, such as their views on the nature of the social world </w:t>
      </w:r>
      <w:r w:rsidRPr="00D126B5">
        <w:rPr>
          <w:rFonts w:asciiTheme="minorBidi" w:eastAsia="Times New Roman" w:hAnsiTheme="minorBidi"/>
          <w:b/>
          <w:bCs/>
          <w:color w:val="000000" w:themeColor="text1"/>
          <w:kern w:val="0"/>
          <w14:ligatures w14:val="none"/>
        </w:rPr>
        <w:t>(ontology)</w:t>
      </w:r>
      <w:r w:rsidRPr="00D126B5">
        <w:rPr>
          <w:rFonts w:asciiTheme="minorBidi" w:eastAsia="Times New Roman" w:hAnsiTheme="minorBidi"/>
          <w:color w:val="000000" w:themeColor="text1"/>
          <w:kern w:val="0"/>
          <w14:ligatures w14:val="none"/>
        </w:rPr>
        <w:t xml:space="preserve">, the nature of knowledge and how it can be acquired </w:t>
      </w:r>
      <w:r w:rsidRPr="00D126B5">
        <w:rPr>
          <w:rFonts w:asciiTheme="minorBidi" w:eastAsia="Times New Roman" w:hAnsiTheme="minorBidi"/>
          <w:b/>
          <w:bCs/>
          <w:color w:val="000000" w:themeColor="text1"/>
          <w:kern w:val="0"/>
          <w14:ligatures w14:val="none"/>
        </w:rPr>
        <w:t>(epistemology)</w:t>
      </w:r>
      <w:r w:rsidRPr="00D126B5">
        <w:rPr>
          <w:rFonts w:asciiTheme="minorBidi" w:eastAsia="Times New Roman" w:hAnsiTheme="minorBidi"/>
          <w:color w:val="000000" w:themeColor="text1"/>
          <w:kern w:val="0"/>
          <w14:ligatures w14:val="none"/>
        </w:rPr>
        <w:t xml:space="preserve">, the organising principles that inform methodology, which provides the procedures for directing the research process, and the methods and procedures employed in data collection and analysis </w:t>
      </w:r>
      <w:r w:rsidRPr="00D126B5">
        <w:rPr>
          <w:rFonts w:asciiTheme="minorBidi" w:eastAsia="Times New Roman" w:hAnsiTheme="minorBidi"/>
          <w:b/>
          <w:bCs/>
          <w:color w:val="000000" w:themeColor="text1"/>
          <w:kern w:val="0"/>
          <w14:ligatures w14:val="none"/>
        </w:rPr>
        <w:t>(methodology)</w:t>
      </w:r>
      <w:r w:rsidRPr="00D126B5">
        <w:rPr>
          <w:rFonts w:asciiTheme="minorBidi" w:eastAsia="Times New Roman" w:hAnsiTheme="minorBidi"/>
          <w:color w:val="000000" w:themeColor="text1"/>
          <w:kern w:val="0"/>
          <w14:ligatures w14:val="none"/>
        </w:rPr>
        <w:t xml:space="preserve"> (Eriksson &amp; Kovalainen, 2008; Ritchie, et al., 2014; Saunders, et al., 2018).</w:t>
      </w:r>
    </w:p>
    <w:p w14:paraId="777DCFF0" w14:textId="77777777" w:rsidR="00304468" w:rsidRPr="00D126B5" w:rsidRDefault="00304468" w:rsidP="00F7692A">
      <w:pPr>
        <w:spacing w:after="0" w:line="480" w:lineRule="auto"/>
        <w:jc w:val="both"/>
        <w:rPr>
          <w:rFonts w:asciiTheme="minorBidi" w:eastAsia="Times New Roman" w:hAnsiTheme="minorBidi"/>
          <w:color w:val="000000" w:themeColor="text1"/>
          <w:kern w:val="0"/>
          <w14:ligatures w14:val="none"/>
        </w:rPr>
      </w:pPr>
    </w:p>
    <w:p w14:paraId="66CA4B54" w14:textId="77777777" w:rsidR="00F7692A" w:rsidRPr="00D126B5" w:rsidRDefault="00F7692A" w:rsidP="00F7692A">
      <w:pPr>
        <w:spacing w:after="240" w:line="480" w:lineRule="auto"/>
        <w:jc w:val="both"/>
        <w:rPr>
          <w:rFonts w:ascii="Arial" w:hAnsi="Arial" w:cs="Arial"/>
          <w:color w:val="000000" w:themeColor="text1"/>
        </w:rPr>
      </w:pPr>
      <w:r w:rsidRPr="00D126B5">
        <w:rPr>
          <w:rFonts w:ascii="Arial" w:eastAsia="Times New Roman" w:hAnsi="Arial" w:cs="Arial"/>
          <w:color w:val="000000" w:themeColor="text1"/>
          <w:lang w:eastAsia="en-GB"/>
        </w:rPr>
        <w:t xml:space="preserve">According to Bryman (2016) a research philosophy is the suite of beliefs regarding the nature of the reality being investigated. It is maintained that research philosophies can differ with respect to the aims of the research and on the most suitable manner that they may be utilised to achieve these aims (Goddard &amp; Melville, 2004).  The choice of </w:t>
      </w:r>
      <w:r w:rsidRPr="00D126B5">
        <w:rPr>
          <w:rFonts w:ascii="Arial" w:eastAsia="Times New Roman" w:hAnsi="Arial" w:cs="Arial"/>
          <w:color w:val="000000" w:themeColor="text1"/>
          <w:lang w:eastAsia="en-GB"/>
        </w:rPr>
        <w:lastRenderedPageBreak/>
        <w:t>research philosophy is delineated by the variety of knowledge being investigated in the research work (</w:t>
      </w:r>
      <w:proofErr w:type="gramStart"/>
      <w:r w:rsidRPr="00D126B5">
        <w:rPr>
          <w:rFonts w:ascii="Arial" w:eastAsia="Times New Roman" w:hAnsi="Arial" w:cs="Arial"/>
          <w:color w:val="000000" w:themeColor="text1"/>
          <w:lang w:eastAsia="en-GB"/>
        </w:rPr>
        <w:t>May,</w:t>
      </w:r>
      <w:proofErr w:type="gramEnd"/>
      <w:r w:rsidRPr="00D126B5">
        <w:rPr>
          <w:rFonts w:ascii="Arial" w:eastAsia="Times New Roman" w:hAnsi="Arial" w:cs="Arial"/>
          <w:color w:val="000000" w:themeColor="text1"/>
          <w:lang w:eastAsia="en-GB"/>
        </w:rPr>
        <w:t xml:space="preserve"> 2011). </w:t>
      </w:r>
      <w:r w:rsidRPr="00D126B5">
        <w:rPr>
          <w:rFonts w:ascii="Arial" w:hAnsi="Arial" w:cs="Arial"/>
          <w:color w:val="000000" w:themeColor="text1"/>
        </w:rPr>
        <w:t>Saunders et al (2018) argue that practical matters will dictate one’s chosen research methodology. Thus, the use of a nascent technology such as BCT and the intersection of this technology with Accounting Fraud and psychopathy informed the approach taken.</w:t>
      </w:r>
    </w:p>
    <w:p w14:paraId="79B8D231" w14:textId="77777777" w:rsidR="00F7692A" w:rsidRPr="00D126B5" w:rsidRDefault="00F7692A" w:rsidP="00F7692A">
      <w:pPr>
        <w:shd w:val="clear" w:color="auto" w:fill="FFFFFF"/>
        <w:spacing w:after="384" w:line="480" w:lineRule="auto"/>
        <w:jc w:val="both"/>
        <w:textAlignment w:val="baseline"/>
        <w:rPr>
          <w:rFonts w:ascii="Arial" w:eastAsia="Times New Roman" w:hAnsi="Arial" w:cs="Arial"/>
          <w:color w:val="000000" w:themeColor="text1"/>
          <w:lang w:eastAsia="en-GB"/>
        </w:rPr>
      </w:pPr>
      <w:r w:rsidRPr="00D126B5">
        <w:rPr>
          <w:rFonts w:ascii="Arial" w:eastAsia="Times New Roman" w:hAnsi="Arial" w:cs="Arial"/>
          <w:b/>
          <w:bCs/>
          <w:color w:val="000000" w:themeColor="text1"/>
          <w:lang w:eastAsia="en-GB"/>
        </w:rPr>
        <w:t>Ontology</w:t>
      </w:r>
      <w:r w:rsidRPr="00D126B5">
        <w:rPr>
          <w:rFonts w:ascii="Arial" w:eastAsia="Times New Roman" w:hAnsi="Arial" w:cs="Arial"/>
          <w:color w:val="000000" w:themeColor="text1"/>
          <w:lang w:eastAsia="en-GB"/>
        </w:rPr>
        <w:t xml:space="preserve"> is the study of reality. Ontology includes objectivism, constructivism, and pragmatism. Objectivism helps the researcher understand a social event and the diverse meaning that various people will assign to it. In contradistinction to objectivism, constructivism holds that people give birth to social phenomena. Whereas pragmatism utilises theories to find a solution for a given problem. </w:t>
      </w:r>
    </w:p>
    <w:p w14:paraId="4264AB98" w14:textId="2FCAB528" w:rsidR="00F7692A" w:rsidRPr="00D126B5" w:rsidRDefault="00F7692A" w:rsidP="00F7692A">
      <w:pPr>
        <w:shd w:val="clear" w:color="auto" w:fill="FFFFFF"/>
        <w:spacing w:after="384" w:line="480" w:lineRule="auto"/>
        <w:jc w:val="both"/>
        <w:textAlignment w:val="baseline"/>
        <w:rPr>
          <w:rFonts w:ascii="Arial" w:hAnsi="Arial" w:cs="Arial"/>
          <w:color w:val="000000" w:themeColor="text1"/>
        </w:rPr>
      </w:pPr>
      <w:r w:rsidRPr="00D126B5">
        <w:rPr>
          <w:rFonts w:ascii="Arial" w:hAnsi="Arial" w:cs="Arial"/>
          <w:color w:val="000000" w:themeColor="text1"/>
        </w:rPr>
        <w:t>The one chosen by this</w:t>
      </w:r>
      <w:r w:rsidR="00607619">
        <w:rPr>
          <w:rFonts w:ascii="Arial" w:hAnsi="Arial" w:cs="Arial"/>
          <w:color w:val="000000" w:themeColor="text1"/>
        </w:rPr>
        <w:t xml:space="preserve"> researcher</w:t>
      </w:r>
      <w:r w:rsidRPr="00D126B5">
        <w:rPr>
          <w:rFonts w:ascii="Arial" w:hAnsi="Arial" w:cs="Arial"/>
          <w:color w:val="000000" w:themeColor="text1"/>
        </w:rPr>
        <w:t xml:space="preserve"> is </w:t>
      </w:r>
      <w:r w:rsidRPr="00D126B5">
        <w:rPr>
          <w:rFonts w:ascii="Arial" w:hAnsi="Arial" w:cs="Arial"/>
          <w:b/>
          <w:bCs/>
          <w:i/>
          <w:iCs/>
          <w:color w:val="000000" w:themeColor="text1"/>
        </w:rPr>
        <w:t xml:space="preserve">Objectivism </w:t>
      </w:r>
      <w:r w:rsidRPr="00D126B5">
        <w:rPr>
          <w:rFonts w:ascii="Arial" w:hAnsi="Arial" w:cs="Arial"/>
          <w:color w:val="000000" w:themeColor="text1"/>
        </w:rPr>
        <w:t xml:space="preserve">as the researcher believes that the phenomenon under consideration namely Accounting Fraud has an objective reality. Thus, the researcher concurs with Bryman (2016) who defined objectivism as ‘social phenomena and their meanings have an existence that is independent of social actors’ in contrast to subjectivism which is described as, ‘social phenomena and their meanings are continually being accomplished by social actors’. </w:t>
      </w:r>
    </w:p>
    <w:p w14:paraId="2B17C18F" w14:textId="77777777" w:rsidR="00F7692A" w:rsidRPr="00D126B5" w:rsidRDefault="00F7692A" w:rsidP="00F7692A">
      <w:pPr>
        <w:spacing w:after="240" w:line="480" w:lineRule="auto"/>
        <w:jc w:val="both"/>
        <w:rPr>
          <w:rFonts w:asciiTheme="minorBidi" w:eastAsia="Times New Roman" w:hAnsiTheme="minorBidi"/>
          <w:color w:val="000000" w:themeColor="text1"/>
          <w:kern w:val="0"/>
          <w14:ligatures w14:val="none"/>
        </w:rPr>
      </w:pPr>
      <w:r w:rsidRPr="00D126B5">
        <w:rPr>
          <w:rFonts w:asciiTheme="minorBidi" w:eastAsia="Times New Roman" w:hAnsiTheme="minorBidi"/>
          <w:color w:val="000000" w:themeColor="text1"/>
          <w:kern w:val="0"/>
          <w14:ligatures w14:val="none"/>
        </w:rPr>
        <w:t xml:space="preserve">According to positivist philosophy, all matter and reality exist apart from their observers. hence, new knowledge is found rather than invented or manufactured. Therefore, something that has always been but was unknown prior to discovery is considered new information. As a result, new information is subjected to scrutiny and scientific testing upon its discovery. The new information becomes acknowledged as fact after it is verified, consequently, science is based on positivist philosophy (Alharahsheh and </w:t>
      </w:r>
      <w:r w:rsidRPr="00D126B5">
        <w:rPr>
          <w:rFonts w:asciiTheme="minorBidi" w:eastAsia="Times New Roman" w:hAnsiTheme="minorBidi"/>
          <w:color w:val="000000" w:themeColor="text1"/>
          <w:kern w:val="0"/>
          <w14:ligatures w14:val="none"/>
        </w:rPr>
        <w:lastRenderedPageBreak/>
        <w:t>Pius, 2020). On the other hand, the positivist approach in the social sciences is highly contested.</w:t>
      </w:r>
    </w:p>
    <w:p w14:paraId="49694E89" w14:textId="77777777" w:rsidR="00F7692A" w:rsidRPr="00D126B5" w:rsidRDefault="00F7692A" w:rsidP="00F7692A">
      <w:pPr>
        <w:spacing w:after="240" w:line="480" w:lineRule="auto"/>
        <w:jc w:val="both"/>
        <w:rPr>
          <w:rFonts w:ascii="Arial" w:eastAsia="Times New Roman" w:hAnsi="Arial" w:cs="Arial"/>
          <w:color w:val="000000" w:themeColor="text1"/>
          <w:kern w:val="0"/>
          <w14:ligatures w14:val="none"/>
        </w:rPr>
      </w:pPr>
      <w:r w:rsidRPr="00D126B5">
        <w:rPr>
          <w:rFonts w:ascii="Arial" w:eastAsia="Times New Roman" w:hAnsi="Arial" w:cs="Arial"/>
          <w:color w:val="000000" w:themeColor="text1"/>
          <w:kern w:val="0"/>
          <w14:ligatures w14:val="none"/>
        </w:rPr>
        <w:t>Interpretivism is a philosophy that is considered an alternative to positivism. This position implies that all of reality is a construct of the observers' imaginations, therefore, reality does not exist if there is no observer. As a result, different objects are viewed differently and have varied meanings for different people. Consequently, testing hypotheses is not deemed valuable in the interpretive philosophy. On the other hand, some researchers focus on observing and providing their analysis within certain circumstances. Whereas positivist researchers typically work with quantitative or quantified data using scientific procedures, interpretive researchers typically base their tactics on qualitative data analysis (Thanh and Thanh, 2015).</w:t>
      </w:r>
    </w:p>
    <w:p w14:paraId="67F6B176" w14:textId="77777777" w:rsidR="00F7692A" w:rsidRPr="00D126B5" w:rsidRDefault="00F7692A" w:rsidP="00F7692A">
      <w:pPr>
        <w:spacing w:line="480" w:lineRule="auto"/>
        <w:jc w:val="both"/>
        <w:rPr>
          <w:rFonts w:asciiTheme="minorBidi" w:eastAsia="Times New Roman" w:hAnsiTheme="minorBidi"/>
          <w:color w:val="000000" w:themeColor="text1"/>
          <w:kern w:val="0"/>
          <w14:ligatures w14:val="none"/>
        </w:rPr>
      </w:pPr>
      <w:r w:rsidRPr="00D126B5">
        <w:rPr>
          <w:rFonts w:asciiTheme="minorBidi" w:hAnsiTheme="minorBidi"/>
          <w:color w:val="000000" w:themeColor="text1"/>
        </w:rPr>
        <w:t xml:space="preserve">Since this study has utilises Agency Theory, the Fraud Triangle and Dark Triad Theory (focusing on Psychopathy) as the theoretical foundations and deduced hypotheses based on these theories. Also supported by prior empirical evidence to test them in fresh contexts especially at the practitioner level, the </w:t>
      </w:r>
      <w:r w:rsidRPr="00D126B5">
        <w:rPr>
          <w:rFonts w:asciiTheme="minorBidi" w:hAnsiTheme="minorBidi"/>
          <w:b/>
          <w:bCs/>
          <w:i/>
          <w:iCs/>
          <w:color w:val="000000" w:themeColor="text1"/>
        </w:rPr>
        <w:t>positivist position</w:t>
      </w:r>
      <w:r w:rsidRPr="00D126B5">
        <w:rPr>
          <w:rFonts w:asciiTheme="minorBidi" w:hAnsiTheme="minorBidi"/>
          <w:color w:val="000000" w:themeColor="text1"/>
        </w:rPr>
        <w:t xml:space="preserve"> appears to be the most appropriate as the research paradigm and will be further justified by the following arguments, beginning with the </w:t>
      </w:r>
      <w:r w:rsidRPr="00D126B5">
        <w:rPr>
          <w:rFonts w:asciiTheme="minorBidi" w:hAnsiTheme="minorBidi"/>
          <w:b/>
          <w:bCs/>
          <w:i/>
          <w:iCs/>
          <w:color w:val="000000" w:themeColor="text1"/>
        </w:rPr>
        <w:t>axiological position</w:t>
      </w:r>
      <w:r w:rsidRPr="00D126B5">
        <w:rPr>
          <w:rFonts w:asciiTheme="minorBidi" w:hAnsiTheme="minorBidi"/>
          <w:color w:val="000000" w:themeColor="text1"/>
        </w:rPr>
        <w:t xml:space="preserve">. </w:t>
      </w:r>
      <w:r w:rsidRPr="00D126B5">
        <w:rPr>
          <w:rFonts w:asciiTheme="minorBidi" w:eastAsia="Times New Roman" w:hAnsiTheme="minorBidi"/>
          <w:color w:val="000000" w:themeColor="text1"/>
          <w:kern w:val="0"/>
          <w14:ligatures w14:val="none"/>
        </w:rPr>
        <w:t xml:space="preserve">The study of how researcher values affect research is known as axiology. When a study is conducted without bias and without any connection to the phenomenon being examined, it can be considered value-free. Additionally, the study should not present any personal or biased ideas. A value-free method portrays the researcher as an impartial observer who is unaffected by the subject matter being studied or the study participants, and who is prepared to offer honest commentary on the findings whether they align with initial hypotheses or expectations. </w:t>
      </w:r>
      <w:r w:rsidRPr="00D126B5">
        <w:rPr>
          <w:rFonts w:asciiTheme="minorBidi" w:eastAsia="Times New Roman" w:hAnsiTheme="minorBidi"/>
          <w:b/>
          <w:bCs/>
          <w:color w:val="000000" w:themeColor="text1"/>
          <w:kern w:val="0"/>
          <w14:ligatures w14:val="none"/>
        </w:rPr>
        <w:t xml:space="preserve">This axiological approach is particularly </w:t>
      </w:r>
      <w:r w:rsidRPr="00D126B5">
        <w:rPr>
          <w:rFonts w:asciiTheme="minorBidi" w:eastAsia="Times New Roman" w:hAnsiTheme="minorBidi"/>
          <w:b/>
          <w:bCs/>
          <w:color w:val="000000" w:themeColor="text1"/>
          <w:kern w:val="0"/>
          <w14:ligatures w14:val="none"/>
        </w:rPr>
        <w:lastRenderedPageBreak/>
        <w:t xml:space="preserve">pertinent where the researcher </w:t>
      </w:r>
      <w:r w:rsidRPr="00D126B5">
        <w:rPr>
          <w:rFonts w:asciiTheme="minorBidi" w:hAnsiTheme="minorBidi"/>
          <w:b/>
          <w:bCs/>
          <w:color w:val="000000" w:themeColor="text1"/>
        </w:rPr>
        <w:t xml:space="preserve">exploring the intersection of Accounting Fraud, psychopathy and BCT. </w:t>
      </w:r>
      <w:r w:rsidRPr="00D126B5">
        <w:rPr>
          <w:rFonts w:asciiTheme="minorBidi" w:eastAsia="Times New Roman" w:hAnsiTheme="minorBidi"/>
          <w:b/>
          <w:bCs/>
          <w:color w:val="000000" w:themeColor="text1"/>
          <w:kern w:val="0"/>
          <w14:ligatures w14:val="none"/>
        </w:rPr>
        <w:t>The value-free axiological approach is the most appropriate option when it comes to generalizations because it aligns with positivism (Saunders et al., 2018).</w:t>
      </w:r>
      <w:r w:rsidRPr="00D126B5">
        <w:rPr>
          <w:rFonts w:asciiTheme="minorBidi" w:eastAsia="Times New Roman" w:hAnsiTheme="minorBidi"/>
          <w:color w:val="000000" w:themeColor="text1"/>
          <w:kern w:val="0"/>
          <w14:ligatures w14:val="none"/>
        </w:rPr>
        <w:t xml:space="preserve"> </w:t>
      </w:r>
    </w:p>
    <w:p w14:paraId="7E02F7F2" w14:textId="77777777" w:rsidR="00F7692A" w:rsidRPr="00D126B5" w:rsidRDefault="00F7692A" w:rsidP="00F7692A">
      <w:pPr>
        <w:spacing w:line="480" w:lineRule="auto"/>
        <w:jc w:val="both"/>
        <w:rPr>
          <w:rFonts w:asciiTheme="minorBidi" w:hAnsiTheme="minorBidi"/>
          <w:b/>
          <w:bCs/>
          <w:color w:val="000000" w:themeColor="text1"/>
        </w:rPr>
      </w:pPr>
      <w:r w:rsidRPr="00D126B5">
        <w:rPr>
          <w:rFonts w:asciiTheme="minorBidi" w:eastAsia="Times New Roman" w:hAnsiTheme="minorBidi"/>
          <w:color w:val="000000" w:themeColor="text1"/>
          <w:kern w:val="0"/>
          <w14:ligatures w14:val="none"/>
        </w:rPr>
        <w:t>The second argument in favour of positivism comes from the study of epistemology, which is the study of knowledge and the conditions under which it is appropriate or inappropriate and</w:t>
      </w:r>
      <w:r w:rsidRPr="00D126B5">
        <w:rPr>
          <w:rFonts w:asciiTheme="minorBidi" w:hAnsiTheme="minorBidi"/>
          <w:color w:val="000000" w:themeColor="text1"/>
        </w:rPr>
        <w:t xml:space="preserve"> according to Pearce (2013) is ‘rules of the game of knowledge generation’. Bryman (2016) believes epistemology demands the ‘question of whether the social world can and should be studied according to the same principles, procedures and ethos as the natural sciences?’</w:t>
      </w:r>
      <w:r w:rsidRPr="00D126B5">
        <w:rPr>
          <w:rFonts w:asciiTheme="minorBidi" w:eastAsia="Times New Roman" w:hAnsiTheme="minorBidi"/>
          <w:color w:val="000000" w:themeColor="text1"/>
          <w:kern w:val="0"/>
          <w14:ligatures w14:val="none"/>
        </w:rPr>
        <w:t xml:space="preserve"> It is necessary to make sure that people agree on the procedures that can support certain information or hypotheses for the research findings to be accepted by a larger population. Even though the researcher says the results are correct, people will not be persuaded if they disagree about the methodology and their validity. This problem of trust between the researcher and the audience is resolved by positivism which supports scientific techniques based on observations that are repeatable and consistent enough for any researcher to measure. </w:t>
      </w:r>
      <w:r w:rsidRPr="00D126B5">
        <w:rPr>
          <w:rFonts w:asciiTheme="minorBidi" w:hAnsiTheme="minorBidi"/>
          <w:color w:val="000000" w:themeColor="text1"/>
        </w:rPr>
        <w:t xml:space="preserve">It is also important to note that the researcher will be utilising </w:t>
      </w:r>
      <w:r w:rsidRPr="00D126B5">
        <w:rPr>
          <w:rFonts w:asciiTheme="minorBidi" w:hAnsiTheme="minorBidi"/>
          <w:b/>
          <w:bCs/>
          <w:i/>
          <w:iCs/>
          <w:color w:val="000000" w:themeColor="text1"/>
        </w:rPr>
        <w:t>positivist methods</w:t>
      </w:r>
      <w:r w:rsidRPr="00D126B5">
        <w:rPr>
          <w:rFonts w:asciiTheme="minorBidi" w:hAnsiTheme="minorBidi"/>
          <w:b/>
          <w:bCs/>
          <w:color w:val="000000" w:themeColor="text1"/>
        </w:rPr>
        <w:t xml:space="preserve"> including a quantitative survey</w:t>
      </w:r>
      <w:r w:rsidRPr="00D126B5">
        <w:rPr>
          <w:rFonts w:asciiTheme="minorBidi" w:hAnsiTheme="minorBidi"/>
          <w:color w:val="000000" w:themeColor="text1"/>
        </w:rPr>
        <w:t xml:space="preserve">. </w:t>
      </w:r>
      <w:r w:rsidRPr="00D126B5">
        <w:rPr>
          <w:rFonts w:asciiTheme="minorBidi" w:eastAsia="Times New Roman" w:hAnsiTheme="minorBidi"/>
          <w:color w:val="000000" w:themeColor="text1"/>
          <w:kern w:val="0"/>
          <w14:ligatures w14:val="none"/>
        </w:rPr>
        <w:t>The latter suggests that if a different researcher uses the same data and the same procedures, even if the initial inputs are provided to them, they will arrive at the same results.</w:t>
      </w:r>
    </w:p>
    <w:p w14:paraId="55253B49" w14:textId="1A0FBEF0" w:rsidR="00952F7A" w:rsidRPr="00271C30" w:rsidRDefault="00F7692A" w:rsidP="00271C30">
      <w:pPr>
        <w:spacing w:after="0" w:line="480" w:lineRule="auto"/>
        <w:jc w:val="both"/>
        <w:rPr>
          <w:rFonts w:asciiTheme="minorBidi" w:hAnsiTheme="minorBidi"/>
          <w:color w:val="000000" w:themeColor="text1"/>
        </w:rPr>
      </w:pPr>
      <w:r w:rsidRPr="00D126B5">
        <w:rPr>
          <w:rFonts w:asciiTheme="minorBidi" w:eastAsia="Times New Roman" w:hAnsiTheme="minorBidi"/>
          <w:color w:val="000000" w:themeColor="text1"/>
          <w:kern w:val="0"/>
          <w14:ligatures w14:val="none"/>
        </w:rPr>
        <w:t xml:space="preserve">It is also important to note that the components of the Fraud Triangle especially rationalisation dimension, are linked to the moral and behavioural dimensions of fraud, which are interpretable in a variety of ways, which was demonstrated by the researcher as he has utilised psychopathy and element of Dark Triad Theory. There are a variety of reasons why fraudsters commit Accounting Fraud and to obtain a better </w:t>
      </w:r>
      <w:r w:rsidRPr="00D126B5">
        <w:rPr>
          <w:rFonts w:asciiTheme="minorBidi" w:eastAsia="Times New Roman" w:hAnsiTheme="minorBidi"/>
          <w:color w:val="000000" w:themeColor="text1"/>
          <w:kern w:val="0"/>
          <w14:ligatures w14:val="none"/>
        </w:rPr>
        <w:lastRenderedPageBreak/>
        <w:t xml:space="preserve">or comprehensive picture it should be possible to combine several approaches such as positivism and interpretivism. This fusion of several paradigms </w:t>
      </w:r>
      <w:r w:rsidRPr="00D126B5">
        <w:rPr>
          <w:rFonts w:asciiTheme="minorBidi" w:hAnsiTheme="minorBidi"/>
          <w:color w:val="000000" w:themeColor="text1"/>
        </w:rPr>
        <w:t>was previously articulated by Burrell and Morgan (1979, 2017) and is currently highlighted in the pragmatic and postpositivist stance on obtaining knowledge (Saunders et al., 2018).</w:t>
      </w:r>
    </w:p>
    <w:p w14:paraId="538CF672" w14:textId="77777777" w:rsidR="00952F7A" w:rsidRPr="00D126B5" w:rsidRDefault="00952F7A" w:rsidP="00F7692A">
      <w:pPr>
        <w:spacing w:after="0" w:line="480" w:lineRule="auto"/>
        <w:jc w:val="both"/>
        <w:rPr>
          <w:rFonts w:asciiTheme="minorBidi" w:eastAsia="Times New Roman" w:hAnsiTheme="minorBidi"/>
          <w:color w:val="000000" w:themeColor="text1"/>
          <w:kern w:val="0"/>
          <w14:ligatures w14:val="none"/>
        </w:rPr>
      </w:pPr>
    </w:p>
    <w:bookmarkStart w:id="686" w:name="D85"/>
    <w:p w14:paraId="069DDCAD" w14:textId="75C5F62E" w:rsidR="00F7692A" w:rsidRPr="00D126B5" w:rsidRDefault="00455B01" w:rsidP="00952F7A">
      <w:pPr>
        <w:pBdr>
          <w:top w:val="single" w:sz="4" w:space="1" w:color="auto"/>
          <w:left w:val="single" w:sz="4" w:space="4" w:color="auto"/>
          <w:bottom w:val="single" w:sz="4" w:space="1" w:color="auto"/>
          <w:right w:val="single" w:sz="4" w:space="4" w:color="auto"/>
        </w:pBdr>
        <w:spacing w:after="0" w:line="240" w:lineRule="auto"/>
        <w:jc w:val="both"/>
        <w:rPr>
          <w:rFonts w:asciiTheme="minorBidi" w:eastAsia="Times New Roman" w:hAnsiTheme="minorBidi"/>
          <w:b/>
          <w:bCs/>
          <w:color w:val="000000" w:themeColor="text1"/>
          <w:kern w:val="0"/>
          <w14:ligatures w14:val="none"/>
        </w:rPr>
      </w:pPr>
      <w:r>
        <w:rPr>
          <w:rFonts w:asciiTheme="minorBidi" w:eastAsia="Times New Roman" w:hAnsiTheme="minorBidi"/>
          <w:b/>
          <w:bCs/>
          <w:color w:val="000000" w:themeColor="text1"/>
          <w:kern w:val="0"/>
          <w14:ligatures w14:val="none"/>
        </w:rPr>
        <w:fldChar w:fldCharType="begin"/>
      </w:r>
      <w:r>
        <w:rPr>
          <w:rFonts w:asciiTheme="minorBidi" w:eastAsia="Times New Roman" w:hAnsiTheme="minorBidi"/>
          <w:b/>
          <w:bCs/>
          <w:color w:val="000000" w:themeColor="text1"/>
          <w:kern w:val="0"/>
          <w14:ligatures w14:val="none"/>
        </w:rPr>
        <w:instrText>HYPERLINK  \l "C85"</w:instrText>
      </w:r>
      <w:r>
        <w:rPr>
          <w:rFonts w:asciiTheme="minorBidi" w:eastAsia="Times New Roman" w:hAnsiTheme="minorBidi"/>
          <w:b/>
          <w:bCs/>
          <w:color w:val="000000" w:themeColor="text1"/>
          <w:kern w:val="0"/>
          <w14:ligatures w14:val="none"/>
        </w:rPr>
      </w:r>
      <w:r>
        <w:rPr>
          <w:rFonts w:asciiTheme="minorBidi" w:eastAsia="Times New Roman" w:hAnsiTheme="minorBidi"/>
          <w:b/>
          <w:bCs/>
          <w:color w:val="000000" w:themeColor="text1"/>
          <w:kern w:val="0"/>
          <w14:ligatures w14:val="none"/>
        </w:rPr>
        <w:fldChar w:fldCharType="separate"/>
      </w:r>
      <w:r w:rsidR="00F7692A" w:rsidRPr="00455B01">
        <w:rPr>
          <w:rStyle w:val="Hyperlink"/>
          <w:rFonts w:asciiTheme="minorBidi" w:eastAsia="Times New Roman" w:hAnsiTheme="minorBidi"/>
          <w:b/>
          <w:bCs/>
          <w:kern w:val="0"/>
          <w14:ligatures w14:val="none"/>
        </w:rPr>
        <w:t>3.2.2 Deductive v Inductive Approach</w:t>
      </w:r>
      <w:r>
        <w:rPr>
          <w:rFonts w:asciiTheme="minorBidi" w:eastAsia="Times New Roman" w:hAnsiTheme="minorBidi"/>
          <w:b/>
          <w:bCs/>
          <w:color w:val="000000" w:themeColor="text1"/>
          <w:kern w:val="0"/>
          <w14:ligatures w14:val="none"/>
        </w:rPr>
        <w:fldChar w:fldCharType="end"/>
      </w:r>
    </w:p>
    <w:bookmarkEnd w:id="686"/>
    <w:p w14:paraId="1C00E94C" w14:textId="77777777" w:rsidR="00952F7A" w:rsidRDefault="00952F7A" w:rsidP="00952F7A">
      <w:pPr>
        <w:spacing w:after="0" w:line="240" w:lineRule="auto"/>
        <w:jc w:val="both"/>
        <w:rPr>
          <w:rFonts w:asciiTheme="minorBidi" w:eastAsia="Times New Roman" w:hAnsiTheme="minorBidi"/>
          <w:color w:val="000000" w:themeColor="text1"/>
          <w:kern w:val="0"/>
          <w14:ligatures w14:val="none"/>
        </w:rPr>
      </w:pPr>
    </w:p>
    <w:p w14:paraId="12CC7A05" w14:textId="5856FBA6" w:rsidR="00F7692A" w:rsidRPr="00D126B5" w:rsidRDefault="00F7692A" w:rsidP="00F7692A">
      <w:pPr>
        <w:spacing w:after="0" w:line="480" w:lineRule="auto"/>
        <w:jc w:val="both"/>
        <w:rPr>
          <w:rFonts w:asciiTheme="minorBidi" w:eastAsia="Times New Roman" w:hAnsiTheme="minorBidi"/>
          <w:color w:val="000000" w:themeColor="text1"/>
          <w:kern w:val="0"/>
          <w14:ligatures w14:val="none"/>
        </w:rPr>
      </w:pPr>
      <w:r w:rsidRPr="00D126B5">
        <w:rPr>
          <w:rFonts w:asciiTheme="minorBidi" w:eastAsia="Times New Roman" w:hAnsiTheme="minorBidi"/>
          <w:color w:val="000000" w:themeColor="text1"/>
          <w:kern w:val="0"/>
          <w14:ligatures w14:val="none"/>
        </w:rPr>
        <w:t xml:space="preserve">Now that the philosophical stance has been discussed it is important to outline and chose the </w:t>
      </w:r>
      <w:r w:rsidRPr="00D126B5">
        <w:rPr>
          <w:rFonts w:asciiTheme="minorBidi" w:eastAsia="Times New Roman" w:hAnsiTheme="minorBidi"/>
          <w:b/>
          <w:bCs/>
          <w:color w:val="000000" w:themeColor="text1"/>
          <w:kern w:val="0"/>
          <w14:ligatures w14:val="none"/>
        </w:rPr>
        <w:t>method of inquiry</w:t>
      </w:r>
      <w:r w:rsidRPr="00D126B5">
        <w:rPr>
          <w:rFonts w:asciiTheme="minorBidi" w:eastAsia="Times New Roman" w:hAnsiTheme="minorBidi"/>
          <w:color w:val="000000" w:themeColor="text1"/>
          <w:kern w:val="0"/>
          <w14:ligatures w14:val="none"/>
        </w:rPr>
        <w:t xml:space="preserve"> into this study which explores the nexus of Accounting Fraud, psychopathy and BCT as a potential solution.  There are two primary methods that can be utilised namely </w:t>
      </w:r>
      <w:r w:rsidRPr="00D126B5">
        <w:rPr>
          <w:rFonts w:asciiTheme="minorBidi" w:eastAsia="Times New Roman" w:hAnsiTheme="minorBidi"/>
          <w:b/>
          <w:bCs/>
          <w:color w:val="000000" w:themeColor="text1"/>
          <w:kern w:val="0"/>
          <w14:ligatures w14:val="none"/>
        </w:rPr>
        <w:t>induction and deduction</w:t>
      </w:r>
      <w:r w:rsidRPr="00D126B5">
        <w:rPr>
          <w:rFonts w:asciiTheme="minorBidi" w:eastAsia="Times New Roman" w:hAnsiTheme="minorBidi"/>
          <w:color w:val="000000" w:themeColor="text1"/>
          <w:kern w:val="0"/>
          <w14:ligatures w14:val="none"/>
        </w:rPr>
        <w:t xml:space="preserve"> which has been selected as appropriate technique or method.</w:t>
      </w:r>
    </w:p>
    <w:p w14:paraId="4971D4E1" w14:textId="77777777" w:rsidR="00F7692A" w:rsidRPr="00D126B5" w:rsidRDefault="00F7692A" w:rsidP="00F7692A">
      <w:pPr>
        <w:spacing w:after="0" w:line="480" w:lineRule="auto"/>
        <w:jc w:val="both"/>
        <w:rPr>
          <w:rFonts w:asciiTheme="minorBidi" w:eastAsia="Times New Roman" w:hAnsiTheme="minorBidi"/>
          <w:color w:val="000000" w:themeColor="text1"/>
          <w:kern w:val="0"/>
          <w14:ligatures w14:val="none"/>
        </w:rPr>
      </w:pPr>
    </w:p>
    <w:p w14:paraId="2F008505" w14:textId="77777777" w:rsidR="00F7692A" w:rsidRPr="00D126B5" w:rsidRDefault="00F7692A" w:rsidP="00F7692A">
      <w:pPr>
        <w:spacing w:after="0" w:line="480" w:lineRule="auto"/>
        <w:jc w:val="both"/>
        <w:rPr>
          <w:rFonts w:asciiTheme="minorBidi" w:eastAsia="Times New Roman" w:hAnsiTheme="minorBidi"/>
          <w:color w:val="000000" w:themeColor="text1"/>
          <w:kern w:val="0"/>
          <w14:ligatures w14:val="none"/>
        </w:rPr>
      </w:pPr>
      <w:r w:rsidRPr="00D126B5">
        <w:rPr>
          <w:rFonts w:asciiTheme="minorBidi" w:eastAsia="Times New Roman" w:hAnsiTheme="minorBidi"/>
          <w:b/>
          <w:bCs/>
          <w:color w:val="000000" w:themeColor="text1"/>
          <w:kern w:val="0"/>
          <w14:ligatures w14:val="none"/>
        </w:rPr>
        <w:t>The deductive approach</w:t>
      </w:r>
      <w:r w:rsidRPr="00D126B5">
        <w:rPr>
          <w:rFonts w:asciiTheme="minorBidi" w:eastAsia="Times New Roman" w:hAnsiTheme="minorBidi"/>
          <w:color w:val="000000" w:themeColor="text1"/>
          <w:kern w:val="0"/>
          <w14:ligatures w14:val="none"/>
        </w:rPr>
        <w:t xml:space="preserve">, which is linked to the scientific process, begins with a theory, develops research hypotheses based on the theory, and puts the hypotheses to the test in a particular setting. According to Saunder et al. (2018) it is, thus, a general-to-specific method. </w:t>
      </w:r>
      <w:r w:rsidRPr="00D126B5">
        <w:rPr>
          <w:rFonts w:asciiTheme="minorBidi" w:hAnsiTheme="minorBidi"/>
          <w:color w:val="000000" w:themeColor="text1"/>
        </w:rPr>
        <w:t>For example, the leading Test batsman Joe Root, only wears a white top during a T20 competition. Joe has made the team and today is the final day of the T20 competition. Therefore, it can be concluded that Joe will be wearing white top, since the proposition is true the conclusion must be true.</w:t>
      </w:r>
      <w:r w:rsidRPr="00D126B5">
        <w:rPr>
          <w:rFonts w:asciiTheme="minorBidi" w:eastAsia="Times New Roman" w:hAnsiTheme="minorBidi"/>
          <w:color w:val="000000" w:themeColor="text1"/>
          <w:kern w:val="0"/>
          <w14:ligatures w14:val="none"/>
        </w:rPr>
        <w:t xml:space="preserve"> The general theories that served as the basis for this investigation is The Fraud Triangle, and Dark Triad Theory which were covered in the previous chapter. Research hypotheses were developed based on this the latter in the context of final year accounting and finance students and practitioners. </w:t>
      </w:r>
    </w:p>
    <w:p w14:paraId="41FBDD05" w14:textId="77777777" w:rsidR="00F7692A" w:rsidRPr="00D126B5" w:rsidRDefault="00F7692A" w:rsidP="00F7692A">
      <w:pPr>
        <w:spacing w:after="0" w:line="480" w:lineRule="auto"/>
        <w:jc w:val="both"/>
        <w:rPr>
          <w:rFonts w:asciiTheme="minorBidi" w:eastAsia="Times New Roman" w:hAnsiTheme="minorBidi"/>
          <w:b/>
          <w:bCs/>
          <w:color w:val="000000" w:themeColor="text1"/>
          <w:kern w:val="0"/>
          <w14:ligatures w14:val="none"/>
        </w:rPr>
      </w:pPr>
    </w:p>
    <w:p w14:paraId="765AD83D" w14:textId="77777777" w:rsidR="00F7692A" w:rsidRPr="00D126B5" w:rsidRDefault="00F7692A" w:rsidP="00F7692A">
      <w:pPr>
        <w:spacing w:after="0" w:line="480" w:lineRule="auto"/>
        <w:jc w:val="both"/>
        <w:rPr>
          <w:rFonts w:asciiTheme="minorBidi" w:hAnsiTheme="minorBidi"/>
          <w:color w:val="000000" w:themeColor="text1"/>
        </w:rPr>
      </w:pPr>
      <w:r w:rsidRPr="00D126B5">
        <w:rPr>
          <w:rFonts w:asciiTheme="minorBidi" w:eastAsia="Times New Roman" w:hAnsiTheme="minorBidi"/>
          <w:b/>
          <w:bCs/>
          <w:color w:val="000000" w:themeColor="text1"/>
          <w:kern w:val="0"/>
          <w14:ligatures w14:val="none"/>
        </w:rPr>
        <w:lastRenderedPageBreak/>
        <w:t>Since the deductive method is most directly linked to the positivist philosophy that was selected for this study, it is favoured as the best method</w:t>
      </w:r>
      <w:r w:rsidRPr="00D126B5">
        <w:rPr>
          <w:rFonts w:asciiTheme="minorBidi" w:eastAsia="Times New Roman" w:hAnsiTheme="minorBidi"/>
          <w:color w:val="000000" w:themeColor="text1"/>
          <w:kern w:val="0"/>
          <w14:ligatures w14:val="none"/>
        </w:rPr>
        <w:t xml:space="preserve"> (Saunders et al., 2018).  Although deduction and induction are frequently combined in empirical research (Awuzie and McDermott, 2017; Hurley et al., 2021), this thesis has placed more emphasis on deduction for several reasons. First, if there had been no theory and new theories were to be developed by observation, the inductive technique would have been preferable.</w:t>
      </w:r>
      <w:r w:rsidRPr="00D126B5">
        <w:rPr>
          <w:rFonts w:asciiTheme="minorBidi" w:hAnsiTheme="minorBidi"/>
          <w:color w:val="000000" w:themeColor="text1"/>
        </w:rPr>
        <w:t xml:space="preserve"> Hence, in inductive reasoning the conclusion does not automatically flow from the propositions, even in the scenario when they support the conclusion. For example, the proposition is that – A retired group of accountancy academics who are close friends go for drinks and a game of bridge every Saturday evening. Today is Saturday evening. Consequently, the conclusion is that the academics group will go drinking and play bridge. In this example, there is a high chance or probability that the conclusion is true, although it is not certain, perhaps it is the winter and one or more of the friends is not well.</w:t>
      </w:r>
    </w:p>
    <w:p w14:paraId="16268AAF" w14:textId="77777777" w:rsidR="00F7692A" w:rsidRPr="00D126B5" w:rsidRDefault="00F7692A" w:rsidP="00F7692A">
      <w:pPr>
        <w:spacing w:after="0" w:line="480" w:lineRule="auto"/>
        <w:jc w:val="both"/>
        <w:rPr>
          <w:rFonts w:asciiTheme="minorBidi" w:hAnsiTheme="minorBidi"/>
          <w:color w:val="000000" w:themeColor="text1"/>
        </w:rPr>
      </w:pPr>
    </w:p>
    <w:p w14:paraId="5FA30C0D" w14:textId="77777777" w:rsidR="00F7692A" w:rsidRPr="00D126B5" w:rsidRDefault="00F7692A" w:rsidP="00F7692A">
      <w:pPr>
        <w:spacing w:line="480" w:lineRule="auto"/>
        <w:jc w:val="both"/>
        <w:rPr>
          <w:rFonts w:asciiTheme="minorBidi" w:eastAsia="Times New Roman" w:hAnsiTheme="minorBidi"/>
          <w:color w:val="000000" w:themeColor="text1"/>
          <w:kern w:val="0"/>
          <w14:ligatures w14:val="none"/>
        </w:rPr>
      </w:pPr>
      <w:r w:rsidRPr="00D126B5">
        <w:rPr>
          <w:rFonts w:asciiTheme="minorBidi" w:eastAsia="Times New Roman" w:hAnsiTheme="minorBidi"/>
          <w:color w:val="000000" w:themeColor="text1"/>
          <w:kern w:val="0"/>
          <w14:ligatures w14:val="none"/>
        </w:rPr>
        <w:t xml:space="preserve">The deductive method would be particular to general investigation in this situation. There is no need to develop a new theory because a general theory that has already been developed and made available for this research is sufficient. Rather, what is needed is to test the current theory – in this thesis Fraud Triangle and Dark Triad Theory - in a previously unexplored context such as practitioners that will enable a significant empirical contribution to knowledge. As a result, the deductive method works better for this research than the inductive method. Another reason for using the deductive approach is that the same inputs available to the researcher, may be readily repeated by other academics in the field. This would guarantee that the study's conclusions are reliable and scientific, ensuring a higher degree of audience trust. </w:t>
      </w:r>
    </w:p>
    <w:p w14:paraId="613BFD56" w14:textId="2B72452D" w:rsidR="00304468" w:rsidRPr="00D126B5" w:rsidRDefault="00F7692A" w:rsidP="00952F7A">
      <w:pPr>
        <w:spacing w:line="480" w:lineRule="auto"/>
        <w:jc w:val="both"/>
        <w:rPr>
          <w:rFonts w:asciiTheme="minorBidi" w:hAnsiTheme="minorBidi"/>
          <w:color w:val="000000" w:themeColor="text1"/>
        </w:rPr>
      </w:pPr>
      <w:r w:rsidRPr="00D126B5">
        <w:rPr>
          <w:rFonts w:asciiTheme="minorBidi" w:eastAsia="Times New Roman" w:hAnsiTheme="minorBidi"/>
          <w:color w:val="000000" w:themeColor="text1"/>
          <w:kern w:val="0"/>
          <w14:ligatures w14:val="none"/>
        </w:rPr>
        <w:lastRenderedPageBreak/>
        <w:t xml:space="preserve">Although this thesis contains both quantitative and qualitative data, the primary testing is done based on quantitative data. </w:t>
      </w:r>
      <w:r w:rsidRPr="00D126B5">
        <w:rPr>
          <w:rFonts w:asciiTheme="minorBidi" w:hAnsiTheme="minorBidi"/>
          <w:color w:val="000000" w:themeColor="text1"/>
        </w:rPr>
        <w:t xml:space="preserve">The deductive approach suggests the use of quantitative data, but it can also work with both qualitative and quantitative data. Hence, evidence will be gathered from the literature review, student and working accountant’s surveys will form the bulk of evidence and a semi-structured interview exploring the experience of auditor who may have encountered psychopathic clients and whether they believe that BCT will dampen Accounting Fraud committed by Corporate Psychopath Accountants. </w:t>
      </w:r>
    </w:p>
    <w:bookmarkStart w:id="687" w:name="D86"/>
    <w:p w14:paraId="0FAA6B75" w14:textId="32EC031A" w:rsidR="00F7692A" w:rsidRPr="00D126B5" w:rsidRDefault="00455B01" w:rsidP="00952F7A">
      <w:pPr>
        <w:pBdr>
          <w:top w:val="single" w:sz="4" w:space="1" w:color="auto"/>
          <w:left w:val="single" w:sz="4" w:space="4" w:color="auto"/>
          <w:bottom w:val="single" w:sz="4" w:space="1" w:color="auto"/>
          <w:right w:val="single" w:sz="4" w:space="4" w:color="auto"/>
        </w:pBdr>
        <w:spacing w:line="240" w:lineRule="auto"/>
        <w:jc w:val="both"/>
        <w:rPr>
          <w:rFonts w:ascii="Arial" w:hAnsi="Arial" w:cs="Arial"/>
          <w:b/>
          <w:bCs/>
          <w:color w:val="000000" w:themeColor="text1"/>
        </w:rPr>
      </w:pPr>
      <w:r>
        <w:rPr>
          <w:rFonts w:ascii="Arial" w:hAnsi="Arial" w:cs="Arial"/>
          <w:b/>
          <w:bCs/>
          <w:color w:val="000000" w:themeColor="text1"/>
        </w:rPr>
        <w:fldChar w:fldCharType="begin"/>
      </w:r>
      <w:r>
        <w:rPr>
          <w:rFonts w:ascii="Arial" w:hAnsi="Arial" w:cs="Arial"/>
          <w:b/>
          <w:bCs/>
          <w:color w:val="000000" w:themeColor="text1"/>
        </w:rPr>
        <w:instrText>HYPERLINK  \l "C86"</w:instrText>
      </w:r>
      <w:r>
        <w:rPr>
          <w:rFonts w:ascii="Arial" w:hAnsi="Arial" w:cs="Arial"/>
          <w:b/>
          <w:bCs/>
          <w:color w:val="000000" w:themeColor="text1"/>
        </w:rPr>
      </w:r>
      <w:r>
        <w:rPr>
          <w:rFonts w:ascii="Arial" w:hAnsi="Arial" w:cs="Arial"/>
          <w:b/>
          <w:bCs/>
          <w:color w:val="000000" w:themeColor="text1"/>
        </w:rPr>
        <w:fldChar w:fldCharType="separate"/>
      </w:r>
      <w:r w:rsidR="00F7692A" w:rsidRPr="00455B01">
        <w:rPr>
          <w:rStyle w:val="Hyperlink"/>
          <w:rFonts w:ascii="Arial" w:hAnsi="Arial" w:cs="Arial"/>
          <w:b/>
          <w:bCs/>
        </w:rPr>
        <w:t>3.2.3 Research Strategy</w:t>
      </w:r>
      <w:r>
        <w:rPr>
          <w:rFonts w:ascii="Arial" w:hAnsi="Arial" w:cs="Arial"/>
          <w:b/>
          <w:bCs/>
          <w:color w:val="000000" w:themeColor="text1"/>
        </w:rPr>
        <w:fldChar w:fldCharType="end"/>
      </w:r>
      <w:r w:rsidR="00F7692A" w:rsidRPr="00D126B5">
        <w:rPr>
          <w:rFonts w:ascii="Arial" w:hAnsi="Arial" w:cs="Arial"/>
          <w:b/>
          <w:bCs/>
          <w:color w:val="000000" w:themeColor="text1"/>
        </w:rPr>
        <w:t xml:space="preserve"> </w:t>
      </w:r>
    </w:p>
    <w:bookmarkEnd w:id="687"/>
    <w:p w14:paraId="17E926BF" w14:textId="77777777" w:rsidR="00F7692A" w:rsidRDefault="00F7692A" w:rsidP="00F7692A">
      <w:pPr>
        <w:spacing w:after="0" w:line="480" w:lineRule="auto"/>
        <w:jc w:val="both"/>
        <w:rPr>
          <w:rFonts w:asciiTheme="minorBidi" w:eastAsia="Times New Roman" w:hAnsiTheme="minorBidi"/>
          <w:b/>
          <w:bCs/>
          <w:color w:val="000000" w:themeColor="text1"/>
          <w:kern w:val="0"/>
          <w14:ligatures w14:val="none"/>
        </w:rPr>
      </w:pPr>
      <w:r w:rsidRPr="00D126B5">
        <w:rPr>
          <w:rFonts w:asciiTheme="minorBidi" w:eastAsia="Times New Roman" w:hAnsiTheme="minorBidi"/>
          <w:color w:val="000000" w:themeColor="text1"/>
          <w:kern w:val="0"/>
          <w14:ligatures w14:val="none"/>
        </w:rPr>
        <w:t xml:space="preserve">There are various research strategies that can be utilised including archival research, action research, simulation, experiment, case study, and survey. This section of the methodology chapter discusses and justifies why the strategy namely </w:t>
      </w:r>
      <w:r w:rsidRPr="00D126B5">
        <w:rPr>
          <w:rFonts w:asciiTheme="minorBidi" w:eastAsia="Times New Roman" w:hAnsiTheme="minorBidi"/>
          <w:b/>
          <w:bCs/>
          <w:color w:val="000000" w:themeColor="text1"/>
          <w:kern w:val="0"/>
          <w14:ligatures w14:val="none"/>
        </w:rPr>
        <w:t>survey was used in this study over the other options</w:t>
      </w:r>
      <w:r>
        <w:rPr>
          <w:rFonts w:asciiTheme="minorBidi" w:eastAsia="Times New Roman" w:hAnsiTheme="minorBidi"/>
          <w:b/>
          <w:bCs/>
          <w:color w:val="000000" w:themeColor="text1"/>
          <w:kern w:val="0"/>
          <w14:ligatures w14:val="none"/>
        </w:rPr>
        <w:t>, see Table 3.2.</w:t>
      </w:r>
    </w:p>
    <w:p w14:paraId="6502678C" w14:textId="77777777" w:rsidR="00F7692A" w:rsidRDefault="00F7692A" w:rsidP="00F7692A">
      <w:pPr>
        <w:spacing w:after="0" w:line="480" w:lineRule="auto"/>
        <w:jc w:val="both"/>
        <w:rPr>
          <w:rFonts w:asciiTheme="minorBidi" w:eastAsia="Times New Roman" w:hAnsiTheme="minorBidi"/>
          <w:b/>
          <w:bCs/>
          <w:color w:val="000000" w:themeColor="text1"/>
          <w:kern w:val="0"/>
          <w14:ligatures w14:val="none"/>
        </w:rPr>
      </w:pPr>
    </w:p>
    <w:p w14:paraId="284B4BB0" w14:textId="77777777" w:rsidR="00F7692A" w:rsidRDefault="00F7692A" w:rsidP="00F7692A">
      <w:pPr>
        <w:spacing w:after="0" w:line="480" w:lineRule="auto"/>
        <w:jc w:val="both"/>
        <w:rPr>
          <w:rFonts w:asciiTheme="minorBidi" w:eastAsia="Times New Roman" w:hAnsiTheme="minorBidi"/>
          <w:b/>
          <w:bCs/>
          <w:color w:val="000000" w:themeColor="text1"/>
          <w:kern w:val="0"/>
          <w14:ligatures w14:val="none"/>
        </w:rPr>
      </w:pPr>
      <w:r>
        <w:rPr>
          <w:rFonts w:asciiTheme="minorBidi" w:eastAsia="Times New Roman" w:hAnsiTheme="minorBidi"/>
          <w:b/>
          <w:bCs/>
          <w:color w:val="000000" w:themeColor="text1"/>
          <w:kern w:val="0"/>
          <w14:ligatures w14:val="none"/>
        </w:rPr>
        <w:t>Table 3.2 – Review of Research Strategies, based on Bryman (2016) &amp; Saunders et al. (2019).</w:t>
      </w:r>
    </w:p>
    <w:tbl>
      <w:tblPr>
        <w:tblStyle w:val="TableGrid"/>
        <w:tblW w:w="0" w:type="auto"/>
        <w:tblLook w:val="04A0" w:firstRow="1" w:lastRow="0" w:firstColumn="1" w:lastColumn="0" w:noHBand="0" w:noVBand="1"/>
      </w:tblPr>
      <w:tblGrid>
        <w:gridCol w:w="2254"/>
        <w:gridCol w:w="2254"/>
        <w:gridCol w:w="2254"/>
        <w:gridCol w:w="2254"/>
      </w:tblGrid>
      <w:tr w:rsidR="00F7692A" w14:paraId="59778388" w14:textId="77777777" w:rsidTr="001D4222">
        <w:tc>
          <w:tcPr>
            <w:tcW w:w="2254" w:type="dxa"/>
          </w:tcPr>
          <w:p w14:paraId="6BA37301" w14:textId="77777777" w:rsidR="00F7692A" w:rsidRPr="00D4464F" w:rsidRDefault="00F7692A" w:rsidP="001D4222">
            <w:pPr>
              <w:spacing w:line="360" w:lineRule="auto"/>
              <w:rPr>
                <w:rFonts w:asciiTheme="minorBidi" w:hAnsiTheme="minorBidi"/>
                <w:b/>
                <w:bCs/>
                <w:sz w:val="22"/>
                <w:szCs w:val="22"/>
              </w:rPr>
            </w:pPr>
            <w:r w:rsidRPr="00D4464F">
              <w:rPr>
                <w:rFonts w:asciiTheme="minorBidi" w:hAnsiTheme="minorBidi"/>
                <w:b/>
                <w:bCs/>
                <w:sz w:val="22"/>
                <w:szCs w:val="22"/>
              </w:rPr>
              <w:t>Name</w:t>
            </w:r>
          </w:p>
        </w:tc>
        <w:tc>
          <w:tcPr>
            <w:tcW w:w="2254" w:type="dxa"/>
          </w:tcPr>
          <w:p w14:paraId="787FE5EB" w14:textId="77777777" w:rsidR="00F7692A" w:rsidRPr="00D4464F" w:rsidRDefault="00F7692A" w:rsidP="001D4222">
            <w:pPr>
              <w:spacing w:line="360" w:lineRule="auto"/>
              <w:rPr>
                <w:rFonts w:asciiTheme="minorBidi" w:hAnsiTheme="minorBidi"/>
                <w:b/>
                <w:bCs/>
                <w:sz w:val="22"/>
                <w:szCs w:val="22"/>
              </w:rPr>
            </w:pPr>
            <w:r w:rsidRPr="00D4464F">
              <w:rPr>
                <w:rFonts w:asciiTheme="minorBidi" w:hAnsiTheme="minorBidi"/>
                <w:b/>
                <w:bCs/>
                <w:sz w:val="22"/>
                <w:szCs w:val="22"/>
              </w:rPr>
              <w:t>Definition</w:t>
            </w:r>
          </w:p>
        </w:tc>
        <w:tc>
          <w:tcPr>
            <w:tcW w:w="2254" w:type="dxa"/>
          </w:tcPr>
          <w:p w14:paraId="5DA4729D" w14:textId="77777777" w:rsidR="00F7692A" w:rsidRPr="00D4464F" w:rsidRDefault="00F7692A" w:rsidP="001D4222">
            <w:pPr>
              <w:spacing w:line="360" w:lineRule="auto"/>
              <w:rPr>
                <w:rFonts w:asciiTheme="minorBidi" w:hAnsiTheme="minorBidi"/>
                <w:b/>
                <w:bCs/>
                <w:sz w:val="22"/>
                <w:szCs w:val="22"/>
              </w:rPr>
            </w:pPr>
            <w:r w:rsidRPr="00D4464F">
              <w:rPr>
                <w:rFonts w:asciiTheme="minorBidi" w:hAnsiTheme="minorBidi"/>
                <w:b/>
                <w:bCs/>
                <w:sz w:val="22"/>
                <w:szCs w:val="22"/>
              </w:rPr>
              <w:t xml:space="preserve">Pros </w:t>
            </w:r>
          </w:p>
        </w:tc>
        <w:tc>
          <w:tcPr>
            <w:tcW w:w="2254" w:type="dxa"/>
          </w:tcPr>
          <w:p w14:paraId="08CDCFD3" w14:textId="77777777" w:rsidR="00F7692A" w:rsidRPr="00D4464F" w:rsidRDefault="00F7692A" w:rsidP="001D4222">
            <w:pPr>
              <w:spacing w:line="360" w:lineRule="auto"/>
              <w:rPr>
                <w:rFonts w:asciiTheme="minorBidi" w:hAnsiTheme="minorBidi"/>
                <w:b/>
                <w:bCs/>
                <w:sz w:val="22"/>
                <w:szCs w:val="22"/>
              </w:rPr>
            </w:pPr>
            <w:r w:rsidRPr="00D4464F">
              <w:rPr>
                <w:rFonts w:asciiTheme="minorBidi" w:hAnsiTheme="minorBidi"/>
                <w:b/>
                <w:bCs/>
                <w:sz w:val="22"/>
                <w:szCs w:val="22"/>
              </w:rPr>
              <w:t>Cons</w:t>
            </w:r>
          </w:p>
          <w:p w14:paraId="5AAA7C83" w14:textId="77777777" w:rsidR="00F7692A" w:rsidRPr="00D4464F" w:rsidRDefault="00F7692A" w:rsidP="001D4222">
            <w:pPr>
              <w:spacing w:line="360" w:lineRule="auto"/>
              <w:rPr>
                <w:rFonts w:asciiTheme="minorBidi" w:hAnsiTheme="minorBidi"/>
                <w:b/>
                <w:bCs/>
                <w:sz w:val="22"/>
                <w:szCs w:val="22"/>
              </w:rPr>
            </w:pPr>
          </w:p>
        </w:tc>
      </w:tr>
      <w:tr w:rsidR="00F7692A" w14:paraId="6F793CAA" w14:textId="77777777" w:rsidTr="001D4222">
        <w:tc>
          <w:tcPr>
            <w:tcW w:w="2254" w:type="dxa"/>
          </w:tcPr>
          <w:p w14:paraId="58FDDF5B" w14:textId="77777777" w:rsidR="00F7692A" w:rsidRPr="00856794" w:rsidRDefault="00F7692A" w:rsidP="001D4222">
            <w:pPr>
              <w:spacing w:line="360" w:lineRule="auto"/>
              <w:rPr>
                <w:rFonts w:asciiTheme="minorBidi" w:hAnsiTheme="minorBidi"/>
                <w:sz w:val="22"/>
                <w:szCs w:val="22"/>
              </w:rPr>
            </w:pPr>
            <w:r w:rsidRPr="00856794">
              <w:rPr>
                <w:rFonts w:asciiTheme="minorBidi" w:hAnsiTheme="minorBidi"/>
                <w:sz w:val="22"/>
                <w:szCs w:val="22"/>
              </w:rPr>
              <w:t>Archival Research</w:t>
            </w:r>
          </w:p>
          <w:p w14:paraId="1E6E95EE" w14:textId="77777777" w:rsidR="00F7692A" w:rsidRPr="00856794" w:rsidRDefault="00F7692A" w:rsidP="001D4222">
            <w:pPr>
              <w:spacing w:line="360" w:lineRule="auto"/>
              <w:rPr>
                <w:rFonts w:asciiTheme="minorBidi" w:hAnsiTheme="minorBidi"/>
                <w:sz w:val="22"/>
                <w:szCs w:val="22"/>
              </w:rPr>
            </w:pPr>
          </w:p>
        </w:tc>
        <w:tc>
          <w:tcPr>
            <w:tcW w:w="2254" w:type="dxa"/>
          </w:tcPr>
          <w:p w14:paraId="137A8635" w14:textId="77777777" w:rsidR="00F7692A" w:rsidRPr="00856794" w:rsidRDefault="00F7692A" w:rsidP="001D4222">
            <w:pPr>
              <w:spacing w:line="360" w:lineRule="auto"/>
              <w:rPr>
                <w:rFonts w:asciiTheme="minorBidi" w:hAnsiTheme="minorBidi"/>
                <w:sz w:val="22"/>
                <w:szCs w:val="22"/>
              </w:rPr>
            </w:pPr>
            <w:r w:rsidRPr="00856794">
              <w:rPr>
                <w:rFonts w:asciiTheme="minorBidi" w:hAnsiTheme="minorBidi"/>
                <w:sz w:val="22"/>
                <w:szCs w:val="22"/>
              </w:rPr>
              <w:t xml:space="preserve">Utilizing already-existing records and materials as data sources is known as archival research. Public records, private documents, corporate records, media reports, and other information that has been </w:t>
            </w:r>
            <w:r w:rsidRPr="00856794">
              <w:rPr>
                <w:rFonts w:asciiTheme="minorBidi" w:hAnsiTheme="minorBidi"/>
                <w:sz w:val="22"/>
                <w:szCs w:val="22"/>
              </w:rPr>
              <w:lastRenderedPageBreak/>
              <w:t>previously gathered for various reasons can all be found in these records.</w:t>
            </w:r>
          </w:p>
          <w:p w14:paraId="5E7B6250" w14:textId="77777777" w:rsidR="00F7692A" w:rsidRPr="00856794" w:rsidRDefault="00F7692A" w:rsidP="001D4222">
            <w:pPr>
              <w:spacing w:line="360" w:lineRule="auto"/>
              <w:rPr>
                <w:rFonts w:asciiTheme="minorBidi" w:hAnsiTheme="minorBidi"/>
                <w:sz w:val="22"/>
                <w:szCs w:val="22"/>
              </w:rPr>
            </w:pPr>
          </w:p>
        </w:tc>
        <w:tc>
          <w:tcPr>
            <w:tcW w:w="2254" w:type="dxa"/>
          </w:tcPr>
          <w:p w14:paraId="3E7786B5" w14:textId="77777777" w:rsidR="00F7692A" w:rsidRPr="00856794" w:rsidRDefault="00F7692A" w:rsidP="001D4222">
            <w:pPr>
              <w:spacing w:line="360" w:lineRule="auto"/>
              <w:rPr>
                <w:rFonts w:asciiTheme="minorBidi" w:hAnsiTheme="minorBidi"/>
                <w:sz w:val="22"/>
                <w:szCs w:val="22"/>
              </w:rPr>
            </w:pPr>
            <w:r w:rsidRPr="00856794">
              <w:rPr>
                <w:rFonts w:asciiTheme="minorBidi" w:hAnsiTheme="minorBidi"/>
                <w:sz w:val="22"/>
                <w:szCs w:val="22"/>
              </w:rPr>
              <w:lastRenderedPageBreak/>
              <w:t xml:space="preserve">1. Data Availability: Long-term access to a vast quantity of data. </w:t>
            </w:r>
            <w:r w:rsidRPr="00856794">
              <w:rPr>
                <w:rFonts w:asciiTheme="minorBidi" w:hAnsiTheme="minorBidi"/>
                <w:sz w:val="22"/>
                <w:szCs w:val="22"/>
              </w:rPr>
              <w:br/>
              <w:t xml:space="preserve">2. Economical: Usually less expensive than gathering fresh data. </w:t>
            </w:r>
            <w:r w:rsidRPr="00856794">
              <w:rPr>
                <w:rFonts w:asciiTheme="minorBidi" w:hAnsiTheme="minorBidi"/>
                <w:sz w:val="22"/>
                <w:szCs w:val="22"/>
              </w:rPr>
              <w:br/>
              <w:t xml:space="preserve">3. Non-Intrusive: Has no impact on </w:t>
            </w:r>
            <w:r w:rsidRPr="00856794">
              <w:rPr>
                <w:rFonts w:asciiTheme="minorBidi" w:hAnsiTheme="minorBidi"/>
                <w:sz w:val="22"/>
                <w:szCs w:val="22"/>
              </w:rPr>
              <w:lastRenderedPageBreak/>
              <w:t xml:space="preserve">the topic under investigation. </w:t>
            </w:r>
          </w:p>
          <w:p w14:paraId="0A7799F6" w14:textId="77777777" w:rsidR="00F7692A" w:rsidRPr="00856794" w:rsidRDefault="00F7692A" w:rsidP="001D4222">
            <w:pPr>
              <w:spacing w:line="360" w:lineRule="auto"/>
              <w:rPr>
                <w:rFonts w:asciiTheme="minorBidi" w:hAnsiTheme="minorBidi"/>
                <w:sz w:val="22"/>
                <w:szCs w:val="22"/>
              </w:rPr>
            </w:pPr>
          </w:p>
        </w:tc>
        <w:tc>
          <w:tcPr>
            <w:tcW w:w="2254" w:type="dxa"/>
          </w:tcPr>
          <w:p w14:paraId="295A1B6E" w14:textId="77777777" w:rsidR="00F7692A" w:rsidRPr="00856794" w:rsidRDefault="00F7692A" w:rsidP="001D4222">
            <w:pPr>
              <w:spacing w:line="360" w:lineRule="auto"/>
              <w:rPr>
                <w:rFonts w:asciiTheme="minorBidi" w:hAnsiTheme="minorBidi"/>
                <w:sz w:val="22"/>
                <w:szCs w:val="22"/>
              </w:rPr>
            </w:pPr>
            <w:r w:rsidRPr="00856794">
              <w:rPr>
                <w:rFonts w:asciiTheme="minorBidi" w:hAnsiTheme="minorBidi"/>
                <w:sz w:val="22"/>
                <w:szCs w:val="22"/>
              </w:rPr>
              <w:lastRenderedPageBreak/>
              <w:t xml:space="preserve">1. Problems with data quality: Information may be biased, inconsistent, or incomplete. </w:t>
            </w:r>
            <w:r w:rsidRPr="00856794">
              <w:rPr>
                <w:rFonts w:asciiTheme="minorBidi" w:hAnsiTheme="minorBidi"/>
                <w:sz w:val="22"/>
                <w:szCs w:val="22"/>
              </w:rPr>
              <w:br/>
              <w:t xml:space="preserve">2. Limited Control: The method by which data was gathered is beyond the researchers' control. </w:t>
            </w:r>
            <w:r w:rsidRPr="00856794">
              <w:rPr>
                <w:rFonts w:asciiTheme="minorBidi" w:hAnsiTheme="minorBidi"/>
                <w:sz w:val="22"/>
                <w:szCs w:val="22"/>
              </w:rPr>
              <w:br/>
            </w:r>
            <w:r w:rsidRPr="00856794">
              <w:rPr>
                <w:rFonts w:asciiTheme="minorBidi" w:hAnsiTheme="minorBidi"/>
                <w:sz w:val="22"/>
                <w:szCs w:val="22"/>
              </w:rPr>
              <w:lastRenderedPageBreak/>
              <w:t xml:space="preserve">3. Time-consuming: It can take a lot of time to go through big datasets. </w:t>
            </w:r>
          </w:p>
          <w:p w14:paraId="00DB131F" w14:textId="77777777" w:rsidR="00F7692A" w:rsidRPr="00856794" w:rsidRDefault="00F7692A" w:rsidP="001D4222">
            <w:pPr>
              <w:spacing w:line="360" w:lineRule="auto"/>
              <w:rPr>
                <w:rFonts w:asciiTheme="minorBidi" w:hAnsiTheme="minorBidi"/>
                <w:sz w:val="22"/>
                <w:szCs w:val="22"/>
              </w:rPr>
            </w:pPr>
          </w:p>
        </w:tc>
      </w:tr>
      <w:tr w:rsidR="00F7692A" w14:paraId="75414558" w14:textId="77777777" w:rsidTr="001D4222">
        <w:tc>
          <w:tcPr>
            <w:tcW w:w="2254" w:type="dxa"/>
          </w:tcPr>
          <w:p w14:paraId="19192CA3" w14:textId="77777777" w:rsidR="00F7692A" w:rsidRPr="00856794" w:rsidRDefault="00F7692A" w:rsidP="001D4222">
            <w:pPr>
              <w:spacing w:line="360" w:lineRule="auto"/>
              <w:rPr>
                <w:rFonts w:asciiTheme="minorBidi" w:hAnsiTheme="minorBidi"/>
                <w:sz w:val="22"/>
                <w:szCs w:val="22"/>
              </w:rPr>
            </w:pPr>
            <w:r w:rsidRPr="00856794">
              <w:rPr>
                <w:rFonts w:asciiTheme="minorBidi" w:hAnsiTheme="minorBidi"/>
                <w:sz w:val="22"/>
                <w:szCs w:val="22"/>
              </w:rPr>
              <w:lastRenderedPageBreak/>
              <w:t xml:space="preserve">Action Research </w:t>
            </w:r>
          </w:p>
        </w:tc>
        <w:tc>
          <w:tcPr>
            <w:tcW w:w="2254" w:type="dxa"/>
          </w:tcPr>
          <w:p w14:paraId="75D2375D" w14:textId="77777777" w:rsidR="00F7692A" w:rsidRPr="00856794" w:rsidRDefault="00F7692A" w:rsidP="001D4222">
            <w:pPr>
              <w:spacing w:line="360" w:lineRule="auto"/>
              <w:rPr>
                <w:rFonts w:asciiTheme="minorBidi" w:hAnsiTheme="minorBidi"/>
                <w:sz w:val="22"/>
                <w:szCs w:val="22"/>
              </w:rPr>
            </w:pPr>
            <w:r w:rsidRPr="00856794">
              <w:rPr>
                <w:rFonts w:asciiTheme="minorBidi" w:hAnsiTheme="minorBidi"/>
                <w:sz w:val="22"/>
                <w:szCs w:val="22"/>
              </w:rPr>
              <w:t>Action research is an iterative, collaborative research approach where researchers identify a problem, collaborate with participants to devise a solution, put it into practice, and assess its efficacy. The aim is to produce new knowledge and provide solutions to real-world issues.</w:t>
            </w:r>
          </w:p>
          <w:p w14:paraId="1CA2D5EF" w14:textId="77777777" w:rsidR="00F7692A" w:rsidRPr="00856794" w:rsidRDefault="00F7692A" w:rsidP="001D4222">
            <w:pPr>
              <w:spacing w:line="360" w:lineRule="auto"/>
              <w:rPr>
                <w:rFonts w:asciiTheme="minorBidi" w:hAnsiTheme="minorBidi"/>
                <w:sz w:val="22"/>
                <w:szCs w:val="22"/>
              </w:rPr>
            </w:pPr>
          </w:p>
        </w:tc>
        <w:tc>
          <w:tcPr>
            <w:tcW w:w="2254" w:type="dxa"/>
          </w:tcPr>
          <w:p w14:paraId="2DF60213" w14:textId="77777777" w:rsidR="00F7692A" w:rsidRPr="00856794" w:rsidRDefault="00F7692A" w:rsidP="001D4222">
            <w:pPr>
              <w:spacing w:line="360" w:lineRule="auto"/>
              <w:rPr>
                <w:rFonts w:asciiTheme="minorBidi" w:hAnsiTheme="minorBidi"/>
                <w:sz w:val="22"/>
                <w:szCs w:val="22"/>
              </w:rPr>
            </w:pPr>
            <w:r w:rsidRPr="00856794">
              <w:rPr>
                <w:rFonts w:asciiTheme="minorBidi" w:eastAsia="Times New Roman" w:hAnsiTheme="minorBidi"/>
                <w:kern w:val="0"/>
                <w:sz w:val="22"/>
                <w:szCs w:val="22"/>
                <w14:ligatures w14:val="none"/>
              </w:rPr>
              <w:t xml:space="preserve">1. Practical Relevance: Clearly identifies and resolves real-world issues. </w:t>
            </w:r>
            <w:r w:rsidRPr="00856794">
              <w:rPr>
                <w:rFonts w:asciiTheme="minorBidi" w:eastAsia="Times New Roman" w:hAnsiTheme="minorBidi"/>
                <w:kern w:val="0"/>
                <w:sz w:val="22"/>
                <w:szCs w:val="22"/>
                <w14:ligatures w14:val="none"/>
              </w:rPr>
              <w:br/>
              <w:t xml:space="preserve">2. Collaborative: Includes subjects in the course of the study. </w:t>
            </w:r>
            <w:r w:rsidRPr="00856794">
              <w:rPr>
                <w:rFonts w:asciiTheme="minorBidi" w:eastAsia="Times New Roman" w:hAnsiTheme="minorBidi"/>
                <w:kern w:val="0"/>
                <w:sz w:val="22"/>
                <w:szCs w:val="22"/>
                <w14:ligatures w14:val="none"/>
              </w:rPr>
              <w:br/>
              <w:t xml:space="preserve">3. Flexibility: Adaptable and changeable in response to new research findings. </w:t>
            </w:r>
            <w:r w:rsidRPr="00856794">
              <w:rPr>
                <w:rFonts w:asciiTheme="minorBidi" w:eastAsia="Times New Roman" w:hAnsiTheme="minorBidi"/>
                <w:kern w:val="0"/>
                <w:sz w:val="22"/>
                <w:szCs w:val="22"/>
                <w14:ligatures w14:val="none"/>
              </w:rPr>
              <w:br/>
            </w:r>
          </w:p>
        </w:tc>
        <w:tc>
          <w:tcPr>
            <w:tcW w:w="2254" w:type="dxa"/>
          </w:tcPr>
          <w:p w14:paraId="51BA5AFC" w14:textId="77777777" w:rsidR="00F7692A" w:rsidRPr="00856794" w:rsidRDefault="00F7692A" w:rsidP="001D4222">
            <w:pPr>
              <w:spacing w:line="360" w:lineRule="auto"/>
              <w:rPr>
                <w:rFonts w:asciiTheme="minorBidi" w:hAnsiTheme="minorBidi"/>
                <w:sz w:val="22"/>
                <w:szCs w:val="22"/>
              </w:rPr>
            </w:pPr>
            <w:r w:rsidRPr="00856794">
              <w:rPr>
                <w:rFonts w:asciiTheme="minorBidi" w:eastAsia="Times New Roman" w:hAnsiTheme="minorBidi"/>
                <w:kern w:val="0"/>
                <w:sz w:val="22"/>
                <w:szCs w:val="22"/>
                <w14:ligatures w14:val="none"/>
              </w:rPr>
              <w:t xml:space="preserve">1.Subjectivity: Bias among researchers may affect results. </w:t>
            </w:r>
            <w:r w:rsidRPr="00856794">
              <w:rPr>
                <w:rFonts w:asciiTheme="minorBidi" w:eastAsia="Times New Roman" w:hAnsiTheme="minorBidi"/>
                <w:kern w:val="0"/>
                <w:sz w:val="22"/>
                <w:szCs w:val="22"/>
                <w14:ligatures w14:val="none"/>
              </w:rPr>
              <w:br/>
              <w:t xml:space="preserve">2. Generalizability: Results might not transfer to different situations. </w:t>
            </w:r>
            <w:r w:rsidRPr="00856794">
              <w:rPr>
                <w:rFonts w:asciiTheme="minorBidi" w:eastAsia="Times New Roman" w:hAnsiTheme="minorBidi"/>
                <w:kern w:val="0"/>
                <w:sz w:val="22"/>
                <w:szCs w:val="22"/>
                <w14:ligatures w14:val="none"/>
              </w:rPr>
              <w:br/>
              <w:t>3. Time and Resource Intensive: Needs a significant amount of time and effort.</w:t>
            </w:r>
          </w:p>
        </w:tc>
      </w:tr>
      <w:tr w:rsidR="00F7692A" w14:paraId="65498416" w14:textId="77777777" w:rsidTr="001D4222">
        <w:tc>
          <w:tcPr>
            <w:tcW w:w="2254" w:type="dxa"/>
          </w:tcPr>
          <w:p w14:paraId="640E2BF7" w14:textId="77777777" w:rsidR="00F7692A" w:rsidRPr="00856794" w:rsidRDefault="00F7692A" w:rsidP="001D4222">
            <w:pPr>
              <w:spacing w:line="360" w:lineRule="auto"/>
              <w:rPr>
                <w:rFonts w:asciiTheme="minorBidi" w:eastAsia="Times New Roman" w:hAnsiTheme="minorBidi"/>
                <w:color w:val="000000" w:themeColor="text1"/>
                <w:kern w:val="0"/>
                <w:sz w:val="22"/>
                <w:szCs w:val="22"/>
                <w14:ligatures w14:val="none"/>
              </w:rPr>
            </w:pPr>
            <w:r w:rsidRPr="00856794">
              <w:rPr>
                <w:rFonts w:asciiTheme="minorBidi" w:eastAsia="Times New Roman" w:hAnsiTheme="minorBidi"/>
                <w:color w:val="000000" w:themeColor="text1"/>
                <w:kern w:val="0"/>
                <w:sz w:val="22"/>
                <w:szCs w:val="22"/>
                <w14:ligatures w14:val="none"/>
              </w:rPr>
              <w:t xml:space="preserve">Simulation </w:t>
            </w:r>
          </w:p>
        </w:tc>
        <w:tc>
          <w:tcPr>
            <w:tcW w:w="2254" w:type="dxa"/>
          </w:tcPr>
          <w:p w14:paraId="0EB98B42" w14:textId="77777777" w:rsidR="00F7692A" w:rsidRPr="00856794" w:rsidRDefault="00F7692A" w:rsidP="001D4222">
            <w:pPr>
              <w:spacing w:line="360" w:lineRule="auto"/>
              <w:rPr>
                <w:rFonts w:asciiTheme="minorBidi" w:eastAsia="Times New Roman" w:hAnsiTheme="minorBidi"/>
                <w:kern w:val="0"/>
                <w:sz w:val="22"/>
                <w:szCs w:val="22"/>
                <w14:ligatures w14:val="none"/>
              </w:rPr>
            </w:pPr>
            <w:r w:rsidRPr="00856794">
              <w:rPr>
                <w:rFonts w:asciiTheme="minorBidi" w:eastAsia="Times New Roman" w:hAnsiTheme="minorBidi"/>
                <w:kern w:val="0"/>
                <w:sz w:val="22"/>
                <w:szCs w:val="22"/>
                <w14:ligatures w14:val="none"/>
              </w:rPr>
              <w:t xml:space="preserve">Definition: A virtual representation of a system, process, or phenomenon is produced by simulation study using computational models. With this approach, researchers may test many hypotheses and variables in a safe setting without </w:t>
            </w:r>
            <w:r w:rsidRPr="00856794">
              <w:rPr>
                <w:rFonts w:asciiTheme="minorBidi" w:eastAsia="Times New Roman" w:hAnsiTheme="minorBidi"/>
                <w:kern w:val="0"/>
                <w:sz w:val="22"/>
                <w:szCs w:val="22"/>
                <w14:ligatures w14:val="none"/>
              </w:rPr>
              <w:lastRenderedPageBreak/>
              <w:t>having to worry about the expenses or dangers of doing experiments in the real world.</w:t>
            </w:r>
          </w:p>
          <w:p w14:paraId="7F20255C" w14:textId="77777777" w:rsidR="00F7692A" w:rsidRPr="00856794" w:rsidRDefault="00F7692A" w:rsidP="001D4222">
            <w:pPr>
              <w:spacing w:line="360" w:lineRule="auto"/>
              <w:rPr>
                <w:rFonts w:asciiTheme="minorBidi" w:eastAsia="Times New Roman" w:hAnsiTheme="minorBidi"/>
                <w:color w:val="000000" w:themeColor="text1"/>
                <w:kern w:val="0"/>
                <w:sz w:val="22"/>
                <w:szCs w:val="22"/>
                <w14:ligatures w14:val="none"/>
              </w:rPr>
            </w:pPr>
          </w:p>
        </w:tc>
        <w:tc>
          <w:tcPr>
            <w:tcW w:w="2254" w:type="dxa"/>
          </w:tcPr>
          <w:p w14:paraId="0F463814" w14:textId="77777777" w:rsidR="00F7692A" w:rsidRPr="00856794" w:rsidRDefault="00F7692A" w:rsidP="001D4222">
            <w:pPr>
              <w:spacing w:line="360" w:lineRule="auto"/>
              <w:rPr>
                <w:rFonts w:asciiTheme="minorBidi" w:eastAsia="Times New Roman" w:hAnsiTheme="minorBidi"/>
                <w:color w:val="000000" w:themeColor="text1"/>
                <w:kern w:val="0"/>
                <w:sz w:val="22"/>
                <w:szCs w:val="22"/>
                <w14:ligatures w14:val="none"/>
              </w:rPr>
            </w:pPr>
            <w:r w:rsidRPr="00856794">
              <w:rPr>
                <w:rFonts w:asciiTheme="minorBidi" w:eastAsia="Times New Roman" w:hAnsiTheme="minorBidi"/>
                <w:kern w:val="0"/>
                <w:sz w:val="22"/>
                <w:szCs w:val="22"/>
                <w14:ligatures w14:val="none"/>
              </w:rPr>
              <w:lastRenderedPageBreak/>
              <w:t xml:space="preserve">1. Controlled Environment: Permits condition and variable modification. </w:t>
            </w:r>
            <w:r w:rsidRPr="00856794">
              <w:rPr>
                <w:rFonts w:asciiTheme="minorBidi" w:eastAsia="Times New Roman" w:hAnsiTheme="minorBidi"/>
                <w:kern w:val="0"/>
                <w:sz w:val="22"/>
                <w:szCs w:val="22"/>
                <w14:ligatures w14:val="none"/>
              </w:rPr>
              <w:br/>
              <w:t xml:space="preserve">2. Testing without Risk: Situations can be tested without having an impact on the real world. </w:t>
            </w:r>
            <w:r w:rsidRPr="00856794">
              <w:rPr>
                <w:rFonts w:asciiTheme="minorBidi" w:eastAsia="Times New Roman" w:hAnsiTheme="minorBidi"/>
                <w:kern w:val="0"/>
                <w:sz w:val="22"/>
                <w:szCs w:val="22"/>
                <w14:ligatures w14:val="none"/>
              </w:rPr>
              <w:br/>
              <w:t xml:space="preserve">3. Reproducibility: Studies are repeatable with </w:t>
            </w:r>
            <w:r w:rsidRPr="00856794">
              <w:rPr>
                <w:rFonts w:asciiTheme="minorBidi" w:eastAsia="Times New Roman" w:hAnsiTheme="minorBidi"/>
                <w:kern w:val="0"/>
                <w:sz w:val="22"/>
                <w:szCs w:val="22"/>
                <w14:ligatures w14:val="none"/>
              </w:rPr>
              <w:lastRenderedPageBreak/>
              <w:t xml:space="preserve">identical setups. </w:t>
            </w:r>
            <w:r w:rsidRPr="00856794">
              <w:rPr>
                <w:rFonts w:asciiTheme="minorBidi" w:eastAsia="Times New Roman" w:hAnsiTheme="minorBidi"/>
                <w:kern w:val="0"/>
                <w:sz w:val="22"/>
                <w:szCs w:val="22"/>
                <w14:ligatures w14:val="none"/>
              </w:rPr>
              <w:br/>
            </w:r>
          </w:p>
        </w:tc>
        <w:tc>
          <w:tcPr>
            <w:tcW w:w="2254" w:type="dxa"/>
          </w:tcPr>
          <w:p w14:paraId="13E22246" w14:textId="2E3B8136" w:rsidR="00F7692A" w:rsidRPr="00856794" w:rsidRDefault="00F7692A" w:rsidP="001D4222">
            <w:pPr>
              <w:spacing w:line="360" w:lineRule="auto"/>
              <w:rPr>
                <w:rFonts w:asciiTheme="minorBidi" w:eastAsia="Times New Roman" w:hAnsiTheme="minorBidi"/>
                <w:color w:val="000000" w:themeColor="text1"/>
                <w:kern w:val="0"/>
                <w:sz w:val="22"/>
                <w:szCs w:val="22"/>
                <w14:ligatures w14:val="none"/>
              </w:rPr>
            </w:pPr>
            <w:r w:rsidRPr="00856794">
              <w:rPr>
                <w:rFonts w:asciiTheme="minorBidi" w:eastAsia="Times New Roman" w:hAnsiTheme="minorBidi"/>
                <w:kern w:val="0"/>
                <w:sz w:val="22"/>
                <w:szCs w:val="22"/>
                <w14:ligatures w14:val="none"/>
              </w:rPr>
              <w:lastRenderedPageBreak/>
              <w:t xml:space="preserve">1. Complexity: Accurate model construction can be difficult and </w:t>
            </w:r>
            <w:r w:rsidR="00333847" w:rsidRPr="00856794">
              <w:rPr>
                <w:rFonts w:asciiTheme="minorBidi" w:eastAsia="Times New Roman" w:hAnsiTheme="minorBidi"/>
                <w:kern w:val="0"/>
                <w:sz w:val="22"/>
                <w:szCs w:val="22"/>
                <w14:ligatures w14:val="none"/>
              </w:rPr>
              <w:t>resource intensive</w:t>
            </w:r>
            <w:r w:rsidRPr="00856794">
              <w:rPr>
                <w:rFonts w:asciiTheme="minorBidi" w:eastAsia="Times New Roman" w:hAnsiTheme="minorBidi"/>
                <w:kern w:val="0"/>
                <w:sz w:val="22"/>
                <w:szCs w:val="22"/>
                <w14:ligatures w14:val="none"/>
              </w:rPr>
              <w:t xml:space="preserve">. </w:t>
            </w:r>
            <w:r w:rsidRPr="00856794">
              <w:rPr>
                <w:rFonts w:asciiTheme="minorBidi" w:eastAsia="Times New Roman" w:hAnsiTheme="minorBidi"/>
                <w:kern w:val="0"/>
                <w:sz w:val="22"/>
                <w:szCs w:val="22"/>
                <w14:ligatures w14:val="none"/>
              </w:rPr>
              <w:br/>
              <w:t xml:space="preserve">2. Data Validation: It can be difficult to make sure the model faithfully captures reality. </w:t>
            </w:r>
            <w:r w:rsidRPr="00856794">
              <w:rPr>
                <w:rFonts w:asciiTheme="minorBidi" w:eastAsia="Times New Roman" w:hAnsiTheme="minorBidi"/>
                <w:kern w:val="0"/>
                <w:sz w:val="22"/>
                <w:szCs w:val="22"/>
                <w14:ligatures w14:val="none"/>
              </w:rPr>
              <w:br/>
              <w:t xml:space="preserve">3. Computational Resources: A significant amount of </w:t>
            </w:r>
            <w:r w:rsidRPr="00856794">
              <w:rPr>
                <w:rFonts w:asciiTheme="minorBidi" w:eastAsia="Times New Roman" w:hAnsiTheme="minorBidi"/>
                <w:kern w:val="0"/>
                <w:sz w:val="22"/>
                <w:szCs w:val="22"/>
                <w14:ligatures w14:val="none"/>
              </w:rPr>
              <w:lastRenderedPageBreak/>
              <w:t>processing power can be needed.</w:t>
            </w:r>
          </w:p>
        </w:tc>
      </w:tr>
      <w:tr w:rsidR="00F7692A" w14:paraId="4843B26F" w14:textId="77777777" w:rsidTr="001D4222">
        <w:tc>
          <w:tcPr>
            <w:tcW w:w="2254" w:type="dxa"/>
          </w:tcPr>
          <w:p w14:paraId="505D23B9" w14:textId="77777777" w:rsidR="00F7692A" w:rsidRPr="00856794" w:rsidRDefault="00F7692A" w:rsidP="001D4222">
            <w:pPr>
              <w:spacing w:line="360" w:lineRule="auto"/>
              <w:rPr>
                <w:rFonts w:asciiTheme="minorBidi" w:eastAsia="Times New Roman" w:hAnsiTheme="minorBidi"/>
                <w:kern w:val="0"/>
                <w:sz w:val="22"/>
                <w:szCs w:val="22"/>
                <w14:ligatures w14:val="none"/>
              </w:rPr>
            </w:pPr>
            <w:r w:rsidRPr="00856794">
              <w:rPr>
                <w:rFonts w:asciiTheme="minorBidi" w:eastAsia="Times New Roman" w:hAnsiTheme="minorBidi"/>
                <w:kern w:val="0"/>
                <w:sz w:val="22"/>
                <w:szCs w:val="22"/>
                <w14:ligatures w14:val="none"/>
              </w:rPr>
              <w:lastRenderedPageBreak/>
              <w:t>Experiment</w:t>
            </w:r>
          </w:p>
          <w:p w14:paraId="203040FB" w14:textId="77777777" w:rsidR="00F7692A" w:rsidRPr="00856794" w:rsidRDefault="00F7692A" w:rsidP="001D4222">
            <w:pPr>
              <w:spacing w:line="360" w:lineRule="auto"/>
              <w:rPr>
                <w:rFonts w:asciiTheme="minorBidi" w:eastAsia="Times New Roman" w:hAnsiTheme="minorBidi"/>
                <w:color w:val="000000" w:themeColor="text1"/>
                <w:kern w:val="0"/>
                <w:sz w:val="22"/>
                <w:szCs w:val="22"/>
                <w14:ligatures w14:val="none"/>
              </w:rPr>
            </w:pPr>
          </w:p>
        </w:tc>
        <w:tc>
          <w:tcPr>
            <w:tcW w:w="2254" w:type="dxa"/>
          </w:tcPr>
          <w:p w14:paraId="7639AFAD" w14:textId="77777777" w:rsidR="00F7692A" w:rsidRPr="00856794" w:rsidRDefault="00F7692A" w:rsidP="001D4222">
            <w:pPr>
              <w:spacing w:line="360" w:lineRule="auto"/>
              <w:rPr>
                <w:rFonts w:asciiTheme="minorBidi" w:eastAsia="Times New Roman" w:hAnsiTheme="minorBidi"/>
                <w:kern w:val="0"/>
                <w:sz w:val="22"/>
                <w:szCs w:val="22"/>
                <w14:ligatures w14:val="none"/>
              </w:rPr>
            </w:pPr>
            <w:r w:rsidRPr="00856794">
              <w:rPr>
                <w:rFonts w:asciiTheme="minorBidi" w:eastAsia="Times New Roman" w:hAnsiTheme="minorBidi"/>
                <w:kern w:val="0"/>
                <w:sz w:val="22"/>
                <w:szCs w:val="22"/>
                <w14:ligatures w14:val="none"/>
              </w:rPr>
              <w:t>An experiment is a type of research methodology in which one or more independent variables are changed in order to ascertain how those changes affect one or more dependent variables. In order to establish cause-and-effect linkages, experiments are frequently carried out in controlled situations.</w:t>
            </w:r>
          </w:p>
          <w:p w14:paraId="1E157F87" w14:textId="77777777" w:rsidR="00F7692A" w:rsidRPr="00856794" w:rsidRDefault="00F7692A" w:rsidP="001D4222">
            <w:pPr>
              <w:spacing w:line="360" w:lineRule="auto"/>
              <w:rPr>
                <w:rFonts w:asciiTheme="minorBidi" w:eastAsia="Times New Roman" w:hAnsiTheme="minorBidi"/>
                <w:color w:val="000000" w:themeColor="text1"/>
                <w:kern w:val="0"/>
                <w:sz w:val="22"/>
                <w:szCs w:val="22"/>
                <w14:ligatures w14:val="none"/>
              </w:rPr>
            </w:pPr>
          </w:p>
        </w:tc>
        <w:tc>
          <w:tcPr>
            <w:tcW w:w="2254" w:type="dxa"/>
          </w:tcPr>
          <w:p w14:paraId="39CA254D" w14:textId="77777777" w:rsidR="00F7692A" w:rsidRPr="00856794" w:rsidRDefault="00F7692A" w:rsidP="001D4222">
            <w:pPr>
              <w:spacing w:line="360" w:lineRule="auto"/>
              <w:rPr>
                <w:rFonts w:asciiTheme="minorBidi" w:eastAsia="Times New Roman" w:hAnsiTheme="minorBidi"/>
                <w:color w:val="000000" w:themeColor="text1"/>
                <w:kern w:val="0"/>
                <w:sz w:val="22"/>
                <w:szCs w:val="22"/>
                <w14:ligatures w14:val="none"/>
              </w:rPr>
            </w:pPr>
            <w:r w:rsidRPr="00856794">
              <w:rPr>
                <w:rFonts w:asciiTheme="minorBidi" w:eastAsia="Times New Roman" w:hAnsiTheme="minorBidi"/>
                <w:kern w:val="0"/>
                <w:sz w:val="22"/>
                <w:szCs w:val="22"/>
                <w14:ligatures w14:val="none"/>
              </w:rPr>
              <w:t xml:space="preserve">1. Variable Control: The capacity to distinguish between and work with independent variables. </w:t>
            </w:r>
            <w:r w:rsidRPr="00856794">
              <w:rPr>
                <w:rFonts w:asciiTheme="minorBidi" w:eastAsia="Times New Roman" w:hAnsiTheme="minorBidi"/>
                <w:kern w:val="0"/>
                <w:sz w:val="22"/>
                <w:szCs w:val="22"/>
                <w14:ligatures w14:val="none"/>
              </w:rPr>
              <w:br/>
              <w:t xml:space="preserve">2. Causality: There is a good chance of establishing cause-and-effect connections. </w:t>
            </w:r>
            <w:r w:rsidRPr="00856794">
              <w:rPr>
                <w:rFonts w:asciiTheme="minorBidi" w:eastAsia="Times New Roman" w:hAnsiTheme="minorBidi"/>
                <w:kern w:val="0"/>
                <w:sz w:val="22"/>
                <w:szCs w:val="22"/>
                <w14:ligatures w14:val="none"/>
              </w:rPr>
              <w:br/>
              <w:t>3. Replication: To confirm findings, experiments can be carried out again.</w:t>
            </w:r>
          </w:p>
        </w:tc>
        <w:tc>
          <w:tcPr>
            <w:tcW w:w="2254" w:type="dxa"/>
          </w:tcPr>
          <w:p w14:paraId="1B05CAD9" w14:textId="77777777" w:rsidR="00F7692A" w:rsidRPr="00856794" w:rsidRDefault="00F7692A" w:rsidP="001D4222">
            <w:pPr>
              <w:spacing w:line="360" w:lineRule="auto"/>
              <w:rPr>
                <w:rFonts w:asciiTheme="minorBidi" w:eastAsia="Times New Roman" w:hAnsiTheme="minorBidi"/>
                <w:color w:val="000000" w:themeColor="text1"/>
                <w:kern w:val="0"/>
                <w:sz w:val="22"/>
                <w:szCs w:val="22"/>
                <w14:ligatures w14:val="none"/>
              </w:rPr>
            </w:pPr>
            <w:r w:rsidRPr="00856794">
              <w:rPr>
                <w:rFonts w:asciiTheme="minorBidi" w:eastAsia="Times New Roman" w:hAnsiTheme="minorBidi"/>
                <w:kern w:val="0"/>
                <w:sz w:val="22"/>
                <w:szCs w:val="22"/>
                <w14:ligatures w14:val="none"/>
              </w:rPr>
              <w:br/>
              <w:t xml:space="preserve">1. Ethical Restrictions: It might not be morally possible to conduct some tests. </w:t>
            </w:r>
            <w:r w:rsidRPr="00856794">
              <w:rPr>
                <w:rFonts w:asciiTheme="minorBidi" w:eastAsia="Times New Roman" w:hAnsiTheme="minorBidi"/>
                <w:kern w:val="0"/>
                <w:sz w:val="22"/>
                <w:szCs w:val="22"/>
                <w14:ligatures w14:val="none"/>
              </w:rPr>
              <w:br/>
              <w:t xml:space="preserve">2. Artificiality: Real-world conditions might not be reflected in laboratory settings. </w:t>
            </w:r>
            <w:r w:rsidRPr="00856794">
              <w:rPr>
                <w:rFonts w:asciiTheme="minorBidi" w:eastAsia="Times New Roman" w:hAnsiTheme="minorBidi"/>
                <w:kern w:val="0"/>
                <w:sz w:val="22"/>
                <w:szCs w:val="22"/>
                <w14:ligatures w14:val="none"/>
              </w:rPr>
              <w:br/>
              <w:t>3. Cost and Time: The process can be costly and time-consuming.</w:t>
            </w:r>
          </w:p>
        </w:tc>
      </w:tr>
      <w:tr w:rsidR="00F7692A" w14:paraId="16F1FBB3" w14:textId="77777777" w:rsidTr="001D4222">
        <w:tc>
          <w:tcPr>
            <w:tcW w:w="2254" w:type="dxa"/>
          </w:tcPr>
          <w:p w14:paraId="682130BA" w14:textId="77777777" w:rsidR="00F7692A" w:rsidRPr="00856794" w:rsidRDefault="00F7692A" w:rsidP="001D4222">
            <w:pPr>
              <w:spacing w:line="360" w:lineRule="auto"/>
              <w:rPr>
                <w:rFonts w:asciiTheme="minorBidi" w:eastAsia="Times New Roman" w:hAnsiTheme="minorBidi"/>
                <w:color w:val="000000" w:themeColor="text1"/>
                <w:kern w:val="0"/>
                <w:sz w:val="22"/>
                <w:szCs w:val="22"/>
                <w14:ligatures w14:val="none"/>
              </w:rPr>
            </w:pPr>
            <w:r w:rsidRPr="00856794">
              <w:rPr>
                <w:rFonts w:asciiTheme="minorBidi" w:eastAsia="Times New Roman" w:hAnsiTheme="minorBidi"/>
                <w:color w:val="000000" w:themeColor="text1"/>
                <w:kern w:val="0"/>
                <w:sz w:val="22"/>
                <w:szCs w:val="22"/>
                <w14:ligatures w14:val="none"/>
              </w:rPr>
              <w:t>Case study</w:t>
            </w:r>
          </w:p>
        </w:tc>
        <w:tc>
          <w:tcPr>
            <w:tcW w:w="2254" w:type="dxa"/>
          </w:tcPr>
          <w:p w14:paraId="5C5738B1" w14:textId="77777777" w:rsidR="00F7692A" w:rsidRPr="00856794" w:rsidRDefault="00F7692A" w:rsidP="001D4222">
            <w:pPr>
              <w:spacing w:line="360" w:lineRule="auto"/>
              <w:rPr>
                <w:rFonts w:asciiTheme="minorBidi" w:eastAsia="Times New Roman" w:hAnsiTheme="minorBidi"/>
                <w:kern w:val="0"/>
                <w:sz w:val="22"/>
                <w:szCs w:val="22"/>
                <w14:ligatures w14:val="none"/>
              </w:rPr>
            </w:pPr>
            <w:r w:rsidRPr="00856794">
              <w:rPr>
                <w:rFonts w:asciiTheme="minorBidi" w:eastAsia="Times New Roman" w:hAnsiTheme="minorBidi"/>
                <w:kern w:val="0"/>
                <w:sz w:val="22"/>
                <w:szCs w:val="22"/>
                <w14:ligatures w14:val="none"/>
              </w:rPr>
              <w:t xml:space="preserve">A case study is a comprehensive examination of one or a few examples in the context of real-world situations. A person, group, organization, event, or phenomena could be the subject of the case. topic studies offer in-depth </w:t>
            </w:r>
            <w:r w:rsidRPr="00856794">
              <w:rPr>
                <w:rFonts w:asciiTheme="minorBidi" w:eastAsia="Times New Roman" w:hAnsiTheme="minorBidi"/>
                <w:kern w:val="0"/>
                <w:sz w:val="22"/>
                <w:szCs w:val="22"/>
                <w14:ligatures w14:val="none"/>
              </w:rPr>
              <w:lastRenderedPageBreak/>
              <w:t>perceptions and comprehension of the intricacy of the topic under study.</w:t>
            </w:r>
          </w:p>
          <w:p w14:paraId="1926D870" w14:textId="77777777" w:rsidR="00F7692A" w:rsidRPr="00856794" w:rsidRDefault="00F7692A" w:rsidP="001D4222">
            <w:pPr>
              <w:spacing w:line="360" w:lineRule="auto"/>
              <w:rPr>
                <w:rFonts w:asciiTheme="minorBidi" w:eastAsia="Times New Roman" w:hAnsiTheme="minorBidi"/>
                <w:color w:val="000000" w:themeColor="text1"/>
                <w:kern w:val="0"/>
                <w:sz w:val="22"/>
                <w:szCs w:val="22"/>
                <w14:ligatures w14:val="none"/>
              </w:rPr>
            </w:pPr>
          </w:p>
        </w:tc>
        <w:tc>
          <w:tcPr>
            <w:tcW w:w="2254" w:type="dxa"/>
          </w:tcPr>
          <w:p w14:paraId="0249F704" w14:textId="77777777" w:rsidR="00F7692A" w:rsidRPr="00856794" w:rsidRDefault="00F7692A" w:rsidP="001D4222">
            <w:pPr>
              <w:spacing w:line="360" w:lineRule="auto"/>
              <w:rPr>
                <w:rFonts w:asciiTheme="minorBidi" w:eastAsia="Times New Roman" w:hAnsiTheme="minorBidi"/>
                <w:color w:val="000000" w:themeColor="text1"/>
                <w:kern w:val="0"/>
                <w:sz w:val="22"/>
                <w:szCs w:val="22"/>
                <w14:ligatures w14:val="none"/>
              </w:rPr>
            </w:pPr>
            <w:r w:rsidRPr="00856794">
              <w:rPr>
                <w:rFonts w:asciiTheme="minorBidi" w:eastAsia="Times New Roman" w:hAnsiTheme="minorBidi"/>
                <w:kern w:val="0"/>
                <w:sz w:val="22"/>
                <w:szCs w:val="22"/>
                <w14:ligatures w14:val="none"/>
              </w:rPr>
              <w:lastRenderedPageBreak/>
              <w:t xml:space="preserve">1. In-Depth Analysis: Offers an extensive and thorough comprehension of the case. </w:t>
            </w:r>
            <w:r w:rsidRPr="00856794">
              <w:rPr>
                <w:rFonts w:asciiTheme="minorBidi" w:eastAsia="Times New Roman" w:hAnsiTheme="minorBidi"/>
                <w:kern w:val="0"/>
                <w:sz w:val="22"/>
                <w:szCs w:val="22"/>
                <w14:ligatures w14:val="none"/>
              </w:rPr>
              <w:br/>
              <w:t xml:space="preserve">2. Contextual Insights: Packed with practical significance and context. </w:t>
            </w:r>
            <w:r w:rsidRPr="00856794">
              <w:rPr>
                <w:rFonts w:asciiTheme="minorBidi" w:eastAsia="Times New Roman" w:hAnsiTheme="minorBidi"/>
                <w:kern w:val="0"/>
                <w:sz w:val="22"/>
                <w:szCs w:val="22"/>
                <w14:ligatures w14:val="none"/>
              </w:rPr>
              <w:br/>
              <w:t xml:space="preserve">3. Flexibility: Adaptable to </w:t>
            </w:r>
            <w:r w:rsidRPr="00856794">
              <w:rPr>
                <w:rFonts w:asciiTheme="minorBidi" w:eastAsia="Times New Roman" w:hAnsiTheme="minorBidi"/>
                <w:kern w:val="0"/>
                <w:sz w:val="22"/>
                <w:szCs w:val="22"/>
                <w14:ligatures w14:val="none"/>
              </w:rPr>
              <w:lastRenderedPageBreak/>
              <w:t>different approaches to gathering data.</w:t>
            </w:r>
          </w:p>
        </w:tc>
        <w:tc>
          <w:tcPr>
            <w:tcW w:w="2254" w:type="dxa"/>
          </w:tcPr>
          <w:p w14:paraId="6A95FC03" w14:textId="77777777" w:rsidR="00F7692A" w:rsidRPr="00856794" w:rsidRDefault="00F7692A" w:rsidP="001D4222">
            <w:pPr>
              <w:spacing w:line="360" w:lineRule="auto"/>
              <w:rPr>
                <w:rFonts w:asciiTheme="minorBidi" w:eastAsia="Times New Roman" w:hAnsiTheme="minorBidi"/>
                <w:color w:val="000000" w:themeColor="text1"/>
                <w:kern w:val="0"/>
                <w:sz w:val="22"/>
                <w:szCs w:val="22"/>
                <w14:ligatures w14:val="none"/>
              </w:rPr>
            </w:pPr>
            <w:r w:rsidRPr="00856794">
              <w:rPr>
                <w:rFonts w:asciiTheme="minorBidi" w:eastAsia="Times New Roman" w:hAnsiTheme="minorBidi"/>
                <w:kern w:val="0"/>
                <w:sz w:val="22"/>
                <w:szCs w:val="22"/>
                <w14:ligatures w14:val="none"/>
              </w:rPr>
              <w:lastRenderedPageBreak/>
              <w:t xml:space="preserve">1. Generalizability: Limited capacity to extrapolate results to different settings. </w:t>
            </w:r>
            <w:r w:rsidRPr="00856794">
              <w:rPr>
                <w:rFonts w:asciiTheme="minorBidi" w:eastAsia="Times New Roman" w:hAnsiTheme="minorBidi"/>
                <w:kern w:val="0"/>
                <w:sz w:val="22"/>
                <w:szCs w:val="22"/>
                <w14:ligatures w14:val="none"/>
              </w:rPr>
              <w:br/>
              <w:t xml:space="preserve">2. Subjectivity: Interpretation bias by the researcher is a possibility. </w:t>
            </w:r>
            <w:r w:rsidRPr="00856794">
              <w:rPr>
                <w:rFonts w:asciiTheme="minorBidi" w:eastAsia="Times New Roman" w:hAnsiTheme="minorBidi"/>
                <w:kern w:val="0"/>
                <w:sz w:val="22"/>
                <w:szCs w:val="22"/>
                <w14:ligatures w14:val="none"/>
              </w:rPr>
              <w:br/>
              <w:t>3. Time-consuming: May require a lot of resources and time.</w:t>
            </w:r>
          </w:p>
        </w:tc>
      </w:tr>
      <w:tr w:rsidR="00F7692A" w14:paraId="2D971B6F" w14:textId="77777777" w:rsidTr="001D4222">
        <w:tc>
          <w:tcPr>
            <w:tcW w:w="2254" w:type="dxa"/>
          </w:tcPr>
          <w:p w14:paraId="5C51CF21" w14:textId="77777777" w:rsidR="00F7692A" w:rsidRPr="00856794" w:rsidRDefault="00F7692A" w:rsidP="001D4222">
            <w:pPr>
              <w:spacing w:line="360" w:lineRule="auto"/>
              <w:rPr>
                <w:rFonts w:asciiTheme="minorBidi" w:eastAsia="Times New Roman" w:hAnsiTheme="minorBidi"/>
                <w:color w:val="000000" w:themeColor="text1"/>
                <w:kern w:val="0"/>
                <w:sz w:val="22"/>
                <w:szCs w:val="22"/>
                <w14:ligatures w14:val="none"/>
              </w:rPr>
            </w:pPr>
            <w:r w:rsidRPr="00856794">
              <w:rPr>
                <w:rFonts w:asciiTheme="minorBidi" w:eastAsia="Times New Roman" w:hAnsiTheme="minorBidi"/>
                <w:color w:val="000000" w:themeColor="text1"/>
                <w:kern w:val="0"/>
                <w:sz w:val="22"/>
                <w:szCs w:val="22"/>
                <w14:ligatures w14:val="none"/>
              </w:rPr>
              <w:t xml:space="preserve">Survey </w:t>
            </w:r>
          </w:p>
        </w:tc>
        <w:tc>
          <w:tcPr>
            <w:tcW w:w="2254" w:type="dxa"/>
          </w:tcPr>
          <w:p w14:paraId="4983FB4E" w14:textId="77777777" w:rsidR="00F7692A" w:rsidRPr="00856794" w:rsidRDefault="00F7692A" w:rsidP="001D4222">
            <w:pPr>
              <w:spacing w:line="360" w:lineRule="auto"/>
              <w:rPr>
                <w:rFonts w:asciiTheme="minorBidi" w:eastAsia="Times New Roman" w:hAnsiTheme="minorBidi"/>
                <w:kern w:val="0"/>
                <w:sz w:val="22"/>
                <w:szCs w:val="22"/>
                <w14:ligatures w14:val="none"/>
              </w:rPr>
            </w:pPr>
            <w:r w:rsidRPr="00856794">
              <w:rPr>
                <w:rFonts w:asciiTheme="minorBidi" w:eastAsia="Times New Roman" w:hAnsiTheme="minorBidi"/>
                <w:kern w:val="0"/>
                <w:sz w:val="22"/>
                <w:szCs w:val="22"/>
                <w14:ligatures w14:val="none"/>
              </w:rPr>
              <w:t>Definition: A survey is a type of research in which a sample of people are asked standardized questions in order to gather data. Surveys can be used to collect quantitative or qualitative information about the attitudes, opinions, habits, or features of the target population through a variety of methods, such as online forms, interviews, and questionnaires.</w:t>
            </w:r>
          </w:p>
          <w:p w14:paraId="674CC2C4" w14:textId="77777777" w:rsidR="00F7692A" w:rsidRPr="00856794" w:rsidRDefault="00F7692A" w:rsidP="001D4222">
            <w:pPr>
              <w:spacing w:line="360" w:lineRule="auto"/>
              <w:rPr>
                <w:rFonts w:asciiTheme="minorBidi" w:eastAsia="Times New Roman" w:hAnsiTheme="minorBidi"/>
                <w:color w:val="000000" w:themeColor="text1"/>
                <w:kern w:val="0"/>
                <w:sz w:val="22"/>
                <w:szCs w:val="22"/>
                <w14:ligatures w14:val="none"/>
              </w:rPr>
            </w:pPr>
          </w:p>
        </w:tc>
        <w:tc>
          <w:tcPr>
            <w:tcW w:w="2254" w:type="dxa"/>
          </w:tcPr>
          <w:p w14:paraId="06D8B478" w14:textId="77777777" w:rsidR="00F7692A" w:rsidRPr="00856794" w:rsidRDefault="00F7692A" w:rsidP="001D4222">
            <w:pPr>
              <w:spacing w:line="360" w:lineRule="auto"/>
              <w:rPr>
                <w:rFonts w:asciiTheme="minorBidi" w:eastAsia="Times New Roman" w:hAnsiTheme="minorBidi"/>
                <w:color w:val="000000" w:themeColor="text1"/>
                <w:kern w:val="0"/>
                <w:sz w:val="22"/>
                <w:szCs w:val="22"/>
                <w14:ligatures w14:val="none"/>
              </w:rPr>
            </w:pPr>
            <w:r w:rsidRPr="00856794">
              <w:rPr>
                <w:rFonts w:asciiTheme="minorBidi" w:eastAsia="Times New Roman" w:hAnsiTheme="minorBidi"/>
                <w:kern w:val="0"/>
                <w:sz w:val="22"/>
                <w:szCs w:val="22"/>
                <w14:ligatures w14:val="none"/>
              </w:rPr>
              <w:t xml:space="preserve">1. Broad Reach: Able to gather information from a sizable populace. </w:t>
            </w:r>
            <w:r w:rsidRPr="00856794">
              <w:rPr>
                <w:rFonts w:asciiTheme="minorBidi" w:eastAsia="Times New Roman" w:hAnsiTheme="minorBidi"/>
                <w:kern w:val="0"/>
                <w:sz w:val="22"/>
                <w:szCs w:val="22"/>
                <w14:ligatures w14:val="none"/>
              </w:rPr>
              <w:br/>
              <w:t xml:space="preserve">2. Standardization: Comparisons are made simple with standardised questions. </w:t>
            </w:r>
            <w:r w:rsidRPr="00856794">
              <w:rPr>
                <w:rFonts w:asciiTheme="minorBidi" w:eastAsia="Times New Roman" w:hAnsiTheme="minorBidi"/>
                <w:kern w:val="0"/>
                <w:sz w:val="22"/>
                <w:szCs w:val="22"/>
                <w14:ligatures w14:val="none"/>
              </w:rPr>
              <w:br/>
              <w:t>3. Cost-Effective: Generally inexpensive, particularly when using internet surveys.</w:t>
            </w:r>
          </w:p>
        </w:tc>
        <w:tc>
          <w:tcPr>
            <w:tcW w:w="2254" w:type="dxa"/>
          </w:tcPr>
          <w:p w14:paraId="42901C36" w14:textId="77777777" w:rsidR="00F7692A" w:rsidRPr="00856794" w:rsidRDefault="00F7692A" w:rsidP="001D4222">
            <w:pPr>
              <w:spacing w:line="360" w:lineRule="auto"/>
              <w:rPr>
                <w:rFonts w:asciiTheme="minorBidi" w:eastAsia="Times New Roman" w:hAnsiTheme="minorBidi"/>
                <w:color w:val="000000" w:themeColor="text1"/>
                <w:kern w:val="0"/>
                <w:sz w:val="22"/>
                <w:szCs w:val="22"/>
                <w14:ligatures w14:val="none"/>
              </w:rPr>
            </w:pPr>
            <w:r w:rsidRPr="00856794">
              <w:rPr>
                <w:rFonts w:asciiTheme="minorBidi" w:eastAsia="Times New Roman" w:hAnsiTheme="minorBidi"/>
                <w:kern w:val="0"/>
                <w:sz w:val="22"/>
                <w:szCs w:val="22"/>
                <w14:ligatures w14:val="none"/>
              </w:rPr>
              <w:t xml:space="preserve">1. Response Bias: Possibility of non-response or answers that are deemed socially acceptable. </w:t>
            </w:r>
            <w:r w:rsidRPr="00856794">
              <w:rPr>
                <w:rFonts w:asciiTheme="minorBidi" w:eastAsia="Times New Roman" w:hAnsiTheme="minorBidi"/>
                <w:kern w:val="0"/>
                <w:sz w:val="22"/>
                <w:szCs w:val="22"/>
                <w14:ligatures w14:val="none"/>
              </w:rPr>
              <w:br/>
              <w:t xml:space="preserve">2. Superficial Data: The extent of respondents' experiences might not be fully captured. </w:t>
            </w:r>
            <w:r w:rsidRPr="00856794">
              <w:rPr>
                <w:rFonts w:asciiTheme="minorBidi" w:eastAsia="Times New Roman" w:hAnsiTheme="minorBidi"/>
                <w:kern w:val="0"/>
                <w:sz w:val="22"/>
                <w:szCs w:val="22"/>
                <w14:ligatures w14:val="none"/>
              </w:rPr>
              <w:br/>
              <w:t>3. Design Limitations: Inaccurate results may arise from surveys with poor design.</w:t>
            </w:r>
          </w:p>
        </w:tc>
      </w:tr>
    </w:tbl>
    <w:p w14:paraId="190446AC" w14:textId="77777777" w:rsidR="00F7692A" w:rsidRPr="00D126B5" w:rsidRDefault="00F7692A" w:rsidP="00F7692A">
      <w:pPr>
        <w:spacing w:after="0" w:line="480" w:lineRule="auto"/>
        <w:jc w:val="both"/>
        <w:rPr>
          <w:rFonts w:asciiTheme="minorBidi" w:eastAsia="Times New Roman" w:hAnsiTheme="minorBidi"/>
          <w:b/>
          <w:bCs/>
          <w:color w:val="000000" w:themeColor="text1"/>
          <w:kern w:val="0"/>
          <w14:ligatures w14:val="none"/>
        </w:rPr>
      </w:pPr>
    </w:p>
    <w:p w14:paraId="5417E3B0" w14:textId="77777777" w:rsidR="00F7692A" w:rsidRPr="00D126B5" w:rsidRDefault="00F7692A" w:rsidP="00F7692A">
      <w:pPr>
        <w:spacing w:after="0" w:line="480" w:lineRule="auto"/>
        <w:jc w:val="both"/>
        <w:rPr>
          <w:rFonts w:asciiTheme="minorBidi" w:eastAsia="Times New Roman" w:hAnsiTheme="minorBidi"/>
          <w:color w:val="000000" w:themeColor="text1"/>
          <w:kern w:val="0"/>
          <w14:ligatures w14:val="none"/>
        </w:rPr>
      </w:pPr>
      <w:r>
        <w:rPr>
          <w:rFonts w:asciiTheme="minorBidi" w:eastAsia="Times New Roman" w:hAnsiTheme="minorBidi"/>
          <w:color w:val="000000" w:themeColor="text1"/>
          <w:kern w:val="0"/>
          <w14:ligatures w14:val="none"/>
        </w:rPr>
        <w:t xml:space="preserve">As noted in Table 3.2, a </w:t>
      </w:r>
      <w:r w:rsidRPr="00D126B5">
        <w:rPr>
          <w:rFonts w:asciiTheme="minorBidi" w:eastAsia="Times New Roman" w:hAnsiTheme="minorBidi"/>
          <w:color w:val="000000" w:themeColor="text1"/>
          <w:kern w:val="0"/>
          <w14:ligatures w14:val="none"/>
        </w:rPr>
        <w:t xml:space="preserve">survey is a type of research strategy in which participants are identified and questioned about the research phenomena under study. As a result, this strategy's fundamental feature is that it uses primary data. Since, primary data would be the source major of information for this study, the survey technique appears appropriate. The primary benefit of the survey approach is in its ability to be customised to the specific goals of the study, as participants can be asked original questions that cannot be answered by secondary data. However, the primary </w:t>
      </w:r>
      <w:r w:rsidRPr="00D126B5">
        <w:rPr>
          <w:rFonts w:asciiTheme="minorBidi" w:eastAsia="Times New Roman" w:hAnsiTheme="minorBidi"/>
          <w:color w:val="000000" w:themeColor="text1"/>
          <w:kern w:val="0"/>
          <w14:ligatures w14:val="none"/>
        </w:rPr>
        <w:lastRenderedPageBreak/>
        <w:t>drawback of the survey approach is that it may be linked to participant bias and ethical dilemmas that the researcher must consider.</w:t>
      </w:r>
    </w:p>
    <w:p w14:paraId="3386C169" w14:textId="77777777" w:rsidR="00F7692A" w:rsidRPr="00D126B5" w:rsidRDefault="00F7692A" w:rsidP="00F7692A">
      <w:pPr>
        <w:spacing w:before="100" w:beforeAutospacing="1" w:after="100" w:afterAutospacing="1" w:line="480" w:lineRule="auto"/>
        <w:jc w:val="both"/>
        <w:rPr>
          <w:rFonts w:asciiTheme="minorBidi" w:hAnsiTheme="minorBidi"/>
          <w:color w:val="000000" w:themeColor="text1"/>
        </w:rPr>
      </w:pPr>
      <w:r w:rsidRPr="00D126B5">
        <w:rPr>
          <w:rFonts w:asciiTheme="minorBidi" w:hAnsiTheme="minorBidi"/>
          <w:color w:val="000000" w:themeColor="text1"/>
        </w:rPr>
        <w:t>Quantitative approach is underpinned by positivism (Johnson &amp; Clark, 2006) with an objectivist notion of social reality and objectivist epistemology that emphasises the significance of determining and quantifying phenomenon (Bryman &amp; Bell, 2011). Bryman (2016) augurs that positivism is the belief that social phenomena and knowledge can only be quantified by using the scientific method i.e. Through the senses or the empirical method. Consequently, objectivists would use methods such as surveys, structured interviews, and experiments. Whereas interpretivism rejects the scientific method as a valid approach. Hence, the study of the social world and its participants necessitates grasping the subjective interpretation of social relations.</w:t>
      </w:r>
    </w:p>
    <w:p w14:paraId="53B6B741" w14:textId="77777777" w:rsidR="00F7692A" w:rsidRPr="00D126B5" w:rsidRDefault="00F7692A" w:rsidP="00F7692A">
      <w:pPr>
        <w:spacing w:before="100" w:beforeAutospacing="1" w:after="100" w:afterAutospacing="1" w:line="480" w:lineRule="auto"/>
        <w:jc w:val="both"/>
        <w:rPr>
          <w:rFonts w:asciiTheme="minorBidi" w:eastAsia="Times New Roman" w:hAnsiTheme="minorBidi"/>
          <w:color w:val="000000" w:themeColor="text1"/>
          <w:lang w:eastAsia="en-GB"/>
        </w:rPr>
      </w:pPr>
      <w:r w:rsidRPr="00D126B5">
        <w:rPr>
          <w:rFonts w:asciiTheme="minorBidi" w:hAnsiTheme="minorBidi"/>
          <w:color w:val="000000" w:themeColor="text1"/>
        </w:rPr>
        <w:t>Research studies that are interested in establishing cause and effect relationship tend to adopt a quantitative research approach.</w:t>
      </w:r>
      <w:r w:rsidRPr="00D126B5">
        <w:rPr>
          <w:rFonts w:asciiTheme="minorBidi" w:eastAsia="Times New Roman" w:hAnsiTheme="minorBidi"/>
          <w:color w:val="000000" w:themeColor="text1"/>
          <w:lang w:eastAsia="en-GB"/>
        </w:rPr>
        <w:t xml:space="preserve"> </w:t>
      </w:r>
      <w:r w:rsidRPr="00D126B5">
        <w:rPr>
          <w:rFonts w:asciiTheme="minorBidi" w:eastAsia="Times New Roman" w:hAnsiTheme="minorBidi"/>
          <w:b/>
          <w:bCs/>
          <w:color w:val="000000" w:themeColor="text1"/>
          <w:lang w:eastAsia="en-GB"/>
        </w:rPr>
        <w:t>As the first part of this study aims to examine the extent of psychopathic predisposition among final year undergraduate accounting students at the University of Salford as ‘surrogates’ for practitioners (Mortenson et al, 2012), which is an established practice in accounting education.</w:t>
      </w:r>
      <w:r w:rsidRPr="00D126B5">
        <w:rPr>
          <w:rFonts w:asciiTheme="minorBidi" w:eastAsia="Times New Roman" w:hAnsiTheme="minorBidi"/>
          <w:color w:val="000000" w:themeColor="text1"/>
          <w:lang w:eastAsia="en-GB"/>
        </w:rPr>
        <w:t xml:space="preserve"> Hence a </w:t>
      </w:r>
      <w:r w:rsidRPr="00D126B5">
        <w:rPr>
          <w:rFonts w:asciiTheme="minorBidi" w:eastAsia="Times New Roman" w:hAnsiTheme="minorBidi"/>
          <w:b/>
          <w:bCs/>
          <w:color w:val="000000" w:themeColor="text1"/>
          <w:lang w:eastAsia="en-GB"/>
        </w:rPr>
        <w:t>quantitative technique namely structured survey will be utilised to explore if there is a correlation between corporate psychopathy and the rationalisation of Accounting Fraud, specifically SRQ 1 – SRQ</w:t>
      </w:r>
      <w:r>
        <w:rPr>
          <w:rFonts w:asciiTheme="minorBidi" w:eastAsia="Times New Roman" w:hAnsiTheme="minorBidi"/>
          <w:b/>
          <w:bCs/>
          <w:color w:val="000000" w:themeColor="text1"/>
          <w:lang w:eastAsia="en-GB"/>
        </w:rPr>
        <w:t xml:space="preserve"> </w:t>
      </w:r>
      <w:r w:rsidRPr="00D126B5">
        <w:rPr>
          <w:rFonts w:asciiTheme="minorBidi" w:eastAsia="Times New Roman" w:hAnsiTheme="minorBidi"/>
          <w:b/>
          <w:bCs/>
          <w:color w:val="000000" w:themeColor="text1"/>
          <w:lang w:eastAsia="en-GB"/>
        </w:rPr>
        <w:t xml:space="preserve">4, see </w:t>
      </w:r>
      <w:r>
        <w:rPr>
          <w:rFonts w:asciiTheme="minorBidi" w:eastAsia="Times New Roman" w:hAnsiTheme="minorBidi"/>
          <w:b/>
          <w:bCs/>
          <w:color w:val="000000" w:themeColor="text1"/>
          <w:lang w:eastAsia="en-GB"/>
        </w:rPr>
        <w:t>Table 3.1</w:t>
      </w:r>
      <w:r w:rsidRPr="00D126B5">
        <w:rPr>
          <w:rFonts w:asciiTheme="minorBidi" w:eastAsia="Times New Roman" w:hAnsiTheme="minorBidi"/>
          <w:color w:val="000000" w:themeColor="text1"/>
          <w:lang w:eastAsia="en-GB"/>
        </w:rPr>
        <w:t xml:space="preserve">. </w:t>
      </w:r>
    </w:p>
    <w:p w14:paraId="23A117D9" w14:textId="77777777" w:rsidR="00F7692A" w:rsidRPr="00D126B5" w:rsidRDefault="00F7692A" w:rsidP="00F7692A">
      <w:pPr>
        <w:spacing w:after="0" w:line="480" w:lineRule="auto"/>
        <w:jc w:val="both"/>
        <w:rPr>
          <w:rFonts w:asciiTheme="minorBidi" w:eastAsia="Times New Roman" w:hAnsiTheme="minorBidi"/>
          <w:color w:val="000000" w:themeColor="text1"/>
          <w:kern w:val="0"/>
          <w14:ligatures w14:val="none"/>
        </w:rPr>
      </w:pPr>
      <w:r w:rsidRPr="00D126B5">
        <w:rPr>
          <w:rFonts w:asciiTheme="minorBidi" w:eastAsia="Times New Roman" w:hAnsiTheme="minorBidi"/>
          <w:b/>
          <w:bCs/>
          <w:color w:val="000000" w:themeColor="text1"/>
          <w:lang w:eastAsia="en-GB"/>
        </w:rPr>
        <w:t>The quantitative technique of a structured survey</w:t>
      </w:r>
      <w:r w:rsidRPr="00D126B5">
        <w:rPr>
          <w:rFonts w:asciiTheme="minorBidi" w:eastAsia="Times New Roman" w:hAnsiTheme="minorBidi"/>
          <w:color w:val="000000" w:themeColor="text1"/>
          <w:lang w:eastAsia="en-GB"/>
        </w:rPr>
        <w:t xml:space="preserve">, </w:t>
      </w:r>
      <w:r w:rsidRPr="00D126B5">
        <w:rPr>
          <w:rFonts w:asciiTheme="minorBidi" w:eastAsia="Times New Roman" w:hAnsiTheme="minorBidi"/>
          <w:b/>
          <w:bCs/>
          <w:color w:val="000000" w:themeColor="text1"/>
          <w:lang w:eastAsia="en-GB"/>
        </w:rPr>
        <w:t>see Appendix B</w:t>
      </w:r>
      <w:r w:rsidRPr="00D126B5">
        <w:rPr>
          <w:rFonts w:asciiTheme="minorBidi" w:eastAsia="Times New Roman" w:hAnsiTheme="minorBidi"/>
          <w:color w:val="000000" w:themeColor="text1"/>
          <w:lang w:eastAsia="en-GB"/>
        </w:rPr>
        <w:t xml:space="preserve">, limited to a simple scale ranging from one to five will, based on pre-selected categories will be utilised as it is easier to quantify (Walle, 2015). Consequently, the researcher intends to undertake a quantitative study using a variation of the LSRP psychology and </w:t>
      </w:r>
      <w:r w:rsidRPr="00D126B5">
        <w:rPr>
          <w:rFonts w:asciiTheme="minorBidi" w:eastAsia="Times New Roman" w:hAnsiTheme="minorBidi"/>
          <w:color w:val="000000" w:themeColor="text1"/>
          <w:lang w:eastAsia="en-GB"/>
        </w:rPr>
        <w:lastRenderedPageBreak/>
        <w:t>associated questionnaire to conduct face to face structured interviews (</w:t>
      </w:r>
      <w:r w:rsidRPr="00D126B5">
        <w:rPr>
          <w:rFonts w:asciiTheme="minorBidi" w:eastAsia="Times New Roman" w:hAnsiTheme="minorBidi"/>
          <w:b/>
          <w:bCs/>
          <w:color w:val="000000" w:themeColor="text1"/>
          <w:lang w:eastAsia="en-GB"/>
        </w:rPr>
        <w:t>See Appendix B).</w:t>
      </w:r>
      <w:r w:rsidRPr="00D126B5">
        <w:rPr>
          <w:rFonts w:asciiTheme="minorBidi" w:eastAsia="Times New Roman" w:hAnsiTheme="minorBidi"/>
          <w:color w:val="000000" w:themeColor="text1"/>
          <w:lang w:eastAsia="en-GB"/>
        </w:rPr>
        <w:t xml:space="preserve"> The participants will be students as proxies for practitioners which has already been discussed and justified earlier. A nonprobability sampling technique (Edmonds and Kennedy, 2017) will be utilised where the researcher selects participants on a specific criterion and/or based on availability i.e., SBS L6 / Final Year Accounting and Finance students. This process will be repeated with a sample of working accountants from an international firm of auditors based in the UAE.</w:t>
      </w:r>
      <w:r w:rsidRPr="00D126B5">
        <w:rPr>
          <w:rFonts w:asciiTheme="minorBidi" w:eastAsia="Times New Roman" w:hAnsiTheme="minorBidi"/>
          <w:color w:val="000000" w:themeColor="text1"/>
          <w:shd w:val="clear" w:color="auto" w:fill="FFFFFF"/>
          <w:lang w:eastAsia="en-GB"/>
        </w:rPr>
        <w:t xml:space="preserve"> </w:t>
      </w:r>
    </w:p>
    <w:p w14:paraId="761CB47F" w14:textId="77777777" w:rsidR="00F7692A" w:rsidRPr="00D126B5" w:rsidRDefault="00F7692A" w:rsidP="00F7692A">
      <w:pPr>
        <w:spacing w:after="0" w:line="480" w:lineRule="auto"/>
        <w:jc w:val="both"/>
        <w:rPr>
          <w:rFonts w:asciiTheme="minorBidi" w:eastAsia="Times New Roman" w:hAnsiTheme="minorBidi"/>
          <w:color w:val="000000" w:themeColor="text1"/>
          <w:kern w:val="0"/>
          <w14:ligatures w14:val="none"/>
        </w:rPr>
      </w:pPr>
    </w:p>
    <w:p w14:paraId="46457614" w14:textId="77777777" w:rsidR="00F7692A" w:rsidRPr="00D126B5" w:rsidRDefault="00F7692A" w:rsidP="00F7692A">
      <w:pPr>
        <w:spacing w:after="0" w:line="480" w:lineRule="auto"/>
        <w:jc w:val="both"/>
        <w:rPr>
          <w:rFonts w:asciiTheme="minorBidi" w:eastAsia="Times New Roman" w:hAnsiTheme="minorBidi"/>
          <w:color w:val="000000" w:themeColor="text1"/>
          <w:kern w:val="0"/>
          <w14:ligatures w14:val="none"/>
        </w:rPr>
      </w:pPr>
      <w:r w:rsidRPr="00D126B5">
        <w:rPr>
          <w:rFonts w:asciiTheme="minorBidi" w:eastAsia="Times New Roman" w:hAnsiTheme="minorBidi"/>
          <w:color w:val="000000" w:themeColor="text1"/>
          <w:kern w:val="0"/>
          <w14:ligatures w14:val="none"/>
        </w:rPr>
        <w:t xml:space="preserve">The Research strategy of structured survey is one of the most widely used and crucially established approaches to investigate Accounting Fraud. For example, Lin et al. (2015) investigated the three components of the Fraud Triangle by utilising a combination of primary and secondary data that were gathered from experts. The secondary data, however, was severely limited, as it represented the pressure factors as declining profitability and negative cash flows. Although deterioration in financial performance may lead managers to engage in Accounting Fraud, it is crucial to establish a connection between their personal well-being and the performance of the companies they oversee before to adopting such proxies. Consequently, primary data is deemed more useful for identifying and measuring the personal pressures of managers.  </w:t>
      </w:r>
    </w:p>
    <w:p w14:paraId="71CFC68A" w14:textId="77777777" w:rsidR="00F7692A" w:rsidRPr="00D126B5" w:rsidRDefault="00F7692A" w:rsidP="00F7692A">
      <w:pPr>
        <w:spacing w:line="480" w:lineRule="auto"/>
        <w:jc w:val="both"/>
        <w:rPr>
          <w:rFonts w:asciiTheme="minorBidi" w:eastAsia="Times New Roman" w:hAnsiTheme="minorBidi"/>
          <w:color w:val="000000" w:themeColor="text1"/>
          <w:kern w:val="0"/>
          <w14:ligatures w14:val="none"/>
        </w:rPr>
      </w:pPr>
    </w:p>
    <w:p w14:paraId="4B007DD7" w14:textId="102E1E9F" w:rsidR="00F7692A" w:rsidRPr="00D126B5" w:rsidRDefault="00F7692A" w:rsidP="00F7692A">
      <w:pPr>
        <w:spacing w:line="480" w:lineRule="auto"/>
        <w:jc w:val="both"/>
        <w:rPr>
          <w:rFonts w:asciiTheme="minorBidi" w:eastAsia="Times New Roman" w:hAnsiTheme="minorBidi"/>
          <w:b/>
          <w:bCs/>
          <w:i/>
          <w:iCs/>
          <w:color w:val="000000" w:themeColor="text1"/>
          <w:shd w:val="clear" w:color="auto" w:fill="FFFFFF"/>
          <w:lang w:eastAsia="en-GB"/>
        </w:rPr>
      </w:pPr>
      <w:r w:rsidRPr="00D126B5">
        <w:rPr>
          <w:rFonts w:asciiTheme="minorBidi" w:hAnsiTheme="minorBidi"/>
          <w:color w:val="000000" w:themeColor="text1"/>
        </w:rPr>
        <w:t xml:space="preserve">Keeping the discussion in mind the </w:t>
      </w:r>
      <w:r w:rsidR="00346D1D">
        <w:rPr>
          <w:rFonts w:asciiTheme="minorBidi" w:hAnsiTheme="minorBidi"/>
          <w:color w:val="000000" w:themeColor="text1"/>
        </w:rPr>
        <w:t>researcher</w:t>
      </w:r>
      <w:r w:rsidRPr="00D126B5">
        <w:rPr>
          <w:rFonts w:asciiTheme="minorBidi" w:hAnsiTheme="minorBidi"/>
          <w:color w:val="000000" w:themeColor="text1"/>
        </w:rPr>
        <w:t xml:space="preserve"> will be adopting a </w:t>
      </w:r>
      <w:r w:rsidRPr="00D126B5">
        <w:rPr>
          <w:rFonts w:asciiTheme="minorBidi" w:hAnsiTheme="minorBidi"/>
          <w:b/>
          <w:bCs/>
          <w:i/>
          <w:iCs/>
          <w:color w:val="000000" w:themeColor="text1"/>
        </w:rPr>
        <w:t>positivist approach</w:t>
      </w:r>
      <w:r w:rsidRPr="00D126B5">
        <w:rPr>
          <w:rFonts w:asciiTheme="minorBidi" w:hAnsiTheme="minorBidi"/>
          <w:color w:val="000000" w:themeColor="text1"/>
        </w:rPr>
        <w:t xml:space="preserve"> as he is exploring the intersection of Accounting Fraud, psychopathy and BCT using a mixed-methods approach (discussed later) he will be utilising </w:t>
      </w:r>
      <w:r w:rsidRPr="00D126B5">
        <w:rPr>
          <w:rFonts w:asciiTheme="minorBidi" w:hAnsiTheme="minorBidi"/>
          <w:b/>
          <w:bCs/>
          <w:i/>
          <w:iCs/>
          <w:color w:val="000000" w:themeColor="text1"/>
        </w:rPr>
        <w:t>positivist methods</w:t>
      </w:r>
      <w:r w:rsidRPr="00D126B5">
        <w:rPr>
          <w:rFonts w:asciiTheme="minorBidi" w:hAnsiTheme="minorBidi"/>
          <w:color w:val="000000" w:themeColor="text1"/>
        </w:rPr>
        <w:t xml:space="preserve"> including a quantitative survey. </w:t>
      </w:r>
      <w:r w:rsidRPr="00D126B5">
        <w:rPr>
          <w:rFonts w:asciiTheme="minorBidi" w:eastAsia="Times New Roman" w:hAnsiTheme="minorBidi"/>
          <w:color w:val="000000" w:themeColor="text1"/>
          <w:shd w:val="clear" w:color="auto" w:fill="FFFFFF"/>
          <w:lang w:eastAsia="en-GB"/>
        </w:rPr>
        <w:t xml:space="preserve">Themes from this quantitative data will then be </w:t>
      </w:r>
      <w:r w:rsidRPr="00D126B5">
        <w:rPr>
          <w:rFonts w:asciiTheme="minorBidi" w:eastAsia="Times New Roman" w:hAnsiTheme="minorBidi"/>
          <w:color w:val="000000" w:themeColor="text1"/>
          <w:shd w:val="clear" w:color="auto" w:fill="FFFFFF"/>
          <w:lang w:eastAsia="en-GB"/>
        </w:rPr>
        <w:lastRenderedPageBreak/>
        <w:t xml:space="preserve">developed into a </w:t>
      </w:r>
      <w:bookmarkStart w:id="688" w:name="_Hlk167777444"/>
      <w:r w:rsidRPr="00D126B5">
        <w:rPr>
          <w:rFonts w:asciiTheme="minorBidi" w:eastAsia="Times New Roman" w:hAnsiTheme="minorBidi"/>
          <w:b/>
          <w:bCs/>
          <w:i/>
          <w:iCs/>
          <w:color w:val="000000" w:themeColor="text1"/>
          <w:shd w:val="clear" w:color="auto" w:fill="FFFFFF"/>
          <w:lang w:eastAsia="en-GB"/>
        </w:rPr>
        <w:t>multiple regression model to predict the likelihood of psychopathy.</w:t>
      </w:r>
    </w:p>
    <w:bookmarkStart w:id="689" w:name="D87"/>
    <w:bookmarkEnd w:id="688"/>
    <w:p w14:paraId="6CE8758C" w14:textId="61611A02" w:rsidR="00F7692A" w:rsidRPr="00D126B5" w:rsidRDefault="00455B01" w:rsidP="00952F7A">
      <w:pPr>
        <w:pBdr>
          <w:top w:val="single" w:sz="4" w:space="1" w:color="auto"/>
          <w:left w:val="single" w:sz="4" w:space="4" w:color="auto"/>
          <w:bottom w:val="single" w:sz="4" w:space="1" w:color="auto"/>
          <w:right w:val="single" w:sz="4" w:space="4" w:color="auto"/>
        </w:pBdr>
        <w:spacing w:line="240" w:lineRule="auto"/>
        <w:jc w:val="both"/>
        <w:rPr>
          <w:rFonts w:ascii="Arial" w:hAnsi="Arial" w:cs="Arial"/>
          <w:b/>
          <w:bCs/>
          <w:color w:val="000000" w:themeColor="text1"/>
        </w:rPr>
      </w:pPr>
      <w:r>
        <w:rPr>
          <w:rFonts w:ascii="Arial" w:hAnsi="Arial" w:cs="Arial"/>
          <w:b/>
          <w:bCs/>
          <w:color w:val="000000" w:themeColor="text1"/>
        </w:rPr>
        <w:fldChar w:fldCharType="begin"/>
      </w:r>
      <w:r>
        <w:rPr>
          <w:rFonts w:ascii="Arial" w:hAnsi="Arial" w:cs="Arial"/>
          <w:b/>
          <w:bCs/>
          <w:color w:val="000000" w:themeColor="text1"/>
        </w:rPr>
        <w:instrText>HYPERLINK  \l "C87"</w:instrText>
      </w:r>
      <w:r>
        <w:rPr>
          <w:rFonts w:ascii="Arial" w:hAnsi="Arial" w:cs="Arial"/>
          <w:b/>
          <w:bCs/>
          <w:color w:val="000000" w:themeColor="text1"/>
        </w:rPr>
      </w:r>
      <w:r>
        <w:rPr>
          <w:rFonts w:ascii="Arial" w:hAnsi="Arial" w:cs="Arial"/>
          <w:b/>
          <w:bCs/>
          <w:color w:val="000000" w:themeColor="text1"/>
        </w:rPr>
        <w:fldChar w:fldCharType="separate"/>
      </w:r>
      <w:r w:rsidR="00F7692A" w:rsidRPr="00455B01">
        <w:rPr>
          <w:rStyle w:val="Hyperlink"/>
          <w:rFonts w:ascii="Arial" w:hAnsi="Arial" w:cs="Arial"/>
          <w:b/>
          <w:bCs/>
        </w:rPr>
        <w:t>3.2.4 Quantitative, Qual</w:t>
      </w:r>
      <w:r w:rsidR="00F7692A" w:rsidRPr="00455B01">
        <w:rPr>
          <w:rStyle w:val="Hyperlink"/>
          <w:rFonts w:ascii="Arial" w:hAnsi="Arial" w:cs="Arial"/>
          <w:b/>
          <w:bCs/>
        </w:rPr>
        <w:t>itative, &amp; Mixed Method Research Design</w:t>
      </w:r>
      <w:r>
        <w:rPr>
          <w:rFonts w:ascii="Arial" w:hAnsi="Arial" w:cs="Arial"/>
          <w:b/>
          <w:bCs/>
          <w:color w:val="000000" w:themeColor="text1"/>
        </w:rPr>
        <w:fldChar w:fldCharType="end"/>
      </w:r>
    </w:p>
    <w:bookmarkEnd w:id="689"/>
    <w:p w14:paraId="2CF270E6" w14:textId="77777777" w:rsidR="00F7692A" w:rsidRPr="00D126B5" w:rsidRDefault="00F7692A" w:rsidP="00F7692A">
      <w:pPr>
        <w:spacing w:after="0" w:line="480" w:lineRule="auto"/>
        <w:jc w:val="both"/>
        <w:rPr>
          <w:rFonts w:ascii="Arial" w:eastAsia="Times New Roman" w:hAnsi="Arial" w:cs="Arial"/>
          <w:color w:val="000000" w:themeColor="text1"/>
          <w:kern w:val="0"/>
          <w14:ligatures w14:val="none"/>
        </w:rPr>
      </w:pPr>
      <w:r w:rsidRPr="00D126B5">
        <w:rPr>
          <w:rFonts w:ascii="Arial" w:eastAsia="Times New Roman" w:hAnsi="Arial" w:cs="Arial"/>
          <w:color w:val="000000" w:themeColor="text1"/>
          <w:kern w:val="0"/>
          <w14:ligatures w14:val="none"/>
        </w:rPr>
        <w:t>Depending on the kind of data being studied, a study's research methodology can be classified as either qualitative or quantitative. Specifically, numerical variables assessed on a ratio scale are the focus of quantitative approaches. However, qualitative data—which is frequently represented by written, audio, or visual information—is handled using qualitative approaches (Saunders et al., 2018). To make analysis easier, the qualitative data may occasionally be quantified. As a result of this quantification, interval variables like the Likert scale measures and categorical variables like the dummy variables are produced. In this instance, quantitative data analysis techniques might be used to analyse qualitative data first.</w:t>
      </w:r>
    </w:p>
    <w:p w14:paraId="6BE1F6E7" w14:textId="77777777" w:rsidR="00F7692A" w:rsidRPr="00D126B5" w:rsidRDefault="00F7692A" w:rsidP="00F7692A">
      <w:pPr>
        <w:spacing w:after="0" w:line="480" w:lineRule="auto"/>
        <w:jc w:val="both"/>
        <w:rPr>
          <w:rFonts w:ascii="Arial" w:hAnsi="Arial" w:cs="Arial"/>
          <w:color w:val="000000" w:themeColor="text1"/>
        </w:rPr>
      </w:pPr>
    </w:p>
    <w:p w14:paraId="56C9E378" w14:textId="77777777" w:rsidR="00F7692A" w:rsidRDefault="00F7692A" w:rsidP="00F7692A">
      <w:pPr>
        <w:spacing w:after="0" w:line="480" w:lineRule="auto"/>
        <w:jc w:val="both"/>
        <w:rPr>
          <w:rFonts w:ascii="Arial" w:eastAsia="Times New Roman" w:hAnsi="Arial" w:cs="Arial"/>
          <w:color w:val="000000" w:themeColor="text1"/>
          <w:kern w:val="0"/>
          <w14:ligatures w14:val="none"/>
        </w:rPr>
      </w:pPr>
      <w:r w:rsidRPr="00D126B5">
        <w:rPr>
          <w:rFonts w:ascii="Arial" w:eastAsia="Times New Roman" w:hAnsi="Arial" w:cs="Arial"/>
          <w:color w:val="000000" w:themeColor="text1"/>
          <w:kern w:val="0"/>
          <w14:ligatures w14:val="none"/>
        </w:rPr>
        <w:t xml:space="preserve">Most studies use one of two study designs: quantitative or qualitative however, there has been an increase in the use of the mixed-methods approach, which blends quantitative and qualitative data. The employment of qualitative analytic techniques, including systematic literature reviews and thematic analysis, is also implied by this approach. Text assessments and interviews are common applications for qualitative thematic analysis. The primary goal of qualitative thematic analysis is to create more broad concepts from specific observations by reading texts or transcripts and looking for recurring themes and patterns in the replies. </w:t>
      </w:r>
    </w:p>
    <w:p w14:paraId="21A30E6B" w14:textId="77777777" w:rsidR="00952F7A" w:rsidRPr="00D126B5" w:rsidRDefault="00952F7A" w:rsidP="00F7692A">
      <w:pPr>
        <w:spacing w:after="0" w:line="480" w:lineRule="auto"/>
        <w:jc w:val="both"/>
        <w:rPr>
          <w:rFonts w:ascii="Arial" w:eastAsia="Times New Roman" w:hAnsi="Arial" w:cs="Arial"/>
          <w:color w:val="000000" w:themeColor="text1"/>
          <w:kern w:val="0"/>
          <w14:ligatures w14:val="none"/>
        </w:rPr>
      </w:pPr>
    </w:p>
    <w:p w14:paraId="1A284DA2" w14:textId="77777777" w:rsidR="00F7692A" w:rsidRPr="00D126B5" w:rsidRDefault="00F7692A" w:rsidP="00F7692A">
      <w:pPr>
        <w:spacing w:after="0" w:line="480" w:lineRule="auto"/>
        <w:jc w:val="both"/>
        <w:rPr>
          <w:rFonts w:ascii="Arial" w:eastAsia="Times New Roman" w:hAnsi="Arial" w:cs="Arial"/>
          <w:color w:val="000000" w:themeColor="text1"/>
          <w:kern w:val="0"/>
          <w14:ligatures w14:val="none"/>
        </w:rPr>
      </w:pPr>
      <w:r w:rsidRPr="00D126B5">
        <w:rPr>
          <w:rFonts w:ascii="Arial" w:eastAsia="Times New Roman" w:hAnsi="Arial" w:cs="Arial"/>
          <w:color w:val="000000" w:themeColor="text1"/>
          <w:kern w:val="0"/>
          <w14:ligatures w14:val="none"/>
        </w:rPr>
        <w:t xml:space="preserve">The collecting of quantitative data and the use of quantitative data analysis techniques are prerequisites for a quantitative research strategy. Since numerical data is represented by numbers, it can be classified as primary or secondary depending on </w:t>
      </w:r>
      <w:r w:rsidRPr="00D126B5">
        <w:rPr>
          <w:rFonts w:ascii="Arial" w:eastAsia="Times New Roman" w:hAnsi="Arial" w:cs="Arial"/>
          <w:color w:val="000000" w:themeColor="text1"/>
          <w:kern w:val="0"/>
          <w14:ligatures w14:val="none"/>
        </w:rPr>
        <w:lastRenderedPageBreak/>
        <w:t xml:space="preserve">the source. Examples of primary data include information gathered through surveys and data obtained from statistics databases. Univariate and multivariate analysis are the two most used quantitative techniques for data analysis. The former uses techniques like volatility models, autoregressive models, and unit root tests, among others, and is used to time-series or single variables. Regression analysis, correlation analysis, factor analysis, structural equation modelling, and other techniques are included in multivariate analysis. </w:t>
      </w:r>
    </w:p>
    <w:p w14:paraId="17370DEE" w14:textId="77777777" w:rsidR="00F7692A" w:rsidRPr="00D126B5" w:rsidRDefault="00F7692A" w:rsidP="00F7692A">
      <w:pPr>
        <w:spacing w:after="0" w:line="480" w:lineRule="auto"/>
        <w:jc w:val="both"/>
        <w:rPr>
          <w:rFonts w:ascii="Arial" w:hAnsi="Arial" w:cs="Arial"/>
          <w:color w:val="000000" w:themeColor="text1"/>
        </w:rPr>
      </w:pPr>
    </w:p>
    <w:p w14:paraId="361E2147" w14:textId="77777777" w:rsidR="00F7692A" w:rsidRDefault="00F7692A" w:rsidP="00F7692A">
      <w:pPr>
        <w:spacing w:after="0" w:line="480" w:lineRule="auto"/>
        <w:jc w:val="both"/>
        <w:rPr>
          <w:rFonts w:ascii="Arial" w:eastAsia="Times New Roman" w:hAnsi="Arial" w:cs="Arial"/>
          <w:color w:val="000000" w:themeColor="text1"/>
          <w:kern w:val="0"/>
          <w14:ligatures w14:val="none"/>
        </w:rPr>
      </w:pPr>
      <w:r w:rsidRPr="00D126B5">
        <w:rPr>
          <w:rFonts w:ascii="Arial" w:hAnsi="Arial" w:cs="Arial"/>
          <w:color w:val="000000" w:themeColor="text1"/>
        </w:rPr>
        <w:t xml:space="preserve">A mixed-method research design incorporates both qualitative and quantitative data and a blend of qualitative and quantitative methods of analysis. </w:t>
      </w:r>
      <w:r w:rsidRPr="00D126B5">
        <w:rPr>
          <w:rFonts w:ascii="Arial" w:eastAsia="Times New Roman" w:hAnsi="Arial" w:cs="Arial"/>
          <w:color w:val="000000" w:themeColor="text1"/>
          <w:kern w:val="0"/>
          <w14:ligatures w14:val="none"/>
        </w:rPr>
        <w:t xml:space="preserve">Compared to mono-method studies that solely rely on quantitative or qualitative data and data analysis methodologies, </w:t>
      </w:r>
      <w:r w:rsidRPr="00D126B5">
        <w:rPr>
          <w:rFonts w:ascii="Arial" w:eastAsia="Times New Roman" w:hAnsi="Arial" w:cs="Arial"/>
          <w:b/>
          <w:bCs/>
          <w:color w:val="000000" w:themeColor="text1"/>
          <w:kern w:val="0"/>
          <w14:ligatures w14:val="none"/>
        </w:rPr>
        <w:t>this research study attempts to utilise a mixed-method approach, which offers advantages</w:t>
      </w:r>
      <w:r w:rsidRPr="00D126B5">
        <w:rPr>
          <w:rFonts w:ascii="Arial" w:eastAsia="Times New Roman" w:hAnsi="Arial" w:cs="Arial"/>
          <w:color w:val="000000" w:themeColor="text1"/>
          <w:kern w:val="0"/>
          <w14:ligatures w14:val="none"/>
        </w:rPr>
        <w:t xml:space="preserve"> (Saunders et al., 2009). To accomplish the research goal, a mixed-method study combines quantitative and qualitative data and methodologies. This research design may be necessary required for several reasons. Triangulation can be used to achieve reliability, which is the first justification. Checking the consistency of responses and ensuring higher validity of results is feasible when data is gathered from many sources and analysed using multiple methods.</w:t>
      </w:r>
    </w:p>
    <w:p w14:paraId="10D12BF8" w14:textId="77777777" w:rsidR="00271C30" w:rsidRPr="00D126B5" w:rsidRDefault="00271C30" w:rsidP="00F7692A">
      <w:pPr>
        <w:spacing w:after="0" w:line="480" w:lineRule="auto"/>
        <w:jc w:val="both"/>
        <w:rPr>
          <w:rFonts w:ascii="Arial" w:eastAsia="Times New Roman" w:hAnsi="Arial" w:cs="Arial"/>
          <w:color w:val="000000" w:themeColor="text1"/>
          <w:kern w:val="0"/>
          <w14:ligatures w14:val="none"/>
        </w:rPr>
      </w:pPr>
    </w:p>
    <w:p w14:paraId="4968D439" w14:textId="77777777" w:rsidR="00F7692A" w:rsidRPr="00D126B5" w:rsidRDefault="00F7692A" w:rsidP="00F7692A">
      <w:pPr>
        <w:spacing w:line="480" w:lineRule="auto"/>
        <w:jc w:val="both"/>
        <w:rPr>
          <w:rFonts w:ascii="Arial" w:eastAsia="Times New Roman" w:hAnsi="Arial" w:cs="Arial"/>
          <w:color w:val="000000" w:themeColor="text1"/>
          <w:shd w:val="clear" w:color="auto" w:fill="FFFFFF"/>
          <w:lang w:eastAsia="en-GB"/>
        </w:rPr>
      </w:pPr>
      <w:r w:rsidRPr="00D126B5">
        <w:rPr>
          <w:rFonts w:ascii="Arial" w:eastAsia="Times New Roman" w:hAnsi="Arial" w:cs="Arial"/>
          <w:color w:val="000000" w:themeColor="text1"/>
          <w:kern w:val="0"/>
          <w14:ligatures w14:val="none"/>
        </w:rPr>
        <w:t>It is also acknowledged that an inability to achieve the research aim and objectives with a single approach due to their complexity is another important factor for adopting a mixed methods approach. A mono-method design would be less successful because for the current study as the researcher is exploring the nexus of Accounting Fraud and psychopathy</w:t>
      </w:r>
      <w:r w:rsidRPr="00D126B5">
        <w:rPr>
          <w:rFonts w:asciiTheme="minorBidi" w:eastAsia="Times New Roman" w:hAnsiTheme="minorBidi"/>
          <w:color w:val="000000" w:themeColor="text1"/>
          <w:shd w:val="clear" w:color="auto" w:fill="FFFFFF"/>
          <w:lang w:eastAsia="en-GB"/>
        </w:rPr>
        <w:t xml:space="preserve"> and exploring whether BCT can dampen the influence of Accounting Fraud and the Corporate Psychopath Accountant. Specifically, the researcher will </w:t>
      </w:r>
      <w:r w:rsidRPr="00D126B5">
        <w:rPr>
          <w:rFonts w:ascii="Arial" w:eastAsia="Times New Roman" w:hAnsi="Arial" w:cs="Arial"/>
          <w:color w:val="000000" w:themeColor="text1"/>
          <w:shd w:val="clear" w:color="auto" w:fill="FFFFFF"/>
          <w:lang w:eastAsia="en-GB"/>
        </w:rPr>
        <w:lastRenderedPageBreak/>
        <w:t xml:space="preserve">explore the psychopathic tendencies of undergraduate accountants and working accountants using a survey. </w:t>
      </w:r>
      <w:r w:rsidRPr="00D126B5">
        <w:rPr>
          <w:rFonts w:ascii="Arial" w:hAnsi="Arial" w:cs="Arial"/>
          <w:color w:val="000000" w:themeColor="text1"/>
        </w:rPr>
        <w:t xml:space="preserve">The survey strategy is the most appropriate strategy since, the researcher is attempting to establish a statistical relationship between two or more variables. </w:t>
      </w:r>
      <w:r w:rsidRPr="00D126B5">
        <w:rPr>
          <w:rFonts w:ascii="Arial" w:eastAsia="Times New Roman" w:hAnsi="Arial" w:cs="Arial"/>
          <w:color w:val="000000" w:themeColor="text1"/>
          <w:shd w:val="clear" w:color="auto" w:fill="FFFFFF"/>
          <w:lang w:eastAsia="en-GB"/>
        </w:rPr>
        <w:t xml:space="preserve">Consequently, themes from this quantitative data will then be developed into a </w:t>
      </w:r>
      <w:r w:rsidRPr="00D126B5">
        <w:rPr>
          <w:rFonts w:ascii="Arial" w:eastAsia="Times New Roman" w:hAnsi="Arial" w:cs="Arial"/>
          <w:b/>
          <w:bCs/>
          <w:i/>
          <w:iCs/>
          <w:color w:val="000000" w:themeColor="text1"/>
          <w:shd w:val="clear" w:color="auto" w:fill="FFFFFF"/>
          <w:lang w:eastAsia="en-GB"/>
        </w:rPr>
        <w:t>multiple regression model to predict the likelihood of psychopathy</w:t>
      </w:r>
      <w:r w:rsidRPr="00D126B5">
        <w:rPr>
          <w:rFonts w:ascii="Arial" w:eastAsia="Times New Roman" w:hAnsi="Arial" w:cs="Arial"/>
          <w:color w:val="000000" w:themeColor="text1"/>
          <w:shd w:val="clear" w:color="auto" w:fill="FFFFFF"/>
          <w:lang w:eastAsia="en-GB"/>
        </w:rPr>
        <w:t xml:space="preserve">. </w:t>
      </w:r>
    </w:p>
    <w:p w14:paraId="55A26A45" w14:textId="77777777" w:rsidR="00F7692A" w:rsidRPr="00D126B5" w:rsidRDefault="00F7692A" w:rsidP="00F7692A">
      <w:pPr>
        <w:spacing w:line="480" w:lineRule="auto"/>
        <w:jc w:val="both"/>
        <w:rPr>
          <w:rFonts w:ascii="Arial" w:hAnsi="Arial" w:cs="Arial"/>
          <w:color w:val="000000" w:themeColor="text1"/>
        </w:rPr>
      </w:pPr>
      <w:r w:rsidRPr="00D126B5">
        <w:rPr>
          <w:rFonts w:ascii="Arial" w:eastAsia="Times New Roman" w:hAnsi="Arial" w:cs="Arial"/>
          <w:color w:val="000000" w:themeColor="text1"/>
          <w:shd w:val="clear" w:color="auto" w:fill="FFFFFF"/>
          <w:lang w:eastAsia="en-GB"/>
        </w:rPr>
        <w:t xml:space="preserve">The second stage of the research will be </w:t>
      </w:r>
      <w:r w:rsidRPr="00D126B5">
        <w:rPr>
          <w:rFonts w:ascii="Arial" w:eastAsia="Times New Roman" w:hAnsi="Arial" w:cs="Arial"/>
          <w:b/>
          <w:bCs/>
          <w:i/>
          <w:iCs/>
          <w:color w:val="000000" w:themeColor="text1"/>
          <w:shd w:val="clear" w:color="auto" w:fill="FFFFFF"/>
          <w:lang w:eastAsia="en-GB"/>
        </w:rPr>
        <w:t xml:space="preserve">qualitative </w:t>
      </w:r>
      <w:r w:rsidRPr="00D126B5">
        <w:rPr>
          <w:rFonts w:ascii="Arial" w:eastAsia="Times New Roman" w:hAnsi="Arial" w:cs="Arial"/>
          <w:color w:val="000000" w:themeColor="text1"/>
          <w:shd w:val="clear" w:color="auto" w:fill="FFFFFF"/>
          <w:lang w:eastAsia="en-GB"/>
        </w:rPr>
        <w:t>and involve the use of semi-structured interviews of auditors and subject matter experts regarding their experience of psychopathic audit clients and whether the nascent BCT can be an antidote to Accounting Fraud and Corporate Psychopath Accountants.</w:t>
      </w:r>
      <w:r w:rsidRPr="00D126B5">
        <w:rPr>
          <w:color w:val="000000" w:themeColor="text1"/>
        </w:rPr>
        <w:t xml:space="preserve"> </w:t>
      </w:r>
      <w:r w:rsidRPr="00D126B5">
        <w:rPr>
          <w:rFonts w:ascii="Arial" w:hAnsi="Arial" w:cs="Arial"/>
          <w:color w:val="000000" w:themeColor="text1"/>
        </w:rPr>
        <w:t>Yin (2009) and Bryman and Bell (2012), argue that qualitative data facilitates much better investigation and allows richer insights into the phenomenon being investigated.</w:t>
      </w:r>
    </w:p>
    <w:p w14:paraId="52D3B18E" w14:textId="77777777" w:rsidR="00F7692A" w:rsidRPr="00D126B5" w:rsidRDefault="00F7692A" w:rsidP="00F7692A">
      <w:pPr>
        <w:spacing w:before="100" w:beforeAutospacing="1" w:after="100" w:afterAutospacing="1" w:line="480" w:lineRule="auto"/>
        <w:jc w:val="both"/>
        <w:rPr>
          <w:rFonts w:ascii="Arial" w:eastAsia="Times New Roman" w:hAnsi="Arial" w:cs="Arial"/>
          <w:color w:val="000000" w:themeColor="text1"/>
          <w:lang w:eastAsia="en-GB"/>
        </w:rPr>
      </w:pPr>
      <w:r w:rsidRPr="00D126B5">
        <w:rPr>
          <w:rFonts w:ascii="Arial" w:eastAsia="Times New Roman" w:hAnsi="Arial" w:cs="Arial"/>
          <w:color w:val="000000" w:themeColor="text1"/>
          <w:shd w:val="clear" w:color="auto" w:fill="FFFFFF"/>
          <w:lang w:eastAsia="en-GB"/>
        </w:rPr>
        <w:t xml:space="preserve">Furthermore, </w:t>
      </w:r>
      <w:r w:rsidRPr="00D126B5">
        <w:rPr>
          <w:rFonts w:ascii="Arial" w:eastAsia="Times New Roman" w:hAnsi="Arial" w:cs="Arial"/>
          <w:color w:val="000000" w:themeColor="text1"/>
          <w:lang w:eastAsia="en-GB"/>
        </w:rPr>
        <w:t xml:space="preserve">the researcher has decided to adopt a </w:t>
      </w:r>
      <w:r w:rsidRPr="00D126B5">
        <w:rPr>
          <w:rFonts w:ascii="Arial" w:eastAsia="Times New Roman" w:hAnsi="Arial" w:cs="Arial"/>
          <w:i/>
          <w:iCs/>
          <w:color w:val="000000" w:themeColor="text1"/>
          <w:lang w:eastAsia="en-GB"/>
        </w:rPr>
        <w:t>pluralist approach</w:t>
      </w:r>
      <w:r w:rsidRPr="00D126B5">
        <w:rPr>
          <w:rFonts w:ascii="Arial" w:eastAsia="Times New Roman" w:hAnsi="Arial" w:cs="Arial"/>
          <w:color w:val="000000" w:themeColor="text1"/>
          <w:lang w:eastAsia="en-GB"/>
        </w:rPr>
        <w:t xml:space="preserve">, where all scenarios are regarded as inherently complex and multifaceted, therefore, it is believed that a </w:t>
      </w:r>
      <w:r w:rsidRPr="00D126B5">
        <w:rPr>
          <w:rFonts w:ascii="Arial" w:eastAsia="Times New Roman" w:hAnsi="Arial" w:cs="Arial"/>
          <w:b/>
          <w:bCs/>
          <w:i/>
          <w:iCs/>
          <w:color w:val="000000" w:themeColor="text1"/>
          <w:lang w:eastAsia="en-GB"/>
        </w:rPr>
        <w:t>mixed method</w:t>
      </w:r>
      <w:r w:rsidRPr="00D126B5">
        <w:rPr>
          <w:rFonts w:ascii="Arial" w:eastAsia="Times New Roman" w:hAnsi="Arial" w:cs="Arial"/>
          <w:color w:val="000000" w:themeColor="text1"/>
          <w:lang w:eastAsia="en-GB"/>
        </w:rPr>
        <w:t xml:space="preserve"> (Mingers, 2001) should be adopted. It is also argued that pluralist methodology facilitates a wider scope of the research that allows the researcher to draw broader and deeper conclusions from situations (Mingers, 2001). Above all a pluralist methodology can help to study burgeoning business phenomenon’s (Tilooby, 2018) such as the nascent Blockchain Technology which is currently under researched</w:t>
      </w:r>
      <w:r w:rsidRPr="00D126B5">
        <w:rPr>
          <w:rFonts w:ascii="Arial" w:eastAsia="Times New Roman" w:hAnsi="Arial" w:cs="Arial"/>
          <w:color w:val="000000" w:themeColor="text1"/>
          <w:sz w:val="28"/>
          <w:szCs w:val="28"/>
          <w:lang w:eastAsia="en-GB"/>
        </w:rPr>
        <w:t>.</w:t>
      </w:r>
      <w:r w:rsidRPr="00D126B5">
        <w:rPr>
          <w:rFonts w:ascii="Arial" w:eastAsia="Times New Roman" w:hAnsi="Arial" w:cs="Arial"/>
          <w:color w:val="000000" w:themeColor="text1"/>
          <w:lang w:eastAsia="en-GB"/>
        </w:rPr>
        <w:t xml:space="preserve"> </w:t>
      </w:r>
    </w:p>
    <w:p w14:paraId="1E4F8249" w14:textId="77777777" w:rsidR="00F7692A" w:rsidRPr="00D126B5" w:rsidRDefault="00F7692A" w:rsidP="00F7692A">
      <w:pPr>
        <w:spacing w:before="100" w:beforeAutospacing="1" w:after="100" w:afterAutospacing="1" w:line="480" w:lineRule="auto"/>
        <w:jc w:val="both"/>
        <w:rPr>
          <w:rFonts w:ascii="Arial" w:eastAsia="Times New Roman" w:hAnsi="Arial" w:cs="Arial"/>
          <w:color w:val="000000" w:themeColor="text1"/>
          <w:sz w:val="28"/>
          <w:szCs w:val="28"/>
          <w:lang w:eastAsia="en-GB"/>
        </w:rPr>
      </w:pPr>
      <w:r w:rsidRPr="00D126B5">
        <w:rPr>
          <w:rFonts w:ascii="Arial" w:eastAsia="Times New Roman" w:hAnsi="Arial" w:cs="Arial"/>
          <w:color w:val="000000" w:themeColor="text1"/>
          <w:lang w:eastAsia="en-GB"/>
        </w:rPr>
        <w:t xml:space="preserve">Tashakkori and Teddlie (2010) list several strengths of a pluralist methodology, the most salient for the proposed thesis being triangulation that allows the researcher to validate data and results by combining a range of data sources, methods, or observers. It is also argued that the major reasons for taking a mixed method approach are five-fold namely </w:t>
      </w:r>
      <w:r w:rsidRPr="00D126B5">
        <w:rPr>
          <w:rFonts w:ascii="Arial" w:eastAsia="Times New Roman" w:hAnsi="Arial" w:cs="Arial"/>
          <w:color w:val="000000" w:themeColor="text1"/>
          <w:shd w:val="clear" w:color="auto" w:fill="FFFFFF"/>
          <w:lang w:eastAsia="en-GB"/>
        </w:rPr>
        <w:t xml:space="preserve">1) triangulation, 2) complementarity, 3) development, 4) initiation, </w:t>
      </w:r>
      <w:r w:rsidRPr="00D126B5">
        <w:rPr>
          <w:rFonts w:ascii="Arial" w:eastAsia="Times New Roman" w:hAnsi="Arial" w:cs="Arial"/>
          <w:color w:val="000000" w:themeColor="text1"/>
          <w:shd w:val="clear" w:color="auto" w:fill="FFFFFF"/>
          <w:lang w:eastAsia="en-GB"/>
        </w:rPr>
        <w:lastRenderedPageBreak/>
        <w:t>and 5) expansion (Creswell, 2003; Onwuegbuzie and Teddlie, 2003; Rocco et. al, 2003). The current research study is exploring the intersection of Accounting Fraud, corporate psychopathy and BCT, hence, methodological triangulation (surveys (student and working accountants) and semi-structured interviews) coupled with complementarity will be achieved beyond triangulation by focusing on multiple data sets (results from the surveys and semi-structured interviews) which will enable a wider spectrum of insights and perceptions especially from auditors and subject matter experts. The next section explores the process of data collection and sampling.</w:t>
      </w:r>
    </w:p>
    <w:bookmarkStart w:id="690" w:name="D88"/>
    <w:p w14:paraId="6B45DAFF" w14:textId="665B9BC1" w:rsidR="00F7692A" w:rsidRPr="00D126B5" w:rsidRDefault="00455B01" w:rsidP="00952F7A">
      <w:pPr>
        <w:pBdr>
          <w:top w:val="single" w:sz="4" w:space="1" w:color="auto"/>
          <w:left w:val="single" w:sz="4" w:space="4" w:color="auto"/>
          <w:bottom w:val="single" w:sz="4" w:space="1" w:color="auto"/>
          <w:right w:val="single" w:sz="4" w:space="4" w:color="auto"/>
        </w:pBdr>
        <w:spacing w:line="240" w:lineRule="auto"/>
        <w:jc w:val="both"/>
        <w:rPr>
          <w:rFonts w:ascii="Arial" w:hAnsi="Arial" w:cs="Arial"/>
          <w:b/>
          <w:bCs/>
          <w:color w:val="000000" w:themeColor="text1"/>
        </w:rPr>
      </w:pPr>
      <w:r>
        <w:rPr>
          <w:rFonts w:ascii="Arial" w:hAnsi="Arial" w:cs="Arial"/>
          <w:b/>
          <w:bCs/>
          <w:color w:val="000000" w:themeColor="text1"/>
        </w:rPr>
        <w:fldChar w:fldCharType="begin"/>
      </w:r>
      <w:r>
        <w:rPr>
          <w:rFonts w:ascii="Arial" w:hAnsi="Arial" w:cs="Arial"/>
          <w:b/>
          <w:bCs/>
          <w:color w:val="000000" w:themeColor="text1"/>
        </w:rPr>
        <w:instrText>HYPERLINK  \l "C88"</w:instrText>
      </w:r>
      <w:r>
        <w:rPr>
          <w:rFonts w:ascii="Arial" w:hAnsi="Arial" w:cs="Arial"/>
          <w:b/>
          <w:bCs/>
          <w:color w:val="000000" w:themeColor="text1"/>
        </w:rPr>
      </w:r>
      <w:r>
        <w:rPr>
          <w:rFonts w:ascii="Arial" w:hAnsi="Arial" w:cs="Arial"/>
          <w:b/>
          <w:bCs/>
          <w:color w:val="000000" w:themeColor="text1"/>
        </w:rPr>
        <w:fldChar w:fldCharType="separate"/>
      </w:r>
      <w:r w:rsidR="00F7692A" w:rsidRPr="00455B01">
        <w:rPr>
          <w:rStyle w:val="Hyperlink"/>
          <w:rFonts w:ascii="Arial" w:hAnsi="Arial" w:cs="Arial"/>
          <w:b/>
          <w:bCs/>
        </w:rPr>
        <w:t>3.2.5 Data Collection and Sampling</w:t>
      </w:r>
      <w:r>
        <w:rPr>
          <w:rFonts w:ascii="Arial" w:hAnsi="Arial" w:cs="Arial"/>
          <w:b/>
          <w:bCs/>
          <w:color w:val="000000" w:themeColor="text1"/>
        </w:rPr>
        <w:fldChar w:fldCharType="end"/>
      </w:r>
    </w:p>
    <w:bookmarkEnd w:id="690"/>
    <w:p w14:paraId="71EF567B" w14:textId="77777777" w:rsidR="00F7692A" w:rsidRPr="00D126B5" w:rsidRDefault="00F7692A" w:rsidP="00F7692A">
      <w:pPr>
        <w:spacing w:after="0" w:line="480" w:lineRule="auto"/>
        <w:jc w:val="both"/>
        <w:rPr>
          <w:rFonts w:asciiTheme="minorBidi" w:hAnsiTheme="minorBidi"/>
          <w:color w:val="000000" w:themeColor="text1"/>
          <w:shd w:val="clear" w:color="auto" w:fill="FFFFFF"/>
        </w:rPr>
      </w:pPr>
      <w:r w:rsidRPr="00D126B5">
        <w:rPr>
          <w:rFonts w:asciiTheme="minorBidi" w:hAnsiTheme="minorBidi"/>
          <w:color w:val="000000" w:themeColor="text1"/>
        </w:rPr>
        <w:t xml:space="preserve">This research study is based on primary data collection which is </w:t>
      </w:r>
      <w:r w:rsidRPr="00D126B5">
        <w:rPr>
          <w:rFonts w:asciiTheme="minorBidi" w:hAnsiTheme="minorBidi"/>
          <w:color w:val="000000" w:themeColor="text1"/>
          <w:shd w:val="clear" w:color="auto" w:fill="FFFFFF"/>
        </w:rPr>
        <w:t xml:space="preserve">collected firsthand by the researcher for a specific research purpose. The data is gathered directly from the source and has not been previously published or used. </w:t>
      </w:r>
      <w:r w:rsidRPr="00D126B5">
        <w:rPr>
          <w:rFonts w:asciiTheme="minorBidi" w:hAnsiTheme="minorBidi"/>
          <w:color w:val="000000" w:themeColor="text1"/>
        </w:rPr>
        <w:t xml:space="preserve">Primary data is usually collected through surveys, interviews and focus groups. </w:t>
      </w:r>
      <w:r w:rsidRPr="00D126B5">
        <w:rPr>
          <w:rFonts w:asciiTheme="minorBidi" w:hAnsiTheme="minorBidi"/>
          <w:color w:val="000000" w:themeColor="text1"/>
          <w:shd w:val="clear" w:color="auto" w:fill="FFFFFF"/>
        </w:rPr>
        <w:t xml:space="preserve">In contrast secondary data </w:t>
      </w:r>
      <w:r w:rsidRPr="00D126B5">
        <w:rPr>
          <w:rFonts w:asciiTheme="minorBidi" w:hAnsiTheme="minorBidi"/>
          <w:color w:val="000000" w:themeColor="text1"/>
        </w:rPr>
        <w:t>is</w:t>
      </w:r>
      <w:r w:rsidRPr="00D126B5">
        <w:rPr>
          <w:rFonts w:asciiTheme="minorBidi" w:hAnsiTheme="minorBidi"/>
          <w:color w:val="000000" w:themeColor="text1"/>
          <w:shd w:val="clear" w:color="auto" w:fill="FFFFFF"/>
        </w:rPr>
        <w:t xml:space="preserve"> data that has been previously gathered, handled, and processed. It has also been published by other researchers and utilised for purposes other than the initial intention.</w:t>
      </w:r>
    </w:p>
    <w:p w14:paraId="6D400149" w14:textId="77777777" w:rsidR="00F7692A" w:rsidRPr="00D126B5" w:rsidRDefault="00F7692A" w:rsidP="00F7692A">
      <w:pPr>
        <w:spacing w:after="0" w:line="480" w:lineRule="auto"/>
        <w:jc w:val="both"/>
        <w:rPr>
          <w:rFonts w:asciiTheme="minorBidi" w:eastAsia="Times New Roman" w:hAnsiTheme="minorBidi"/>
          <w:color w:val="000000" w:themeColor="text1"/>
          <w:kern w:val="0"/>
          <w14:ligatures w14:val="none"/>
        </w:rPr>
      </w:pPr>
      <w:r w:rsidRPr="00D126B5">
        <w:rPr>
          <w:rFonts w:asciiTheme="minorBidi" w:eastAsia="Times New Roman" w:hAnsiTheme="minorBidi"/>
          <w:color w:val="000000" w:themeColor="text1"/>
          <w:kern w:val="0"/>
          <w14:ligatures w14:val="none"/>
        </w:rPr>
        <w:t xml:space="preserve">The main drawback of primary data is the possibility of bias regarding participant size. Respondents may give accurate responses or false answers, depending on the questions posed. The researcher bears the responsibility of performing a reliability analysis to establish the internal consistency of replies and mitigate any potential bias. Another problem of primary data is that collecting it could be more challenging because the researcher would need to speak with respondents face-to-face. On the other hand, selecting primary data has several benefits. Initially, the researcher can formulate distinct queries that will precisely address the domains needed for the investigation. Secondly, the investigator has the option to delve deeper and seek clarifications. This is particularly important when it comes to interviews. </w:t>
      </w:r>
    </w:p>
    <w:p w14:paraId="43485444" w14:textId="77777777" w:rsidR="00F7692A" w:rsidRPr="00D126B5" w:rsidRDefault="00F7692A" w:rsidP="00F7692A">
      <w:pPr>
        <w:spacing w:after="0" w:line="480" w:lineRule="auto"/>
        <w:jc w:val="both"/>
        <w:rPr>
          <w:rFonts w:asciiTheme="minorBidi" w:eastAsia="Times New Roman" w:hAnsiTheme="minorBidi"/>
          <w:color w:val="000000" w:themeColor="text1"/>
          <w:kern w:val="0"/>
          <w14:ligatures w14:val="none"/>
        </w:rPr>
      </w:pPr>
      <w:r w:rsidRPr="00D126B5">
        <w:rPr>
          <w:rFonts w:asciiTheme="minorBidi" w:eastAsia="Times New Roman" w:hAnsiTheme="minorBidi"/>
          <w:color w:val="000000" w:themeColor="text1"/>
          <w:kern w:val="0"/>
          <w14:ligatures w14:val="none"/>
        </w:rPr>
        <w:lastRenderedPageBreak/>
        <w:t>Initially, creating a list of questions for the structured survey or questionnaire is the first stage of any research project that employs the survey method. Thereafter, the next stage is finding a small number of representative target participants and carrying out a pilot research study. Following that, the structured survey is revised considering the input and preliminary findings. The next step is to look for a bigger target sample and give the structured survey to additional people.</w:t>
      </w:r>
      <w:r w:rsidRPr="00D126B5">
        <w:rPr>
          <w:rFonts w:asciiTheme="minorBidi" w:hAnsiTheme="minorBidi"/>
          <w:color w:val="000000" w:themeColor="text1"/>
        </w:rPr>
        <w:t xml:space="preserve"> </w:t>
      </w:r>
    </w:p>
    <w:p w14:paraId="48D59EA7" w14:textId="77777777" w:rsidR="00F7692A" w:rsidRPr="00D126B5" w:rsidRDefault="00F7692A" w:rsidP="00F7692A">
      <w:pPr>
        <w:spacing w:before="100" w:beforeAutospacing="1" w:after="100" w:afterAutospacing="1" w:line="480" w:lineRule="auto"/>
        <w:jc w:val="both"/>
        <w:rPr>
          <w:rFonts w:ascii="Arial" w:eastAsia="Times New Roman" w:hAnsi="Arial" w:cs="Arial"/>
          <w:color w:val="FF0000"/>
          <w:lang w:eastAsia="en-GB"/>
        </w:rPr>
      </w:pPr>
      <w:r w:rsidRPr="00D126B5">
        <w:rPr>
          <w:rFonts w:ascii="Arial" w:eastAsia="Times New Roman" w:hAnsi="Arial" w:cs="Arial"/>
          <w:color w:val="000000" w:themeColor="text1"/>
          <w:lang w:eastAsia="en-GB"/>
        </w:rPr>
        <w:t xml:space="preserve">The first part of this study aims to examine the extent of psychopathic predisposition among final year undergraduate accounting students at the University of Salford as ‘surrogates’ for practitioners (Mortenson et al, 2012), which is an established practice in accounting education. Hence a quantitative technique namely structured survey will be utilised to explore if there is a correlation between corporate psychopathy and the rationalisation of </w:t>
      </w:r>
      <w:r w:rsidRPr="00321A23">
        <w:rPr>
          <w:rFonts w:ascii="Arial" w:eastAsia="Times New Roman" w:hAnsi="Arial" w:cs="Arial"/>
          <w:lang w:eastAsia="en-GB"/>
        </w:rPr>
        <w:t>Accounting Fraud, specifically SRQ 1 – RQ4 – see Table 3.1.</w:t>
      </w:r>
    </w:p>
    <w:p w14:paraId="4634405D" w14:textId="77777777" w:rsidR="00F7692A" w:rsidRPr="00D126B5" w:rsidRDefault="00F7692A" w:rsidP="00F7692A">
      <w:pPr>
        <w:spacing w:after="0" w:line="480" w:lineRule="auto"/>
        <w:jc w:val="both"/>
        <w:rPr>
          <w:rFonts w:ascii="Arial" w:eastAsia="Times New Roman" w:hAnsi="Arial" w:cs="Arial"/>
          <w:color w:val="000000" w:themeColor="text1"/>
          <w:lang w:eastAsia="en-GB"/>
        </w:rPr>
      </w:pPr>
      <w:r w:rsidRPr="00321A23">
        <w:rPr>
          <w:rFonts w:ascii="Arial" w:eastAsia="Times New Roman" w:hAnsi="Arial" w:cs="Arial"/>
          <w:lang w:eastAsia="en-GB"/>
        </w:rPr>
        <w:t xml:space="preserve">The quantitative technique of a structured </w:t>
      </w:r>
      <w:r w:rsidRPr="00D126B5">
        <w:rPr>
          <w:rFonts w:ascii="Arial" w:eastAsia="Times New Roman" w:hAnsi="Arial" w:cs="Arial"/>
          <w:color w:val="000000" w:themeColor="text1"/>
          <w:lang w:eastAsia="en-GB"/>
        </w:rPr>
        <w:t>survey, see Appendix B, limited to a simple scale ranging from one to five will based on pre-selected categories will be utilized as it is easier to quantify (Walle, 2015). Consequently, the researcher intends to undertake a quantitative study using a variation of the LSRP psychology and associated questionnaire to conduct face to face structured interviews (See Appendix B). The participants will be students as proxies for practitioners which has already been discussed and justified earlier. A nonprobability sampling technique (Edmonds and Kennedy, 2017) will be utilized where the researcher selects participants on a specific criterion and/or based on availability i.e., SBS L6 Accounting and Finance students. This process will be repeated with a sample of working accountants from an international firm of auditors based in the UAE.</w:t>
      </w:r>
    </w:p>
    <w:p w14:paraId="5D960580" w14:textId="77777777" w:rsidR="00F7692A" w:rsidRPr="00D126B5" w:rsidRDefault="00F7692A" w:rsidP="00F7692A">
      <w:pPr>
        <w:spacing w:after="0" w:line="480" w:lineRule="auto"/>
        <w:jc w:val="both"/>
        <w:rPr>
          <w:rFonts w:asciiTheme="minorBidi" w:eastAsia="Times New Roman" w:hAnsiTheme="minorBidi"/>
          <w:b/>
          <w:bCs/>
          <w:color w:val="000000" w:themeColor="text1"/>
          <w:kern w:val="0"/>
          <w14:ligatures w14:val="none"/>
        </w:rPr>
      </w:pPr>
    </w:p>
    <w:p w14:paraId="5F5DF7E8" w14:textId="77777777" w:rsidR="00F7692A" w:rsidRPr="00D126B5" w:rsidRDefault="00F7692A" w:rsidP="00F7692A">
      <w:pPr>
        <w:spacing w:after="0" w:line="480" w:lineRule="auto"/>
        <w:jc w:val="both"/>
        <w:rPr>
          <w:rFonts w:asciiTheme="minorBidi" w:eastAsia="Times New Roman" w:hAnsiTheme="minorBidi"/>
          <w:color w:val="000000" w:themeColor="text1"/>
          <w:kern w:val="0"/>
          <w14:ligatures w14:val="none"/>
        </w:rPr>
      </w:pPr>
      <w:r w:rsidRPr="00D126B5">
        <w:rPr>
          <w:rFonts w:asciiTheme="minorBidi" w:eastAsia="Times New Roman" w:hAnsiTheme="minorBidi"/>
          <w:b/>
          <w:bCs/>
          <w:color w:val="000000" w:themeColor="text1"/>
          <w:kern w:val="0"/>
          <w14:ligatures w14:val="none"/>
        </w:rPr>
        <w:lastRenderedPageBreak/>
        <w:t xml:space="preserve">The next stage of the research study will </w:t>
      </w:r>
      <w:r>
        <w:rPr>
          <w:rFonts w:asciiTheme="minorBidi" w:eastAsia="Times New Roman" w:hAnsiTheme="minorBidi"/>
          <w:b/>
          <w:bCs/>
          <w:color w:val="000000" w:themeColor="text1"/>
          <w:kern w:val="0"/>
          <w14:ligatures w14:val="none"/>
        </w:rPr>
        <w:t xml:space="preserve">be </w:t>
      </w:r>
      <w:r w:rsidRPr="00D126B5">
        <w:rPr>
          <w:rFonts w:asciiTheme="minorBidi" w:eastAsia="Times New Roman" w:hAnsiTheme="minorBidi"/>
          <w:b/>
          <w:bCs/>
          <w:color w:val="000000" w:themeColor="text1"/>
          <w:kern w:val="0"/>
          <w14:ligatures w14:val="none"/>
        </w:rPr>
        <w:t xml:space="preserve">qualitative and utilise qualitative research interviews aim to better understand the world from the perspective of the subjects and to uncover the meaning of their experiences </w:t>
      </w:r>
      <w:r w:rsidRPr="00D126B5">
        <w:rPr>
          <w:rFonts w:asciiTheme="minorBidi" w:eastAsia="Times New Roman" w:hAnsiTheme="minorBidi"/>
          <w:color w:val="000000" w:themeColor="text1"/>
          <w:kern w:val="0"/>
          <w14:ligatures w14:val="none"/>
        </w:rPr>
        <w:t>(Kvale &amp; Brinkman, 2015). As a means of gathering data for this study, qualitative interviews go beyond the impromptu sharing of opinions in casual discourse. The goal of this methodical questioning and listening technique is to gather fully validated knowledge (Kvale &amp; Brinkman, 2015</w:t>
      </w:r>
    </w:p>
    <w:p w14:paraId="32FC7B83" w14:textId="77777777" w:rsidR="00F7692A" w:rsidRPr="00D126B5" w:rsidRDefault="00F7692A" w:rsidP="00F7692A">
      <w:pPr>
        <w:spacing w:after="0" w:line="480" w:lineRule="auto"/>
        <w:jc w:val="both"/>
        <w:rPr>
          <w:rFonts w:asciiTheme="minorBidi" w:eastAsia="Times New Roman" w:hAnsiTheme="minorBidi"/>
          <w:color w:val="000000" w:themeColor="text1"/>
          <w:kern w:val="0"/>
          <w14:ligatures w14:val="none"/>
        </w:rPr>
      </w:pPr>
    </w:p>
    <w:p w14:paraId="1B1B3093" w14:textId="77777777" w:rsidR="00F7692A" w:rsidRPr="00D126B5" w:rsidRDefault="00F7692A" w:rsidP="00F7692A">
      <w:pPr>
        <w:spacing w:after="240" w:line="480" w:lineRule="auto"/>
        <w:jc w:val="both"/>
        <w:rPr>
          <w:rFonts w:asciiTheme="minorBidi" w:eastAsia="Times New Roman" w:hAnsiTheme="minorBidi"/>
          <w:color w:val="000000" w:themeColor="text1"/>
          <w:kern w:val="0"/>
          <w14:ligatures w14:val="none"/>
        </w:rPr>
      </w:pPr>
      <w:r w:rsidRPr="00D126B5">
        <w:rPr>
          <w:rFonts w:asciiTheme="minorBidi" w:eastAsia="Times New Roman" w:hAnsiTheme="minorBidi"/>
          <w:color w:val="000000" w:themeColor="text1"/>
          <w:kern w:val="0"/>
          <w14:ligatures w14:val="none"/>
        </w:rPr>
        <w:t xml:space="preserve">Semi-structured qualitative interviewing was employed. One method for gathering qualitative data is the semi-structured interview, which involves arranging the interview such that the participants have enough time and space to express their opinions on a particular topic (Berg, 2009). Researchers can control the line of questions during an interview, which is an advantage over other qualitative data collection approaches (Creswell, 2003). </w:t>
      </w:r>
    </w:p>
    <w:p w14:paraId="41F83DA4" w14:textId="1B4447FE" w:rsidR="009A49C8" w:rsidRDefault="00F7692A" w:rsidP="00F7692A">
      <w:pPr>
        <w:spacing w:after="200" w:line="480" w:lineRule="auto"/>
        <w:jc w:val="both"/>
        <w:rPr>
          <w:rFonts w:asciiTheme="minorBidi" w:eastAsia="Times New Roman" w:hAnsiTheme="minorBidi"/>
          <w:color w:val="000000" w:themeColor="text1"/>
          <w:kern w:val="0"/>
          <w14:ligatures w14:val="none"/>
        </w:rPr>
      </w:pPr>
      <w:r w:rsidRPr="00D126B5">
        <w:rPr>
          <w:rFonts w:asciiTheme="minorBidi" w:eastAsia="Times New Roman" w:hAnsiTheme="minorBidi"/>
          <w:color w:val="000000" w:themeColor="text1"/>
          <w:kern w:val="0"/>
          <w14:ligatures w14:val="none"/>
        </w:rPr>
        <w:t>In this study, the interview technique allowed the researcher to freely investigate the respondents' viewpoints, which is consistent with Denzin and Lincoln's (2011) claim that an interview is a discussion rather than an objective instrument</w:t>
      </w:r>
      <w:r w:rsidR="00952F7A">
        <w:rPr>
          <w:rFonts w:asciiTheme="minorBidi" w:eastAsia="Times New Roman" w:hAnsiTheme="minorBidi"/>
          <w:color w:val="000000" w:themeColor="text1"/>
          <w:kern w:val="0"/>
          <w14:ligatures w14:val="none"/>
        </w:rPr>
        <w:t xml:space="preserve">, </w:t>
      </w:r>
      <w:r w:rsidR="009A49C8">
        <w:rPr>
          <w:rFonts w:asciiTheme="minorBidi" w:eastAsia="Times New Roman" w:hAnsiTheme="minorBidi"/>
          <w:color w:val="000000" w:themeColor="text1"/>
          <w:kern w:val="0"/>
          <w14:ligatures w14:val="none"/>
        </w:rPr>
        <w:t>since</w:t>
      </w:r>
      <w:r w:rsidR="00952F7A">
        <w:rPr>
          <w:rFonts w:asciiTheme="minorBidi" w:eastAsia="Times New Roman" w:hAnsiTheme="minorBidi"/>
          <w:color w:val="000000" w:themeColor="text1"/>
          <w:kern w:val="0"/>
          <w14:ligatures w14:val="none"/>
        </w:rPr>
        <w:t xml:space="preserve"> </w:t>
      </w:r>
      <w:r w:rsidRPr="00D126B5">
        <w:rPr>
          <w:rFonts w:asciiTheme="minorBidi" w:eastAsia="Times New Roman" w:hAnsiTheme="minorBidi"/>
          <w:color w:val="000000" w:themeColor="text1"/>
          <w:kern w:val="0"/>
          <w14:ligatures w14:val="none"/>
        </w:rPr>
        <w:t>at least two</w:t>
      </w:r>
    </w:p>
    <w:p w14:paraId="24E846F6" w14:textId="77777777" w:rsidR="009A49C8" w:rsidRDefault="009A49C8" w:rsidP="009A49C8">
      <w:pPr>
        <w:spacing w:after="200" w:line="480" w:lineRule="auto"/>
        <w:jc w:val="both"/>
        <w:rPr>
          <w:rFonts w:asciiTheme="minorBidi" w:eastAsia="Times New Roman" w:hAnsiTheme="minorBidi"/>
          <w:color w:val="000000" w:themeColor="text1"/>
          <w:kern w:val="0"/>
          <w14:ligatures w14:val="none"/>
        </w:rPr>
      </w:pPr>
      <w:r>
        <w:rPr>
          <w:rFonts w:asciiTheme="minorBidi" w:eastAsia="Times New Roman" w:hAnsiTheme="minorBidi"/>
          <w:color w:val="000000" w:themeColor="text1"/>
          <w:kern w:val="0"/>
          <w14:ligatures w14:val="none"/>
        </w:rPr>
        <w:t>persons contribute to the reality of the interview setting.</w:t>
      </w:r>
    </w:p>
    <w:p w14:paraId="7D234506" w14:textId="012C8B4A" w:rsidR="00F7692A" w:rsidRPr="009A49C8" w:rsidRDefault="00F7692A" w:rsidP="009A49C8">
      <w:pPr>
        <w:spacing w:after="200" w:line="480" w:lineRule="auto"/>
        <w:jc w:val="both"/>
        <w:rPr>
          <w:rFonts w:asciiTheme="minorBidi" w:eastAsia="Times New Roman" w:hAnsiTheme="minorBidi"/>
          <w:color w:val="000000" w:themeColor="text1"/>
          <w:kern w:val="0"/>
          <w14:ligatures w14:val="none"/>
        </w:rPr>
      </w:pPr>
      <w:r w:rsidRPr="00D126B5">
        <w:rPr>
          <w:rFonts w:asciiTheme="minorBidi" w:eastAsia="Times New Roman" w:hAnsiTheme="minorBidi"/>
          <w:color w:val="000000" w:themeColor="text1"/>
          <w:kern w:val="0"/>
          <w14:ligatures w14:val="none"/>
        </w:rPr>
        <w:br/>
      </w:r>
      <w:r w:rsidR="00952F7A">
        <w:rPr>
          <w:rFonts w:ascii="Arial" w:hAnsi="Arial" w:cs="Arial"/>
          <w:color w:val="000000" w:themeColor="text1"/>
        </w:rPr>
        <w:t>T</w:t>
      </w:r>
      <w:r w:rsidRPr="00D126B5">
        <w:rPr>
          <w:rFonts w:ascii="Arial" w:hAnsi="Arial" w:cs="Arial"/>
          <w:color w:val="000000" w:themeColor="text1"/>
        </w:rPr>
        <w:t xml:space="preserve">he second part of the research aims to explore whether the nascent Blockchain Technology can diminish the influence of the Corporate Psychopath Accountant, decrease Accounting Fraud, and enhance external audit. </w:t>
      </w:r>
      <w:r w:rsidR="00952F7A">
        <w:rPr>
          <w:rFonts w:ascii="Arial" w:hAnsi="Arial" w:cs="Arial"/>
          <w:color w:val="000000" w:themeColor="text1"/>
        </w:rPr>
        <w:t>Hence, a</w:t>
      </w:r>
      <w:r w:rsidRPr="00D126B5">
        <w:rPr>
          <w:rFonts w:ascii="Arial" w:hAnsi="Arial" w:cs="Arial"/>
          <w:color w:val="000000" w:themeColor="text1"/>
        </w:rPr>
        <w:t xml:space="preserve"> qualitative technique namely a semi-structured interview will explore what are auditor perceptions of corporate psychopathy / Corporate Psychopath Accountant and Accounting Fraud. </w:t>
      </w:r>
      <w:r w:rsidRPr="00D126B5">
        <w:rPr>
          <w:rFonts w:ascii="Arial" w:hAnsi="Arial" w:cs="Arial"/>
          <w:color w:val="000000" w:themeColor="text1"/>
        </w:rPr>
        <w:lastRenderedPageBreak/>
        <w:t xml:space="preserve">Also, to what extent they believe that Blockchain Technology is an antidote to </w:t>
      </w:r>
      <w:r w:rsidRPr="00A749B5">
        <w:rPr>
          <w:rFonts w:ascii="Arial" w:hAnsi="Arial" w:cs="Arial"/>
        </w:rPr>
        <w:t>corporate psychopathy / Corporate Psychopath Accountant and Accounting Fraud. SRQ5 – RQ6, see Table 3.1.</w:t>
      </w:r>
    </w:p>
    <w:p w14:paraId="4D1BFE46" w14:textId="77777777" w:rsidR="00F7692A" w:rsidRPr="00D126B5" w:rsidRDefault="00F7692A" w:rsidP="00F7692A">
      <w:pPr>
        <w:spacing w:before="100" w:beforeAutospacing="1" w:after="100" w:afterAutospacing="1" w:line="480" w:lineRule="auto"/>
        <w:jc w:val="both"/>
        <w:rPr>
          <w:rFonts w:ascii="Arial" w:eastAsia="Times New Roman" w:hAnsi="Arial" w:cs="Arial"/>
          <w:color w:val="000000" w:themeColor="text1"/>
          <w:lang w:eastAsia="en-GB"/>
        </w:rPr>
      </w:pPr>
      <w:r w:rsidRPr="00D126B5">
        <w:rPr>
          <w:rFonts w:ascii="Arial" w:eastAsia="Times New Roman" w:hAnsi="Arial" w:cs="Arial"/>
          <w:color w:val="000000" w:themeColor="text1"/>
          <w:lang w:eastAsia="en-GB"/>
        </w:rPr>
        <w:t xml:space="preserve">The qualitative technique of perception analysis through a semi-structured interview (See Appendix C) will be used with pre-established questions, that are open-ended, allowing the participants to freely speak their mind and give their honest opinion on the topic at hand (Walle, 2015) i.e. Psychopathy, Accounting Fraud and BCT. Furthermore, semi-structured interviews allow the researcher to ask questions outside of the interview guide, potentially resulting in further discoveries (Bryman &amp; Bell, 2015). </w:t>
      </w:r>
    </w:p>
    <w:p w14:paraId="45F6B073" w14:textId="77777777" w:rsidR="00F7692A" w:rsidRPr="00D126B5" w:rsidRDefault="00F7692A" w:rsidP="00F7692A">
      <w:pPr>
        <w:spacing w:before="100" w:beforeAutospacing="1" w:after="100" w:afterAutospacing="1" w:line="480" w:lineRule="auto"/>
        <w:jc w:val="both"/>
        <w:rPr>
          <w:rFonts w:ascii="Arial" w:eastAsia="Times New Roman" w:hAnsi="Arial" w:cs="Arial"/>
          <w:color w:val="000000" w:themeColor="text1"/>
          <w:lang w:eastAsia="en-GB"/>
        </w:rPr>
      </w:pPr>
      <w:r w:rsidRPr="00D126B5">
        <w:rPr>
          <w:rFonts w:ascii="Arial" w:eastAsia="Times New Roman" w:hAnsi="Arial" w:cs="Arial"/>
          <w:color w:val="000000" w:themeColor="text1"/>
          <w:lang w:eastAsia="en-GB"/>
        </w:rPr>
        <w:t xml:space="preserve">At this stage it is difficult to ascertain the ‘saturation point’ (Saunders et al., 2012) i.e. the point that determines when enough semi-structured interviews have been carried out. However, the researcher will be aiming for a combination of so called ‘thick data’ / ‘a lot of’ and ‘rich data’ / ‘nuanced, intricate, more’ (Fusch and Ness, 2015). </w:t>
      </w:r>
    </w:p>
    <w:p w14:paraId="23DC10A2" w14:textId="77777777" w:rsidR="00F7692A" w:rsidRPr="00D126B5" w:rsidRDefault="00F7692A" w:rsidP="00F7692A">
      <w:pPr>
        <w:spacing w:line="480" w:lineRule="auto"/>
        <w:jc w:val="both"/>
        <w:rPr>
          <w:rFonts w:ascii="Arial" w:hAnsi="Arial" w:cs="Arial"/>
          <w:b/>
          <w:bCs/>
          <w:color w:val="000000" w:themeColor="text1"/>
        </w:rPr>
      </w:pPr>
      <w:r w:rsidRPr="00D126B5">
        <w:rPr>
          <w:rFonts w:ascii="Arial" w:eastAsia="Times New Roman" w:hAnsi="Arial" w:cs="Arial"/>
          <w:color w:val="000000" w:themeColor="text1"/>
          <w:lang w:eastAsia="en-GB"/>
        </w:rPr>
        <w:t xml:space="preserve">According to Myers (2013) it is more important the pool of participants / interviewees comprises of a variety of voices rather than the number of interviews which will be achieved by utilised by interviewing auditors and subject matter experts. To ensure effective interviews, auditors will need to be somewhat familiar with the interview area (Walle, 2015) namely BCT which will not be an issue for subject matter experts. Therefore, information will need to be supplied to the interview candidates either before or at the start of the interview (this will be achieved through the introduction letter and participant information sheet – See Appendix D and E), or the researcher will need to forego auditors, who have no experience of blockchain technology, and locate those who have knowledge of BCT. However, their insights on psychopathy and </w:t>
      </w:r>
      <w:r w:rsidRPr="00D126B5">
        <w:rPr>
          <w:rFonts w:ascii="Arial" w:eastAsia="Times New Roman" w:hAnsi="Arial" w:cs="Arial"/>
          <w:color w:val="000000" w:themeColor="text1"/>
          <w:lang w:eastAsia="en-GB"/>
        </w:rPr>
        <w:lastRenderedPageBreak/>
        <w:t>accounting will still be recorded.  Given the previous discussion the researcher believes that at six to seven semi-structured interviews will suffice.</w:t>
      </w:r>
    </w:p>
    <w:bookmarkStart w:id="691" w:name="D89"/>
    <w:p w14:paraId="4C76DD0F" w14:textId="4332707E" w:rsidR="00F7692A" w:rsidRPr="00D126B5" w:rsidRDefault="00455B01" w:rsidP="001C1AF4">
      <w:pPr>
        <w:pBdr>
          <w:top w:val="single" w:sz="4" w:space="1" w:color="auto"/>
          <w:left w:val="single" w:sz="4" w:space="4" w:color="auto"/>
          <w:bottom w:val="single" w:sz="4" w:space="1" w:color="auto"/>
          <w:right w:val="single" w:sz="4" w:space="4" w:color="auto"/>
        </w:pBdr>
        <w:spacing w:line="240" w:lineRule="auto"/>
        <w:jc w:val="both"/>
        <w:rPr>
          <w:rFonts w:ascii="Arial" w:hAnsi="Arial" w:cs="Arial"/>
          <w:b/>
          <w:bCs/>
          <w:color w:val="000000" w:themeColor="text1"/>
        </w:rPr>
      </w:pPr>
      <w:r>
        <w:rPr>
          <w:rFonts w:ascii="Arial" w:hAnsi="Arial" w:cs="Arial"/>
          <w:b/>
          <w:bCs/>
          <w:color w:val="000000" w:themeColor="text1"/>
        </w:rPr>
        <w:fldChar w:fldCharType="begin"/>
      </w:r>
      <w:r>
        <w:rPr>
          <w:rFonts w:ascii="Arial" w:hAnsi="Arial" w:cs="Arial"/>
          <w:b/>
          <w:bCs/>
          <w:color w:val="000000" w:themeColor="text1"/>
        </w:rPr>
        <w:instrText>HYPERLINK  \l "C89"</w:instrText>
      </w:r>
      <w:r>
        <w:rPr>
          <w:rFonts w:ascii="Arial" w:hAnsi="Arial" w:cs="Arial"/>
          <w:b/>
          <w:bCs/>
          <w:color w:val="000000" w:themeColor="text1"/>
        </w:rPr>
      </w:r>
      <w:r>
        <w:rPr>
          <w:rFonts w:ascii="Arial" w:hAnsi="Arial" w:cs="Arial"/>
          <w:b/>
          <w:bCs/>
          <w:color w:val="000000" w:themeColor="text1"/>
        </w:rPr>
        <w:fldChar w:fldCharType="separate"/>
      </w:r>
      <w:r w:rsidR="00F7692A" w:rsidRPr="00455B01">
        <w:rPr>
          <w:rStyle w:val="Hyperlink"/>
          <w:rFonts w:ascii="Arial" w:hAnsi="Arial" w:cs="Arial"/>
          <w:b/>
          <w:bCs/>
        </w:rPr>
        <w:t>3.2.5.1 Samplin</w:t>
      </w:r>
      <w:r w:rsidR="00F7692A" w:rsidRPr="00455B01">
        <w:rPr>
          <w:rStyle w:val="Hyperlink"/>
          <w:rFonts w:ascii="Arial" w:hAnsi="Arial" w:cs="Arial"/>
          <w:b/>
          <w:bCs/>
        </w:rPr>
        <w:t>g and Validity</w:t>
      </w:r>
      <w:r>
        <w:rPr>
          <w:rFonts w:ascii="Arial" w:hAnsi="Arial" w:cs="Arial"/>
          <w:b/>
          <w:bCs/>
          <w:color w:val="000000" w:themeColor="text1"/>
        </w:rPr>
        <w:fldChar w:fldCharType="end"/>
      </w:r>
      <w:r w:rsidR="00F7692A" w:rsidRPr="00D126B5">
        <w:rPr>
          <w:rFonts w:ascii="Arial" w:hAnsi="Arial" w:cs="Arial"/>
          <w:b/>
          <w:bCs/>
          <w:color w:val="000000" w:themeColor="text1"/>
        </w:rPr>
        <w:t xml:space="preserve"> </w:t>
      </w:r>
    </w:p>
    <w:bookmarkEnd w:id="691"/>
    <w:p w14:paraId="070B69DC" w14:textId="77777777" w:rsidR="00F7692A" w:rsidRPr="00D126B5" w:rsidRDefault="00F7692A" w:rsidP="00F7692A">
      <w:pPr>
        <w:spacing w:after="240" w:line="480" w:lineRule="auto"/>
        <w:jc w:val="both"/>
        <w:rPr>
          <w:rFonts w:asciiTheme="minorBidi" w:eastAsia="Times New Roman" w:hAnsiTheme="minorBidi"/>
          <w:color w:val="000000" w:themeColor="text1"/>
          <w:kern w:val="0"/>
          <w14:ligatures w14:val="none"/>
        </w:rPr>
      </w:pPr>
      <w:r w:rsidRPr="00D126B5">
        <w:rPr>
          <w:rFonts w:asciiTheme="minorBidi" w:eastAsia="Times New Roman" w:hAnsiTheme="minorBidi"/>
          <w:color w:val="000000" w:themeColor="text1"/>
          <w:kern w:val="0"/>
          <w14:ligatures w14:val="none"/>
        </w:rPr>
        <w:t xml:space="preserve">Sampling strategies can be broadly classified into two groups when a research study is conducted. We call the first type probability sampling or random sampling. The primary feature of this data sampling method is that every single observation has an equal chance of being removed from the population or sample frame as every other observation. Put differently, there is no pattern, and the selection of observations is done at random (Pace, 2021). In social sciences, when it is crucial to gather observations for a small number of individuals and draw conclusions about the entire population, this kind of sampling of sampling is beneficial. </w:t>
      </w:r>
    </w:p>
    <w:p w14:paraId="5BE8D57E" w14:textId="77777777" w:rsidR="00F7692A" w:rsidRPr="00D126B5" w:rsidRDefault="00F7692A" w:rsidP="00F7692A">
      <w:pPr>
        <w:spacing w:after="240" w:line="480" w:lineRule="auto"/>
        <w:jc w:val="both"/>
        <w:rPr>
          <w:rFonts w:asciiTheme="minorBidi" w:eastAsia="Times New Roman" w:hAnsiTheme="minorBidi"/>
          <w:color w:val="000000" w:themeColor="text1"/>
          <w:kern w:val="0"/>
          <w14:ligatures w14:val="none"/>
        </w:rPr>
      </w:pPr>
      <w:r w:rsidRPr="00D126B5">
        <w:rPr>
          <w:rFonts w:asciiTheme="minorBidi" w:eastAsia="Times New Roman" w:hAnsiTheme="minorBidi"/>
          <w:color w:val="000000" w:themeColor="text1"/>
          <w:kern w:val="0"/>
          <w14:ligatures w14:val="none"/>
        </w:rPr>
        <w:t xml:space="preserve">Non-probability sampling is a different kind of sampling where </w:t>
      </w:r>
      <w:r w:rsidRPr="00D126B5">
        <w:rPr>
          <w:rFonts w:asciiTheme="minorBidi" w:hAnsiTheme="minorBidi"/>
          <w:color w:val="000000" w:themeColor="text1"/>
        </w:rPr>
        <w:t>different observations have a varying probability of being selected from the population or the sampling frame</w:t>
      </w:r>
      <w:r w:rsidRPr="00D126B5">
        <w:rPr>
          <w:rFonts w:asciiTheme="minorBidi" w:eastAsia="Times New Roman" w:hAnsiTheme="minorBidi"/>
          <w:color w:val="000000" w:themeColor="text1"/>
          <w:kern w:val="0"/>
          <w14:ligatures w14:val="none"/>
        </w:rPr>
        <w:t>. As a result, it is usual practice to choose these samples based on attributes, features, or qualities. When comparing this kind of sampling to random sampling, its primary drawback is that the former is typically less appropriate for the successful generalisation of findings. On the other hand, non-probability sampling's primary benefit, however, is that it frequently resolves the issue of data accessibility and availability (Berndt, 2020).</w:t>
      </w:r>
      <w:r w:rsidRPr="00D126B5">
        <w:rPr>
          <w:rFonts w:asciiTheme="minorBidi" w:eastAsia="Times New Roman" w:hAnsiTheme="minorBidi"/>
          <w:color w:val="000000" w:themeColor="text1"/>
          <w:lang w:eastAsia="en-GB"/>
        </w:rPr>
        <w:t xml:space="preserve"> </w:t>
      </w:r>
      <w:r w:rsidRPr="00D126B5">
        <w:rPr>
          <w:rFonts w:asciiTheme="minorBidi" w:eastAsia="Times New Roman" w:hAnsiTheme="minorBidi"/>
          <w:b/>
          <w:bCs/>
          <w:color w:val="000000" w:themeColor="text1"/>
          <w:lang w:eastAsia="en-GB"/>
        </w:rPr>
        <w:t>Consequently, for the quantitative part of the study the researcher will use a nonprobability sampling technique</w:t>
      </w:r>
      <w:r w:rsidRPr="00D126B5">
        <w:rPr>
          <w:rFonts w:asciiTheme="minorBidi" w:eastAsia="Times New Roman" w:hAnsiTheme="minorBidi"/>
          <w:color w:val="000000" w:themeColor="text1"/>
          <w:lang w:eastAsia="en-GB"/>
        </w:rPr>
        <w:t xml:space="preserve"> (Edmonds and Kennedy, 2017) where the researcher selects participants on a specific criterion and/or based on availability i.e., SBS L6 Accounting and Finance students. This process will be repeated with a sample of working accountants from an international firm of auditors based in the UAE.</w:t>
      </w:r>
    </w:p>
    <w:p w14:paraId="0E5321F0" w14:textId="77777777" w:rsidR="00F7692A" w:rsidRPr="00D126B5" w:rsidRDefault="00F7692A" w:rsidP="00F7692A">
      <w:pPr>
        <w:spacing w:after="240" w:line="480" w:lineRule="auto"/>
        <w:jc w:val="both"/>
        <w:rPr>
          <w:rFonts w:asciiTheme="minorBidi" w:eastAsia="Times New Roman" w:hAnsiTheme="minorBidi"/>
          <w:color w:val="000000" w:themeColor="text1"/>
          <w:kern w:val="0"/>
          <w14:ligatures w14:val="none"/>
        </w:rPr>
      </w:pPr>
      <w:r w:rsidRPr="00D126B5">
        <w:rPr>
          <w:rFonts w:asciiTheme="minorBidi" w:eastAsia="Times New Roman" w:hAnsiTheme="minorBidi"/>
          <w:color w:val="000000" w:themeColor="text1"/>
          <w:kern w:val="0"/>
          <w14:ligatures w14:val="none"/>
        </w:rPr>
        <w:lastRenderedPageBreak/>
        <w:t xml:space="preserve">To be consistent with the qualitative part of the research a purposive sampling method will be used. Since, it is the most popular non-probability sampling strategy employed by qualitative researchers is the purposive sample approach (Miles &amp; Huberman, 1994; Wilmot, 2005; Patton, 2015). Researchers can apply their judgment to choose examples that will best help them answer their research questions and achieve their goals by using the non-probability sampling strategy known as purposeful sampling (Saunders, et al., 2018). </w:t>
      </w:r>
    </w:p>
    <w:p w14:paraId="26499B87" w14:textId="77777777" w:rsidR="00F7692A" w:rsidRPr="00D126B5" w:rsidRDefault="00F7692A" w:rsidP="00F7692A">
      <w:pPr>
        <w:spacing w:after="240" w:line="480" w:lineRule="auto"/>
        <w:jc w:val="both"/>
        <w:rPr>
          <w:rFonts w:ascii="Arial" w:eastAsia="Times New Roman" w:hAnsi="Arial" w:cs="Arial"/>
          <w:color w:val="000000" w:themeColor="text1"/>
          <w:lang w:eastAsia="en-GB"/>
        </w:rPr>
      </w:pPr>
      <w:r w:rsidRPr="00D126B5">
        <w:rPr>
          <w:rFonts w:asciiTheme="minorBidi" w:eastAsia="Times New Roman" w:hAnsiTheme="minorBidi"/>
          <w:color w:val="000000" w:themeColor="text1"/>
          <w:kern w:val="0"/>
          <w14:ligatures w14:val="none"/>
        </w:rPr>
        <w:t xml:space="preserve">Furthermore, according to Creswell (2003), the primary principle of qualitative research is to deliberately choose participants who are thought to be most able to assist the researcher in comprehending the issue and the research questions. </w:t>
      </w:r>
      <w:r w:rsidRPr="00D126B5">
        <w:rPr>
          <w:rFonts w:asciiTheme="minorBidi" w:hAnsiTheme="minorBidi"/>
          <w:color w:val="000000" w:themeColor="text1"/>
        </w:rPr>
        <w:t>Consequently, the participants for this study were selected based on their relevance to the purpose of this study and were selected with great care (Silverman, 2014).</w:t>
      </w:r>
      <w:r w:rsidRPr="00D126B5">
        <w:rPr>
          <w:rFonts w:asciiTheme="minorBidi" w:eastAsia="Times New Roman" w:hAnsiTheme="minorBidi"/>
          <w:color w:val="000000" w:themeColor="text1"/>
          <w:kern w:val="0"/>
          <w14:ligatures w14:val="none"/>
        </w:rPr>
        <w:t xml:space="preserve"> </w:t>
      </w:r>
      <w:r w:rsidRPr="00D126B5">
        <w:rPr>
          <w:rFonts w:ascii="Arial" w:eastAsia="Times New Roman" w:hAnsi="Arial" w:cs="Arial"/>
          <w:color w:val="000000" w:themeColor="text1"/>
          <w:lang w:eastAsia="en-GB"/>
        </w:rPr>
        <w:t>According to Myers (2013) it is more important the pool of participants / interviewees comprises of a variety of voices rather than the number of interviews which will be achieved by utilised by interviewing auditors and subject matter experts. To ensure effective interviews, auditors will need to be somewhat familiar with the interview area (Walle, 2015) namely BCT which will not be an issue for subject matter experts. Therefore, information will need to be supplied to the interview candidates either before or at the start of the interview (this will be achieved through the introduction letter and participant information sheet – See Appendix D and E), or the researcher will need to forego auditors, who have no experience of blockchain technology, and locate those who have knowledge of BCT. However, their insights on psychopathy and accounting will still be recorded.  Given the previous discussion the researcher believes that at six to seven semi-structured interviews will suffice.</w:t>
      </w:r>
    </w:p>
    <w:p w14:paraId="70E04B61" w14:textId="77777777" w:rsidR="00F7692A" w:rsidRPr="00D126B5" w:rsidRDefault="00F7692A" w:rsidP="00F7692A">
      <w:pPr>
        <w:spacing w:before="100" w:beforeAutospacing="1" w:after="100" w:afterAutospacing="1" w:line="480" w:lineRule="auto"/>
        <w:jc w:val="both"/>
        <w:rPr>
          <w:rFonts w:ascii="Arial" w:eastAsia="Times New Roman" w:hAnsi="Arial" w:cs="Arial"/>
          <w:color w:val="000000" w:themeColor="text1"/>
          <w:lang w:eastAsia="en-GB"/>
        </w:rPr>
      </w:pPr>
      <w:r w:rsidRPr="00D126B5">
        <w:rPr>
          <w:rFonts w:ascii="Arial" w:eastAsia="Times New Roman" w:hAnsi="Arial" w:cs="Arial"/>
          <w:color w:val="000000" w:themeColor="text1"/>
          <w:lang w:eastAsia="en-GB"/>
        </w:rPr>
        <w:lastRenderedPageBreak/>
        <w:t xml:space="preserve">At this stage it is difficult to ascertain the ‘saturation point’ (Saunders et al., 2018) i.e. the point that determines when enough semi-structured interviews have been carried out. However, the researcher will be aiming for a combination of so called ‘thick data’ / ‘a lot of’ and ‘rich data’ / ‘nuanced, intricate, more’ (Fusch and Ness, 2015). </w:t>
      </w:r>
    </w:p>
    <w:p w14:paraId="67B8B110" w14:textId="77777777" w:rsidR="00F7692A" w:rsidRPr="00D126B5" w:rsidRDefault="00F7692A" w:rsidP="00F7692A">
      <w:pPr>
        <w:spacing w:before="100" w:beforeAutospacing="1" w:after="100" w:afterAutospacing="1" w:line="480" w:lineRule="auto"/>
        <w:jc w:val="both"/>
        <w:rPr>
          <w:rFonts w:ascii="Arial" w:eastAsia="Times New Roman" w:hAnsi="Arial" w:cs="Arial"/>
          <w:color w:val="000000" w:themeColor="text1"/>
          <w:shd w:val="clear" w:color="auto" w:fill="FFFFFF"/>
          <w:lang w:eastAsia="en-GB"/>
        </w:rPr>
      </w:pPr>
      <w:r w:rsidRPr="00D126B5">
        <w:rPr>
          <w:rFonts w:ascii="Arial" w:eastAsia="Times New Roman" w:hAnsi="Arial" w:cs="Arial"/>
          <w:b/>
          <w:bCs/>
          <w:color w:val="000000" w:themeColor="text1"/>
          <w:shd w:val="clear" w:color="auto" w:fill="FFFFFF"/>
          <w:lang w:eastAsia="en-GB"/>
        </w:rPr>
        <w:t>The validity of a research study</w:t>
      </w:r>
      <w:r w:rsidRPr="00D126B5">
        <w:rPr>
          <w:rFonts w:ascii="Arial" w:eastAsia="Times New Roman" w:hAnsi="Arial" w:cs="Arial"/>
          <w:color w:val="000000" w:themeColor="text1"/>
          <w:shd w:val="clear" w:color="auto" w:fill="FFFFFF"/>
          <w:lang w:eastAsia="en-GB"/>
        </w:rPr>
        <w:t xml:space="preserve"> denotes how well the results among the study participants (in this case students, working accountants, auditors, and subject matter experts) characterise authentic results or findings among a comparable set of participants external to the study. The validity of a research study comprises of two facets: internal (Truth in the Study) and external validity (Truth in Real Life) (Patino and Ferreira, 2018). Internal validity is defined as the extent to which the empirical results signify the truth in the population that the researcher is examining and not because of methodological mistakes. Once the internal validity of the study is ascertained, the researcher can go onto to make an opinion regarding its external validity by inquiring whether the study results apply to similar participants in a different situation or not.</w:t>
      </w:r>
    </w:p>
    <w:p w14:paraId="336D9126" w14:textId="77777777" w:rsidR="00F7692A" w:rsidRPr="00D126B5" w:rsidRDefault="00F7692A" w:rsidP="00F7692A">
      <w:pPr>
        <w:spacing w:line="480" w:lineRule="auto"/>
        <w:jc w:val="both"/>
        <w:rPr>
          <w:rFonts w:ascii="Arial" w:hAnsi="Arial" w:cs="Arial"/>
          <w:color w:val="000000" w:themeColor="text1"/>
          <w:shd w:val="clear" w:color="auto" w:fill="FFFFFF"/>
        </w:rPr>
      </w:pPr>
      <w:r w:rsidRPr="00D126B5">
        <w:rPr>
          <w:rFonts w:ascii="Arial" w:hAnsi="Arial" w:cs="Arial"/>
          <w:b/>
          <w:bCs/>
          <w:color w:val="000000" w:themeColor="text1"/>
          <w:shd w:val="clear" w:color="auto" w:fill="FFFFFF"/>
        </w:rPr>
        <w:t>We must remember that reliability</w:t>
      </w:r>
      <w:r w:rsidRPr="00D126B5">
        <w:rPr>
          <w:rFonts w:ascii="Arial" w:hAnsi="Arial" w:cs="Arial"/>
          <w:color w:val="000000" w:themeColor="text1"/>
          <w:shd w:val="clear" w:color="auto" w:fill="FFFFFF"/>
        </w:rPr>
        <w:t xml:space="preserve"> is how consistently a method quantifies something. Consequently, if the same result can be dependably achieved by using the same methods under the same conditions, the measurement is deemed reliable.</w:t>
      </w:r>
    </w:p>
    <w:p w14:paraId="0D35E11D" w14:textId="6709C02B" w:rsidR="009A49C8" w:rsidRPr="007F778E" w:rsidRDefault="00F7692A" w:rsidP="009A49C8">
      <w:pPr>
        <w:spacing w:line="480" w:lineRule="auto"/>
        <w:jc w:val="both"/>
        <w:rPr>
          <w:rFonts w:ascii="Arial" w:hAnsi="Arial" w:cs="Arial"/>
          <w:color w:val="000000" w:themeColor="text1"/>
        </w:rPr>
      </w:pPr>
      <w:r w:rsidRPr="00A749B5">
        <w:rPr>
          <w:rFonts w:ascii="Arial" w:hAnsi="Arial" w:cs="Arial"/>
          <w:color w:val="000000" w:themeColor="text1"/>
          <w:shd w:val="clear" w:color="auto" w:fill="FFFFFF"/>
        </w:rPr>
        <w:t xml:space="preserve">To achieve internal validity of the student survey or quantitative method the researcher </w:t>
      </w:r>
      <w:r w:rsidRPr="00A749B5">
        <w:rPr>
          <w:rFonts w:ascii="Arial" w:hAnsi="Arial" w:cs="Arial"/>
          <w:color w:val="000000" w:themeColor="text1"/>
        </w:rPr>
        <w:t>was advised to conduct a pilot study, discussed in Chapter Four, with a small sample of graduated accounting &amp; finance students</w:t>
      </w:r>
      <w:r>
        <w:rPr>
          <w:rFonts w:ascii="Arial" w:hAnsi="Arial" w:cs="Arial"/>
          <w:color w:val="000000" w:themeColor="text1"/>
        </w:rPr>
        <w:t xml:space="preserve">. </w:t>
      </w:r>
      <w:r w:rsidRPr="00A749B5">
        <w:rPr>
          <w:rFonts w:ascii="Arial" w:hAnsi="Arial" w:cs="Arial"/>
          <w:color w:val="000000" w:themeColor="text1"/>
        </w:rPr>
        <w:t xml:space="preserve">Depending on the results of the latter a high degree of reliability should be achieved once the L6 SBS students are tested. </w:t>
      </w:r>
    </w:p>
    <w:bookmarkStart w:id="692" w:name="D90"/>
    <w:p w14:paraId="74BB3F06" w14:textId="007B0080" w:rsidR="00F7692A" w:rsidRPr="00D126B5" w:rsidRDefault="00455B01" w:rsidP="001C1AF4">
      <w:pPr>
        <w:pBdr>
          <w:top w:val="single" w:sz="4" w:space="1" w:color="auto"/>
          <w:left w:val="single" w:sz="4" w:space="4" w:color="auto"/>
          <w:bottom w:val="single" w:sz="4" w:space="1" w:color="auto"/>
          <w:right w:val="single" w:sz="4" w:space="4" w:color="auto"/>
        </w:pBdr>
        <w:spacing w:line="240" w:lineRule="auto"/>
        <w:jc w:val="both"/>
        <w:rPr>
          <w:rFonts w:asciiTheme="minorBidi" w:hAnsiTheme="minorBidi"/>
          <w:b/>
          <w:bCs/>
          <w:color w:val="000000" w:themeColor="text1"/>
        </w:rPr>
      </w:pPr>
      <w:r>
        <w:rPr>
          <w:rFonts w:asciiTheme="minorBidi" w:hAnsiTheme="minorBidi"/>
          <w:b/>
          <w:bCs/>
          <w:color w:val="000000" w:themeColor="text1"/>
        </w:rPr>
        <w:fldChar w:fldCharType="begin"/>
      </w:r>
      <w:r>
        <w:rPr>
          <w:rFonts w:asciiTheme="minorBidi" w:hAnsiTheme="minorBidi"/>
          <w:b/>
          <w:bCs/>
          <w:color w:val="000000" w:themeColor="text1"/>
        </w:rPr>
        <w:instrText>HYPERLINK  \l "C90"</w:instrText>
      </w:r>
      <w:r>
        <w:rPr>
          <w:rFonts w:asciiTheme="minorBidi" w:hAnsiTheme="minorBidi"/>
          <w:b/>
          <w:bCs/>
          <w:color w:val="000000" w:themeColor="text1"/>
        </w:rPr>
      </w:r>
      <w:r>
        <w:rPr>
          <w:rFonts w:asciiTheme="minorBidi" w:hAnsiTheme="minorBidi"/>
          <w:b/>
          <w:bCs/>
          <w:color w:val="000000" w:themeColor="text1"/>
        </w:rPr>
        <w:fldChar w:fldCharType="separate"/>
      </w:r>
      <w:r w:rsidR="00F7692A" w:rsidRPr="00455B01">
        <w:rPr>
          <w:rStyle w:val="Hyperlink"/>
          <w:rFonts w:asciiTheme="minorBidi" w:hAnsiTheme="minorBidi"/>
          <w:b/>
          <w:bCs/>
        </w:rPr>
        <w:t>3.2.6 Time Horizons and Ethical Considerations</w:t>
      </w:r>
      <w:r>
        <w:rPr>
          <w:rFonts w:asciiTheme="minorBidi" w:hAnsiTheme="minorBidi"/>
          <w:b/>
          <w:bCs/>
          <w:color w:val="000000" w:themeColor="text1"/>
        </w:rPr>
        <w:fldChar w:fldCharType="end"/>
      </w:r>
      <w:r w:rsidR="00F7692A" w:rsidRPr="00D126B5">
        <w:rPr>
          <w:rFonts w:asciiTheme="minorBidi" w:hAnsiTheme="minorBidi"/>
          <w:b/>
          <w:bCs/>
          <w:color w:val="000000" w:themeColor="text1"/>
        </w:rPr>
        <w:t xml:space="preserve"> </w:t>
      </w:r>
    </w:p>
    <w:bookmarkEnd w:id="692"/>
    <w:p w14:paraId="4E6DCE2D" w14:textId="7C5C6B79" w:rsidR="00F7692A" w:rsidRPr="00D126B5" w:rsidRDefault="00F7692A" w:rsidP="00F7692A">
      <w:pPr>
        <w:spacing w:line="480" w:lineRule="auto"/>
        <w:jc w:val="both"/>
        <w:rPr>
          <w:rFonts w:ascii="Arial" w:hAnsi="Arial" w:cs="Arial"/>
          <w:color w:val="000000" w:themeColor="text1"/>
        </w:rPr>
      </w:pPr>
      <w:r w:rsidRPr="00D126B5">
        <w:rPr>
          <w:rFonts w:ascii="Arial" w:hAnsi="Arial" w:cs="Arial"/>
          <w:color w:val="000000" w:themeColor="text1"/>
        </w:rPr>
        <w:lastRenderedPageBreak/>
        <w:t xml:space="preserve">The time horizons in most studies are either cross-sectional study or a longitudinal one. A cross-sectional study is a ‘snapshot taken at a particular time’, whereas a longitudinal study occurs over a period. (Saunders et al, 2018). Saunders et al (2018) highlight that that most research studies are cross-sectional due time and cost constraints. A cross-sectional study is a ‘snapshot taken at a particular time’, whereas a longitudinal study occurs over a period. (Saunders et al, 2018). </w:t>
      </w:r>
      <w:r w:rsidRPr="00D126B5">
        <w:rPr>
          <w:rFonts w:ascii="Arial" w:hAnsi="Arial" w:cs="Arial"/>
          <w:b/>
          <w:bCs/>
          <w:i/>
          <w:iCs/>
          <w:color w:val="000000" w:themeColor="text1"/>
        </w:rPr>
        <w:t>The researcher will be conducting a quantitative and qualitative study, and they will both be cross-sectional</w:t>
      </w:r>
      <w:r w:rsidRPr="00D126B5">
        <w:rPr>
          <w:rFonts w:ascii="Arial" w:hAnsi="Arial" w:cs="Arial"/>
          <w:color w:val="000000" w:themeColor="text1"/>
        </w:rPr>
        <w:t xml:space="preserve">. Since, the </w:t>
      </w:r>
      <w:r w:rsidR="00F44DCB">
        <w:rPr>
          <w:rFonts w:ascii="Arial" w:hAnsi="Arial" w:cs="Arial"/>
          <w:color w:val="000000" w:themeColor="text1"/>
        </w:rPr>
        <w:t>researcher was</w:t>
      </w:r>
      <w:r w:rsidRPr="00D126B5">
        <w:rPr>
          <w:rFonts w:ascii="Arial" w:hAnsi="Arial" w:cs="Arial"/>
          <w:color w:val="000000" w:themeColor="text1"/>
        </w:rPr>
        <w:t xml:space="preserve"> a full-time member of SBS faculty who is enrolled on a part-time doctoral programme that must be completed within four to five years and the researcher has a narrow window to collect data from SBS students. </w:t>
      </w:r>
    </w:p>
    <w:p w14:paraId="658B7E12" w14:textId="77777777" w:rsidR="00F7692A" w:rsidRDefault="00F7692A" w:rsidP="00F7692A">
      <w:pPr>
        <w:spacing w:after="0" w:line="480" w:lineRule="auto"/>
        <w:jc w:val="both"/>
        <w:rPr>
          <w:rFonts w:ascii="Arial" w:hAnsi="Arial" w:cs="Arial"/>
          <w:color w:val="000000" w:themeColor="text1"/>
        </w:rPr>
      </w:pPr>
      <w:r w:rsidRPr="00D126B5">
        <w:rPr>
          <w:rFonts w:ascii="Arial" w:eastAsia="Times New Roman" w:hAnsi="Arial" w:cs="Arial"/>
          <w:color w:val="000000" w:themeColor="text1"/>
          <w:kern w:val="0"/>
          <w14:ligatures w14:val="none"/>
        </w:rPr>
        <w:t xml:space="preserve">Research ethics were given the utmost emphasis in this study. Throughout the whole research process, that is, both before and after data collection, ethical considerations were made. The research proposal for this study was submitted to the Salford Business School Ethics Committee for approval because it involved human participants (see Appendix D). Since, human beings are engaged in the study, the university ethics committee must ensure that the research will not endanger the participants, which is why this is a standard requirement (Diener &amp; Crandall, 1978). </w:t>
      </w:r>
      <w:r w:rsidRPr="00D126B5">
        <w:rPr>
          <w:rFonts w:ascii="Arial" w:hAnsi="Arial" w:cs="Arial"/>
          <w:color w:val="000000" w:themeColor="text1"/>
        </w:rPr>
        <w:t>According to Panter and Sterba (2011) the ethics of quantitative topics are usually ignored as quantitative methods are deemed objective in contrast to qualitative techniques. However, the researcher went through a rigorous ethics approval process for approving and conducting the student / working accountants survey and semi-structured interview.</w:t>
      </w:r>
    </w:p>
    <w:p w14:paraId="7CD77DC5" w14:textId="77777777" w:rsidR="006600B7" w:rsidRPr="00D126B5" w:rsidRDefault="006600B7" w:rsidP="00F7692A">
      <w:pPr>
        <w:spacing w:after="0" w:line="480" w:lineRule="auto"/>
        <w:jc w:val="both"/>
        <w:rPr>
          <w:rFonts w:ascii="Arial" w:eastAsia="Times New Roman" w:hAnsi="Arial" w:cs="Arial"/>
          <w:color w:val="000000" w:themeColor="text1"/>
          <w:kern w:val="0"/>
          <w14:ligatures w14:val="none"/>
        </w:rPr>
      </w:pPr>
    </w:p>
    <w:p w14:paraId="33705DB1" w14:textId="77777777" w:rsidR="00F7692A" w:rsidRPr="00D126B5" w:rsidRDefault="00F7692A" w:rsidP="00F7692A">
      <w:pPr>
        <w:spacing w:after="240" w:line="480" w:lineRule="auto"/>
        <w:jc w:val="both"/>
        <w:rPr>
          <w:rFonts w:ascii="Arial" w:eastAsia="Times New Roman" w:hAnsi="Arial" w:cs="Arial"/>
          <w:color w:val="000000" w:themeColor="text1"/>
          <w:kern w:val="0"/>
          <w14:ligatures w14:val="none"/>
        </w:rPr>
      </w:pPr>
      <w:r w:rsidRPr="00D126B5">
        <w:rPr>
          <w:rFonts w:ascii="Arial" w:eastAsia="Times New Roman" w:hAnsi="Arial" w:cs="Arial"/>
          <w:color w:val="000000" w:themeColor="text1"/>
          <w:kern w:val="0"/>
          <w14:ligatures w14:val="none"/>
        </w:rPr>
        <w:t xml:space="preserve">Potential participants received a participant information leaflet (see </w:t>
      </w:r>
      <w:r>
        <w:rPr>
          <w:rFonts w:ascii="Arial" w:eastAsia="Times New Roman" w:hAnsi="Arial" w:cs="Arial"/>
          <w:color w:val="000000" w:themeColor="text1"/>
          <w:kern w:val="0"/>
          <w14:ligatures w14:val="none"/>
        </w:rPr>
        <w:t>Appendix D</w:t>
      </w:r>
      <w:r w:rsidRPr="00D126B5">
        <w:rPr>
          <w:rFonts w:ascii="Arial" w:eastAsia="Times New Roman" w:hAnsi="Arial" w:cs="Arial"/>
          <w:color w:val="000000" w:themeColor="text1"/>
          <w:kern w:val="0"/>
          <w14:ligatures w14:val="none"/>
        </w:rPr>
        <w:t xml:space="preserve">). The participant information document that was sent to the participants explained the </w:t>
      </w:r>
      <w:r w:rsidRPr="00D126B5">
        <w:rPr>
          <w:rFonts w:ascii="Arial" w:eastAsia="Times New Roman" w:hAnsi="Arial" w:cs="Arial"/>
          <w:color w:val="000000" w:themeColor="text1"/>
          <w:kern w:val="0"/>
          <w14:ligatures w14:val="none"/>
        </w:rPr>
        <w:lastRenderedPageBreak/>
        <w:t xml:space="preserve">purpose of the study. The participants were informed that the study is being done for academic credit and that a Doctor of Philosophy (PhD) will be granted because of the findings.  In addition, participants were asked if they would like to participate or not and were assured that the questionnaire and interview would be confidential and anonymous. The participants were also informed that the interview would be audio recorded because the researcher might not be able to write down all the subject stated. </w:t>
      </w:r>
    </w:p>
    <w:p w14:paraId="78C73161" w14:textId="77777777" w:rsidR="00F7692A" w:rsidRDefault="00F7692A" w:rsidP="00F7692A">
      <w:pPr>
        <w:spacing w:after="240" w:line="480" w:lineRule="auto"/>
        <w:jc w:val="both"/>
        <w:rPr>
          <w:rFonts w:ascii="Arial" w:eastAsia="Times New Roman" w:hAnsi="Arial" w:cs="Arial"/>
          <w:color w:val="000000" w:themeColor="text1"/>
          <w:kern w:val="0"/>
          <w14:ligatures w14:val="none"/>
        </w:rPr>
      </w:pPr>
      <w:r w:rsidRPr="00D126B5">
        <w:rPr>
          <w:rFonts w:ascii="Arial" w:eastAsia="Times New Roman" w:hAnsi="Arial" w:cs="Arial"/>
          <w:color w:val="000000" w:themeColor="text1"/>
          <w:kern w:val="0"/>
          <w14:ligatures w14:val="none"/>
        </w:rPr>
        <w:t>Upon consenting to participate in the study, each participant received a consent form (see Appendix F) that they needed to sign prior to the interview. Before starting the questionnaire and interviews, the researcher confirmed that the consent forms were returned. The interview location and time were left up to the participants, to avoid the problem of privacy invasion (Diener &amp; Crandall, 1978). While some participants preferred in-person interactions, others chose to use Microsoft Teams an online platform.</w:t>
      </w:r>
    </w:p>
    <w:p w14:paraId="0CBE4D87" w14:textId="77777777" w:rsidR="00F7692A" w:rsidRPr="00D21EC5" w:rsidRDefault="00F7692A" w:rsidP="00F7692A">
      <w:pPr>
        <w:spacing w:after="240" w:line="480" w:lineRule="auto"/>
        <w:jc w:val="both"/>
        <w:rPr>
          <w:rFonts w:asciiTheme="minorBidi" w:eastAsia="Times New Roman" w:hAnsiTheme="minorBidi"/>
          <w:kern w:val="0"/>
          <w14:ligatures w14:val="none"/>
        </w:rPr>
      </w:pPr>
      <w:r w:rsidRPr="00D21EC5">
        <w:rPr>
          <w:rFonts w:asciiTheme="minorBidi" w:eastAsia="Times New Roman" w:hAnsiTheme="minorBidi"/>
          <w:kern w:val="0"/>
          <w14:ligatures w14:val="none"/>
        </w:rPr>
        <w:t xml:space="preserve">Potential research participants should be consulted on issues of confidentiality and anonymity prior to any data collection, per the Academy of Management's (AOM) Code of Ethical Conduct (Bryman &amp; Bell, 2011). Participants must be fully informed about how their data will be used, maintained, and safeguarded in accordance with ethical research practices. In order to ensure the validity of the research findings, it is imperative that participants feel confident and are eager to provide truthful and correct responses (Resnik, 2018). </w:t>
      </w:r>
    </w:p>
    <w:p w14:paraId="7BB0EE1C" w14:textId="77777777" w:rsidR="00F7692A" w:rsidRPr="00D21EC5" w:rsidRDefault="00F7692A" w:rsidP="00F7692A">
      <w:pPr>
        <w:spacing w:after="240" w:line="480" w:lineRule="auto"/>
        <w:jc w:val="both"/>
        <w:rPr>
          <w:rFonts w:asciiTheme="minorBidi" w:eastAsia="Times New Roman" w:hAnsiTheme="minorBidi"/>
          <w:kern w:val="0"/>
          <w14:ligatures w14:val="none"/>
        </w:rPr>
      </w:pPr>
      <w:r w:rsidRPr="00D21EC5">
        <w:rPr>
          <w:rFonts w:asciiTheme="minorBidi" w:eastAsia="Times New Roman" w:hAnsiTheme="minorBidi"/>
          <w:kern w:val="0"/>
          <w14:ligatures w14:val="none"/>
        </w:rPr>
        <w:t xml:space="preserve">The researcher made sure that no names or organizations could be recognized. This entails a number of crucial techniques, such as giving individuals codes or pseudonyms in place of their true names. Participants in this study, both professionals and students, were not allowed to disclose their identities. Rather, every participant </w:t>
      </w:r>
      <w:r w:rsidRPr="00D21EC5">
        <w:rPr>
          <w:rFonts w:asciiTheme="minorBidi" w:eastAsia="Times New Roman" w:hAnsiTheme="minorBidi"/>
          <w:kern w:val="0"/>
          <w14:ligatures w14:val="none"/>
        </w:rPr>
        <w:lastRenderedPageBreak/>
        <w:t>was given a distinct number or identification to ensure that their answers could not be linked to them. The next chapter goes into detail about this coding procedure.</w:t>
      </w:r>
    </w:p>
    <w:p w14:paraId="4DAB9F9B" w14:textId="77777777" w:rsidR="00F7692A" w:rsidRPr="00D21EC5" w:rsidRDefault="00F7692A" w:rsidP="00F7692A">
      <w:pPr>
        <w:spacing w:after="0" w:line="480" w:lineRule="auto"/>
        <w:jc w:val="both"/>
        <w:rPr>
          <w:rFonts w:asciiTheme="minorBidi" w:eastAsia="Times New Roman" w:hAnsiTheme="minorBidi"/>
          <w:kern w:val="0"/>
          <w14:ligatures w14:val="none"/>
        </w:rPr>
      </w:pPr>
      <w:r w:rsidRPr="00D21EC5">
        <w:rPr>
          <w:rFonts w:asciiTheme="minorBidi" w:eastAsia="Times New Roman" w:hAnsiTheme="minorBidi"/>
          <w:kern w:val="0"/>
          <w14:ligatures w14:val="none"/>
        </w:rPr>
        <w:t>In addition, stringent data management procedures were put in place by the researcher to safeguard participant information. Confidentiality must be preserved, according to Creswell &amp; Creswell (2018), who state that safe storage techniques such secured physical storage and encrypted digital files are crucial. To further reduce the possibility of identification, the codes connecting individuals to their data were only accessible by the researcher.</w:t>
      </w:r>
    </w:p>
    <w:p w14:paraId="4C16EBD4" w14:textId="77777777" w:rsidR="00F7692A" w:rsidRPr="00D21EC5" w:rsidRDefault="00F7692A" w:rsidP="00F7692A">
      <w:pPr>
        <w:spacing w:line="480" w:lineRule="auto"/>
        <w:jc w:val="both"/>
        <w:rPr>
          <w:rFonts w:asciiTheme="minorBidi" w:hAnsiTheme="minorBidi"/>
        </w:rPr>
      </w:pPr>
    </w:p>
    <w:p w14:paraId="2661FAC9" w14:textId="77777777" w:rsidR="00F7692A" w:rsidRPr="00D21EC5" w:rsidRDefault="00F7692A" w:rsidP="00F7692A">
      <w:pPr>
        <w:spacing w:after="0" w:line="480" w:lineRule="auto"/>
        <w:jc w:val="both"/>
        <w:rPr>
          <w:rFonts w:asciiTheme="minorBidi" w:eastAsia="Times New Roman" w:hAnsiTheme="minorBidi"/>
          <w:kern w:val="0"/>
          <w14:ligatures w14:val="none"/>
        </w:rPr>
      </w:pPr>
      <w:r w:rsidRPr="00D21EC5">
        <w:rPr>
          <w:rFonts w:asciiTheme="minorBidi" w:eastAsia="Times New Roman" w:hAnsiTheme="minorBidi"/>
          <w:kern w:val="0"/>
          <w14:ligatures w14:val="none"/>
        </w:rPr>
        <w:t>Participants were given the opportunity to withdraw their consent at any time without facing any consequences, and they were reminded of their rights to confidentiality and anonymity throughout the interview process. This procedure complies with the American Psychological Association's (APA, 2020) tenets, which highlight the significance of informed consent and voluntary participation.</w:t>
      </w:r>
    </w:p>
    <w:p w14:paraId="17DEB189" w14:textId="77777777" w:rsidR="00F7692A" w:rsidRPr="00D21EC5" w:rsidRDefault="00F7692A" w:rsidP="00F7692A">
      <w:pPr>
        <w:spacing w:line="480" w:lineRule="auto"/>
        <w:jc w:val="both"/>
        <w:rPr>
          <w:rFonts w:asciiTheme="minorBidi" w:hAnsiTheme="minorBidi"/>
        </w:rPr>
      </w:pPr>
    </w:p>
    <w:p w14:paraId="554D974E" w14:textId="77777777" w:rsidR="00F7692A" w:rsidRDefault="00F7692A" w:rsidP="00F7692A">
      <w:pPr>
        <w:spacing w:after="0" w:line="480" w:lineRule="auto"/>
        <w:jc w:val="both"/>
        <w:rPr>
          <w:rFonts w:asciiTheme="minorBidi" w:eastAsia="Times New Roman" w:hAnsiTheme="minorBidi"/>
          <w:kern w:val="0"/>
          <w14:ligatures w14:val="none"/>
        </w:rPr>
      </w:pPr>
      <w:r w:rsidRPr="00D21EC5">
        <w:rPr>
          <w:rFonts w:asciiTheme="minorBidi" w:eastAsia="Times New Roman" w:hAnsiTheme="minorBidi"/>
          <w:kern w:val="0"/>
          <w14:ligatures w14:val="none"/>
        </w:rPr>
        <w:t>Data processing and reporting were also included in the ethical issues, which went beyond simple data collecting. The researcher took care to combine data in a way that would not allow any person or group to be singled out when presenting findings. As Saunders, Lewis, and Thornhill (2019) point out, confidentiality must always be upheld because even seemingly unimportant facts might occasionally be combined to identify individuals.</w:t>
      </w:r>
    </w:p>
    <w:p w14:paraId="1CB27091" w14:textId="77777777" w:rsidR="00F7692A" w:rsidRPr="00D21EC5" w:rsidRDefault="00F7692A" w:rsidP="00F7692A">
      <w:pPr>
        <w:spacing w:after="0" w:line="480" w:lineRule="auto"/>
        <w:jc w:val="both"/>
        <w:rPr>
          <w:rFonts w:asciiTheme="minorBidi" w:eastAsia="Times New Roman" w:hAnsiTheme="minorBidi"/>
          <w:kern w:val="0"/>
          <w14:ligatures w14:val="none"/>
        </w:rPr>
      </w:pPr>
    </w:p>
    <w:p w14:paraId="04952D5E" w14:textId="77777777" w:rsidR="00F7692A" w:rsidRDefault="00F7692A" w:rsidP="00F7692A">
      <w:pPr>
        <w:spacing w:after="0" w:line="480" w:lineRule="auto"/>
        <w:jc w:val="both"/>
        <w:rPr>
          <w:rFonts w:asciiTheme="minorBidi" w:eastAsia="Times New Roman" w:hAnsiTheme="minorBidi"/>
          <w:kern w:val="0"/>
          <w14:ligatures w14:val="none"/>
        </w:rPr>
      </w:pPr>
      <w:r w:rsidRPr="00D21EC5">
        <w:rPr>
          <w:rFonts w:asciiTheme="minorBidi" w:eastAsia="Times New Roman" w:hAnsiTheme="minorBidi"/>
          <w:kern w:val="0"/>
          <w14:ligatures w14:val="none"/>
        </w:rPr>
        <w:t>In addition, the researcher obtained authorization from an institutional review board (</w:t>
      </w:r>
      <w:proofErr w:type="gramStart"/>
      <w:r w:rsidRPr="00D21EC5">
        <w:rPr>
          <w:rFonts w:asciiTheme="minorBidi" w:eastAsia="Times New Roman" w:hAnsiTheme="minorBidi"/>
          <w:kern w:val="0"/>
          <w14:ligatures w14:val="none"/>
        </w:rPr>
        <w:t>IRB)  (</w:t>
      </w:r>
      <w:proofErr w:type="gramEnd"/>
      <w:r w:rsidRPr="00D21EC5">
        <w:rPr>
          <w:rFonts w:asciiTheme="minorBidi" w:eastAsia="Times New Roman" w:hAnsiTheme="minorBidi"/>
          <w:kern w:val="0"/>
          <w14:ligatures w14:val="none"/>
        </w:rPr>
        <w:t xml:space="preserve">University of Salford / Salford Business School) before initiating the research. </w:t>
      </w:r>
      <w:r w:rsidRPr="00D21EC5">
        <w:rPr>
          <w:rFonts w:asciiTheme="minorBidi" w:eastAsia="Times New Roman" w:hAnsiTheme="minorBidi"/>
          <w:kern w:val="0"/>
          <w14:ligatures w14:val="none"/>
        </w:rPr>
        <w:lastRenderedPageBreak/>
        <w:t>The study proposal was examined by the IRB to make sure that all ethical standards were followed, including those pertaining to participant confidentiality and anonymity (Israel, 2015). This measure not only protected the subjects but also improved the study's legitimacy.</w:t>
      </w:r>
    </w:p>
    <w:p w14:paraId="69FA1596" w14:textId="77777777" w:rsidR="00F7692A" w:rsidRPr="00D21EC5" w:rsidRDefault="00F7692A" w:rsidP="00F7692A">
      <w:pPr>
        <w:spacing w:after="0" w:line="480" w:lineRule="auto"/>
        <w:jc w:val="both"/>
        <w:rPr>
          <w:rFonts w:asciiTheme="minorBidi" w:eastAsia="Times New Roman" w:hAnsiTheme="minorBidi"/>
          <w:kern w:val="0"/>
          <w14:ligatures w14:val="none"/>
        </w:rPr>
      </w:pPr>
    </w:p>
    <w:p w14:paraId="3A1AFC4D" w14:textId="77777777" w:rsidR="00F7692A" w:rsidRPr="00D21EC5" w:rsidRDefault="00F7692A" w:rsidP="00F7692A">
      <w:pPr>
        <w:spacing w:after="0" w:line="480" w:lineRule="auto"/>
        <w:jc w:val="both"/>
        <w:rPr>
          <w:rFonts w:asciiTheme="minorBidi" w:eastAsia="Times New Roman" w:hAnsiTheme="minorBidi"/>
          <w:kern w:val="0"/>
          <w14:ligatures w14:val="none"/>
        </w:rPr>
      </w:pPr>
      <w:r w:rsidRPr="00D21EC5">
        <w:rPr>
          <w:rFonts w:asciiTheme="minorBidi" w:eastAsia="Times New Roman" w:hAnsiTheme="minorBidi"/>
          <w:kern w:val="0"/>
          <w14:ligatures w14:val="none"/>
        </w:rPr>
        <w:t>In summary, it is critical that ethical guidelines for research are followed, particularly when it comes to anonymity and confidentiality. The researcher ensured the integrity and reliability of the study by adhering to the ethical norms recommended by the AOM and other salient professional bodies, as well as by consulting participants and putting in place stringent data protection procedures.</w:t>
      </w:r>
    </w:p>
    <w:p w14:paraId="1F1E6572" w14:textId="77777777" w:rsidR="00F7692A" w:rsidRPr="00CD4214" w:rsidRDefault="00F7692A" w:rsidP="00F7692A">
      <w:pPr>
        <w:spacing w:line="480" w:lineRule="auto"/>
        <w:jc w:val="both"/>
        <w:rPr>
          <w:rFonts w:ascii="Arial" w:eastAsia="Times New Roman" w:hAnsi="Arial" w:cs="Arial"/>
          <w:color w:val="000000" w:themeColor="text1"/>
          <w:kern w:val="0"/>
          <w14:ligatures w14:val="none"/>
        </w:rPr>
      </w:pPr>
      <w:r w:rsidRPr="00D126B5">
        <w:rPr>
          <w:rFonts w:ascii="Arial" w:eastAsia="Times New Roman" w:hAnsi="Arial" w:cs="Arial"/>
          <w:color w:val="000000" w:themeColor="text1"/>
          <w:kern w:val="0"/>
          <w14:ligatures w14:val="none"/>
        </w:rPr>
        <w:t>The next chapter will discuss the findings from the quantitative survey and qualitative interviews.</w:t>
      </w:r>
    </w:p>
    <w:bookmarkStart w:id="693" w:name="SUM"/>
    <w:bookmarkStart w:id="694" w:name="D91"/>
    <w:p w14:paraId="6C26911D" w14:textId="1B34A0B7" w:rsidR="00F7692A" w:rsidRPr="00D126B5" w:rsidRDefault="00F122DC" w:rsidP="006600B7">
      <w:pPr>
        <w:pBdr>
          <w:top w:val="single" w:sz="4" w:space="1" w:color="auto"/>
          <w:left w:val="single" w:sz="4" w:space="4" w:color="auto"/>
          <w:bottom w:val="single" w:sz="4" w:space="1" w:color="auto"/>
          <w:right w:val="single" w:sz="4" w:space="4" w:color="auto"/>
        </w:pBdr>
        <w:spacing w:line="240" w:lineRule="auto"/>
        <w:jc w:val="both"/>
        <w:rPr>
          <w:rFonts w:ascii="Segoe UI" w:eastAsia="Times New Roman" w:hAnsi="Segoe UI" w:cs="Segoe UI"/>
          <w:color w:val="000000" w:themeColor="text1"/>
          <w:kern w:val="0"/>
          <w:sz w:val="18"/>
          <w:szCs w:val="18"/>
          <w14:ligatures w14:val="none"/>
        </w:rPr>
      </w:pPr>
      <w:r>
        <w:rPr>
          <w:rFonts w:ascii="Arial" w:eastAsia="Times New Roman" w:hAnsi="Arial" w:cs="Arial"/>
          <w:b/>
          <w:bCs/>
          <w:color w:val="000000" w:themeColor="text1"/>
          <w:kern w:val="0"/>
          <w14:ligatures w14:val="none"/>
        </w:rPr>
        <w:fldChar w:fldCharType="begin"/>
      </w:r>
      <w:r>
        <w:rPr>
          <w:rFonts w:ascii="Arial" w:eastAsia="Times New Roman" w:hAnsi="Arial" w:cs="Arial"/>
          <w:b/>
          <w:bCs/>
          <w:color w:val="000000" w:themeColor="text1"/>
          <w:kern w:val="0"/>
          <w14:ligatures w14:val="none"/>
        </w:rPr>
        <w:instrText>HYPERLINK  \l "C91"</w:instrText>
      </w:r>
      <w:r>
        <w:rPr>
          <w:rFonts w:ascii="Arial" w:eastAsia="Times New Roman" w:hAnsi="Arial" w:cs="Arial"/>
          <w:b/>
          <w:bCs/>
          <w:color w:val="000000" w:themeColor="text1"/>
          <w:kern w:val="0"/>
          <w14:ligatures w14:val="none"/>
        </w:rPr>
      </w:r>
      <w:r>
        <w:rPr>
          <w:rFonts w:ascii="Arial" w:eastAsia="Times New Roman" w:hAnsi="Arial" w:cs="Arial"/>
          <w:b/>
          <w:bCs/>
          <w:color w:val="000000" w:themeColor="text1"/>
          <w:kern w:val="0"/>
          <w14:ligatures w14:val="none"/>
        </w:rPr>
        <w:fldChar w:fldCharType="separate"/>
      </w:r>
      <w:r w:rsidR="00F7692A" w:rsidRPr="00F122DC">
        <w:rPr>
          <w:rStyle w:val="Hyperlink"/>
          <w:rFonts w:ascii="Arial" w:eastAsia="Times New Roman" w:hAnsi="Arial" w:cs="Arial"/>
          <w:b/>
          <w:bCs/>
          <w:kern w:val="0"/>
          <w14:ligatures w14:val="none"/>
        </w:rPr>
        <w:t>3.3 Chapter Summary</w:t>
      </w:r>
      <w:r>
        <w:rPr>
          <w:rFonts w:ascii="Arial" w:eastAsia="Times New Roman" w:hAnsi="Arial" w:cs="Arial"/>
          <w:b/>
          <w:bCs/>
          <w:color w:val="000000" w:themeColor="text1"/>
          <w:kern w:val="0"/>
          <w14:ligatures w14:val="none"/>
        </w:rPr>
        <w:fldChar w:fldCharType="end"/>
      </w:r>
    </w:p>
    <w:bookmarkEnd w:id="693"/>
    <w:bookmarkEnd w:id="694"/>
    <w:p w14:paraId="1E9A0969" w14:textId="77777777" w:rsidR="00F7692A" w:rsidRPr="00D126B5" w:rsidRDefault="00F7692A" w:rsidP="00F7692A">
      <w:pPr>
        <w:spacing w:line="480" w:lineRule="auto"/>
        <w:jc w:val="both"/>
        <w:rPr>
          <w:rFonts w:asciiTheme="minorBidi" w:hAnsiTheme="minorBidi"/>
          <w:color w:val="000000" w:themeColor="text1"/>
        </w:rPr>
      </w:pPr>
      <w:r w:rsidRPr="00D126B5">
        <w:rPr>
          <w:rFonts w:ascii="Segoe UI" w:eastAsia="Times New Roman" w:hAnsi="Segoe UI" w:cs="Segoe UI"/>
          <w:color w:val="000000" w:themeColor="text1"/>
          <w:kern w:val="0"/>
          <w:sz w:val="18"/>
          <w:szCs w:val="18"/>
          <w14:ligatures w14:val="none"/>
        </w:rPr>
        <w:t xml:space="preserve"> </w:t>
      </w:r>
      <w:r w:rsidRPr="00D126B5">
        <w:rPr>
          <w:rFonts w:asciiTheme="minorBidi" w:hAnsiTheme="minorBidi"/>
          <w:color w:val="000000" w:themeColor="text1"/>
        </w:rPr>
        <w:t>In summary the philosophical assumptions that underpin this study</w:t>
      </w:r>
      <w:r>
        <w:rPr>
          <w:rFonts w:asciiTheme="minorBidi" w:hAnsiTheme="minorBidi"/>
          <w:color w:val="000000" w:themeColor="text1"/>
        </w:rPr>
        <w:t xml:space="preserve"> along with a</w:t>
      </w:r>
      <w:r w:rsidRPr="00D126B5">
        <w:rPr>
          <w:rFonts w:asciiTheme="minorBidi" w:hAnsiTheme="minorBidi"/>
          <w:color w:val="000000" w:themeColor="text1"/>
        </w:rPr>
        <w:t>n extensive rationale for research design, data collection techniques, sampling methods, and data analysis approach were clearly outlined. The following is the overall methodological approach see Figure 3.</w:t>
      </w:r>
      <w:r>
        <w:rPr>
          <w:rFonts w:asciiTheme="minorBidi" w:hAnsiTheme="minorBidi"/>
          <w:color w:val="000000" w:themeColor="text1"/>
        </w:rPr>
        <w:t>2</w:t>
      </w:r>
      <w:r w:rsidRPr="00D126B5">
        <w:rPr>
          <w:rFonts w:asciiTheme="minorBidi" w:hAnsiTheme="minorBidi"/>
          <w:color w:val="000000" w:themeColor="text1"/>
        </w:rPr>
        <w:t>:</w:t>
      </w:r>
    </w:p>
    <w:p w14:paraId="1667CEFF" w14:textId="77777777" w:rsidR="00F7692A" w:rsidRPr="00D126B5" w:rsidRDefault="00F7692A" w:rsidP="00F7692A">
      <w:pPr>
        <w:spacing w:line="480" w:lineRule="auto"/>
        <w:jc w:val="both"/>
        <w:rPr>
          <w:rFonts w:asciiTheme="minorBidi" w:hAnsiTheme="minorBidi"/>
          <w:b/>
          <w:bCs/>
          <w:color w:val="000000" w:themeColor="text1"/>
        </w:rPr>
      </w:pPr>
      <w:bookmarkStart w:id="695" w:name="_Hlk171606424"/>
      <w:r w:rsidRPr="00D126B5">
        <w:rPr>
          <w:rFonts w:asciiTheme="minorBidi" w:hAnsiTheme="minorBidi"/>
          <w:b/>
          <w:bCs/>
          <w:color w:val="000000" w:themeColor="text1"/>
        </w:rPr>
        <w:t>Figure 3.</w:t>
      </w:r>
      <w:r>
        <w:rPr>
          <w:rFonts w:asciiTheme="minorBidi" w:hAnsiTheme="minorBidi"/>
          <w:b/>
          <w:bCs/>
          <w:color w:val="000000" w:themeColor="text1"/>
        </w:rPr>
        <w:t>2.</w:t>
      </w:r>
      <w:r w:rsidRPr="00D126B5">
        <w:rPr>
          <w:rFonts w:asciiTheme="minorBidi" w:hAnsiTheme="minorBidi"/>
          <w:b/>
          <w:bCs/>
          <w:color w:val="000000" w:themeColor="text1"/>
        </w:rPr>
        <w:t xml:space="preserve"> Methodological Approach of the Study</w:t>
      </w:r>
    </w:p>
    <w:tbl>
      <w:tblPr>
        <w:tblStyle w:val="TableGrid1"/>
        <w:tblW w:w="0" w:type="auto"/>
        <w:tblLook w:val="04A0" w:firstRow="1" w:lastRow="0" w:firstColumn="1" w:lastColumn="0" w:noHBand="0" w:noVBand="1"/>
      </w:tblPr>
      <w:tblGrid>
        <w:gridCol w:w="4508"/>
        <w:gridCol w:w="4508"/>
      </w:tblGrid>
      <w:tr w:rsidR="00F7692A" w:rsidRPr="00D126B5" w14:paraId="274B4215" w14:textId="77777777" w:rsidTr="001D4222">
        <w:tc>
          <w:tcPr>
            <w:tcW w:w="4508" w:type="dxa"/>
          </w:tcPr>
          <w:bookmarkEnd w:id="695"/>
          <w:p w14:paraId="277CDBEA" w14:textId="77777777" w:rsidR="00F7692A" w:rsidRPr="00F736A4" w:rsidRDefault="00F7692A" w:rsidP="001D4222">
            <w:pPr>
              <w:spacing w:before="100" w:beforeAutospacing="1" w:after="100" w:afterAutospacing="1" w:line="360" w:lineRule="auto"/>
              <w:jc w:val="both"/>
              <w:rPr>
                <w:rFonts w:asciiTheme="minorBidi" w:eastAsia="Times New Roman" w:hAnsiTheme="minorBidi"/>
                <w:b/>
                <w:bCs/>
                <w:lang w:eastAsia="en-GB"/>
              </w:rPr>
            </w:pPr>
            <w:r w:rsidRPr="00F736A4">
              <w:rPr>
                <w:rFonts w:asciiTheme="minorBidi" w:eastAsia="Times New Roman" w:hAnsiTheme="minorBidi"/>
                <w:b/>
                <w:bCs/>
                <w:lang w:eastAsia="en-GB"/>
              </w:rPr>
              <w:t xml:space="preserve">Research Layer </w:t>
            </w:r>
          </w:p>
        </w:tc>
        <w:tc>
          <w:tcPr>
            <w:tcW w:w="4508" w:type="dxa"/>
          </w:tcPr>
          <w:p w14:paraId="7C0D5A39" w14:textId="77777777" w:rsidR="00F7692A" w:rsidRPr="00F736A4" w:rsidRDefault="00F7692A" w:rsidP="001D4222">
            <w:pPr>
              <w:spacing w:before="100" w:beforeAutospacing="1" w:after="100" w:afterAutospacing="1" w:line="360" w:lineRule="auto"/>
              <w:jc w:val="both"/>
              <w:rPr>
                <w:rFonts w:asciiTheme="minorBidi" w:eastAsia="Times New Roman" w:hAnsiTheme="minorBidi"/>
                <w:b/>
                <w:bCs/>
                <w:lang w:eastAsia="en-GB"/>
              </w:rPr>
            </w:pPr>
            <w:r w:rsidRPr="00F736A4">
              <w:rPr>
                <w:rFonts w:asciiTheme="minorBidi" w:eastAsia="Times New Roman" w:hAnsiTheme="minorBidi"/>
                <w:b/>
                <w:bCs/>
                <w:lang w:eastAsia="en-GB"/>
              </w:rPr>
              <w:t>Methodology / Technique</w:t>
            </w:r>
          </w:p>
        </w:tc>
      </w:tr>
      <w:tr w:rsidR="00F7692A" w:rsidRPr="00D126B5" w14:paraId="2D3CD475" w14:textId="77777777" w:rsidTr="001D4222">
        <w:tc>
          <w:tcPr>
            <w:tcW w:w="4508" w:type="dxa"/>
          </w:tcPr>
          <w:p w14:paraId="0D32DF65" w14:textId="77777777" w:rsidR="00F7692A" w:rsidRPr="00F736A4" w:rsidRDefault="00F7692A" w:rsidP="001D4222">
            <w:pPr>
              <w:spacing w:before="100" w:beforeAutospacing="1" w:after="100" w:afterAutospacing="1" w:line="360" w:lineRule="auto"/>
              <w:jc w:val="both"/>
              <w:rPr>
                <w:rFonts w:asciiTheme="minorBidi" w:eastAsia="Times New Roman" w:hAnsiTheme="minorBidi"/>
                <w:lang w:eastAsia="en-GB"/>
              </w:rPr>
            </w:pPr>
            <w:r w:rsidRPr="00F736A4">
              <w:rPr>
                <w:rFonts w:asciiTheme="minorBidi" w:eastAsia="Times New Roman" w:hAnsiTheme="minorBidi"/>
                <w:lang w:eastAsia="en-GB"/>
              </w:rPr>
              <w:t>Ontology</w:t>
            </w:r>
          </w:p>
        </w:tc>
        <w:tc>
          <w:tcPr>
            <w:tcW w:w="4508" w:type="dxa"/>
          </w:tcPr>
          <w:p w14:paraId="73B0EF45" w14:textId="77777777" w:rsidR="00F7692A" w:rsidRPr="00F736A4" w:rsidRDefault="00F7692A" w:rsidP="001D4222">
            <w:pPr>
              <w:spacing w:before="100" w:beforeAutospacing="1" w:after="100" w:afterAutospacing="1" w:line="360" w:lineRule="auto"/>
              <w:jc w:val="both"/>
              <w:rPr>
                <w:rFonts w:asciiTheme="minorBidi" w:hAnsiTheme="minorBidi"/>
                <w:b/>
                <w:bCs/>
                <w:i/>
                <w:iCs/>
              </w:rPr>
            </w:pPr>
            <w:r w:rsidRPr="00F736A4">
              <w:rPr>
                <w:rFonts w:asciiTheme="minorBidi" w:hAnsiTheme="minorBidi"/>
                <w:b/>
                <w:bCs/>
                <w:i/>
                <w:iCs/>
              </w:rPr>
              <w:t>Objectivism</w:t>
            </w:r>
          </w:p>
          <w:p w14:paraId="65D81224" w14:textId="77777777" w:rsidR="00F7692A" w:rsidRPr="00F736A4" w:rsidRDefault="00F7692A" w:rsidP="001D4222">
            <w:pPr>
              <w:spacing w:line="360" w:lineRule="auto"/>
              <w:jc w:val="both"/>
              <w:rPr>
                <w:rFonts w:asciiTheme="minorBidi" w:eastAsia="Times New Roman" w:hAnsiTheme="minorBidi"/>
              </w:rPr>
            </w:pPr>
            <w:r w:rsidRPr="00F736A4">
              <w:rPr>
                <w:rFonts w:asciiTheme="minorBidi" w:eastAsia="Times New Roman" w:hAnsiTheme="minorBidi"/>
              </w:rPr>
              <w:t>In ontology, objectivism asserts that social phenomena and their meanings are real without reference to social agents)</w:t>
            </w:r>
          </w:p>
        </w:tc>
      </w:tr>
      <w:tr w:rsidR="00F7692A" w:rsidRPr="00D126B5" w14:paraId="1B6C7262" w14:textId="77777777" w:rsidTr="001D4222">
        <w:tc>
          <w:tcPr>
            <w:tcW w:w="4508" w:type="dxa"/>
          </w:tcPr>
          <w:p w14:paraId="11AF5D21" w14:textId="77777777" w:rsidR="00F7692A" w:rsidRPr="00F736A4" w:rsidRDefault="00F7692A" w:rsidP="001D4222">
            <w:pPr>
              <w:spacing w:before="100" w:beforeAutospacing="1" w:after="100" w:afterAutospacing="1" w:line="360" w:lineRule="auto"/>
              <w:jc w:val="both"/>
              <w:rPr>
                <w:rFonts w:asciiTheme="minorBidi" w:eastAsia="Times New Roman" w:hAnsiTheme="minorBidi"/>
                <w:lang w:eastAsia="en-GB"/>
              </w:rPr>
            </w:pPr>
            <w:r w:rsidRPr="00F736A4">
              <w:rPr>
                <w:rFonts w:asciiTheme="minorBidi" w:eastAsia="Times New Roman" w:hAnsiTheme="minorBidi"/>
                <w:lang w:eastAsia="en-GB"/>
              </w:rPr>
              <w:t>Epistemology</w:t>
            </w:r>
          </w:p>
        </w:tc>
        <w:tc>
          <w:tcPr>
            <w:tcW w:w="4508" w:type="dxa"/>
          </w:tcPr>
          <w:p w14:paraId="0F947F8D" w14:textId="77777777" w:rsidR="00F7692A" w:rsidRPr="00F736A4" w:rsidRDefault="00F7692A" w:rsidP="001D4222">
            <w:pPr>
              <w:spacing w:before="100" w:beforeAutospacing="1" w:after="100" w:afterAutospacing="1" w:line="360" w:lineRule="auto"/>
              <w:jc w:val="both"/>
              <w:rPr>
                <w:rFonts w:asciiTheme="minorBidi" w:hAnsiTheme="minorBidi"/>
                <w:b/>
                <w:bCs/>
                <w:i/>
                <w:iCs/>
              </w:rPr>
            </w:pPr>
            <w:r w:rsidRPr="00F736A4">
              <w:rPr>
                <w:rFonts w:asciiTheme="minorBidi" w:hAnsiTheme="minorBidi"/>
                <w:b/>
                <w:bCs/>
                <w:i/>
                <w:iCs/>
              </w:rPr>
              <w:t>Positivist</w:t>
            </w:r>
          </w:p>
          <w:p w14:paraId="4EEDFF6A" w14:textId="77777777" w:rsidR="00F7692A" w:rsidRPr="00F736A4" w:rsidRDefault="00F7692A" w:rsidP="001D4222">
            <w:pPr>
              <w:spacing w:line="360" w:lineRule="auto"/>
              <w:jc w:val="both"/>
              <w:rPr>
                <w:rFonts w:asciiTheme="minorBidi" w:eastAsia="Times New Roman" w:hAnsiTheme="minorBidi"/>
              </w:rPr>
            </w:pPr>
            <w:r w:rsidRPr="00F736A4">
              <w:rPr>
                <w:rFonts w:asciiTheme="minorBidi" w:eastAsia="Times New Roman" w:hAnsiTheme="minorBidi"/>
              </w:rPr>
              <w:lastRenderedPageBreak/>
              <w:t>According to positivism, scientific knowledge is the only kind that can be considered authentic, and it can only be obtained by rigorously applying scientific techniques to validate theories.</w:t>
            </w:r>
          </w:p>
        </w:tc>
      </w:tr>
      <w:tr w:rsidR="00F7692A" w:rsidRPr="00D126B5" w14:paraId="2160A516" w14:textId="77777777" w:rsidTr="001D4222">
        <w:tc>
          <w:tcPr>
            <w:tcW w:w="4508" w:type="dxa"/>
          </w:tcPr>
          <w:p w14:paraId="2A6CCA28" w14:textId="77777777" w:rsidR="00F7692A" w:rsidRPr="00F736A4" w:rsidRDefault="00F7692A" w:rsidP="001D4222">
            <w:pPr>
              <w:spacing w:before="100" w:beforeAutospacing="1" w:after="100" w:afterAutospacing="1" w:line="360" w:lineRule="auto"/>
              <w:jc w:val="both"/>
              <w:rPr>
                <w:rFonts w:asciiTheme="minorBidi" w:eastAsia="Times New Roman" w:hAnsiTheme="minorBidi"/>
                <w:lang w:eastAsia="en-GB"/>
              </w:rPr>
            </w:pPr>
            <w:r w:rsidRPr="00F736A4">
              <w:rPr>
                <w:rFonts w:asciiTheme="minorBidi" w:eastAsia="Times New Roman" w:hAnsiTheme="minorBidi"/>
                <w:lang w:eastAsia="en-GB"/>
              </w:rPr>
              <w:lastRenderedPageBreak/>
              <w:t>Research Approach</w:t>
            </w:r>
          </w:p>
        </w:tc>
        <w:tc>
          <w:tcPr>
            <w:tcW w:w="4508" w:type="dxa"/>
          </w:tcPr>
          <w:p w14:paraId="2A942EFC" w14:textId="77777777" w:rsidR="00F7692A" w:rsidRPr="00F736A4" w:rsidRDefault="00F7692A" w:rsidP="001D4222">
            <w:pPr>
              <w:spacing w:before="100" w:beforeAutospacing="1" w:after="100" w:afterAutospacing="1" w:line="360" w:lineRule="auto"/>
              <w:jc w:val="both"/>
              <w:rPr>
                <w:rFonts w:asciiTheme="minorBidi" w:hAnsiTheme="minorBidi"/>
                <w:b/>
                <w:bCs/>
                <w:i/>
                <w:iCs/>
              </w:rPr>
            </w:pPr>
            <w:r w:rsidRPr="00F736A4">
              <w:rPr>
                <w:rFonts w:asciiTheme="minorBidi" w:hAnsiTheme="minorBidi"/>
                <w:b/>
                <w:bCs/>
                <w:i/>
                <w:iCs/>
              </w:rPr>
              <w:t>Deductive reasoning</w:t>
            </w:r>
          </w:p>
          <w:p w14:paraId="11DB33D8" w14:textId="77777777" w:rsidR="00F7692A" w:rsidRPr="00F736A4" w:rsidRDefault="00F7692A" w:rsidP="001D4222">
            <w:pPr>
              <w:spacing w:line="360" w:lineRule="auto"/>
              <w:jc w:val="both"/>
              <w:rPr>
                <w:rFonts w:asciiTheme="minorBidi" w:eastAsia="Times New Roman" w:hAnsiTheme="minorBidi"/>
              </w:rPr>
            </w:pPr>
            <w:r w:rsidRPr="00F736A4">
              <w:rPr>
                <w:rFonts w:asciiTheme="minorBidi" w:eastAsia="Times New Roman" w:hAnsiTheme="minorBidi"/>
              </w:rPr>
              <w:t>Deductive reasoning starts with a theory and narrows it down to particular hypotheses that can be examined. It operates from the more general to the more specific.</w:t>
            </w:r>
          </w:p>
        </w:tc>
      </w:tr>
      <w:tr w:rsidR="00F7692A" w:rsidRPr="00D126B5" w14:paraId="6B535BB3" w14:textId="77777777" w:rsidTr="001D4222">
        <w:tc>
          <w:tcPr>
            <w:tcW w:w="4508" w:type="dxa"/>
          </w:tcPr>
          <w:p w14:paraId="13A9F8A3" w14:textId="77777777" w:rsidR="00F7692A" w:rsidRPr="00F736A4" w:rsidRDefault="00F7692A" w:rsidP="001D4222">
            <w:pPr>
              <w:spacing w:before="100" w:beforeAutospacing="1" w:after="100" w:afterAutospacing="1" w:line="360" w:lineRule="auto"/>
              <w:jc w:val="both"/>
              <w:rPr>
                <w:rFonts w:asciiTheme="minorBidi" w:eastAsia="Times New Roman" w:hAnsiTheme="minorBidi"/>
                <w:lang w:eastAsia="en-GB"/>
              </w:rPr>
            </w:pPr>
            <w:r w:rsidRPr="00F736A4">
              <w:rPr>
                <w:rFonts w:asciiTheme="minorBidi" w:eastAsia="Times New Roman" w:hAnsiTheme="minorBidi"/>
                <w:lang w:eastAsia="en-GB"/>
              </w:rPr>
              <w:t>Methodological Choice</w:t>
            </w:r>
          </w:p>
        </w:tc>
        <w:tc>
          <w:tcPr>
            <w:tcW w:w="4508" w:type="dxa"/>
          </w:tcPr>
          <w:p w14:paraId="7AB44F2A" w14:textId="77777777" w:rsidR="00F7692A" w:rsidRPr="00F736A4" w:rsidRDefault="00F7692A" w:rsidP="001D4222">
            <w:pPr>
              <w:spacing w:before="100" w:beforeAutospacing="1" w:after="100" w:afterAutospacing="1" w:line="360" w:lineRule="auto"/>
              <w:jc w:val="both"/>
              <w:rPr>
                <w:rFonts w:asciiTheme="minorBidi" w:eastAsia="Times New Roman" w:hAnsiTheme="minorBidi"/>
                <w:b/>
                <w:bCs/>
                <w:i/>
                <w:iCs/>
                <w:lang w:eastAsia="en-GB"/>
              </w:rPr>
            </w:pPr>
            <w:r w:rsidRPr="00F736A4">
              <w:rPr>
                <w:rFonts w:asciiTheme="minorBidi" w:eastAsia="Times New Roman" w:hAnsiTheme="minorBidi"/>
                <w:b/>
                <w:bCs/>
                <w:i/>
                <w:iCs/>
                <w:lang w:eastAsia="en-GB"/>
              </w:rPr>
              <w:t>Mixed methods</w:t>
            </w:r>
          </w:p>
          <w:p w14:paraId="36C2D432" w14:textId="384464B5" w:rsidR="00F7692A" w:rsidRPr="00DB3874" w:rsidRDefault="00F7692A" w:rsidP="00DB3874">
            <w:pPr>
              <w:spacing w:line="360" w:lineRule="auto"/>
              <w:jc w:val="both"/>
              <w:rPr>
                <w:rFonts w:asciiTheme="minorBidi" w:eastAsia="Times New Roman" w:hAnsiTheme="minorBidi"/>
              </w:rPr>
            </w:pPr>
            <w:r w:rsidRPr="00F736A4">
              <w:rPr>
                <w:rFonts w:asciiTheme="minorBidi" w:eastAsia="Times New Roman" w:hAnsiTheme="minorBidi"/>
              </w:rPr>
              <w:t>In a single study, mixed methods research integrates concepts, methodologies, methods, approaches, and terminology from both qualitative and quantitative research.</w:t>
            </w:r>
          </w:p>
        </w:tc>
      </w:tr>
      <w:tr w:rsidR="00F7692A" w:rsidRPr="00D126B5" w14:paraId="62564EA0" w14:textId="77777777" w:rsidTr="001D4222">
        <w:tc>
          <w:tcPr>
            <w:tcW w:w="4508" w:type="dxa"/>
          </w:tcPr>
          <w:p w14:paraId="77F1E48D" w14:textId="77777777" w:rsidR="00F7692A" w:rsidRPr="00F736A4" w:rsidRDefault="00F7692A" w:rsidP="001D4222">
            <w:pPr>
              <w:spacing w:before="100" w:beforeAutospacing="1" w:after="100" w:afterAutospacing="1" w:line="360" w:lineRule="auto"/>
              <w:jc w:val="both"/>
              <w:rPr>
                <w:rFonts w:asciiTheme="minorBidi" w:eastAsia="Times New Roman" w:hAnsiTheme="minorBidi"/>
                <w:lang w:eastAsia="en-GB"/>
              </w:rPr>
            </w:pPr>
            <w:r w:rsidRPr="00F736A4">
              <w:rPr>
                <w:rFonts w:asciiTheme="minorBidi" w:eastAsia="Times New Roman" w:hAnsiTheme="minorBidi"/>
                <w:lang w:eastAsia="en-GB"/>
              </w:rPr>
              <w:t xml:space="preserve">Research Strategy </w:t>
            </w:r>
          </w:p>
        </w:tc>
        <w:tc>
          <w:tcPr>
            <w:tcW w:w="4508" w:type="dxa"/>
          </w:tcPr>
          <w:p w14:paraId="15D9DF40" w14:textId="77777777" w:rsidR="00F7692A" w:rsidRPr="00F736A4" w:rsidRDefault="00F7692A" w:rsidP="001D4222">
            <w:pPr>
              <w:spacing w:before="100" w:beforeAutospacing="1" w:after="100" w:afterAutospacing="1" w:line="360" w:lineRule="auto"/>
              <w:jc w:val="both"/>
              <w:rPr>
                <w:rFonts w:asciiTheme="minorBidi" w:eastAsia="Times New Roman" w:hAnsiTheme="minorBidi"/>
                <w:lang w:eastAsia="en-GB"/>
              </w:rPr>
            </w:pPr>
            <w:r w:rsidRPr="00F736A4">
              <w:rPr>
                <w:rFonts w:asciiTheme="minorBidi" w:eastAsia="Times New Roman" w:hAnsiTheme="minorBidi"/>
                <w:b/>
                <w:bCs/>
                <w:i/>
                <w:iCs/>
                <w:lang w:eastAsia="en-GB"/>
              </w:rPr>
              <w:t>Quantitative (</w:t>
            </w:r>
            <w:r w:rsidRPr="00F736A4">
              <w:rPr>
                <w:rFonts w:asciiTheme="minorBidi" w:eastAsia="Times New Roman" w:hAnsiTheme="minorBidi"/>
                <w:b/>
                <w:bCs/>
                <w:lang w:eastAsia="en-GB"/>
              </w:rPr>
              <w:t>structured survey)</w:t>
            </w:r>
            <w:r w:rsidRPr="00F736A4">
              <w:rPr>
                <w:rFonts w:asciiTheme="minorBidi" w:eastAsia="Times New Roman" w:hAnsiTheme="minorBidi"/>
                <w:b/>
                <w:bCs/>
                <w:i/>
                <w:iCs/>
                <w:lang w:eastAsia="en-GB"/>
              </w:rPr>
              <w:t xml:space="preserve"> and Qualitative (</w:t>
            </w:r>
            <w:r w:rsidRPr="00F736A4">
              <w:rPr>
                <w:rFonts w:asciiTheme="minorBidi" w:eastAsia="Times New Roman" w:hAnsiTheme="minorBidi"/>
                <w:b/>
                <w:bCs/>
                <w:lang w:eastAsia="en-GB"/>
              </w:rPr>
              <w:t>semi-structured interview)</w:t>
            </w:r>
            <w:r w:rsidRPr="00F736A4">
              <w:rPr>
                <w:rFonts w:asciiTheme="minorBidi" w:eastAsia="Times New Roman" w:hAnsiTheme="minorBidi"/>
                <w:b/>
                <w:bCs/>
                <w:i/>
                <w:iCs/>
                <w:lang w:eastAsia="en-GB"/>
              </w:rPr>
              <w:t xml:space="preserve"> techniques</w:t>
            </w:r>
          </w:p>
        </w:tc>
      </w:tr>
      <w:tr w:rsidR="00F7692A" w:rsidRPr="00D126B5" w14:paraId="75D9B1F9" w14:textId="77777777" w:rsidTr="001D4222">
        <w:tc>
          <w:tcPr>
            <w:tcW w:w="4508" w:type="dxa"/>
          </w:tcPr>
          <w:p w14:paraId="241328B1" w14:textId="77777777" w:rsidR="00F7692A" w:rsidRPr="00F736A4" w:rsidRDefault="00F7692A" w:rsidP="001D4222">
            <w:pPr>
              <w:spacing w:before="100" w:beforeAutospacing="1" w:after="100" w:afterAutospacing="1" w:line="360" w:lineRule="auto"/>
              <w:jc w:val="both"/>
              <w:rPr>
                <w:rFonts w:asciiTheme="minorBidi" w:eastAsia="Times New Roman" w:hAnsiTheme="minorBidi"/>
                <w:lang w:eastAsia="en-GB"/>
              </w:rPr>
            </w:pPr>
            <w:r w:rsidRPr="00F736A4">
              <w:rPr>
                <w:rFonts w:asciiTheme="minorBidi" w:eastAsia="Times New Roman" w:hAnsiTheme="minorBidi"/>
                <w:lang w:eastAsia="en-GB"/>
              </w:rPr>
              <w:t>Time Horizons</w:t>
            </w:r>
          </w:p>
        </w:tc>
        <w:tc>
          <w:tcPr>
            <w:tcW w:w="4508" w:type="dxa"/>
          </w:tcPr>
          <w:p w14:paraId="0E0CDC9B" w14:textId="77777777" w:rsidR="00F7692A" w:rsidRPr="00F736A4" w:rsidRDefault="00F7692A" w:rsidP="001D4222">
            <w:pPr>
              <w:spacing w:before="100" w:beforeAutospacing="1" w:after="100" w:afterAutospacing="1" w:line="360" w:lineRule="auto"/>
              <w:jc w:val="both"/>
              <w:rPr>
                <w:rFonts w:asciiTheme="minorBidi" w:eastAsia="Times New Roman" w:hAnsiTheme="minorBidi"/>
                <w:b/>
                <w:bCs/>
                <w:i/>
                <w:iCs/>
                <w:lang w:eastAsia="en-GB"/>
              </w:rPr>
            </w:pPr>
            <w:r>
              <w:rPr>
                <w:rFonts w:asciiTheme="minorBidi" w:eastAsia="Times New Roman" w:hAnsiTheme="minorBidi"/>
                <w:b/>
                <w:bCs/>
                <w:i/>
                <w:iCs/>
                <w:lang w:eastAsia="en-GB"/>
              </w:rPr>
              <w:t>C</w:t>
            </w:r>
            <w:r w:rsidRPr="00F736A4">
              <w:rPr>
                <w:rFonts w:asciiTheme="minorBidi" w:eastAsia="Times New Roman" w:hAnsiTheme="minorBidi"/>
                <w:b/>
                <w:bCs/>
                <w:i/>
                <w:iCs/>
                <w:lang w:eastAsia="en-GB"/>
              </w:rPr>
              <w:t xml:space="preserve">ross sectional </w:t>
            </w:r>
          </w:p>
          <w:p w14:paraId="1E77D2AB" w14:textId="77777777" w:rsidR="00F7692A" w:rsidRPr="00F736A4" w:rsidRDefault="00F7692A" w:rsidP="001D4222">
            <w:pPr>
              <w:spacing w:line="360" w:lineRule="auto"/>
              <w:jc w:val="both"/>
              <w:rPr>
                <w:rFonts w:asciiTheme="minorBidi" w:eastAsia="Times New Roman" w:hAnsiTheme="minorBidi"/>
              </w:rPr>
            </w:pPr>
            <w:r w:rsidRPr="00F736A4">
              <w:rPr>
                <w:rFonts w:asciiTheme="minorBidi" w:eastAsia="Times New Roman" w:hAnsiTheme="minorBidi"/>
              </w:rPr>
              <w:t>Observations of a specific population at one moment in time or over a brief period of time are the basis of a cross-sectional study.</w:t>
            </w:r>
          </w:p>
        </w:tc>
      </w:tr>
      <w:tr w:rsidR="00F7692A" w:rsidRPr="00D126B5" w14:paraId="31CCEE9C" w14:textId="77777777" w:rsidTr="001D4222">
        <w:tc>
          <w:tcPr>
            <w:tcW w:w="4508" w:type="dxa"/>
          </w:tcPr>
          <w:p w14:paraId="3B8DA514" w14:textId="77777777" w:rsidR="00F7692A" w:rsidRPr="00F736A4" w:rsidRDefault="00F7692A" w:rsidP="001D4222">
            <w:pPr>
              <w:spacing w:before="100" w:beforeAutospacing="1" w:after="100" w:afterAutospacing="1" w:line="360" w:lineRule="auto"/>
              <w:jc w:val="both"/>
              <w:rPr>
                <w:rFonts w:asciiTheme="minorBidi" w:eastAsia="Times New Roman" w:hAnsiTheme="minorBidi"/>
                <w:lang w:eastAsia="en-GB"/>
              </w:rPr>
            </w:pPr>
            <w:r w:rsidRPr="00F736A4">
              <w:rPr>
                <w:rFonts w:asciiTheme="minorBidi" w:eastAsia="Times New Roman" w:hAnsiTheme="minorBidi"/>
                <w:lang w:eastAsia="en-GB"/>
              </w:rPr>
              <w:t xml:space="preserve">Ethical Consideration </w:t>
            </w:r>
          </w:p>
        </w:tc>
        <w:tc>
          <w:tcPr>
            <w:tcW w:w="4508" w:type="dxa"/>
          </w:tcPr>
          <w:p w14:paraId="4402C16A" w14:textId="77777777" w:rsidR="00F7692A" w:rsidRPr="00F736A4" w:rsidRDefault="00F7692A" w:rsidP="001D4222">
            <w:pPr>
              <w:spacing w:before="100" w:beforeAutospacing="1" w:after="100" w:afterAutospacing="1" w:line="360" w:lineRule="auto"/>
              <w:jc w:val="both"/>
              <w:rPr>
                <w:rFonts w:asciiTheme="minorBidi" w:eastAsia="Times New Roman" w:hAnsiTheme="minorBidi"/>
                <w:b/>
                <w:bCs/>
                <w:i/>
                <w:iCs/>
                <w:lang w:eastAsia="en-GB"/>
              </w:rPr>
            </w:pPr>
            <w:r>
              <w:rPr>
                <w:rFonts w:asciiTheme="minorBidi" w:eastAsia="Times New Roman" w:hAnsiTheme="minorBidi"/>
                <w:b/>
                <w:bCs/>
                <w:i/>
                <w:iCs/>
                <w:lang w:eastAsia="en-GB"/>
              </w:rPr>
              <w:t>F</w:t>
            </w:r>
            <w:r w:rsidRPr="00F736A4">
              <w:rPr>
                <w:rFonts w:asciiTheme="minorBidi" w:eastAsia="Times New Roman" w:hAnsiTheme="minorBidi"/>
                <w:b/>
                <w:bCs/>
                <w:i/>
                <w:iCs/>
                <w:lang w:eastAsia="en-GB"/>
              </w:rPr>
              <w:t xml:space="preserve">ully approved </w:t>
            </w:r>
          </w:p>
          <w:p w14:paraId="38C2CE7C" w14:textId="77777777" w:rsidR="00F7692A" w:rsidRPr="00F736A4" w:rsidRDefault="00F7692A" w:rsidP="001D4222">
            <w:pPr>
              <w:spacing w:line="360" w:lineRule="auto"/>
              <w:jc w:val="both"/>
              <w:rPr>
                <w:rFonts w:asciiTheme="minorBidi" w:eastAsia="Times New Roman" w:hAnsiTheme="minorBidi"/>
              </w:rPr>
            </w:pPr>
            <w:r w:rsidRPr="00F736A4">
              <w:rPr>
                <w:rFonts w:asciiTheme="minorBidi" w:eastAsia="Times New Roman" w:hAnsiTheme="minorBidi"/>
              </w:rPr>
              <w:t>The protection of participants and the integrity of the research process are guaranteed by ethical considerations in research.</w:t>
            </w:r>
          </w:p>
          <w:p w14:paraId="24782FC2" w14:textId="77777777" w:rsidR="00F7692A" w:rsidRPr="00F736A4" w:rsidRDefault="00F7692A" w:rsidP="001D4222">
            <w:pPr>
              <w:spacing w:before="100" w:beforeAutospacing="1" w:after="100" w:afterAutospacing="1" w:line="360" w:lineRule="auto"/>
              <w:jc w:val="both"/>
              <w:rPr>
                <w:rFonts w:asciiTheme="minorBidi" w:eastAsia="Times New Roman" w:hAnsiTheme="minorBidi"/>
                <w:b/>
                <w:bCs/>
                <w:i/>
                <w:iCs/>
                <w:lang w:eastAsia="en-GB"/>
              </w:rPr>
            </w:pPr>
          </w:p>
        </w:tc>
      </w:tr>
    </w:tbl>
    <w:p w14:paraId="2CBB7F86" w14:textId="77777777" w:rsidR="00620F22" w:rsidRDefault="00620F22"/>
    <w:p w14:paraId="360756AE" w14:textId="77777777" w:rsidR="00FA5821" w:rsidRDefault="00FA5821"/>
    <w:p w14:paraId="1D375C56" w14:textId="77777777" w:rsidR="00535037" w:rsidRDefault="00535037"/>
    <w:p w14:paraId="63D23CA7" w14:textId="77777777" w:rsidR="00FA5821" w:rsidRDefault="00FA5821"/>
    <w:bookmarkStart w:id="696" w:name="DH4"/>
    <w:p w14:paraId="38EA120A" w14:textId="5043B0D8" w:rsidR="00D255E3" w:rsidRPr="00F82F8A" w:rsidRDefault="00D255E3" w:rsidP="00D255E3">
      <w:pPr>
        <w:pBdr>
          <w:top w:val="single" w:sz="4" w:space="1" w:color="auto"/>
          <w:left w:val="single" w:sz="4" w:space="4" w:color="auto"/>
          <w:bottom w:val="single" w:sz="4" w:space="1" w:color="auto"/>
          <w:right w:val="single" w:sz="4" w:space="4" w:color="auto"/>
        </w:pBdr>
        <w:rPr>
          <w:rFonts w:asciiTheme="minorBidi" w:hAnsiTheme="minorBidi"/>
          <w:b/>
          <w:bCs/>
        </w:rPr>
      </w:pPr>
      <w:r>
        <w:rPr>
          <w:rFonts w:asciiTheme="minorBidi" w:hAnsiTheme="minorBidi"/>
          <w:b/>
          <w:bCs/>
        </w:rPr>
        <w:lastRenderedPageBreak/>
        <w:fldChar w:fldCharType="begin"/>
      </w:r>
      <w:r>
        <w:rPr>
          <w:rFonts w:asciiTheme="minorBidi" w:hAnsiTheme="minorBidi"/>
          <w:b/>
          <w:bCs/>
        </w:rPr>
        <w:instrText>HYPERLINK  \l "CH4"</w:instrText>
      </w:r>
      <w:r>
        <w:rPr>
          <w:rFonts w:asciiTheme="minorBidi" w:hAnsiTheme="minorBidi"/>
          <w:b/>
          <w:bCs/>
        </w:rPr>
      </w:r>
      <w:r>
        <w:rPr>
          <w:rFonts w:asciiTheme="minorBidi" w:hAnsiTheme="minorBidi"/>
          <w:b/>
          <w:bCs/>
        </w:rPr>
        <w:fldChar w:fldCharType="separate"/>
      </w:r>
      <w:r w:rsidRPr="00D255E3">
        <w:rPr>
          <w:rStyle w:val="Hyperlink"/>
          <w:rFonts w:asciiTheme="minorBidi" w:hAnsiTheme="minorBidi"/>
          <w:b/>
          <w:bCs/>
        </w:rPr>
        <w:t>Chapter Four: Results, Analysis &amp; Discussions</w:t>
      </w:r>
      <w:r>
        <w:rPr>
          <w:rFonts w:asciiTheme="minorBidi" w:hAnsiTheme="minorBidi"/>
          <w:b/>
          <w:bCs/>
        </w:rPr>
        <w:fldChar w:fldCharType="end"/>
      </w:r>
    </w:p>
    <w:bookmarkEnd w:id="696"/>
    <w:p w14:paraId="305FB707" w14:textId="77777777" w:rsidR="00D255E3" w:rsidRDefault="00D255E3"/>
    <w:bookmarkStart w:id="697" w:name="D92"/>
    <w:p w14:paraId="7B9A47B0" w14:textId="7EFE408D" w:rsidR="00620F22" w:rsidRPr="00620F22" w:rsidRDefault="00BE596A" w:rsidP="005B7778">
      <w:pPr>
        <w:pBdr>
          <w:top w:val="single" w:sz="4" w:space="1" w:color="auto"/>
          <w:left w:val="single" w:sz="4" w:space="4" w:color="auto"/>
          <w:bottom w:val="single" w:sz="4" w:space="1" w:color="auto"/>
          <w:right w:val="single" w:sz="4" w:space="4" w:color="auto"/>
        </w:pBdr>
        <w:spacing w:line="240" w:lineRule="auto"/>
        <w:rPr>
          <w:rFonts w:ascii="Arial" w:hAnsi="Arial" w:cs="Arial"/>
          <w:b/>
          <w:bCs/>
        </w:rPr>
      </w:pPr>
      <w:r>
        <w:rPr>
          <w:rFonts w:ascii="Arial" w:hAnsi="Arial" w:cs="Arial"/>
          <w:b/>
          <w:bCs/>
        </w:rPr>
        <w:fldChar w:fldCharType="begin"/>
      </w:r>
      <w:r>
        <w:rPr>
          <w:rFonts w:ascii="Arial" w:hAnsi="Arial" w:cs="Arial"/>
          <w:b/>
          <w:bCs/>
        </w:rPr>
        <w:instrText>HYPERLINK  \l "C92"</w:instrText>
      </w:r>
      <w:r>
        <w:rPr>
          <w:rFonts w:ascii="Arial" w:hAnsi="Arial" w:cs="Arial"/>
          <w:b/>
          <w:bCs/>
        </w:rPr>
      </w:r>
      <w:r>
        <w:rPr>
          <w:rFonts w:ascii="Arial" w:hAnsi="Arial" w:cs="Arial"/>
          <w:b/>
          <w:bCs/>
        </w:rPr>
        <w:fldChar w:fldCharType="separate"/>
      </w:r>
      <w:r w:rsidR="00620F22" w:rsidRPr="00BE596A">
        <w:rPr>
          <w:rStyle w:val="Hyperlink"/>
          <w:rFonts w:ascii="Arial" w:hAnsi="Arial" w:cs="Arial"/>
          <w:b/>
          <w:bCs/>
        </w:rPr>
        <w:t>4.0 Introduction</w:t>
      </w:r>
      <w:r>
        <w:rPr>
          <w:rFonts w:ascii="Arial" w:hAnsi="Arial" w:cs="Arial"/>
          <w:b/>
          <w:bCs/>
        </w:rPr>
        <w:fldChar w:fldCharType="end"/>
      </w:r>
      <w:r w:rsidR="00620F22" w:rsidRPr="00620F22">
        <w:rPr>
          <w:rFonts w:ascii="Arial" w:hAnsi="Arial" w:cs="Arial"/>
          <w:b/>
          <w:bCs/>
        </w:rPr>
        <w:t xml:space="preserve"> </w:t>
      </w:r>
    </w:p>
    <w:bookmarkEnd w:id="697"/>
    <w:p w14:paraId="68BD1316" w14:textId="77777777" w:rsidR="00620F22" w:rsidRPr="00620F22" w:rsidRDefault="00620F22" w:rsidP="00620F22">
      <w:pPr>
        <w:spacing w:after="0" w:line="240" w:lineRule="auto"/>
        <w:rPr>
          <w:rFonts w:ascii="Times New Roman" w:eastAsia="Times New Roman" w:hAnsi="Times New Roman" w:cs="Times New Roman"/>
          <w:kern w:val="0"/>
          <w14:ligatures w14:val="none"/>
        </w:rPr>
      </w:pPr>
    </w:p>
    <w:p w14:paraId="38921F6A" w14:textId="77777777" w:rsidR="00620F22" w:rsidRPr="00620F22" w:rsidRDefault="00620F22" w:rsidP="00620F22">
      <w:pPr>
        <w:spacing w:after="0" w:line="480" w:lineRule="auto"/>
        <w:jc w:val="both"/>
        <w:rPr>
          <w:rFonts w:ascii="Arial" w:eastAsia="Times New Roman" w:hAnsi="Arial" w:cs="Arial"/>
          <w:kern w:val="0"/>
          <w14:ligatures w14:val="none"/>
        </w:rPr>
      </w:pPr>
      <w:r w:rsidRPr="00620F22">
        <w:rPr>
          <w:rFonts w:ascii="Arial" w:eastAsia="Times New Roman" w:hAnsi="Arial" w:cs="Arial"/>
          <w:kern w:val="0"/>
          <w14:ligatures w14:val="none"/>
        </w:rPr>
        <w:t xml:space="preserve">Chapter four covers the research findings, analysis, and discussion of the quantitative data from the practitioner and student samples, as well as the qualitative results from the semi-structured interviews with subject matter experts and auditors, and focuses on the fifth research question and corresponding objective, see Table 4.1 </w:t>
      </w:r>
    </w:p>
    <w:p w14:paraId="58CBF8FA" w14:textId="77777777" w:rsidR="00620F22" w:rsidRPr="00620F22" w:rsidRDefault="00620F22" w:rsidP="00620F22">
      <w:pPr>
        <w:spacing w:after="0" w:line="480" w:lineRule="auto"/>
        <w:jc w:val="both"/>
        <w:rPr>
          <w:rFonts w:ascii="Arial" w:eastAsia="Times New Roman" w:hAnsi="Arial" w:cs="Arial"/>
          <w:kern w:val="0"/>
          <w14:ligatures w14:val="none"/>
        </w:rPr>
      </w:pPr>
    </w:p>
    <w:p w14:paraId="241B7600" w14:textId="77777777" w:rsidR="00620F22" w:rsidRPr="00620F22" w:rsidRDefault="00620F22" w:rsidP="00620F22">
      <w:pPr>
        <w:spacing w:after="0" w:line="480" w:lineRule="auto"/>
        <w:jc w:val="both"/>
        <w:rPr>
          <w:rFonts w:ascii="Arial" w:hAnsi="Arial" w:cs="Arial"/>
          <w:b/>
          <w:bCs/>
        </w:rPr>
      </w:pPr>
      <w:r w:rsidRPr="00620F22">
        <w:rPr>
          <w:rFonts w:ascii="Arial" w:hAnsi="Arial" w:cs="Arial"/>
          <w:b/>
          <w:bCs/>
        </w:rPr>
        <w:t xml:space="preserve">Table 4.1 Research Objectives 5 and Research Questions 5. </w:t>
      </w:r>
    </w:p>
    <w:tbl>
      <w:tblPr>
        <w:tblStyle w:val="TableGrid"/>
        <w:tblW w:w="0" w:type="auto"/>
        <w:tblLook w:val="04A0" w:firstRow="1" w:lastRow="0" w:firstColumn="1" w:lastColumn="0" w:noHBand="0" w:noVBand="1"/>
      </w:tblPr>
      <w:tblGrid>
        <w:gridCol w:w="603"/>
        <w:gridCol w:w="8413"/>
      </w:tblGrid>
      <w:tr w:rsidR="00620F22" w:rsidRPr="00620F22" w14:paraId="7BAB1F1A" w14:textId="77777777" w:rsidTr="001D4222">
        <w:trPr>
          <w:trHeight w:val="1067"/>
        </w:trPr>
        <w:tc>
          <w:tcPr>
            <w:tcW w:w="9016" w:type="dxa"/>
            <w:gridSpan w:val="2"/>
            <w:shd w:val="clear" w:color="auto" w:fill="D9D9D9" w:themeFill="background1" w:themeFillShade="D9"/>
          </w:tcPr>
          <w:p w14:paraId="4C8A960C" w14:textId="77777777" w:rsidR="00620F22" w:rsidRPr="00620F22" w:rsidRDefault="00620F22" w:rsidP="00620F22">
            <w:pPr>
              <w:spacing w:before="240" w:after="240" w:line="480" w:lineRule="auto"/>
              <w:ind w:right="113"/>
              <w:jc w:val="both"/>
              <w:rPr>
                <w:rFonts w:ascii="Arial" w:eastAsiaTheme="minorHAnsi" w:hAnsi="Arial" w:cs="Arial"/>
                <w:b/>
                <w:bCs/>
                <w:i/>
                <w:iCs/>
                <w:lang w:eastAsia="en-US"/>
              </w:rPr>
            </w:pPr>
            <w:r w:rsidRPr="00620F22">
              <w:rPr>
                <w:rFonts w:ascii="Arial" w:eastAsiaTheme="minorHAnsi" w:hAnsi="Arial" w:cs="Arial"/>
                <w:b/>
                <w:bCs/>
                <w:i/>
                <w:iCs/>
                <w:u w:val="single"/>
                <w:lang w:eastAsia="en-US"/>
              </w:rPr>
              <w:t>Research Aim</w:t>
            </w:r>
            <w:r w:rsidRPr="00620F22">
              <w:rPr>
                <w:rFonts w:ascii="Arial" w:eastAsiaTheme="minorHAnsi" w:hAnsi="Arial" w:cs="Arial"/>
                <w:b/>
                <w:bCs/>
                <w:i/>
                <w:iCs/>
                <w:lang w:eastAsia="en-US"/>
              </w:rPr>
              <w:t>: To what extent can Blockchain Technology influence the behaviour of the Corporate Psychopath and reduce Accounting Fraud</w:t>
            </w:r>
          </w:p>
        </w:tc>
      </w:tr>
      <w:tr w:rsidR="00620F22" w:rsidRPr="00620F22" w14:paraId="4E963AA0" w14:textId="77777777" w:rsidTr="001D4222">
        <w:tc>
          <w:tcPr>
            <w:tcW w:w="603" w:type="dxa"/>
          </w:tcPr>
          <w:p w14:paraId="6ED512FE" w14:textId="77777777" w:rsidR="00620F22" w:rsidRPr="00620F22" w:rsidRDefault="00620F22" w:rsidP="00620F22">
            <w:pPr>
              <w:spacing w:line="480" w:lineRule="auto"/>
              <w:contextualSpacing/>
              <w:jc w:val="both"/>
              <w:rPr>
                <w:rFonts w:ascii="Arial" w:hAnsi="Arial" w:cs="Arial"/>
                <w:b/>
                <w:bCs/>
                <w:i/>
                <w:iCs/>
              </w:rPr>
            </w:pPr>
            <w:r w:rsidRPr="00620F22">
              <w:rPr>
                <w:rFonts w:ascii="Arial" w:hAnsi="Arial" w:cs="Arial"/>
                <w:b/>
                <w:bCs/>
                <w:i/>
                <w:iCs/>
              </w:rPr>
              <w:t>No.</w:t>
            </w:r>
          </w:p>
        </w:tc>
        <w:tc>
          <w:tcPr>
            <w:tcW w:w="8413" w:type="dxa"/>
            <w:shd w:val="clear" w:color="auto" w:fill="D9D9D9" w:themeFill="background1" w:themeFillShade="D9"/>
          </w:tcPr>
          <w:p w14:paraId="7F467F7F" w14:textId="77777777" w:rsidR="00620F22" w:rsidRPr="00620F22" w:rsidRDefault="00620F22" w:rsidP="00620F22">
            <w:pPr>
              <w:spacing w:line="480" w:lineRule="auto"/>
              <w:contextualSpacing/>
              <w:jc w:val="both"/>
              <w:rPr>
                <w:rFonts w:ascii="Arial" w:hAnsi="Arial" w:cs="Arial"/>
                <w:b/>
                <w:bCs/>
                <w:i/>
                <w:iCs/>
                <w:u w:val="single"/>
              </w:rPr>
            </w:pPr>
            <w:r w:rsidRPr="00620F22">
              <w:rPr>
                <w:rFonts w:ascii="Arial" w:hAnsi="Arial" w:cs="Arial"/>
                <w:b/>
                <w:bCs/>
                <w:i/>
                <w:iCs/>
                <w:u w:val="single"/>
              </w:rPr>
              <w:t>Research Objectives &amp; Questions</w:t>
            </w:r>
          </w:p>
        </w:tc>
      </w:tr>
      <w:tr w:rsidR="00620F22" w:rsidRPr="00620F22" w14:paraId="3E3B60F2" w14:textId="77777777" w:rsidTr="001D4222">
        <w:tc>
          <w:tcPr>
            <w:tcW w:w="603" w:type="dxa"/>
          </w:tcPr>
          <w:p w14:paraId="7453DFF8" w14:textId="77777777" w:rsidR="00620F22" w:rsidRPr="00620F22" w:rsidRDefault="00620F22" w:rsidP="00620F22">
            <w:pPr>
              <w:spacing w:line="480" w:lineRule="auto"/>
              <w:contextualSpacing/>
              <w:jc w:val="both"/>
              <w:rPr>
                <w:rFonts w:ascii="Arial" w:hAnsi="Arial" w:cs="Arial"/>
                <w:i/>
                <w:iCs/>
              </w:rPr>
            </w:pPr>
            <w:r w:rsidRPr="00620F22">
              <w:rPr>
                <w:rFonts w:ascii="Arial" w:hAnsi="Arial" w:cs="Arial"/>
                <w:i/>
                <w:iCs/>
              </w:rPr>
              <w:t>5</w:t>
            </w:r>
          </w:p>
        </w:tc>
        <w:tc>
          <w:tcPr>
            <w:tcW w:w="8413" w:type="dxa"/>
          </w:tcPr>
          <w:p w14:paraId="50C410BF" w14:textId="77777777" w:rsidR="00620F22" w:rsidRPr="00620F22" w:rsidRDefault="00620F22" w:rsidP="00620F22">
            <w:pPr>
              <w:spacing w:line="480" w:lineRule="auto"/>
              <w:jc w:val="both"/>
              <w:rPr>
                <w:rFonts w:ascii="Arial" w:hAnsi="Arial" w:cs="Arial"/>
              </w:rPr>
            </w:pPr>
            <w:r w:rsidRPr="00620F22">
              <w:rPr>
                <w:rFonts w:ascii="Arial" w:hAnsi="Arial" w:cs="Arial"/>
                <w:b/>
                <w:bCs/>
                <w:u w:val="single"/>
              </w:rPr>
              <w:t>Objective 5:</w:t>
            </w:r>
            <w:r w:rsidRPr="00620F22">
              <w:rPr>
                <w:rFonts w:ascii="Arial" w:hAnsi="Arial" w:cs="Arial"/>
              </w:rPr>
              <w:t xml:space="preserve"> To investigate the mechanisms by which Blockchain Technology can monitor and constrain Accounting Fraud in organisations led by a CPA. </w:t>
            </w:r>
          </w:p>
          <w:p w14:paraId="0CC35FB5" w14:textId="77777777" w:rsidR="00620F22" w:rsidRPr="00620F22" w:rsidRDefault="00620F22" w:rsidP="00620F22">
            <w:pPr>
              <w:spacing w:line="480" w:lineRule="auto"/>
              <w:jc w:val="both"/>
              <w:rPr>
                <w:rFonts w:ascii="Arial" w:hAnsi="Arial" w:cs="Arial"/>
                <w:u w:val="single"/>
              </w:rPr>
            </w:pPr>
            <w:r w:rsidRPr="00620F22">
              <w:rPr>
                <w:rFonts w:ascii="Arial" w:hAnsi="Arial" w:cs="Arial"/>
                <w:b/>
                <w:bCs/>
                <w:u w:val="single"/>
              </w:rPr>
              <w:t>Question 5:</w:t>
            </w:r>
            <w:r w:rsidRPr="00620F22">
              <w:rPr>
                <w:rFonts w:ascii="Arial" w:hAnsi="Arial" w:cs="Arial"/>
              </w:rPr>
              <w:t xml:space="preserve"> What role would Blockchain Technology play in monitoring and preventing Accounting Fraud managed by psychopathic leaders?</w:t>
            </w:r>
          </w:p>
        </w:tc>
      </w:tr>
    </w:tbl>
    <w:p w14:paraId="0702F49E" w14:textId="77777777" w:rsidR="00620F22" w:rsidRPr="00620F22" w:rsidRDefault="00620F22" w:rsidP="00620F22">
      <w:pPr>
        <w:spacing w:line="480" w:lineRule="auto"/>
        <w:jc w:val="both"/>
        <w:rPr>
          <w:rFonts w:ascii="Arial" w:hAnsi="Arial" w:cs="Arial"/>
        </w:rPr>
      </w:pPr>
    </w:p>
    <w:p w14:paraId="176EF691" w14:textId="77777777" w:rsidR="00620F22" w:rsidRDefault="00620F22" w:rsidP="00620F22">
      <w:pPr>
        <w:spacing w:line="480" w:lineRule="auto"/>
        <w:jc w:val="both"/>
        <w:rPr>
          <w:rFonts w:asciiTheme="minorBidi" w:hAnsiTheme="minorBidi"/>
          <w:color w:val="000000" w:themeColor="text1"/>
        </w:rPr>
      </w:pPr>
      <w:r w:rsidRPr="00620F22">
        <w:rPr>
          <w:rFonts w:asciiTheme="minorBidi" w:hAnsiTheme="minorBidi"/>
          <w:color w:val="000000" w:themeColor="text1"/>
        </w:rPr>
        <w:t>As per chapter three the Methodological Choice and Research Strategy was justified as follows, Table 4.2:</w:t>
      </w:r>
    </w:p>
    <w:p w14:paraId="1FAF8732" w14:textId="77777777" w:rsidR="005B7778" w:rsidRDefault="005B7778" w:rsidP="00620F22">
      <w:pPr>
        <w:spacing w:line="480" w:lineRule="auto"/>
        <w:jc w:val="both"/>
        <w:rPr>
          <w:rFonts w:asciiTheme="minorBidi" w:hAnsiTheme="minorBidi"/>
          <w:color w:val="000000" w:themeColor="text1"/>
        </w:rPr>
      </w:pPr>
    </w:p>
    <w:p w14:paraId="478EA3F5" w14:textId="77777777" w:rsidR="005B7778" w:rsidRDefault="005B7778" w:rsidP="00620F22">
      <w:pPr>
        <w:spacing w:line="480" w:lineRule="auto"/>
        <w:jc w:val="both"/>
        <w:rPr>
          <w:rFonts w:asciiTheme="minorBidi" w:hAnsiTheme="minorBidi"/>
          <w:color w:val="000000" w:themeColor="text1"/>
        </w:rPr>
      </w:pPr>
    </w:p>
    <w:p w14:paraId="4E63BC2E" w14:textId="77777777" w:rsidR="0079547B" w:rsidRDefault="0079547B" w:rsidP="00620F22">
      <w:pPr>
        <w:spacing w:line="480" w:lineRule="auto"/>
        <w:jc w:val="both"/>
        <w:rPr>
          <w:rFonts w:asciiTheme="minorBidi" w:hAnsiTheme="minorBidi"/>
          <w:color w:val="000000" w:themeColor="text1"/>
        </w:rPr>
      </w:pPr>
    </w:p>
    <w:p w14:paraId="5237CDE9" w14:textId="77777777" w:rsidR="0079547B" w:rsidRPr="00620F22" w:rsidRDefault="0079547B" w:rsidP="00620F22">
      <w:pPr>
        <w:spacing w:line="480" w:lineRule="auto"/>
        <w:jc w:val="both"/>
        <w:rPr>
          <w:rFonts w:asciiTheme="minorBidi" w:hAnsiTheme="minorBidi"/>
          <w:color w:val="000000" w:themeColor="text1"/>
        </w:rPr>
      </w:pPr>
    </w:p>
    <w:p w14:paraId="16F5CFC0" w14:textId="77777777" w:rsidR="00620F22" w:rsidRPr="00620F22" w:rsidRDefault="00620F22" w:rsidP="00620F22">
      <w:pPr>
        <w:spacing w:line="480" w:lineRule="auto"/>
        <w:jc w:val="both"/>
        <w:rPr>
          <w:rFonts w:asciiTheme="minorBidi" w:hAnsiTheme="minorBidi"/>
          <w:b/>
          <w:bCs/>
          <w:color w:val="000000" w:themeColor="text1"/>
        </w:rPr>
      </w:pPr>
      <w:r w:rsidRPr="00620F22">
        <w:rPr>
          <w:rFonts w:asciiTheme="minorBidi" w:hAnsiTheme="minorBidi"/>
          <w:b/>
          <w:bCs/>
          <w:color w:val="000000" w:themeColor="text1"/>
        </w:rPr>
        <w:lastRenderedPageBreak/>
        <w:t>Table 4.2 Methodological Choice &amp; Research Strategy</w:t>
      </w:r>
    </w:p>
    <w:tbl>
      <w:tblPr>
        <w:tblStyle w:val="TableGrid1"/>
        <w:tblW w:w="0" w:type="auto"/>
        <w:tblLook w:val="04A0" w:firstRow="1" w:lastRow="0" w:firstColumn="1" w:lastColumn="0" w:noHBand="0" w:noVBand="1"/>
      </w:tblPr>
      <w:tblGrid>
        <w:gridCol w:w="4508"/>
        <w:gridCol w:w="4508"/>
      </w:tblGrid>
      <w:tr w:rsidR="00620F22" w:rsidRPr="00620F22" w14:paraId="4BCB8E82" w14:textId="77777777" w:rsidTr="001D4222">
        <w:tc>
          <w:tcPr>
            <w:tcW w:w="4508" w:type="dxa"/>
          </w:tcPr>
          <w:p w14:paraId="6F2FBFA1" w14:textId="77777777" w:rsidR="00620F22" w:rsidRPr="00620F22" w:rsidRDefault="00620F22" w:rsidP="00620F22">
            <w:pPr>
              <w:spacing w:before="100" w:beforeAutospacing="1" w:after="100" w:afterAutospacing="1" w:line="360" w:lineRule="auto"/>
              <w:rPr>
                <w:rFonts w:asciiTheme="minorBidi" w:eastAsia="Times New Roman" w:hAnsiTheme="minorBidi"/>
                <w:b/>
                <w:bCs/>
                <w:lang w:eastAsia="en-GB"/>
              </w:rPr>
            </w:pPr>
            <w:r w:rsidRPr="00620F22">
              <w:rPr>
                <w:rFonts w:asciiTheme="minorBidi" w:eastAsia="Times New Roman" w:hAnsiTheme="minorBidi"/>
                <w:b/>
                <w:bCs/>
                <w:lang w:eastAsia="en-GB"/>
              </w:rPr>
              <w:t>Methodological Choice</w:t>
            </w:r>
          </w:p>
        </w:tc>
        <w:tc>
          <w:tcPr>
            <w:tcW w:w="4508" w:type="dxa"/>
          </w:tcPr>
          <w:p w14:paraId="15D77D40" w14:textId="77777777" w:rsidR="00620F22" w:rsidRPr="00620F22" w:rsidRDefault="00620F22" w:rsidP="00620F22">
            <w:pPr>
              <w:spacing w:before="100" w:beforeAutospacing="1" w:after="100" w:afterAutospacing="1" w:line="360" w:lineRule="auto"/>
              <w:rPr>
                <w:rFonts w:asciiTheme="minorBidi" w:eastAsia="Times New Roman" w:hAnsiTheme="minorBidi"/>
                <w:b/>
                <w:bCs/>
                <w:i/>
                <w:iCs/>
                <w:lang w:eastAsia="en-GB"/>
              </w:rPr>
            </w:pPr>
            <w:r w:rsidRPr="00620F22">
              <w:rPr>
                <w:rFonts w:asciiTheme="minorBidi" w:eastAsia="Times New Roman" w:hAnsiTheme="minorBidi"/>
                <w:b/>
                <w:bCs/>
                <w:i/>
                <w:iCs/>
                <w:lang w:eastAsia="en-GB"/>
              </w:rPr>
              <w:t>Mixed methods</w:t>
            </w:r>
          </w:p>
          <w:p w14:paraId="06ECBA2C" w14:textId="77777777" w:rsidR="00620F22" w:rsidRPr="00620F22" w:rsidRDefault="00620F22" w:rsidP="00620F22">
            <w:pPr>
              <w:spacing w:line="360" w:lineRule="auto"/>
              <w:rPr>
                <w:rFonts w:asciiTheme="minorBidi" w:eastAsia="Times New Roman" w:hAnsiTheme="minorBidi"/>
              </w:rPr>
            </w:pPr>
            <w:r w:rsidRPr="00620F22">
              <w:rPr>
                <w:rFonts w:asciiTheme="minorBidi" w:eastAsia="Times New Roman" w:hAnsiTheme="minorBidi"/>
              </w:rPr>
              <w:t>In a single study, mixed methods research integrates concepts, methodologies, methods, approaches, and terminology from both qualitative and quantitative research.</w:t>
            </w:r>
          </w:p>
          <w:p w14:paraId="42AEED1F" w14:textId="77777777" w:rsidR="00620F22" w:rsidRPr="00620F22" w:rsidRDefault="00620F22" w:rsidP="00620F22">
            <w:pPr>
              <w:spacing w:before="100" w:beforeAutospacing="1" w:after="100" w:afterAutospacing="1" w:line="360" w:lineRule="auto"/>
              <w:rPr>
                <w:rFonts w:asciiTheme="minorBidi" w:eastAsia="Times New Roman" w:hAnsiTheme="minorBidi"/>
                <w:b/>
                <w:bCs/>
                <w:i/>
                <w:iCs/>
                <w:lang w:eastAsia="en-GB"/>
              </w:rPr>
            </w:pPr>
          </w:p>
        </w:tc>
      </w:tr>
      <w:tr w:rsidR="00620F22" w:rsidRPr="00620F22" w14:paraId="4F416A27" w14:textId="77777777" w:rsidTr="001D4222">
        <w:tc>
          <w:tcPr>
            <w:tcW w:w="4508" w:type="dxa"/>
          </w:tcPr>
          <w:p w14:paraId="5B26FFAB" w14:textId="77777777" w:rsidR="00620F22" w:rsidRPr="00620F22" w:rsidRDefault="00620F22" w:rsidP="00620F22">
            <w:pPr>
              <w:spacing w:before="100" w:beforeAutospacing="1" w:after="100" w:afterAutospacing="1" w:line="360" w:lineRule="auto"/>
              <w:rPr>
                <w:rFonts w:asciiTheme="minorBidi" w:eastAsia="Times New Roman" w:hAnsiTheme="minorBidi"/>
                <w:b/>
                <w:bCs/>
                <w:lang w:eastAsia="en-GB"/>
              </w:rPr>
            </w:pPr>
            <w:r w:rsidRPr="00620F22">
              <w:rPr>
                <w:rFonts w:asciiTheme="minorBidi" w:eastAsia="Times New Roman" w:hAnsiTheme="minorBidi"/>
                <w:b/>
                <w:bCs/>
                <w:lang w:eastAsia="en-GB"/>
              </w:rPr>
              <w:t xml:space="preserve">Research Strategy </w:t>
            </w:r>
          </w:p>
        </w:tc>
        <w:tc>
          <w:tcPr>
            <w:tcW w:w="4508" w:type="dxa"/>
          </w:tcPr>
          <w:p w14:paraId="022B3949" w14:textId="77777777" w:rsidR="00620F22" w:rsidRPr="00620F22" w:rsidRDefault="00620F22" w:rsidP="00620F22">
            <w:pPr>
              <w:spacing w:before="100" w:beforeAutospacing="1" w:after="100" w:afterAutospacing="1" w:line="360" w:lineRule="auto"/>
              <w:rPr>
                <w:rFonts w:asciiTheme="minorBidi" w:eastAsia="Times New Roman" w:hAnsiTheme="minorBidi"/>
                <w:lang w:eastAsia="en-GB"/>
              </w:rPr>
            </w:pPr>
            <w:r w:rsidRPr="00620F22">
              <w:rPr>
                <w:rFonts w:asciiTheme="minorBidi" w:eastAsia="Times New Roman" w:hAnsiTheme="minorBidi"/>
                <w:b/>
                <w:bCs/>
                <w:i/>
                <w:iCs/>
                <w:lang w:eastAsia="en-GB"/>
              </w:rPr>
              <w:t>Quantitative (</w:t>
            </w:r>
            <w:r w:rsidRPr="00620F22">
              <w:rPr>
                <w:rFonts w:asciiTheme="minorBidi" w:eastAsia="Times New Roman" w:hAnsiTheme="minorBidi"/>
                <w:b/>
                <w:bCs/>
                <w:lang w:eastAsia="en-GB"/>
              </w:rPr>
              <w:t>structured survey)</w:t>
            </w:r>
            <w:r w:rsidRPr="00620F22">
              <w:rPr>
                <w:rFonts w:asciiTheme="minorBidi" w:eastAsia="Times New Roman" w:hAnsiTheme="minorBidi"/>
                <w:b/>
                <w:bCs/>
                <w:i/>
                <w:iCs/>
                <w:lang w:eastAsia="en-GB"/>
              </w:rPr>
              <w:t xml:space="preserve"> and Qualitative (</w:t>
            </w:r>
            <w:r w:rsidRPr="00620F22">
              <w:rPr>
                <w:rFonts w:asciiTheme="minorBidi" w:eastAsia="Times New Roman" w:hAnsiTheme="minorBidi"/>
                <w:b/>
                <w:bCs/>
                <w:lang w:eastAsia="en-GB"/>
              </w:rPr>
              <w:t>semi-structured interview)</w:t>
            </w:r>
            <w:r w:rsidRPr="00620F22">
              <w:rPr>
                <w:rFonts w:asciiTheme="minorBidi" w:eastAsia="Times New Roman" w:hAnsiTheme="minorBidi"/>
                <w:b/>
                <w:bCs/>
                <w:i/>
                <w:iCs/>
                <w:lang w:eastAsia="en-GB"/>
              </w:rPr>
              <w:t xml:space="preserve"> techniques</w:t>
            </w:r>
          </w:p>
        </w:tc>
      </w:tr>
    </w:tbl>
    <w:p w14:paraId="1B9242B3" w14:textId="77777777" w:rsidR="00620F22" w:rsidRPr="00620F22" w:rsidRDefault="00620F22" w:rsidP="00620F22">
      <w:pPr>
        <w:spacing w:line="480" w:lineRule="auto"/>
        <w:jc w:val="both"/>
        <w:rPr>
          <w:rFonts w:asciiTheme="minorBidi" w:hAnsiTheme="minorBidi"/>
          <w:color w:val="000000" w:themeColor="text1"/>
        </w:rPr>
      </w:pPr>
    </w:p>
    <w:p w14:paraId="5515800D" w14:textId="77777777" w:rsidR="00620F22" w:rsidRPr="00620F22" w:rsidRDefault="00620F22" w:rsidP="00620F22">
      <w:pPr>
        <w:spacing w:line="480" w:lineRule="auto"/>
        <w:jc w:val="both"/>
        <w:rPr>
          <w:rFonts w:ascii="Arial" w:eastAsia="Times New Roman" w:hAnsi="Arial" w:cs="Arial"/>
          <w:kern w:val="0"/>
          <w14:ligatures w14:val="none"/>
        </w:rPr>
      </w:pPr>
      <w:r w:rsidRPr="00620F22">
        <w:rPr>
          <w:rFonts w:asciiTheme="minorBidi" w:hAnsiTheme="minorBidi"/>
          <w:color w:val="000000" w:themeColor="text1"/>
        </w:rPr>
        <w:t xml:space="preserve">The first part of this chapter reveals the results of the quantitative survey conducted on final year accounting and finance students and working accountants / auditors and begins by outlining the pilot study. </w:t>
      </w:r>
      <w:r w:rsidRPr="00620F22">
        <w:rPr>
          <w:rFonts w:ascii="Arial" w:hAnsi="Arial" w:cs="Arial"/>
          <w:color w:val="000000" w:themeColor="text1"/>
        </w:rPr>
        <w:t xml:space="preserve">Once the quantitative data collection has been completed the researcher will begin part two or the qualitative part of the research and interview six to seven senior auditors and subject matter experts to gather their experiences of psychopathic clients and their opinions or perceptions regarding Blockchain Technology as a possible remedy for Accounting Fraud. </w:t>
      </w:r>
      <w:r w:rsidRPr="00620F22">
        <w:rPr>
          <w:rFonts w:ascii="Arial" w:eastAsia="Times New Roman" w:hAnsi="Arial" w:cs="Arial"/>
          <w:kern w:val="0"/>
          <w14:ligatures w14:val="none"/>
        </w:rPr>
        <w:t>These aforementioned findings are triangulated in part three and part four goes into further detail about automation and "people-centric" methods, which are thought of as a prelude or preparation to the widespread adoption of Blockchain Technology, see Figure 4.1:</w:t>
      </w:r>
    </w:p>
    <w:p w14:paraId="34DE6750" w14:textId="77777777" w:rsidR="00620F22" w:rsidRPr="00620F22" w:rsidRDefault="00620F22" w:rsidP="00620F22">
      <w:pPr>
        <w:spacing w:line="480" w:lineRule="auto"/>
        <w:jc w:val="both"/>
        <w:rPr>
          <w:rFonts w:ascii="Arial" w:eastAsia="Times New Roman" w:hAnsi="Arial" w:cs="Arial"/>
          <w:kern w:val="0"/>
          <w14:ligatures w14:val="none"/>
        </w:rPr>
      </w:pPr>
    </w:p>
    <w:p w14:paraId="532E33D0" w14:textId="77777777" w:rsidR="00620F22" w:rsidRPr="00620F22" w:rsidRDefault="00620F22" w:rsidP="00620F22">
      <w:pPr>
        <w:spacing w:line="480" w:lineRule="auto"/>
        <w:jc w:val="both"/>
        <w:rPr>
          <w:rFonts w:ascii="Arial" w:eastAsia="Times New Roman" w:hAnsi="Arial" w:cs="Arial"/>
          <w:kern w:val="0"/>
          <w14:ligatures w14:val="none"/>
        </w:rPr>
      </w:pPr>
    </w:p>
    <w:p w14:paraId="1E7D7974" w14:textId="77777777" w:rsidR="00620F22" w:rsidRPr="00620F22" w:rsidRDefault="00620F22" w:rsidP="00620F22">
      <w:pPr>
        <w:spacing w:line="480" w:lineRule="auto"/>
        <w:jc w:val="both"/>
        <w:rPr>
          <w:rFonts w:ascii="Arial" w:eastAsia="Times New Roman" w:hAnsi="Arial" w:cs="Arial"/>
          <w:kern w:val="0"/>
          <w14:ligatures w14:val="none"/>
        </w:rPr>
      </w:pPr>
    </w:p>
    <w:p w14:paraId="4EA90AC4" w14:textId="77777777" w:rsidR="00620F22" w:rsidRPr="00620F22" w:rsidRDefault="00620F22" w:rsidP="00620F22">
      <w:pPr>
        <w:spacing w:line="480" w:lineRule="auto"/>
        <w:jc w:val="both"/>
        <w:rPr>
          <w:rFonts w:ascii="Arial" w:eastAsia="Times New Roman" w:hAnsi="Arial" w:cs="Arial"/>
          <w:b/>
          <w:bCs/>
          <w:kern w:val="0"/>
          <w14:ligatures w14:val="none"/>
        </w:rPr>
      </w:pPr>
      <w:r w:rsidRPr="00620F22">
        <w:rPr>
          <w:rFonts w:ascii="Arial" w:eastAsia="Times New Roman" w:hAnsi="Arial" w:cs="Arial"/>
          <w:b/>
          <w:bCs/>
          <w:kern w:val="0"/>
          <w14:ligatures w14:val="none"/>
        </w:rPr>
        <w:lastRenderedPageBreak/>
        <w:t>Figure 4.1 Methodological Choice and Research Strategy Thematic for Chapter Four</w:t>
      </w:r>
    </w:p>
    <w:tbl>
      <w:tblPr>
        <w:tblStyle w:val="TableGrid"/>
        <w:tblW w:w="0" w:type="auto"/>
        <w:tblLook w:val="04A0" w:firstRow="1" w:lastRow="0" w:firstColumn="1" w:lastColumn="0" w:noHBand="0" w:noVBand="1"/>
      </w:tblPr>
      <w:tblGrid>
        <w:gridCol w:w="3005"/>
        <w:gridCol w:w="3005"/>
        <w:gridCol w:w="3006"/>
      </w:tblGrid>
      <w:tr w:rsidR="00620F22" w:rsidRPr="00620F22" w14:paraId="39D75717" w14:textId="77777777" w:rsidTr="001D4222">
        <w:tc>
          <w:tcPr>
            <w:tcW w:w="3005" w:type="dxa"/>
            <w:tcBorders>
              <w:top w:val="nil"/>
              <w:left w:val="nil"/>
              <w:bottom w:val="nil"/>
              <w:right w:val="single" w:sz="4" w:space="0" w:color="auto"/>
            </w:tcBorders>
          </w:tcPr>
          <w:p w14:paraId="460EE0D0" w14:textId="77777777" w:rsidR="00620F22" w:rsidRPr="00620F22" w:rsidRDefault="00620F22" w:rsidP="00620F22">
            <w:pPr>
              <w:spacing w:line="480" w:lineRule="auto"/>
              <w:jc w:val="center"/>
              <w:rPr>
                <w:rFonts w:ascii="Arial" w:hAnsi="Arial" w:cs="Arial"/>
                <w:color w:val="000000" w:themeColor="text1"/>
              </w:rPr>
            </w:pPr>
          </w:p>
        </w:tc>
        <w:tc>
          <w:tcPr>
            <w:tcW w:w="3005" w:type="dxa"/>
            <w:tcBorders>
              <w:left w:val="single" w:sz="4" w:space="0" w:color="auto"/>
              <w:bottom w:val="single" w:sz="4" w:space="0" w:color="auto"/>
              <w:right w:val="single" w:sz="4" w:space="0" w:color="auto"/>
            </w:tcBorders>
          </w:tcPr>
          <w:p w14:paraId="43D35CB6" w14:textId="77777777" w:rsidR="00620F22" w:rsidRPr="00620F22" w:rsidRDefault="00620F22" w:rsidP="00620F22">
            <w:pPr>
              <w:spacing w:line="480" w:lineRule="auto"/>
              <w:jc w:val="center"/>
              <w:rPr>
                <w:rFonts w:ascii="Arial" w:hAnsi="Arial" w:cs="Arial"/>
                <w:b/>
                <w:bCs/>
                <w:color w:val="000000" w:themeColor="text1"/>
              </w:rPr>
            </w:pPr>
            <w:r w:rsidRPr="00620F22">
              <w:rPr>
                <w:rFonts w:ascii="Arial" w:hAnsi="Arial" w:cs="Arial"/>
                <w:b/>
                <w:bCs/>
                <w:color w:val="000000" w:themeColor="text1"/>
              </w:rPr>
              <w:t>Methodological Choice:</w:t>
            </w:r>
          </w:p>
          <w:p w14:paraId="1E988118" w14:textId="77777777" w:rsidR="00620F22" w:rsidRPr="00620F22" w:rsidRDefault="00620F22" w:rsidP="00620F22">
            <w:pPr>
              <w:spacing w:line="480" w:lineRule="auto"/>
              <w:jc w:val="center"/>
              <w:rPr>
                <w:rFonts w:ascii="Arial" w:hAnsi="Arial" w:cs="Arial"/>
                <w:b/>
                <w:bCs/>
                <w:color w:val="000000" w:themeColor="text1"/>
              </w:rPr>
            </w:pPr>
            <w:r w:rsidRPr="00620F22">
              <w:rPr>
                <w:rFonts w:ascii="Arial" w:hAnsi="Arial" w:cs="Arial"/>
                <w:b/>
                <w:bCs/>
                <w:color w:val="000000" w:themeColor="text1"/>
              </w:rPr>
              <w:t>Mixed Methods</w:t>
            </w:r>
          </w:p>
        </w:tc>
        <w:tc>
          <w:tcPr>
            <w:tcW w:w="3006" w:type="dxa"/>
            <w:tcBorders>
              <w:top w:val="nil"/>
              <w:left w:val="single" w:sz="4" w:space="0" w:color="auto"/>
              <w:bottom w:val="nil"/>
              <w:right w:val="nil"/>
            </w:tcBorders>
          </w:tcPr>
          <w:p w14:paraId="5B9D3A6D" w14:textId="77777777" w:rsidR="00620F22" w:rsidRPr="00620F22" w:rsidRDefault="00620F22" w:rsidP="00620F22">
            <w:pPr>
              <w:spacing w:line="480" w:lineRule="auto"/>
              <w:jc w:val="center"/>
              <w:rPr>
                <w:rFonts w:ascii="Arial" w:hAnsi="Arial" w:cs="Arial"/>
                <w:color w:val="000000" w:themeColor="text1"/>
              </w:rPr>
            </w:pPr>
          </w:p>
        </w:tc>
      </w:tr>
      <w:tr w:rsidR="00620F22" w:rsidRPr="00620F22" w14:paraId="55F7ECC6" w14:textId="77777777" w:rsidTr="001D4222">
        <w:tc>
          <w:tcPr>
            <w:tcW w:w="3005" w:type="dxa"/>
            <w:tcBorders>
              <w:top w:val="nil"/>
              <w:left w:val="nil"/>
              <w:bottom w:val="nil"/>
              <w:right w:val="nil"/>
            </w:tcBorders>
          </w:tcPr>
          <w:p w14:paraId="1534F1FD" w14:textId="77777777" w:rsidR="00620F22" w:rsidRPr="00620F22" w:rsidRDefault="00620F22" w:rsidP="00620F22">
            <w:pPr>
              <w:spacing w:line="480" w:lineRule="auto"/>
              <w:jc w:val="center"/>
              <w:rPr>
                <w:rFonts w:ascii="Arial" w:hAnsi="Arial" w:cs="Arial"/>
                <w:color w:val="000000" w:themeColor="text1"/>
              </w:rPr>
            </w:pPr>
          </w:p>
        </w:tc>
        <w:tc>
          <w:tcPr>
            <w:tcW w:w="3005" w:type="dxa"/>
            <w:tcBorders>
              <w:top w:val="single" w:sz="4" w:space="0" w:color="auto"/>
              <w:left w:val="nil"/>
              <w:bottom w:val="nil"/>
              <w:right w:val="nil"/>
            </w:tcBorders>
          </w:tcPr>
          <w:p w14:paraId="2B342837" w14:textId="77777777" w:rsidR="00620F22" w:rsidRPr="00620F22" w:rsidRDefault="00620F22" w:rsidP="00620F22">
            <w:pPr>
              <w:spacing w:line="480" w:lineRule="auto"/>
              <w:jc w:val="center"/>
              <w:rPr>
                <w:rFonts w:ascii="Arial" w:hAnsi="Arial" w:cs="Arial"/>
                <w:b/>
                <w:bCs/>
                <w:color w:val="000000" w:themeColor="text1"/>
              </w:rPr>
            </w:pPr>
            <w:r w:rsidRPr="00620F22">
              <w:rPr>
                <w:rFonts w:ascii="Arial" w:hAnsi="Arial" w:cs="Arial"/>
                <w:b/>
                <w:bCs/>
                <w:noProof/>
                <w:color w:val="000000" w:themeColor="text1"/>
              </w:rPr>
              <mc:AlternateContent>
                <mc:Choice Requires="wps">
                  <w:drawing>
                    <wp:anchor distT="0" distB="0" distL="114300" distR="114300" simplePos="0" relativeHeight="251708416" behindDoc="0" locked="0" layoutInCell="1" allowOverlap="1" wp14:anchorId="70645D76" wp14:editId="55626A82">
                      <wp:simplePos x="0" y="0"/>
                      <wp:positionH relativeFrom="column">
                        <wp:posOffset>887095</wp:posOffset>
                      </wp:positionH>
                      <wp:positionV relativeFrom="paragraph">
                        <wp:posOffset>29210</wp:posOffset>
                      </wp:positionV>
                      <wp:extent cx="6350" cy="685800"/>
                      <wp:effectExtent l="38100" t="0" r="69850" b="57150"/>
                      <wp:wrapNone/>
                      <wp:docPr id="1415888315" name="Straight Arrow Connector 1"/>
                      <wp:cNvGraphicFramePr/>
                      <a:graphic xmlns:a="http://schemas.openxmlformats.org/drawingml/2006/main">
                        <a:graphicData uri="http://schemas.microsoft.com/office/word/2010/wordprocessingShape">
                          <wps:wsp>
                            <wps:cNvCnPr/>
                            <wps:spPr>
                              <a:xfrm>
                                <a:off x="0" y="0"/>
                                <a:ext cx="6350" cy="685800"/>
                              </a:xfrm>
                              <a:prstGeom prst="straightConnector1">
                                <a:avLst/>
                              </a:prstGeom>
                              <a:noFill/>
                              <a:ln w="6350" cap="flat" cmpd="sng" algn="ctr">
                                <a:solidFill>
                                  <a:srgbClr val="156082"/>
                                </a:solidFill>
                                <a:prstDash val="solid"/>
                                <a:miter lim="800000"/>
                                <a:tailEnd type="triangle"/>
                              </a:ln>
                              <a:effectLst/>
                            </wps:spPr>
                            <wps:bodyPr/>
                          </wps:wsp>
                        </a:graphicData>
                      </a:graphic>
                    </wp:anchor>
                  </w:drawing>
                </mc:Choice>
                <mc:Fallback>
                  <w:pict>
                    <v:shape w14:anchorId="52C25EEC" id="Straight Arrow Connector 1" o:spid="_x0000_s1026" type="#_x0000_t32" style="position:absolute;margin-left:69.85pt;margin-top:2.3pt;width:.5pt;height:54pt;z-index:2517084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" strokecolor="#156082" strokeweight=".5pt">
                      <v:stroke endarrow="block" joinstyle="miter"/>
                    </v:shape>
                  </w:pict>
                </mc:Fallback>
              </mc:AlternateContent>
            </w:r>
          </w:p>
        </w:tc>
        <w:tc>
          <w:tcPr>
            <w:tcW w:w="3006" w:type="dxa"/>
            <w:tcBorders>
              <w:top w:val="nil"/>
              <w:left w:val="nil"/>
              <w:bottom w:val="nil"/>
              <w:right w:val="nil"/>
            </w:tcBorders>
          </w:tcPr>
          <w:p w14:paraId="0AF78D64" w14:textId="77777777" w:rsidR="00620F22" w:rsidRPr="00620F22" w:rsidRDefault="00620F22" w:rsidP="00620F22">
            <w:pPr>
              <w:spacing w:line="480" w:lineRule="auto"/>
              <w:jc w:val="center"/>
              <w:rPr>
                <w:rFonts w:ascii="Arial" w:hAnsi="Arial" w:cs="Arial"/>
                <w:color w:val="000000" w:themeColor="text1"/>
              </w:rPr>
            </w:pPr>
          </w:p>
        </w:tc>
      </w:tr>
      <w:tr w:rsidR="00620F22" w:rsidRPr="00620F22" w14:paraId="3E70D76F" w14:textId="77777777" w:rsidTr="001D4222">
        <w:tc>
          <w:tcPr>
            <w:tcW w:w="3005" w:type="dxa"/>
            <w:tcBorders>
              <w:top w:val="nil"/>
              <w:left w:val="nil"/>
              <w:bottom w:val="nil"/>
              <w:right w:val="nil"/>
            </w:tcBorders>
          </w:tcPr>
          <w:p w14:paraId="234351A8" w14:textId="77777777" w:rsidR="00620F22" w:rsidRPr="00620F22" w:rsidRDefault="00620F22" w:rsidP="00620F22">
            <w:pPr>
              <w:spacing w:line="480" w:lineRule="auto"/>
              <w:jc w:val="center"/>
              <w:rPr>
                <w:rFonts w:ascii="Arial" w:hAnsi="Arial" w:cs="Arial"/>
                <w:color w:val="000000" w:themeColor="text1"/>
              </w:rPr>
            </w:pPr>
          </w:p>
        </w:tc>
        <w:tc>
          <w:tcPr>
            <w:tcW w:w="3005" w:type="dxa"/>
            <w:tcBorders>
              <w:top w:val="nil"/>
              <w:left w:val="nil"/>
              <w:bottom w:val="single" w:sz="4" w:space="0" w:color="auto"/>
              <w:right w:val="nil"/>
            </w:tcBorders>
          </w:tcPr>
          <w:p w14:paraId="68A058D2" w14:textId="77777777" w:rsidR="00620F22" w:rsidRPr="00620F22" w:rsidRDefault="00620F22" w:rsidP="00620F22">
            <w:pPr>
              <w:spacing w:line="480" w:lineRule="auto"/>
              <w:jc w:val="center"/>
              <w:rPr>
                <w:rFonts w:ascii="Arial" w:hAnsi="Arial" w:cs="Arial"/>
                <w:b/>
                <w:bCs/>
                <w:color w:val="000000" w:themeColor="text1"/>
              </w:rPr>
            </w:pPr>
          </w:p>
        </w:tc>
        <w:tc>
          <w:tcPr>
            <w:tcW w:w="3006" w:type="dxa"/>
            <w:tcBorders>
              <w:top w:val="nil"/>
              <w:left w:val="nil"/>
              <w:bottom w:val="nil"/>
              <w:right w:val="nil"/>
            </w:tcBorders>
          </w:tcPr>
          <w:p w14:paraId="6A7C525E" w14:textId="77777777" w:rsidR="00620F22" w:rsidRPr="00620F22" w:rsidRDefault="00620F22" w:rsidP="00620F22">
            <w:pPr>
              <w:spacing w:line="480" w:lineRule="auto"/>
              <w:jc w:val="center"/>
              <w:rPr>
                <w:rFonts w:ascii="Arial" w:hAnsi="Arial" w:cs="Arial"/>
                <w:color w:val="000000" w:themeColor="text1"/>
              </w:rPr>
            </w:pPr>
          </w:p>
        </w:tc>
      </w:tr>
      <w:tr w:rsidR="00620F22" w:rsidRPr="00620F22" w14:paraId="183B9144" w14:textId="77777777" w:rsidTr="001D4222">
        <w:tc>
          <w:tcPr>
            <w:tcW w:w="3005" w:type="dxa"/>
            <w:tcBorders>
              <w:top w:val="nil"/>
              <w:left w:val="nil"/>
              <w:bottom w:val="nil"/>
              <w:right w:val="single" w:sz="4" w:space="0" w:color="auto"/>
            </w:tcBorders>
          </w:tcPr>
          <w:p w14:paraId="0A059DC3" w14:textId="77777777" w:rsidR="00620F22" w:rsidRPr="00620F22" w:rsidRDefault="00620F22" w:rsidP="00620F22">
            <w:pPr>
              <w:spacing w:line="480" w:lineRule="auto"/>
              <w:jc w:val="center"/>
              <w:rPr>
                <w:rFonts w:ascii="Arial" w:hAnsi="Arial" w:cs="Arial"/>
                <w:color w:val="000000" w:themeColor="text1"/>
              </w:rPr>
            </w:pPr>
          </w:p>
        </w:tc>
        <w:tc>
          <w:tcPr>
            <w:tcW w:w="3005" w:type="dxa"/>
            <w:tcBorders>
              <w:top w:val="single" w:sz="4" w:space="0" w:color="auto"/>
              <w:left w:val="single" w:sz="4" w:space="0" w:color="auto"/>
              <w:bottom w:val="single" w:sz="4" w:space="0" w:color="auto"/>
              <w:right w:val="single" w:sz="4" w:space="0" w:color="auto"/>
            </w:tcBorders>
          </w:tcPr>
          <w:p w14:paraId="1481EC8D" w14:textId="77777777" w:rsidR="00620F22" w:rsidRPr="00620F22" w:rsidRDefault="00620F22" w:rsidP="00620F22">
            <w:pPr>
              <w:spacing w:line="480" w:lineRule="auto"/>
              <w:jc w:val="center"/>
              <w:rPr>
                <w:rFonts w:ascii="Arial" w:hAnsi="Arial" w:cs="Arial"/>
                <w:b/>
                <w:bCs/>
                <w:color w:val="000000" w:themeColor="text1"/>
              </w:rPr>
            </w:pPr>
            <w:r w:rsidRPr="00620F22">
              <w:rPr>
                <w:rFonts w:ascii="Arial" w:hAnsi="Arial" w:cs="Arial"/>
                <w:b/>
                <w:bCs/>
                <w:color w:val="000000" w:themeColor="text1"/>
              </w:rPr>
              <w:t>Research Strategy</w:t>
            </w:r>
          </w:p>
        </w:tc>
        <w:tc>
          <w:tcPr>
            <w:tcW w:w="3006" w:type="dxa"/>
            <w:tcBorders>
              <w:top w:val="nil"/>
              <w:left w:val="single" w:sz="4" w:space="0" w:color="auto"/>
              <w:bottom w:val="nil"/>
              <w:right w:val="nil"/>
            </w:tcBorders>
          </w:tcPr>
          <w:p w14:paraId="575CA53A" w14:textId="77777777" w:rsidR="00620F22" w:rsidRPr="00620F22" w:rsidRDefault="00620F22" w:rsidP="00620F22">
            <w:pPr>
              <w:spacing w:line="480" w:lineRule="auto"/>
              <w:jc w:val="center"/>
              <w:rPr>
                <w:rFonts w:ascii="Arial" w:hAnsi="Arial" w:cs="Arial"/>
                <w:color w:val="000000" w:themeColor="text1"/>
              </w:rPr>
            </w:pPr>
          </w:p>
        </w:tc>
      </w:tr>
      <w:tr w:rsidR="00620F22" w:rsidRPr="00620F22" w14:paraId="026EFB17" w14:textId="77777777" w:rsidTr="001D4222">
        <w:tc>
          <w:tcPr>
            <w:tcW w:w="3005" w:type="dxa"/>
            <w:tcBorders>
              <w:top w:val="nil"/>
              <w:left w:val="nil"/>
              <w:bottom w:val="single" w:sz="4" w:space="0" w:color="auto"/>
              <w:right w:val="nil"/>
            </w:tcBorders>
          </w:tcPr>
          <w:p w14:paraId="4040A675" w14:textId="77777777" w:rsidR="00620F22" w:rsidRPr="00620F22" w:rsidRDefault="00620F22" w:rsidP="00620F22">
            <w:pPr>
              <w:spacing w:line="480" w:lineRule="auto"/>
              <w:jc w:val="center"/>
              <w:rPr>
                <w:rFonts w:ascii="Arial" w:hAnsi="Arial" w:cs="Arial"/>
                <w:color w:val="000000" w:themeColor="text1"/>
              </w:rPr>
            </w:pPr>
          </w:p>
        </w:tc>
        <w:tc>
          <w:tcPr>
            <w:tcW w:w="3005" w:type="dxa"/>
            <w:tcBorders>
              <w:top w:val="single" w:sz="4" w:space="0" w:color="auto"/>
              <w:left w:val="nil"/>
              <w:bottom w:val="nil"/>
              <w:right w:val="nil"/>
            </w:tcBorders>
          </w:tcPr>
          <w:p w14:paraId="0B3EBEA8" w14:textId="77777777" w:rsidR="00620F22" w:rsidRPr="00620F22" w:rsidRDefault="00620F22" w:rsidP="00620F22">
            <w:pPr>
              <w:spacing w:line="480" w:lineRule="auto"/>
              <w:jc w:val="center"/>
              <w:rPr>
                <w:rFonts w:ascii="Arial" w:hAnsi="Arial" w:cs="Arial"/>
                <w:color w:val="000000" w:themeColor="text1"/>
              </w:rPr>
            </w:pPr>
            <w:r w:rsidRPr="00620F22">
              <w:rPr>
                <w:rFonts w:ascii="Arial" w:hAnsi="Arial" w:cs="Arial"/>
                <w:noProof/>
                <w:color w:val="000000" w:themeColor="text1"/>
              </w:rPr>
              <mc:AlternateContent>
                <mc:Choice Requires="wps">
                  <w:drawing>
                    <wp:anchor distT="0" distB="0" distL="114300" distR="114300" simplePos="0" relativeHeight="251710464" behindDoc="0" locked="0" layoutInCell="1" allowOverlap="1" wp14:anchorId="3B9CD3C5" wp14:editId="0A74FE8B">
                      <wp:simplePos x="0" y="0"/>
                      <wp:positionH relativeFrom="column">
                        <wp:posOffset>906145</wp:posOffset>
                      </wp:positionH>
                      <wp:positionV relativeFrom="paragraph">
                        <wp:posOffset>12700</wp:posOffset>
                      </wp:positionV>
                      <wp:extent cx="908050" cy="355600"/>
                      <wp:effectExtent l="0" t="0" r="63500" b="63500"/>
                      <wp:wrapNone/>
                      <wp:docPr id="2035107029" name="Straight Arrow Connector 2"/>
                      <wp:cNvGraphicFramePr/>
                      <a:graphic xmlns:a="http://schemas.openxmlformats.org/drawingml/2006/main">
                        <a:graphicData uri="http://schemas.microsoft.com/office/word/2010/wordprocessingShape">
                          <wps:wsp>
                            <wps:cNvCnPr/>
                            <wps:spPr>
                              <a:xfrm>
                                <a:off x="0" y="0"/>
                                <a:ext cx="908050" cy="355600"/>
                              </a:xfrm>
                              <a:prstGeom prst="straightConnector1">
                                <a:avLst/>
                              </a:prstGeom>
                              <a:noFill/>
                              <a:ln w="6350" cap="flat" cmpd="sng" algn="ctr">
                                <a:solidFill>
                                  <a:srgbClr val="156082"/>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15C0461A" id="Straight Arrow Connector 2" o:spid="_x0000_s1026" type="#_x0000_t32" style="position:absolute;margin-left:71.35pt;margin-top:1pt;width:71.5pt;height:28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" strokecolor="#156082" strokeweight=".5pt">
                      <v:stroke endarrow="block" joinstyle="miter"/>
                    </v:shape>
                  </w:pict>
                </mc:Fallback>
              </mc:AlternateContent>
            </w:r>
          </w:p>
        </w:tc>
        <w:tc>
          <w:tcPr>
            <w:tcW w:w="3006" w:type="dxa"/>
            <w:tcBorders>
              <w:top w:val="nil"/>
              <w:left w:val="nil"/>
              <w:bottom w:val="single" w:sz="4" w:space="0" w:color="auto"/>
              <w:right w:val="nil"/>
            </w:tcBorders>
          </w:tcPr>
          <w:p w14:paraId="0124F8F2" w14:textId="77777777" w:rsidR="00620F22" w:rsidRPr="00620F22" w:rsidRDefault="00620F22" w:rsidP="00620F22">
            <w:pPr>
              <w:spacing w:line="480" w:lineRule="auto"/>
              <w:jc w:val="center"/>
              <w:rPr>
                <w:rFonts w:ascii="Arial" w:hAnsi="Arial" w:cs="Arial"/>
                <w:color w:val="000000" w:themeColor="text1"/>
              </w:rPr>
            </w:pPr>
          </w:p>
        </w:tc>
      </w:tr>
      <w:tr w:rsidR="00620F22" w:rsidRPr="00620F22" w14:paraId="414F363D" w14:textId="77777777" w:rsidTr="001D4222">
        <w:tc>
          <w:tcPr>
            <w:tcW w:w="3005" w:type="dxa"/>
            <w:tcBorders>
              <w:top w:val="single" w:sz="4" w:space="0" w:color="auto"/>
              <w:bottom w:val="single" w:sz="4" w:space="0" w:color="auto"/>
            </w:tcBorders>
          </w:tcPr>
          <w:p w14:paraId="76A3440C" w14:textId="77777777" w:rsidR="00620F22" w:rsidRPr="00620F22" w:rsidRDefault="00620F22" w:rsidP="00620F22">
            <w:pPr>
              <w:spacing w:line="480" w:lineRule="auto"/>
              <w:rPr>
                <w:rFonts w:ascii="Arial" w:hAnsi="Arial" w:cs="Arial"/>
                <w:b/>
                <w:bCs/>
                <w:color w:val="000000" w:themeColor="text1"/>
              </w:rPr>
            </w:pPr>
            <w:r w:rsidRPr="00620F22">
              <w:rPr>
                <w:rFonts w:ascii="Arial" w:hAnsi="Arial" w:cs="Arial"/>
                <w:b/>
                <w:bCs/>
                <w:color w:val="000000" w:themeColor="text1"/>
              </w:rPr>
              <w:t>Part One Quantitative:</w:t>
            </w:r>
          </w:p>
          <w:p w14:paraId="70766984" w14:textId="77777777" w:rsidR="00620F22" w:rsidRPr="00620F22" w:rsidRDefault="00620F22" w:rsidP="00620F22">
            <w:pPr>
              <w:spacing w:line="480" w:lineRule="auto"/>
              <w:jc w:val="center"/>
              <w:rPr>
                <w:rFonts w:ascii="Arial" w:hAnsi="Arial" w:cs="Arial"/>
                <w:color w:val="000000" w:themeColor="text1"/>
              </w:rPr>
            </w:pPr>
            <w:r w:rsidRPr="00620F22">
              <w:rPr>
                <w:rFonts w:ascii="Arial" w:hAnsi="Arial" w:cs="Arial"/>
                <w:color w:val="000000" w:themeColor="text1"/>
              </w:rPr>
              <w:t>Pilot / Professionals/ Student Studies</w:t>
            </w:r>
          </w:p>
        </w:tc>
        <w:tc>
          <w:tcPr>
            <w:tcW w:w="3005" w:type="dxa"/>
            <w:tcBorders>
              <w:top w:val="nil"/>
              <w:bottom w:val="nil"/>
            </w:tcBorders>
          </w:tcPr>
          <w:p w14:paraId="09BAE6DD" w14:textId="77777777" w:rsidR="00620F22" w:rsidRPr="00620F22" w:rsidRDefault="00620F22" w:rsidP="00620F22">
            <w:pPr>
              <w:spacing w:line="480" w:lineRule="auto"/>
              <w:jc w:val="center"/>
              <w:rPr>
                <w:rFonts w:ascii="Arial" w:hAnsi="Arial" w:cs="Arial"/>
                <w:color w:val="000000" w:themeColor="text1"/>
              </w:rPr>
            </w:pPr>
            <w:r w:rsidRPr="00620F22">
              <w:rPr>
                <w:rFonts w:ascii="Arial" w:hAnsi="Arial" w:cs="Arial"/>
                <w:noProof/>
                <w:color w:val="000000" w:themeColor="text1"/>
              </w:rPr>
              <mc:AlternateContent>
                <mc:Choice Requires="wps">
                  <w:drawing>
                    <wp:anchor distT="0" distB="0" distL="114300" distR="114300" simplePos="0" relativeHeight="251709440" behindDoc="0" locked="0" layoutInCell="1" allowOverlap="1" wp14:anchorId="4555C308" wp14:editId="0627EE04">
                      <wp:simplePos x="0" y="0"/>
                      <wp:positionH relativeFrom="column">
                        <wp:posOffset>-84455</wp:posOffset>
                      </wp:positionH>
                      <wp:positionV relativeFrom="paragraph">
                        <wp:posOffset>-337820</wp:posOffset>
                      </wp:positionV>
                      <wp:extent cx="971550" cy="330200"/>
                      <wp:effectExtent l="19050" t="0" r="19050" b="69850"/>
                      <wp:wrapNone/>
                      <wp:docPr id="1641958004" name="Straight Arrow Connector 2"/>
                      <wp:cNvGraphicFramePr/>
                      <a:graphic xmlns:a="http://schemas.openxmlformats.org/drawingml/2006/main">
                        <a:graphicData uri="http://schemas.microsoft.com/office/word/2010/wordprocessingShape">
                          <wps:wsp>
                            <wps:cNvCnPr/>
                            <wps:spPr>
                              <a:xfrm flipH="1">
                                <a:off x="0" y="0"/>
                                <a:ext cx="971550" cy="330200"/>
                              </a:xfrm>
                              <a:prstGeom prst="straightConnector1">
                                <a:avLst/>
                              </a:prstGeom>
                              <a:noFill/>
                              <a:ln w="6350" cap="flat" cmpd="sng" algn="ctr">
                                <a:solidFill>
                                  <a:srgbClr val="156082"/>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48E4AA7A" id="Straight Arrow Connector 2" o:spid="_x0000_s1026" type="#_x0000_t32" style="position:absolute;margin-left:-6.65pt;margin-top:-26.6pt;width:76.5pt;height:26pt;flip:x;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" strokecolor="#156082" strokeweight=".5pt">
                      <v:stroke endarrow="block" joinstyle="miter"/>
                    </v:shape>
                  </w:pict>
                </mc:Fallback>
              </mc:AlternateContent>
            </w:r>
          </w:p>
        </w:tc>
        <w:tc>
          <w:tcPr>
            <w:tcW w:w="3006" w:type="dxa"/>
            <w:tcBorders>
              <w:top w:val="single" w:sz="4" w:space="0" w:color="auto"/>
              <w:bottom w:val="single" w:sz="4" w:space="0" w:color="auto"/>
            </w:tcBorders>
          </w:tcPr>
          <w:p w14:paraId="62377424" w14:textId="77777777" w:rsidR="00620F22" w:rsidRPr="00620F22" w:rsidRDefault="00620F22" w:rsidP="00620F22">
            <w:pPr>
              <w:spacing w:line="480" w:lineRule="auto"/>
              <w:jc w:val="center"/>
              <w:rPr>
                <w:rFonts w:ascii="Arial" w:hAnsi="Arial" w:cs="Arial"/>
                <w:b/>
                <w:bCs/>
                <w:color w:val="000000" w:themeColor="text1"/>
              </w:rPr>
            </w:pPr>
            <w:r w:rsidRPr="00620F22">
              <w:rPr>
                <w:rFonts w:ascii="Arial" w:hAnsi="Arial" w:cs="Arial"/>
                <w:b/>
                <w:bCs/>
                <w:color w:val="000000" w:themeColor="text1"/>
              </w:rPr>
              <w:t>Part Two Qualitative:</w:t>
            </w:r>
          </w:p>
          <w:p w14:paraId="046F6A57" w14:textId="77777777" w:rsidR="00620F22" w:rsidRPr="00620F22" w:rsidRDefault="00620F22" w:rsidP="00620F22">
            <w:pPr>
              <w:spacing w:line="480" w:lineRule="auto"/>
              <w:jc w:val="center"/>
              <w:rPr>
                <w:rFonts w:ascii="Arial" w:hAnsi="Arial" w:cs="Arial"/>
                <w:color w:val="000000" w:themeColor="text1"/>
              </w:rPr>
            </w:pPr>
            <w:r w:rsidRPr="00620F22">
              <w:rPr>
                <w:rFonts w:ascii="Arial" w:hAnsi="Arial" w:cs="Arial"/>
                <w:color w:val="000000" w:themeColor="text1"/>
              </w:rPr>
              <w:t>Interviews with Auditors and Subject Matter Experts</w:t>
            </w:r>
          </w:p>
        </w:tc>
      </w:tr>
      <w:tr w:rsidR="00620F22" w:rsidRPr="00620F22" w14:paraId="2B64FC4D" w14:textId="77777777" w:rsidTr="001D4222">
        <w:tc>
          <w:tcPr>
            <w:tcW w:w="3005" w:type="dxa"/>
            <w:tcBorders>
              <w:top w:val="single" w:sz="4" w:space="0" w:color="auto"/>
              <w:left w:val="nil"/>
              <w:bottom w:val="nil"/>
              <w:right w:val="nil"/>
            </w:tcBorders>
          </w:tcPr>
          <w:p w14:paraId="16E0A990" w14:textId="77777777" w:rsidR="00620F22" w:rsidRPr="00620F22" w:rsidRDefault="00620F22" w:rsidP="00620F22">
            <w:pPr>
              <w:spacing w:line="480" w:lineRule="auto"/>
              <w:jc w:val="center"/>
              <w:rPr>
                <w:rFonts w:ascii="Arial" w:hAnsi="Arial" w:cs="Arial"/>
                <w:color w:val="000000" w:themeColor="text1"/>
              </w:rPr>
            </w:pPr>
            <w:r w:rsidRPr="00620F22">
              <w:rPr>
                <w:rFonts w:ascii="Arial" w:hAnsi="Arial" w:cs="Arial"/>
                <w:noProof/>
                <w:color w:val="000000" w:themeColor="text1"/>
              </w:rPr>
              <mc:AlternateContent>
                <mc:Choice Requires="wps">
                  <w:drawing>
                    <wp:anchor distT="0" distB="0" distL="114300" distR="114300" simplePos="0" relativeHeight="251711488" behindDoc="0" locked="0" layoutInCell="1" allowOverlap="1" wp14:anchorId="44E2B657" wp14:editId="487A0BDC">
                      <wp:simplePos x="0" y="0"/>
                      <wp:positionH relativeFrom="column">
                        <wp:posOffset>782320</wp:posOffset>
                      </wp:positionH>
                      <wp:positionV relativeFrom="paragraph">
                        <wp:posOffset>19050</wp:posOffset>
                      </wp:positionV>
                      <wp:extent cx="1022350" cy="311150"/>
                      <wp:effectExtent l="0" t="0" r="63500" b="69850"/>
                      <wp:wrapNone/>
                      <wp:docPr id="2084953130" name="Straight Arrow Connector 2"/>
                      <wp:cNvGraphicFramePr/>
                      <a:graphic xmlns:a="http://schemas.openxmlformats.org/drawingml/2006/main">
                        <a:graphicData uri="http://schemas.microsoft.com/office/word/2010/wordprocessingShape">
                          <wps:wsp>
                            <wps:cNvCnPr/>
                            <wps:spPr>
                              <a:xfrm>
                                <a:off x="0" y="0"/>
                                <a:ext cx="1022350" cy="311150"/>
                              </a:xfrm>
                              <a:prstGeom prst="straightConnector1">
                                <a:avLst/>
                              </a:prstGeom>
                              <a:noFill/>
                              <a:ln w="6350" cap="flat" cmpd="sng" algn="ctr">
                                <a:solidFill>
                                  <a:srgbClr val="156082"/>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443EF85D" id="Straight Arrow Connector 2" o:spid="_x0000_s1026" type="#_x0000_t32" style="position:absolute;margin-left:61.6pt;margin-top:1.5pt;width:80.5pt;height:24.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" strokecolor="#156082" strokeweight=".5pt">
                      <v:stroke endarrow="block" joinstyle="miter"/>
                    </v:shape>
                  </w:pict>
                </mc:Fallback>
              </mc:AlternateContent>
            </w:r>
          </w:p>
        </w:tc>
        <w:tc>
          <w:tcPr>
            <w:tcW w:w="3005" w:type="dxa"/>
            <w:tcBorders>
              <w:top w:val="nil"/>
              <w:left w:val="nil"/>
              <w:bottom w:val="single" w:sz="4" w:space="0" w:color="auto"/>
              <w:right w:val="nil"/>
            </w:tcBorders>
          </w:tcPr>
          <w:p w14:paraId="43D5C644" w14:textId="77777777" w:rsidR="00620F22" w:rsidRPr="00620F22" w:rsidRDefault="00620F22" w:rsidP="00620F22">
            <w:pPr>
              <w:spacing w:line="480" w:lineRule="auto"/>
              <w:jc w:val="center"/>
              <w:rPr>
                <w:rFonts w:ascii="Arial" w:hAnsi="Arial" w:cs="Arial"/>
                <w:color w:val="000000" w:themeColor="text1"/>
              </w:rPr>
            </w:pPr>
          </w:p>
        </w:tc>
        <w:tc>
          <w:tcPr>
            <w:tcW w:w="3006" w:type="dxa"/>
            <w:tcBorders>
              <w:top w:val="single" w:sz="4" w:space="0" w:color="auto"/>
              <w:left w:val="nil"/>
              <w:bottom w:val="nil"/>
              <w:right w:val="nil"/>
            </w:tcBorders>
          </w:tcPr>
          <w:p w14:paraId="7B23E715" w14:textId="77777777" w:rsidR="00620F22" w:rsidRPr="00620F22" w:rsidRDefault="00620F22" w:rsidP="00620F22">
            <w:pPr>
              <w:spacing w:line="480" w:lineRule="auto"/>
              <w:jc w:val="center"/>
              <w:rPr>
                <w:rFonts w:ascii="Arial" w:hAnsi="Arial" w:cs="Arial"/>
                <w:color w:val="000000" w:themeColor="text1"/>
              </w:rPr>
            </w:pPr>
            <w:r w:rsidRPr="00620F22">
              <w:rPr>
                <w:rFonts w:ascii="Arial" w:hAnsi="Arial" w:cs="Arial"/>
                <w:noProof/>
                <w:color w:val="000000" w:themeColor="text1"/>
              </w:rPr>
              <mc:AlternateContent>
                <mc:Choice Requires="wps">
                  <w:drawing>
                    <wp:anchor distT="0" distB="0" distL="114300" distR="114300" simplePos="0" relativeHeight="251712512" behindDoc="0" locked="0" layoutInCell="1" allowOverlap="1" wp14:anchorId="0D25D21D" wp14:editId="7EFA582E">
                      <wp:simplePos x="0" y="0"/>
                      <wp:positionH relativeFrom="column">
                        <wp:posOffset>-62230</wp:posOffset>
                      </wp:positionH>
                      <wp:positionV relativeFrom="paragraph">
                        <wp:posOffset>-2540</wp:posOffset>
                      </wp:positionV>
                      <wp:extent cx="1035050" cy="342900"/>
                      <wp:effectExtent l="38100" t="0" r="12700" b="76200"/>
                      <wp:wrapNone/>
                      <wp:docPr id="1013978586" name="Straight Arrow Connector 2"/>
                      <wp:cNvGraphicFramePr/>
                      <a:graphic xmlns:a="http://schemas.openxmlformats.org/drawingml/2006/main">
                        <a:graphicData uri="http://schemas.microsoft.com/office/word/2010/wordprocessingShape">
                          <wps:wsp>
                            <wps:cNvCnPr/>
                            <wps:spPr>
                              <a:xfrm flipH="1">
                                <a:off x="0" y="0"/>
                                <a:ext cx="1035050" cy="342900"/>
                              </a:xfrm>
                              <a:prstGeom prst="straightConnector1">
                                <a:avLst/>
                              </a:prstGeom>
                              <a:noFill/>
                              <a:ln w="6350" cap="flat" cmpd="sng" algn="ctr">
                                <a:solidFill>
                                  <a:srgbClr val="156082"/>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3DB71691" id="Straight Arrow Connector 2" o:spid="_x0000_s1026" type="#_x0000_t32" style="position:absolute;margin-left:-4.9pt;margin-top:-.2pt;width:81.5pt;height:27pt;flip:x;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" strokecolor="#156082" strokeweight=".5pt">
                      <v:stroke endarrow="block" joinstyle="miter"/>
                    </v:shape>
                  </w:pict>
                </mc:Fallback>
              </mc:AlternateContent>
            </w:r>
          </w:p>
        </w:tc>
      </w:tr>
      <w:tr w:rsidR="00620F22" w:rsidRPr="00620F22" w14:paraId="513C3133" w14:textId="77777777" w:rsidTr="001D4222">
        <w:tc>
          <w:tcPr>
            <w:tcW w:w="3005" w:type="dxa"/>
            <w:tcBorders>
              <w:top w:val="nil"/>
              <w:left w:val="nil"/>
              <w:bottom w:val="nil"/>
              <w:right w:val="single" w:sz="4" w:space="0" w:color="auto"/>
            </w:tcBorders>
          </w:tcPr>
          <w:p w14:paraId="5C2FF08F" w14:textId="77777777" w:rsidR="00620F22" w:rsidRPr="00620F22" w:rsidRDefault="00620F22" w:rsidP="00620F22">
            <w:pPr>
              <w:spacing w:line="480" w:lineRule="auto"/>
              <w:jc w:val="center"/>
              <w:rPr>
                <w:rFonts w:ascii="Arial" w:hAnsi="Arial" w:cs="Arial"/>
                <w:color w:val="000000" w:themeColor="text1"/>
              </w:rPr>
            </w:pPr>
          </w:p>
        </w:tc>
        <w:tc>
          <w:tcPr>
            <w:tcW w:w="3005" w:type="dxa"/>
            <w:tcBorders>
              <w:top w:val="single" w:sz="4" w:space="0" w:color="auto"/>
              <w:left w:val="single" w:sz="4" w:space="0" w:color="auto"/>
              <w:bottom w:val="single" w:sz="4" w:space="0" w:color="auto"/>
              <w:right w:val="single" w:sz="4" w:space="0" w:color="auto"/>
            </w:tcBorders>
          </w:tcPr>
          <w:p w14:paraId="362C8EF1" w14:textId="77777777" w:rsidR="00620F22" w:rsidRPr="00620F22" w:rsidRDefault="00620F22" w:rsidP="00620F22">
            <w:pPr>
              <w:spacing w:line="480" w:lineRule="auto"/>
              <w:jc w:val="center"/>
              <w:rPr>
                <w:rFonts w:ascii="Arial" w:hAnsi="Arial" w:cs="Arial"/>
                <w:b/>
                <w:bCs/>
                <w:color w:val="000000" w:themeColor="text1"/>
              </w:rPr>
            </w:pPr>
            <w:r w:rsidRPr="00620F22">
              <w:rPr>
                <w:rFonts w:ascii="Arial" w:hAnsi="Arial" w:cs="Arial"/>
                <w:b/>
                <w:bCs/>
                <w:color w:val="000000" w:themeColor="text1"/>
              </w:rPr>
              <w:t>Part Three Triangulate Findings:</w:t>
            </w:r>
          </w:p>
          <w:p w14:paraId="66748A17" w14:textId="77777777" w:rsidR="00620F22" w:rsidRPr="00620F22" w:rsidRDefault="00620F22" w:rsidP="00620F22">
            <w:pPr>
              <w:spacing w:line="480" w:lineRule="auto"/>
              <w:jc w:val="center"/>
              <w:rPr>
                <w:rFonts w:ascii="Arial" w:hAnsi="Arial" w:cs="Arial"/>
                <w:color w:val="000000" w:themeColor="text1"/>
              </w:rPr>
            </w:pPr>
            <w:r w:rsidRPr="00620F22">
              <w:rPr>
                <w:rFonts w:ascii="Arial" w:hAnsi="Arial" w:cs="Arial"/>
                <w:color w:val="000000" w:themeColor="text1"/>
              </w:rPr>
              <w:t>RO &amp; RQ 5</w:t>
            </w:r>
          </w:p>
        </w:tc>
        <w:tc>
          <w:tcPr>
            <w:tcW w:w="3006" w:type="dxa"/>
            <w:tcBorders>
              <w:top w:val="nil"/>
              <w:left w:val="single" w:sz="4" w:space="0" w:color="auto"/>
              <w:bottom w:val="nil"/>
              <w:right w:val="nil"/>
            </w:tcBorders>
          </w:tcPr>
          <w:p w14:paraId="1FE28CB1" w14:textId="77777777" w:rsidR="00620F22" w:rsidRPr="00620F22" w:rsidRDefault="00620F22" w:rsidP="00620F22">
            <w:pPr>
              <w:spacing w:line="480" w:lineRule="auto"/>
              <w:jc w:val="center"/>
              <w:rPr>
                <w:rFonts w:ascii="Arial" w:hAnsi="Arial" w:cs="Arial"/>
                <w:color w:val="000000" w:themeColor="text1"/>
              </w:rPr>
            </w:pPr>
          </w:p>
        </w:tc>
      </w:tr>
      <w:tr w:rsidR="00620F22" w:rsidRPr="00620F22" w14:paraId="5D791037" w14:textId="77777777" w:rsidTr="001D4222">
        <w:tc>
          <w:tcPr>
            <w:tcW w:w="3005" w:type="dxa"/>
            <w:tcBorders>
              <w:top w:val="nil"/>
              <w:left w:val="nil"/>
              <w:bottom w:val="nil"/>
              <w:right w:val="nil"/>
            </w:tcBorders>
          </w:tcPr>
          <w:p w14:paraId="0D3855A3" w14:textId="77777777" w:rsidR="00620F22" w:rsidRPr="00620F22" w:rsidRDefault="00620F22" w:rsidP="00620F22">
            <w:pPr>
              <w:spacing w:line="480" w:lineRule="auto"/>
              <w:jc w:val="center"/>
              <w:rPr>
                <w:rFonts w:ascii="Arial" w:hAnsi="Arial" w:cs="Arial"/>
                <w:color w:val="000000" w:themeColor="text1"/>
              </w:rPr>
            </w:pPr>
          </w:p>
        </w:tc>
        <w:tc>
          <w:tcPr>
            <w:tcW w:w="3005" w:type="dxa"/>
            <w:tcBorders>
              <w:top w:val="single" w:sz="4" w:space="0" w:color="auto"/>
              <w:left w:val="nil"/>
              <w:bottom w:val="nil"/>
              <w:right w:val="nil"/>
            </w:tcBorders>
          </w:tcPr>
          <w:p w14:paraId="4539F51A" w14:textId="77777777" w:rsidR="00620F22" w:rsidRPr="00620F22" w:rsidRDefault="00620F22" w:rsidP="00620F22">
            <w:pPr>
              <w:spacing w:line="480" w:lineRule="auto"/>
              <w:rPr>
                <w:rFonts w:ascii="Arial" w:hAnsi="Arial" w:cs="Arial"/>
                <w:color w:val="000000" w:themeColor="text1"/>
              </w:rPr>
            </w:pPr>
          </w:p>
        </w:tc>
        <w:tc>
          <w:tcPr>
            <w:tcW w:w="3006" w:type="dxa"/>
            <w:tcBorders>
              <w:top w:val="nil"/>
              <w:left w:val="nil"/>
              <w:bottom w:val="nil"/>
              <w:right w:val="nil"/>
            </w:tcBorders>
          </w:tcPr>
          <w:p w14:paraId="5B7CCAB3" w14:textId="77777777" w:rsidR="00620F22" w:rsidRPr="00620F22" w:rsidRDefault="00620F22" w:rsidP="00620F22">
            <w:pPr>
              <w:spacing w:line="480" w:lineRule="auto"/>
              <w:jc w:val="center"/>
              <w:rPr>
                <w:rFonts w:ascii="Arial" w:hAnsi="Arial" w:cs="Arial"/>
                <w:color w:val="000000" w:themeColor="text1"/>
              </w:rPr>
            </w:pPr>
          </w:p>
        </w:tc>
      </w:tr>
      <w:tr w:rsidR="00620F22" w:rsidRPr="00620F22" w14:paraId="3733E895" w14:textId="77777777" w:rsidTr="001D4222">
        <w:tc>
          <w:tcPr>
            <w:tcW w:w="3005" w:type="dxa"/>
            <w:tcBorders>
              <w:top w:val="nil"/>
              <w:left w:val="nil"/>
              <w:bottom w:val="nil"/>
              <w:right w:val="nil"/>
            </w:tcBorders>
          </w:tcPr>
          <w:p w14:paraId="086FE9FF" w14:textId="77777777" w:rsidR="00620F22" w:rsidRPr="00620F22" w:rsidRDefault="00620F22" w:rsidP="00620F22">
            <w:pPr>
              <w:spacing w:line="480" w:lineRule="auto"/>
              <w:jc w:val="center"/>
              <w:rPr>
                <w:rFonts w:ascii="Arial" w:hAnsi="Arial" w:cs="Arial"/>
                <w:color w:val="000000" w:themeColor="text1"/>
              </w:rPr>
            </w:pPr>
          </w:p>
        </w:tc>
        <w:tc>
          <w:tcPr>
            <w:tcW w:w="3005" w:type="dxa"/>
            <w:tcBorders>
              <w:top w:val="nil"/>
              <w:left w:val="nil"/>
              <w:bottom w:val="single" w:sz="4" w:space="0" w:color="auto"/>
              <w:right w:val="nil"/>
            </w:tcBorders>
          </w:tcPr>
          <w:p w14:paraId="48709136" w14:textId="77777777" w:rsidR="00620F22" w:rsidRPr="00620F22" w:rsidRDefault="00620F22" w:rsidP="00620F22">
            <w:pPr>
              <w:spacing w:line="480" w:lineRule="auto"/>
              <w:jc w:val="center"/>
              <w:rPr>
                <w:rFonts w:ascii="Arial" w:hAnsi="Arial" w:cs="Arial"/>
                <w:color w:val="000000" w:themeColor="text1"/>
              </w:rPr>
            </w:pPr>
            <w:r w:rsidRPr="00620F22">
              <w:rPr>
                <w:rFonts w:ascii="Arial" w:hAnsi="Arial" w:cs="Arial"/>
                <w:b/>
                <w:bCs/>
                <w:noProof/>
                <w:color w:val="000000" w:themeColor="text1"/>
              </w:rPr>
              <mc:AlternateContent>
                <mc:Choice Requires="wps">
                  <w:drawing>
                    <wp:anchor distT="0" distB="0" distL="114300" distR="114300" simplePos="0" relativeHeight="251713536" behindDoc="0" locked="0" layoutInCell="1" allowOverlap="1" wp14:anchorId="6515DF02" wp14:editId="13194B23">
                      <wp:simplePos x="0" y="0"/>
                      <wp:positionH relativeFrom="column">
                        <wp:posOffset>866775</wp:posOffset>
                      </wp:positionH>
                      <wp:positionV relativeFrom="paragraph">
                        <wp:posOffset>-338455</wp:posOffset>
                      </wp:positionV>
                      <wp:extent cx="6350" cy="685800"/>
                      <wp:effectExtent l="38100" t="0" r="69850" b="57150"/>
                      <wp:wrapNone/>
                      <wp:docPr id="74867630" name="Straight Arrow Connector 1"/>
                      <wp:cNvGraphicFramePr/>
                      <a:graphic xmlns:a="http://schemas.openxmlformats.org/drawingml/2006/main">
                        <a:graphicData uri="http://schemas.microsoft.com/office/word/2010/wordprocessingShape">
                          <wps:wsp>
                            <wps:cNvCnPr/>
                            <wps:spPr>
                              <a:xfrm>
                                <a:off x="0" y="0"/>
                                <a:ext cx="6350" cy="685800"/>
                              </a:xfrm>
                              <a:prstGeom prst="straightConnector1">
                                <a:avLst/>
                              </a:prstGeom>
                              <a:noFill/>
                              <a:ln w="6350" cap="flat" cmpd="sng" algn="ctr">
                                <a:solidFill>
                                  <a:srgbClr val="156082"/>
                                </a:solidFill>
                                <a:prstDash val="solid"/>
                                <a:miter lim="800000"/>
                                <a:tailEnd type="triangle"/>
                              </a:ln>
                              <a:effectLst/>
                            </wps:spPr>
                            <wps:bodyPr/>
                          </wps:wsp>
                        </a:graphicData>
                      </a:graphic>
                    </wp:anchor>
                  </w:drawing>
                </mc:Choice>
                <mc:Fallback>
                  <w:pict>
                    <v:shape w14:anchorId="01C8C5A1" id="Straight Arrow Connector 1" o:spid="_x0000_s1026" type="#_x0000_t32" style="position:absolute;margin-left:68.25pt;margin-top:-26.65pt;width:.5pt;height:54pt;z-index:2517135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" strokecolor="#156082" strokeweight=".5pt">
                      <v:stroke endarrow="block" joinstyle="miter"/>
                    </v:shape>
                  </w:pict>
                </mc:Fallback>
              </mc:AlternateContent>
            </w:r>
          </w:p>
        </w:tc>
        <w:tc>
          <w:tcPr>
            <w:tcW w:w="3006" w:type="dxa"/>
            <w:tcBorders>
              <w:top w:val="nil"/>
              <w:left w:val="nil"/>
              <w:bottom w:val="nil"/>
              <w:right w:val="nil"/>
            </w:tcBorders>
          </w:tcPr>
          <w:p w14:paraId="217F9997" w14:textId="77777777" w:rsidR="00620F22" w:rsidRPr="00620F22" w:rsidRDefault="00620F22" w:rsidP="00620F22">
            <w:pPr>
              <w:spacing w:line="480" w:lineRule="auto"/>
              <w:jc w:val="center"/>
              <w:rPr>
                <w:rFonts w:ascii="Arial" w:hAnsi="Arial" w:cs="Arial"/>
                <w:color w:val="000000" w:themeColor="text1"/>
              </w:rPr>
            </w:pPr>
          </w:p>
        </w:tc>
      </w:tr>
      <w:tr w:rsidR="00620F22" w:rsidRPr="00620F22" w14:paraId="7092875F" w14:textId="77777777" w:rsidTr="001D4222">
        <w:tc>
          <w:tcPr>
            <w:tcW w:w="3005" w:type="dxa"/>
            <w:tcBorders>
              <w:top w:val="nil"/>
              <w:left w:val="nil"/>
              <w:bottom w:val="nil"/>
              <w:right w:val="single" w:sz="4" w:space="0" w:color="auto"/>
            </w:tcBorders>
          </w:tcPr>
          <w:p w14:paraId="5D6E74D8" w14:textId="77777777" w:rsidR="00620F22" w:rsidRPr="00620F22" w:rsidRDefault="00620F22" w:rsidP="00620F22">
            <w:pPr>
              <w:spacing w:line="480" w:lineRule="auto"/>
              <w:jc w:val="center"/>
              <w:rPr>
                <w:rFonts w:ascii="Arial" w:hAnsi="Arial" w:cs="Arial"/>
                <w:color w:val="000000" w:themeColor="text1"/>
              </w:rPr>
            </w:pPr>
          </w:p>
        </w:tc>
        <w:tc>
          <w:tcPr>
            <w:tcW w:w="3005" w:type="dxa"/>
            <w:tcBorders>
              <w:top w:val="single" w:sz="4" w:space="0" w:color="auto"/>
              <w:left w:val="single" w:sz="4" w:space="0" w:color="auto"/>
              <w:bottom w:val="single" w:sz="4" w:space="0" w:color="auto"/>
              <w:right w:val="single" w:sz="4" w:space="0" w:color="auto"/>
            </w:tcBorders>
          </w:tcPr>
          <w:p w14:paraId="71855EB4" w14:textId="77777777" w:rsidR="00620F22" w:rsidRPr="00620F22" w:rsidRDefault="00620F22" w:rsidP="00620F22">
            <w:pPr>
              <w:spacing w:line="480" w:lineRule="auto"/>
              <w:jc w:val="center"/>
              <w:rPr>
                <w:rFonts w:ascii="Arial" w:hAnsi="Arial" w:cs="Arial"/>
                <w:b/>
                <w:bCs/>
                <w:color w:val="000000" w:themeColor="text1"/>
              </w:rPr>
            </w:pPr>
            <w:r w:rsidRPr="00620F22">
              <w:rPr>
                <w:rFonts w:ascii="Arial" w:hAnsi="Arial" w:cs="Arial"/>
                <w:b/>
                <w:bCs/>
                <w:color w:val="000000" w:themeColor="text1"/>
              </w:rPr>
              <w:t>Part Four:</w:t>
            </w:r>
          </w:p>
          <w:p w14:paraId="248F103C" w14:textId="77777777" w:rsidR="00620F22" w:rsidRPr="00620F22" w:rsidRDefault="00620F22" w:rsidP="00620F22">
            <w:pPr>
              <w:spacing w:line="480" w:lineRule="auto"/>
              <w:jc w:val="center"/>
              <w:rPr>
                <w:rFonts w:ascii="Arial" w:hAnsi="Arial" w:cs="Arial"/>
                <w:color w:val="000000" w:themeColor="text1"/>
              </w:rPr>
            </w:pPr>
            <w:r w:rsidRPr="00620F22">
              <w:rPr>
                <w:rFonts w:ascii="Arial" w:hAnsi="Arial" w:cs="Arial"/>
                <w:color w:val="000000" w:themeColor="text1"/>
              </w:rPr>
              <w:t>Automation &amp; People-Centric Approaches</w:t>
            </w:r>
          </w:p>
        </w:tc>
        <w:tc>
          <w:tcPr>
            <w:tcW w:w="3006" w:type="dxa"/>
            <w:tcBorders>
              <w:top w:val="nil"/>
              <w:left w:val="single" w:sz="4" w:space="0" w:color="auto"/>
              <w:bottom w:val="nil"/>
              <w:right w:val="nil"/>
            </w:tcBorders>
          </w:tcPr>
          <w:p w14:paraId="1F6E968E" w14:textId="77777777" w:rsidR="00620F22" w:rsidRPr="00620F22" w:rsidRDefault="00620F22" w:rsidP="00620F22">
            <w:pPr>
              <w:spacing w:line="480" w:lineRule="auto"/>
              <w:jc w:val="center"/>
              <w:rPr>
                <w:rFonts w:ascii="Arial" w:hAnsi="Arial" w:cs="Arial"/>
                <w:color w:val="000000" w:themeColor="text1"/>
              </w:rPr>
            </w:pPr>
          </w:p>
        </w:tc>
      </w:tr>
      <w:tr w:rsidR="00620F22" w:rsidRPr="00620F22" w14:paraId="00E5AE22" w14:textId="77777777" w:rsidTr="001D4222">
        <w:tc>
          <w:tcPr>
            <w:tcW w:w="3005" w:type="dxa"/>
            <w:tcBorders>
              <w:top w:val="nil"/>
              <w:left w:val="nil"/>
              <w:bottom w:val="nil"/>
              <w:right w:val="nil"/>
            </w:tcBorders>
          </w:tcPr>
          <w:p w14:paraId="406033C9" w14:textId="77777777" w:rsidR="00620F22" w:rsidRPr="00620F22" w:rsidRDefault="00620F22" w:rsidP="00620F22">
            <w:pPr>
              <w:spacing w:line="480" w:lineRule="auto"/>
              <w:jc w:val="both"/>
              <w:rPr>
                <w:rFonts w:ascii="Arial" w:hAnsi="Arial" w:cs="Arial"/>
                <w:color w:val="000000" w:themeColor="text1"/>
              </w:rPr>
            </w:pPr>
          </w:p>
        </w:tc>
        <w:tc>
          <w:tcPr>
            <w:tcW w:w="3005" w:type="dxa"/>
            <w:tcBorders>
              <w:top w:val="single" w:sz="4" w:space="0" w:color="auto"/>
              <w:left w:val="nil"/>
              <w:bottom w:val="nil"/>
              <w:right w:val="nil"/>
            </w:tcBorders>
          </w:tcPr>
          <w:p w14:paraId="45AF6BA1" w14:textId="77777777" w:rsidR="00620F22" w:rsidRPr="00620F22" w:rsidRDefault="00620F22" w:rsidP="00620F22">
            <w:pPr>
              <w:spacing w:line="480" w:lineRule="auto"/>
              <w:jc w:val="both"/>
              <w:rPr>
                <w:rFonts w:ascii="Arial" w:hAnsi="Arial" w:cs="Arial"/>
                <w:color w:val="000000" w:themeColor="text1"/>
              </w:rPr>
            </w:pPr>
          </w:p>
        </w:tc>
        <w:tc>
          <w:tcPr>
            <w:tcW w:w="3006" w:type="dxa"/>
            <w:tcBorders>
              <w:top w:val="nil"/>
              <w:left w:val="nil"/>
              <w:bottom w:val="nil"/>
              <w:right w:val="nil"/>
            </w:tcBorders>
          </w:tcPr>
          <w:p w14:paraId="75C0CF82" w14:textId="77777777" w:rsidR="00620F22" w:rsidRPr="00620F22" w:rsidRDefault="00620F22" w:rsidP="00620F22">
            <w:pPr>
              <w:spacing w:line="480" w:lineRule="auto"/>
              <w:jc w:val="both"/>
              <w:rPr>
                <w:rFonts w:ascii="Arial" w:hAnsi="Arial" w:cs="Arial"/>
                <w:color w:val="000000" w:themeColor="text1"/>
              </w:rPr>
            </w:pPr>
          </w:p>
        </w:tc>
      </w:tr>
      <w:tr w:rsidR="00620F22" w:rsidRPr="00620F22" w14:paraId="0447F960" w14:textId="77777777" w:rsidTr="001D4222">
        <w:tc>
          <w:tcPr>
            <w:tcW w:w="3005" w:type="dxa"/>
            <w:tcBorders>
              <w:top w:val="nil"/>
              <w:left w:val="nil"/>
              <w:bottom w:val="nil"/>
              <w:right w:val="nil"/>
            </w:tcBorders>
          </w:tcPr>
          <w:p w14:paraId="0656043B" w14:textId="77777777" w:rsidR="00620F22" w:rsidRPr="00620F22" w:rsidRDefault="00620F22" w:rsidP="005B7778">
            <w:pPr>
              <w:jc w:val="both"/>
              <w:rPr>
                <w:rFonts w:ascii="Arial" w:hAnsi="Arial" w:cs="Arial"/>
                <w:color w:val="000000" w:themeColor="text1"/>
              </w:rPr>
            </w:pPr>
          </w:p>
        </w:tc>
        <w:tc>
          <w:tcPr>
            <w:tcW w:w="3005" w:type="dxa"/>
            <w:tcBorders>
              <w:top w:val="nil"/>
              <w:left w:val="nil"/>
              <w:bottom w:val="nil"/>
              <w:right w:val="nil"/>
            </w:tcBorders>
          </w:tcPr>
          <w:p w14:paraId="2CECEF8D" w14:textId="77777777" w:rsidR="00620F22" w:rsidRPr="00620F22" w:rsidRDefault="00620F22" w:rsidP="005B7778">
            <w:pPr>
              <w:jc w:val="both"/>
              <w:rPr>
                <w:rFonts w:ascii="Arial" w:hAnsi="Arial" w:cs="Arial"/>
                <w:color w:val="000000" w:themeColor="text1"/>
              </w:rPr>
            </w:pPr>
          </w:p>
        </w:tc>
        <w:tc>
          <w:tcPr>
            <w:tcW w:w="3006" w:type="dxa"/>
            <w:tcBorders>
              <w:top w:val="nil"/>
              <w:left w:val="nil"/>
              <w:bottom w:val="nil"/>
              <w:right w:val="nil"/>
            </w:tcBorders>
          </w:tcPr>
          <w:p w14:paraId="18AEC854" w14:textId="77777777" w:rsidR="00620F22" w:rsidRPr="00620F22" w:rsidRDefault="00620F22" w:rsidP="005B7778">
            <w:pPr>
              <w:jc w:val="both"/>
              <w:rPr>
                <w:rFonts w:ascii="Arial" w:hAnsi="Arial" w:cs="Arial"/>
                <w:color w:val="000000" w:themeColor="text1"/>
              </w:rPr>
            </w:pPr>
          </w:p>
        </w:tc>
      </w:tr>
      <w:tr w:rsidR="00620F22" w:rsidRPr="00620F22" w14:paraId="2D0F7EFA" w14:textId="77777777" w:rsidTr="001D4222">
        <w:tc>
          <w:tcPr>
            <w:tcW w:w="3005" w:type="dxa"/>
            <w:tcBorders>
              <w:top w:val="nil"/>
              <w:left w:val="nil"/>
              <w:bottom w:val="nil"/>
              <w:right w:val="nil"/>
            </w:tcBorders>
          </w:tcPr>
          <w:p w14:paraId="58369235" w14:textId="77777777" w:rsidR="00620F22" w:rsidRPr="00620F22" w:rsidRDefault="00620F22" w:rsidP="005B7778">
            <w:pPr>
              <w:jc w:val="both"/>
              <w:rPr>
                <w:rFonts w:ascii="Arial" w:hAnsi="Arial" w:cs="Arial"/>
                <w:color w:val="000000" w:themeColor="text1"/>
              </w:rPr>
            </w:pPr>
          </w:p>
        </w:tc>
        <w:tc>
          <w:tcPr>
            <w:tcW w:w="3005" w:type="dxa"/>
            <w:tcBorders>
              <w:top w:val="nil"/>
              <w:left w:val="nil"/>
              <w:bottom w:val="nil"/>
              <w:right w:val="nil"/>
            </w:tcBorders>
          </w:tcPr>
          <w:p w14:paraId="4093D189" w14:textId="77777777" w:rsidR="00620F22" w:rsidRPr="00620F22" w:rsidRDefault="00620F22" w:rsidP="005B7778">
            <w:pPr>
              <w:jc w:val="both"/>
              <w:rPr>
                <w:rFonts w:ascii="Arial" w:hAnsi="Arial" w:cs="Arial"/>
                <w:color w:val="000000" w:themeColor="text1"/>
              </w:rPr>
            </w:pPr>
          </w:p>
        </w:tc>
        <w:tc>
          <w:tcPr>
            <w:tcW w:w="3006" w:type="dxa"/>
            <w:tcBorders>
              <w:top w:val="nil"/>
              <w:left w:val="nil"/>
              <w:bottom w:val="nil"/>
              <w:right w:val="nil"/>
            </w:tcBorders>
          </w:tcPr>
          <w:p w14:paraId="01DA4180" w14:textId="77777777" w:rsidR="00620F22" w:rsidRPr="00620F22" w:rsidRDefault="00620F22" w:rsidP="005B7778">
            <w:pPr>
              <w:jc w:val="both"/>
              <w:rPr>
                <w:rFonts w:ascii="Arial" w:hAnsi="Arial" w:cs="Arial"/>
                <w:color w:val="000000" w:themeColor="text1"/>
              </w:rPr>
            </w:pPr>
          </w:p>
        </w:tc>
      </w:tr>
    </w:tbl>
    <w:p w14:paraId="46870E7F" w14:textId="77777777" w:rsidR="00620F22" w:rsidRDefault="00620F22" w:rsidP="005B7778">
      <w:pPr>
        <w:spacing w:line="240" w:lineRule="auto"/>
        <w:rPr>
          <w:rFonts w:ascii="Arial" w:hAnsi="Arial" w:cs="Arial"/>
        </w:rPr>
      </w:pPr>
    </w:p>
    <w:p w14:paraId="46CE834E" w14:textId="77777777" w:rsidR="0079547B" w:rsidRPr="00620F22" w:rsidRDefault="0079547B" w:rsidP="005B7778">
      <w:pPr>
        <w:spacing w:line="240" w:lineRule="auto"/>
        <w:rPr>
          <w:rFonts w:ascii="Arial" w:hAnsi="Arial" w:cs="Arial"/>
        </w:rPr>
      </w:pPr>
    </w:p>
    <w:bookmarkStart w:id="698" w:name="_Hlk167883195"/>
    <w:bookmarkStart w:id="699" w:name="D93"/>
    <w:p w14:paraId="4643E82A" w14:textId="10CFBB7D" w:rsidR="00620F22" w:rsidRPr="00620F22" w:rsidRDefault="009C7CEF" w:rsidP="005B7778">
      <w:pPr>
        <w:pBdr>
          <w:top w:val="single" w:sz="4" w:space="1" w:color="auto"/>
          <w:left w:val="single" w:sz="4" w:space="4" w:color="auto"/>
          <w:bottom w:val="single" w:sz="4" w:space="1" w:color="auto"/>
          <w:right w:val="single" w:sz="4" w:space="4" w:color="auto"/>
        </w:pBdr>
        <w:spacing w:after="240" w:line="240" w:lineRule="auto"/>
        <w:jc w:val="both"/>
        <w:rPr>
          <w:rFonts w:asciiTheme="minorBidi" w:hAnsiTheme="minorBidi"/>
          <w:b/>
          <w:bCs/>
        </w:rPr>
      </w:pPr>
      <w:r>
        <w:rPr>
          <w:rFonts w:asciiTheme="minorBidi" w:hAnsiTheme="minorBidi"/>
          <w:b/>
          <w:bCs/>
        </w:rPr>
        <w:lastRenderedPageBreak/>
        <w:fldChar w:fldCharType="begin"/>
      </w:r>
      <w:r>
        <w:rPr>
          <w:rFonts w:asciiTheme="minorBidi" w:hAnsiTheme="minorBidi"/>
          <w:b/>
          <w:bCs/>
        </w:rPr>
        <w:instrText>HYPERLINK  \l "C93"</w:instrText>
      </w:r>
      <w:r>
        <w:rPr>
          <w:rFonts w:asciiTheme="minorBidi" w:hAnsiTheme="minorBidi"/>
          <w:b/>
          <w:bCs/>
        </w:rPr>
      </w:r>
      <w:r>
        <w:rPr>
          <w:rFonts w:asciiTheme="minorBidi" w:hAnsiTheme="minorBidi"/>
          <w:b/>
          <w:bCs/>
        </w:rPr>
        <w:fldChar w:fldCharType="separate"/>
      </w:r>
      <w:r w:rsidR="00620F22" w:rsidRPr="009C7CEF">
        <w:rPr>
          <w:rStyle w:val="Hyperlink"/>
          <w:rFonts w:asciiTheme="minorBidi" w:hAnsiTheme="minorBidi"/>
          <w:b/>
          <w:bCs/>
        </w:rPr>
        <w:t>4.1 Part One: Results from Quantitative Studies (Pilot / Professional / Student)</w:t>
      </w:r>
      <w:r>
        <w:rPr>
          <w:rFonts w:asciiTheme="minorBidi" w:hAnsiTheme="minorBidi"/>
          <w:b/>
          <w:bCs/>
        </w:rPr>
        <w:fldChar w:fldCharType="end"/>
      </w:r>
    </w:p>
    <w:bookmarkEnd w:id="698"/>
    <w:bookmarkEnd w:id="699"/>
    <w:p w14:paraId="362E7EC8"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t>Once the researcher had successfully achieved ethics approval, he was advised by his supervisor to conduct a pilot study using the student questionnaire on a sample of Salford Business School (SBS) students.</w:t>
      </w:r>
    </w:p>
    <w:p w14:paraId="30C28B3C" w14:textId="4332C837"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 xml:space="preserve">The researcher decided to contact graduated students via </w:t>
      </w:r>
      <w:r w:rsidR="000E504C" w:rsidRPr="00620F22">
        <w:rPr>
          <w:rFonts w:ascii="Arial" w:hAnsi="Arial" w:cs="Arial"/>
          <w:color w:val="000000" w:themeColor="text1"/>
        </w:rPr>
        <w:t>LinkedIn</w:t>
      </w:r>
      <w:r w:rsidRPr="00620F22">
        <w:rPr>
          <w:rFonts w:ascii="Arial" w:hAnsi="Arial" w:cs="Arial"/>
          <w:color w:val="000000" w:themeColor="text1"/>
        </w:rPr>
        <w:t xml:space="preserve"> and personal contacts. He emailed the Participant Information Sheet </w:t>
      </w:r>
      <w:r w:rsidRPr="00620F22">
        <w:rPr>
          <w:rFonts w:ascii="Arial" w:hAnsi="Arial" w:cs="Arial"/>
          <w:b/>
          <w:bCs/>
          <w:color w:val="000000" w:themeColor="text1"/>
        </w:rPr>
        <w:t>(See Appendix D)</w:t>
      </w:r>
      <w:r w:rsidRPr="00620F22">
        <w:rPr>
          <w:rFonts w:ascii="Arial" w:hAnsi="Arial" w:cs="Arial"/>
          <w:color w:val="000000" w:themeColor="text1"/>
        </w:rPr>
        <w:t xml:space="preserve">, Consent form </w:t>
      </w:r>
      <w:r w:rsidRPr="00620F22">
        <w:rPr>
          <w:rFonts w:ascii="Arial" w:hAnsi="Arial" w:cs="Arial"/>
          <w:b/>
          <w:bCs/>
          <w:color w:val="000000" w:themeColor="text1"/>
        </w:rPr>
        <w:t xml:space="preserve">(See Appendix </w:t>
      </w:r>
      <w:proofErr w:type="gramStart"/>
      <w:r w:rsidRPr="00620F22">
        <w:rPr>
          <w:rFonts w:ascii="Arial" w:hAnsi="Arial" w:cs="Arial"/>
          <w:b/>
          <w:bCs/>
          <w:color w:val="000000" w:themeColor="text1"/>
        </w:rPr>
        <w:t>F )</w:t>
      </w:r>
      <w:proofErr w:type="gramEnd"/>
      <w:r w:rsidRPr="00620F22">
        <w:rPr>
          <w:rFonts w:ascii="Arial" w:hAnsi="Arial" w:cs="Arial"/>
          <w:color w:val="000000" w:themeColor="text1"/>
        </w:rPr>
        <w:t xml:space="preserve"> and Student Survey </w:t>
      </w:r>
      <w:r w:rsidRPr="00620F22">
        <w:rPr>
          <w:rFonts w:ascii="Arial" w:hAnsi="Arial" w:cs="Arial"/>
          <w:b/>
          <w:bCs/>
          <w:color w:val="000000" w:themeColor="text1"/>
        </w:rPr>
        <w:t>(See Appendix B )</w:t>
      </w:r>
      <w:r w:rsidRPr="00620F22">
        <w:rPr>
          <w:rFonts w:ascii="Arial" w:hAnsi="Arial" w:cs="Arial"/>
          <w:color w:val="000000" w:themeColor="text1"/>
        </w:rPr>
        <w:t xml:space="preserve"> to around 60 former students in October 202</w:t>
      </w:r>
      <w:r w:rsidRPr="00620F22">
        <w:rPr>
          <w:rFonts w:ascii="Arial" w:hAnsi="Arial" w:cs="Arial"/>
          <w:b/>
          <w:bCs/>
          <w:color w:val="000000" w:themeColor="text1"/>
        </w:rPr>
        <w:t xml:space="preserve">. </w:t>
      </w:r>
      <w:r w:rsidRPr="00620F22">
        <w:rPr>
          <w:rFonts w:ascii="Arial" w:hAnsi="Arial" w:cs="Arial"/>
          <w:color w:val="000000" w:themeColor="text1"/>
        </w:rPr>
        <w:t>The cut off for completed questionnaires was 15</w:t>
      </w:r>
      <w:r w:rsidRPr="00620F22">
        <w:rPr>
          <w:rFonts w:ascii="Arial" w:hAnsi="Arial" w:cs="Arial"/>
          <w:color w:val="000000" w:themeColor="text1"/>
          <w:vertAlign w:val="superscript"/>
        </w:rPr>
        <w:t>th</w:t>
      </w:r>
      <w:r w:rsidRPr="00620F22">
        <w:rPr>
          <w:rFonts w:ascii="Arial" w:hAnsi="Arial" w:cs="Arial"/>
          <w:color w:val="000000" w:themeColor="text1"/>
        </w:rPr>
        <w:t xml:space="preserve"> October and the </w:t>
      </w:r>
      <w:r w:rsidR="00607500">
        <w:rPr>
          <w:rFonts w:ascii="Arial" w:eastAsiaTheme="minorHAnsi" w:hAnsi="Arial" w:cs="Arial"/>
          <w:kern w:val="0"/>
          <w:lang w:eastAsia="en-US"/>
          <w14:ligatures w14:val="none"/>
        </w:rPr>
        <w:t>researcher</w:t>
      </w:r>
      <w:r w:rsidRPr="00620F22">
        <w:rPr>
          <w:rFonts w:ascii="Arial" w:hAnsi="Arial" w:cs="Arial"/>
          <w:color w:val="000000" w:themeColor="text1"/>
        </w:rPr>
        <w:t xml:space="preserve"> received 21 completed questionnaires and consent form.</w:t>
      </w:r>
    </w:p>
    <w:p w14:paraId="326448B3"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color w:val="000000" w:themeColor="text1"/>
        </w:rPr>
        <w:t xml:space="preserve">The researcher created a spreadsheet </w:t>
      </w:r>
      <w:r w:rsidRPr="00620F22">
        <w:rPr>
          <w:rFonts w:ascii="Arial" w:hAnsi="Arial" w:cs="Arial"/>
          <w:b/>
          <w:bCs/>
          <w:color w:val="000000" w:themeColor="text1"/>
        </w:rPr>
        <w:t>(See Appendix G)</w:t>
      </w:r>
      <w:r w:rsidRPr="00620F22">
        <w:rPr>
          <w:rFonts w:ascii="Arial" w:hAnsi="Arial" w:cs="Arial"/>
          <w:color w:val="000000" w:themeColor="text1"/>
        </w:rPr>
        <w:t xml:space="preserve"> and analysed it into several parts namely Baseline, Section A = Unethical Accounting Practices / Accounting Fraud which was the DISAPPROVAL variable and calculated the mean DISAPPROVAL score and Section B = The Psychopathy Scores.</w:t>
      </w:r>
    </w:p>
    <w:p w14:paraId="4C45D4F1" w14:textId="77777777"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The key highlights from the baseline analysis are:</w:t>
      </w:r>
    </w:p>
    <w:p w14:paraId="2E06FA31" w14:textId="77777777" w:rsidR="00620F22" w:rsidRPr="00620F22" w:rsidRDefault="00620F22">
      <w:pPr>
        <w:numPr>
          <w:ilvl w:val="0"/>
          <w:numId w:val="19"/>
        </w:numPr>
        <w:spacing w:line="480" w:lineRule="auto"/>
        <w:contextualSpacing/>
        <w:jc w:val="both"/>
        <w:rPr>
          <w:rFonts w:ascii="Arial" w:hAnsi="Arial" w:cs="Arial"/>
          <w:color w:val="000000" w:themeColor="text1"/>
        </w:rPr>
      </w:pPr>
      <w:r w:rsidRPr="00620F22">
        <w:rPr>
          <w:rFonts w:ascii="Arial" w:hAnsi="Arial" w:cs="Arial"/>
          <w:color w:val="000000" w:themeColor="text1"/>
        </w:rPr>
        <w:t xml:space="preserve">71% of the participants were 18 – 24 years old, </w:t>
      </w:r>
    </w:p>
    <w:p w14:paraId="5CB8FF11" w14:textId="77777777" w:rsidR="00620F22" w:rsidRPr="00620F22" w:rsidRDefault="00620F22">
      <w:pPr>
        <w:numPr>
          <w:ilvl w:val="0"/>
          <w:numId w:val="19"/>
        </w:numPr>
        <w:spacing w:line="480" w:lineRule="auto"/>
        <w:contextualSpacing/>
        <w:jc w:val="both"/>
        <w:rPr>
          <w:rFonts w:ascii="Arial" w:hAnsi="Arial" w:cs="Arial"/>
          <w:color w:val="000000" w:themeColor="text1"/>
        </w:rPr>
      </w:pPr>
      <w:r w:rsidRPr="00620F22">
        <w:rPr>
          <w:rFonts w:ascii="Arial" w:hAnsi="Arial" w:cs="Arial"/>
          <w:color w:val="000000" w:themeColor="text1"/>
        </w:rPr>
        <w:t>81% were male respondents,</w:t>
      </w:r>
    </w:p>
    <w:p w14:paraId="401E2424" w14:textId="77777777" w:rsidR="00620F22" w:rsidRPr="00620F22" w:rsidRDefault="00620F22">
      <w:pPr>
        <w:numPr>
          <w:ilvl w:val="0"/>
          <w:numId w:val="19"/>
        </w:numPr>
        <w:spacing w:line="480" w:lineRule="auto"/>
        <w:contextualSpacing/>
        <w:jc w:val="both"/>
        <w:rPr>
          <w:rFonts w:ascii="Arial" w:hAnsi="Arial" w:cs="Arial"/>
          <w:color w:val="000000" w:themeColor="text1"/>
        </w:rPr>
      </w:pPr>
      <w:r w:rsidRPr="00620F22">
        <w:rPr>
          <w:rFonts w:ascii="Arial" w:hAnsi="Arial" w:cs="Arial"/>
          <w:color w:val="000000" w:themeColor="text1"/>
        </w:rPr>
        <w:t>86% of former SBS students followed an ethical framework,</w:t>
      </w:r>
    </w:p>
    <w:p w14:paraId="5F5D414F" w14:textId="77777777" w:rsidR="00620F22" w:rsidRPr="00620F22" w:rsidRDefault="00620F22">
      <w:pPr>
        <w:numPr>
          <w:ilvl w:val="0"/>
          <w:numId w:val="19"/>
        </w:numPr>
        <w:spacing w:line="480" w:lineRule="auto"/>
        <w:contextualSpacing/>
        <w:jc w:val="both"/>
        <w:rPr>
          <w:rFonts w:ascii="Arial" w:hAnsi="Arial" w:cs="Arial"/>
          <w:color w:val="000000" w:themeColor="text1"/>
        </w:rPr>
      </w:pPr>
      <w:r w:rsidRPr="00620F22">
        <w:rPr>
          <w:rFonts w:ascii="Arial" w:hAnsi="Arial" w:cs="Arial"/>
          <w:color w:val="000000" w:themeColor="text1"/>
        </w:rPr>
        <w:t xml:space="preserve">The other questions such as completion of a placement year were irrelevant and will be removed when the researcher conducts the next data collection when current (2021 / 2022) final year SBS accounting and finance students are tested. The researcher will also request students or participants to give their exact age so that it may be used an explanatory variable. </w:t>
      </w:r>
    </w:p>
    <w:p w14:paraId="179F5170" w14:textId="77777777"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The researcher noted that interval validity was achieved as Cronbach Alpha’s for Section A and B which was also observed by Falken et al. (2007):</w:t>
      </w:r>
    </w:p>
    <w:tbl>
      <w:tblPr>
        <w:tblStyle w:val="TableGrid1"/>
        <w:tblW w:w="0" w:type="auto"/>
        <w:tblLook w:val="04A0" w:firstRow="1" w:lastRow="0" w:firstColumn="1" w:lastColumn="0" w:noHBand="0" w:noVBand="1"/>
      </w:tblPr>
      <w:tblGrid>
        <w:gridCol w:w="3005"/>
        <w:gridCol w:w="3005"/>
        <w:gridCol w:w="3006"/>
      </w:tblGrid>
      <w:tr w:rsidR="00620F22" w:rsidRPr="00620F22" w14:paraId="2B59ACE6" w14:textId="77777777" w:rsidTr="001D4222">
        <w:tc>
          <w:tcPr>
            <w:tcW w:w="3005" w:type="dxa"/>
          </w:tcPr>
          <w:p w14:paraId="5603F214" w14:textId="77777777" w:rsidR="00620F22" w:rsidRPr="00620F22" w:rsidRDefault="00620F22" w:rsidP="00620F22">
            <w:pPr>
              <w:rPr>
                <w:rFonts w:asciiTheme="minorBidi" w:hAnsiTheme="minorBidi"/>
                <w:sz w:val="24"/>
                <w:szCs w:val="24"/>
              </w:rPr>
            </w:pPr>
          </w:p>
        </w:tc>
        <w:tc>
          <w:tcPr>
            <w:tcW w:w="3005" w:type="dxa"/>
          </w:tcPr>
          <w:p w14:paraId="706AD28A"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Section A</w:t>
            </w:r>
          </w:p>
          <w:p w14:paraId="4D1BD9D7" w14:textId="77777777" w:rsidR="00620F22" w:rsidRPr="00620F22" w:rsidRDefault="00620F22" w:rsidP="00620F22">
            <w:pPr>
              <w:rPr>
                <w:rFonts w:asciiTheme="minorBidi" w:hAnsiTheme="minorBidi"/>
                <w:sz w:val="24"/>
                <w:szCs w:val="24"/>
              </w:rPr>
            </w:pPr>
          </w:p>
        </w:tc>
        <w:tc>
          <w:tcPr>
            <w:tcW w:w="3006" w:type="dxa"/>
          </w:tcPr>
          <w:p w14:paraId="4080E18D"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Section B</w:t>
            </w:r>
          </w:p>
        </w:tc>
      </w:tr>
      <w:tr w:rsidR="00620F22" w:rsidRPr="00620F22" w14:paraId="69F22AC1" w14:textId="77777777" w:rsidTr="001D4222">
        <w:tc>
          <w:tcPr>
            <w:tcW w:w="3005" w:type="dxa"/>
          </w:tcPr>
          <w:p w14:paraId="2A4AC2C1"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No. of Questions</w:t>
            </w:r>
          </w:p>
        </w:tc>
        <w:tc>
          <w:tcPr>
            <w:tcW w:w="3005" w:type="dxa"/>
          </w:tcPr>
          <w:p w14:paraId="111E3FBB"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8</w:t>
            </w:r>
          </w:p>
          <w:p w14:paraId="507FA5B3" w14:textId="77777777" w:rsidR="00620F22" w:rsidRPr="00620F22" w:rsidRDefault="00620F22" w:rsidP="00620F22">
            <w:pPr>
              <w:rPr>
                <w:rFonts w:asciiTheme="minorBidi" w:hAnsiTheme="minorBidi"/>
                <w:sz w:val="24"/>
                <w:szCs w:val="24"/>
              </w:rPr>
            </w:pPr>
          </w:p>
        </w:tc>
        <w:tc>
          <w:tcPr>
            <w:tcW w:w="3006" w:type="dxa"/>
          </w:tcPr>
          <w:p w14:paraId="4C04A9C8"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16</w:t>
            </w:r>
          </w:p>
        </w:tc>
      </w:tr>
      <w:tr w:rsidR="00620F22" w:rsidRPr="00620F22" w14:paraId="36C9EB3A" w14:textId="77777777" w:rsidTr="001D4222">
        <w:tc>
          <w:tcPr>
            <w:tcW w:w="3005" w:type="dxa"/>
          </w:tcPr>
          <w:p w14:paraId="0A5F2ACC" w14:textId="0F203905" w:rsidR="00620F22" w:rsidRPr="00620F22" w:rsidRDefault="000B2AF4" w:rsidP="00620F22">
            <w:pPr>
              <w:rPr>
                <w:rFonts w:asciiTheme="minorBidi" w:hAnsiTheme="minorBidi"/>
                <w:sz w:val="24"/>
                <w:szCs w:val="24"/>
              </w:rPr>
            </w:pPr>
            <w:r w:rsidRPr="00620F22">
              <w:rPr>
                <w:rFonts w:asciiTheme="minorBidi" w:hAnsiTheme="minorBidi"/>
                <w:sz w:val="24"/>
                <w:szCs w:val="24"/>
              </w:rPr>
              <w:t>Cronbach’s</w:t>
            </w:r>
            <w:r w:rsidR="00620F22" w:rsidRPr="00620F22">
              <w:rPr>
                <w:rFonts w:asciiTheme="minorBidi" w:hAnsiTheme="minorBidi"/>
                <w:sz w:val="24"/>
                <w:szCs w:val="24"/>
              </w:rPr>
              <w:t xml:space="preserve"> Alpha</w:t>
            </w:r>
          </w:p>
        </w:tc>
        <w:tc>
          <w:tcPr>
            <w:tcW w:w="3005" w:type="dxa"/>
          </w:tcPr>
          <w:p w14:paraId="7FF9912C"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0.76</w:t>
            </w:r>
          </w:p>
          <w:p w14:paraId="2443469D" w14:textId="77777777" w:rsidR="00620F22" w:rsidRPr="00620F22" w:rsidRDefault="00620F22" w:rsidP="00620F22">
            <w:pPr>
              <w:rPr>
                <w:rFonts w:asciiTheme="minorBidi" w:hAnsiTheme="minorBidi"/>
                <w:sz w:val="24"/>
                <w:szCs w:val="24"/>
              </w:rPr>
            </w:pPr>
          </w:p>
        </w:tc>
        <w:tc>
          <w:tcPr>
            <w:tcW w:w="3006" w:type="dxa"/>
          </w:tcPr>
          <w:p w14:paraId="43F8B1CD"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0.74</w:t>
            </w:r>
          </w:p>
        </w:tc>
      </w:tr>
    </w:tbl>
    <w:p w14:paraId="7B51DD2B" w14:textId="77777777" w:rsidR="00620F22" w:rsidRPr="00620F22" w:rsidRDefault="00620F22" w:rsidP="00620F22">
      <w:pPr>
        <w:spacing w:line="480" w:lineRule="auto"/>
        <w:jc w:val="both"/>
        <w:rPr>
          <w:rFonts w:ascii="Arial" w:hAnsi="Arial" w:cs="Arial"/>
          <w:color w:val="000000" w:themeColor="text1"/>
        </w:rPr>
      </w:pPr>
    </w:p>
    <w:p w14:paraId="0E9EB74E" w14:textId="77777777"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 xml:space="preserve">Question 25 was omitted from the analysis as the researcher has already tested religiosity when the participants were asked explicitly if they follow an ethical framework. Therefore, Q25 will be rewritten and placed straight after section B questions as it is also a key research question: </w:t>
      </w:r>
    </w:p>
    <w:p w14:paraId="79EAE866" w14:textId="77777777" w:rsidR="00620F22" w:rsidRPr="00620F22" w:rsidRDefault="00620F22">
      <w:pPr>
        <w:numPr>
          <w:ilvl w:val="0"/>
          <w:numId w:val="20"/>
        </w:numPr>
        <w:spacing w:line="480" w:lineRule="auto"/>
        <w:contextualSpacing/>
        <w:jc w:val="both"/>
        <w:rPr>
          <w:rFonts w:ascii="Arial" w:hAnsi="Arial" w:cs="Arial"/>
          <w:color w:val="000000" w:themeColor="text1"/>
        </w:rPr>
      </w:pPr>
      <w:r w:rsidRPr="00620F22">
        <w:rPr>
          <w:rFonts w:ascii="Arial" w:hAnsi="Arial" w:cs="Arial"/>
          <w:color w:val="000000" w:themeColor="text1"/>
        </w:rPr>
        <w:t xml:space="preserve">Would a severe punishment such as a lengthy prison sentence or large fine stop you from committing Accounting Fraud? </w:t>
      </w:r>
      <w:r w:rsidRPr="00620F22">
        <w:rPr>
          <w:rFonts w:ascii="Arial" w:hAnsi="Arial" w:cs="Arial"/>
          <w:color w:val="000000" w:themeColor="text1"/>
        </w:rPr>
        <w:tab/>
      </w:r>
      <w:r w:rsidRPr="00620F22">
        <w:rPr>
          <w:rFonts w:ascii="Arial" w:hAnsi="Arial" w:cs="Arial"/>
          <w:color w:val="000000" w:themeColor="text1"/>
        </w:rPr>
        <w:tab/>
      </w:r>
      <w:r w:rsidRPr="00620F22">
        <w:rPr>
          <w:rFonts w:ascii="Arial" w:hAnsi="Arial" w:cs="Arial"/>
          <w:color w:val="000000" w:themeColor="text1"/>
        </w:rPr>
        <w:tab/>
        <w:t xml:space="preserve">YES / NO </w:t>
      </w:r>
    </w:p>
    <w:p w14:paraId="43E292AE" w14:textId="77777777" w:rsidR="00620F22" w:rsidRPr="00620F22" w:rsidRDefault="00620F22" w:rsidP="00620F22">
      <w:pPr>
        <w:shd w:val="clear" w:color="auto" w:fill="FFFFFF"/>
        <w:spacing w:before="120" w:after="120" w:line="480" w:lineRule="auto"/>
        <w:jc w:val="both"/>
        <w:rPr>
          <w:rFonts w:ascii="Arial" w:eastAsia="Times New Roman" w:hAnsi="Arial" w:cs="Arial"/>
          <w:color w:val="000000" w:themeColor="text1"/>
          <w:lang w:eastAsia="en-GB"/>
        </w:rPr>
      </w:pPr>
    </w:p>
    <w:p w14:paraId="66220057" w14:textId="77777777" w:rsidR="00620F22" w:rsidRPr="00620F22" w:rsidRDefault="00620F22" w:rsidP="00620F22">
      <w:pPr>
        <w:shd w:val="clear" w:color="auto" w:fill="FFFFFF"/>
        <w:spacing w:before="120" w:after="120" w:line="480" w:lineRule="auto"/>
        <w:jc w:val="both"/>
        <w:rPr>
          <w:rFonts w:ascii="Arial" w:eastAsia="Times New Roman" w:hAnsi="Arial" w:cs="Arial"/>
          <w:color w:val="000000" w:themeColor="text1"/>
          <w:lang w:eastAsia="en-GB"/>
        </w:rPr>
      </w:pPr>
      <w:r w:rsidRPr="00620F22">
        <w:rPr>
          <w:rFonts w:ascii="Arial" w:eastAsia="Times New Roman" w:hAnsi="Arial" w:cs="Arial"/>
          <w:color w:val="000000" w:themeColor="text1"/>
          <w:lang w:eastAsia="en-GB"/>
        </w:rPr>
        <w:t>Section B measured the Psychopathy of the participants and according to the primary study (Brinkley et. al, 2000), the following thresholds were recognised:</w:t>
      </w:r>
    </w:p>
    <w:p w14:paraId="4173EF5C" w14:textId="77777777" w:rsidR="00620F22" w:rsidRPr="00620F22" w:rsidRDefault="00620F22">
      <w:pPr>
        <w:numPr>
          <w:ilvl w:val="0"/>
          <w:numId w:val="21"/>
        </w:numPr>
        <w:shd w:val="clear" w:color="auto" w:fill="FFFFFF"/>
        <w:spacing w:before="100" w:beforeAutospacing="1" w:after="24" w:line="480" w:lineRule="auto"/>
        <w:ind w:left="1104"/>
        <w:jc w:val="both"/>
        <w:rPr>
          <w:rFonts w:ascii="Arial" w:eastAsia="Times New Roman" w:hAnsi="Arial" w:cs="Arial"/>
          <w:color w:val="000000" w:themeColor="text1"/>
          <w:lang w:eastAsia="en-GB"/>
        </w:rPr>
      </w:pPr>
      <w:r w:rsidRPr="00620F22">
        <w:rPr>
          <w:rFonts w:ascii="Arial" w:eastAsia="Times New Roman" w:hAnsi="Arial" w:cs="Arial"/>
          <w:color w:val="000000" w:themeColor="text1"/>
          <w:lang w:eastAsia="en-GB"/>
        </w:rPr>
        <w:t>0-48: Non-psychopathic group</w:t>
      </w:r>
    </w:p>
    <w:p w14:paraId="17B26987" w14:textId="77777777" w:rsidR="00620F22" w:rsidRPr="00620F22" w:rsidRDefault="00620F22">
      <w:pPr>
        <w:numPr>
          <w:ilvl w:val="0"/>
          <w:numId w:val="21"/>
        </w:numPr>
        <w:shd w:val="clear" w:color="auto" w:fill="FFFFFF"/>
        <w:spacing w:before="100" w:beforeAutospacing="1" w:after="24" w:line="480" w:lineRule="auto"/>
        <w:ind w:left="1104"/>
        <w:jc w:val="both"/>
        <w:rPr>
          <w:rFonts w:ascii="Arial" w:eastAsia="Times New Roman" w:hAnsi="Arial" w:cs="Arial"/>
          <w:color w:val="000000" w:themeColor="text1"/>
          <w:lang w:eastAsia="en-GB"/>
        </w:rPr>
      </w:pPr>
      <w:r w:rsidRPr="00620F22">
        <w:rPr>
          <w:rFonts w:ascii="Arial" w:eastAsia="Times New Roman" w:hAnsi="Arial" w:cs="Arial"/>
          <w:color w:val="000000" w:themeColor="text1"/>
          <w:lang w:eastAsia="en-GB"/>
        </w:rPr>
        <w:t>49-57: Mixed group</w:t>
      </w:r>
    </w:p>
    <w:p w14:paraId="32871000" w14:textId="77777777" w:rsidR="00620F22" w:rsidRPr="00620F22" w:rsidRDefault="00620F22">
      <w:pPr>
        <w:numPr>
          <w:ilvl w:val="0"/>
          <w:numId w:val="21"/>
        </w:numPr>
        <w:shd w:val="clear" w:color="auto" w:fill="FFFFFF"/>
        <w:spacing w:before="100" w:beforeAutospacing="1" w:after="24" w:line="480" w:lineRule="auto"/>
        <w:ind w:left="1104"/>
        <w:jc w:val="both"/>
        <w:rPr>
          <w:rFonts w:ascii="Arial" w:eastAsia="Times New Roman" w:hAnsi="Arial" w:cs="Arial"/>
          <w:color w:val="000000" w:themeColor="text1"/>
          <w:lang w:eastAsia="en-GB"/>
        </w:rPr>
      </w:pPr>
      <w:r w:rsidRPr="00620F22">
        <w:rPr>
          <w:rFonts w:ascii="Arial" w:eastAsia="Times New Roman" w:hAnsi="Arial" w:cs="Arial"/>
          <w:color w:val="000000" w:themeColor="text1"/>
          <w:lang w:eastAsia="en-GB"/>
        </w:rPr>
        <w:t>≥58: Psychopathic group</w:t>
      </w:r>
    </w:p>
    <w:p w14:paraId="027D8D12" w14:textId="77777777" w:rsid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The results of the sample of 21 graduated SBS students were:</w:t>
      </w:r>
    </w:p>
    <w:p w14:paraId="5EBB580D" w14:textId="77777777" w:rsidR="008E2178" w:rsidRPr="00620F22" w:rsidRDefault="008E2178" w:rsidP="00620F22">
      <w:pPr>
        <w:spacing w:line="480" w:lineRule="auto"/>
        <w:jc w:val="both"/>
        <w:rPr>
          <w:rFonts w:ascii="Arial" w:hAnsi="Arial" w:cs="Arial"/>
          <w:color w:val="000000" w:themeColor="text1"/>
        </w:rPr>
      </w:pPr>
    </w:p>
    <w:tbl>
      <w:tblPr>
        <w:tblStyle w:val="TableGrid1"/>
        <w:tblW w:w="0" w:type="auto"/>
        <w:tblLook w:val="04A0" w:firstRow="1" w:lastRow="0" w:firstColumn="1" w:lastColumn="0" w:noHBand="0" w:noVBand="1"/>
      </w:tblPr>
      <w:tblGrid>
        <w:gridCol w:w="4248"/>
        <w:gridCol w:w="4678"/>
      </w:tblGrid>
      <w:tr w:rsidR="00620F22" w:rsidRPr="00620F22" w14:paraId="18D0E2D5" w14:textId="77777777" w:rsidTr="001D4222">
        <w:tc>
          <w:tcPr>
            <w:tcW w:w="4248" w:type="dxa"/>
          </w:tcPr>
          <w:p w14:paraId="2599A071"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Psychopathy Score</w:t>
            </w:r>
          </w:p>
          <w:p w14:paraId="11ACCBAC" w14:textId="77777777" w:rsidR="00620F22" w:rsidRPr="00620F22" w:rsidRDefault="00620F22" w:rsidP="00620F22">
            <w:pPr>
              <w:rPr>
                <w:rFonts w:asciiTheme="minorBidi" w:hAnsiTheme="minorBidi"/>
                <w:sz w:val="24"/>
                <w:szCs w:val="24"/>
              </w:rPr>
            </w:pPr>
          </w:p>
        </w:tc>
        <w:tc>
          <w:tcPr>
            <w:tcW w:w="4678" w:type="dxa"/>
          </w:tcPr>
          <w:p w14:paraId="2D0E4DF1"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Participants</w:t>
            </w:r>
          </w:p>
        </w:tc>
      </w:tr>
      <w:tr w:rsidR="00620F22" w:rsidRPr="00620F22" w14:paraId="6268868C" w14:textId="77777777" w:rsidTr="001D4222">
        <w:tc>
          <w:tcPr>
            <w:tcW w:w="4248" w:type="dxa"/>
          </w:tcPr>
          <w:p w14:paraId="209AB569" w14:textId="77777777" w:rsidR="00620F22" w:rsidRPr="00620F22" w:rsidRDefault="00620F22" w:rsidP="00620F22">
            <w:pPr>
              <w:rPr>
                <w:rFonts w:asciiTheme="minorBidi" w:eastAsia="Times New Roman" w:hAnsiTheme="minorBidi"/>
                <w:sz w:val="24"/>
                <w:szCs w:val="24"/>
                <w:lang w:eastAsia="en-GB"/>
              </w:rPr>
            </w:pPr>
            <w:r w:rsidRPr="00620F22">
              <w:rPr>
                <w:rFonts w:asciiTheme="minorBidi" w:eastAsia="Times New Roman" w:hAnsiTheme="minorBidi"/>
                <w:sz w:val="24"/>
                <w:szCs w:val="24"/>
                <w:lang w:eastAsia="en-GB"/>
              </w:rPr>
              <w:t>0-48</w:t>
            </w:r>
          </w:p>
          <w:p w14:paraId="6A2E412D" w14:textId="77777777" w:rsidR="00620F22" w:rsidRPr="00620F22" w:rsidRDefault="00620F22" w:rsidP="00620F22">
            <w:pPr>
              <w:rPr>
                <w:rFonts w:asciiTheme="minorBidi" w:hAnsiTheme="minorBidi"/>
                <w:sz w:val="24"/>
                <w:szCs w:val="24"/>
              </w:rPr>
            </w:pPr>
          </w:p>
        </w:tc>
        <w:tc>
          <w:tcPr>
            <w:tcW w:w="4678" w:type="dxa"/>
          </w:tcPr>
          <w:p w14:paraId="0B8758DB"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13</w:t>
            </w:r>
          </w:p>
        </w:tc>
      </w:tr>
      <w:tr w:rsidR="00620F22" w:rsidRPr="00620F22" w14:paraId="495BD9E8" w14:textId="77777777" w:rsidTr="001D4222">
        <w:tc>
          <w:tcPr>
            <w:tcW w:w="4248" w:type="dxa"/>
          </w:tcPr>
          <w:p w14:paraId="5EFEA384" w14:textId="77777777" w:rsidR="00620F22" w:rsidRPr="00620F22" w:rsidRDefault="00620F22" w:rsidP="00620F22">
            <w:pPr>
              <w:rPr>
                <w:rFonts w:asciiTheme="minorBidi" w:eastAsia="Times New Roman" w:hAnsiTheme="minorBidi"/>
                <w:sz w:val="24"/>
                <w:szCs w:val="24"/>
                <w:lang w:eastAsia="en-GB"/>
              </w:rPr>
            </w:pPr>
            <w:r w:rsidRPr="00620F22">
              <w:rPr>
                <w:rFonts w:asciiTheme="minorBidi" w:eastAsia="Times New Roman" w:hAnsiTheme="minorBidi"/>
                <w:sz w:val="24"/>
                <w:szCs w:val="24"/>
                <w:lang w:eastAsia="en-GB"/>
              </w:rPr>
              <w:t>49-57</w:t>
            </w:r>
          </w:p>
          <w:p w14:paraId="69D3E60D" w14:textId="77777777" w:rsidR="00620F22" w:rsidRPr="00620F22" w:rsidRDefault="00620F22" w:rsidP="00620F22">
            <w:pPr>
              <w:rPr>
                <w:rFonts w:asciiTheme="minorBidi" w:hAnsiTheme="minorBidi"/>
                <w:sz w:val="24"/>
                <w:szCs w:val="24"/>
              </w:rPr>
            </w:pPr>
          </w:p>
        </w:tc>
        <w:tc>
          <w:tcPr>
            <w:tcW w:w="4678" w:type="dxa"/>
          </w:tcPr>
          <w:p w14:paraId="012D7E88"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6</w:t>
            </w:r>
          </w:p>
        </w:tc>
      </w:tr>
      <w:tr w:rsidR="00620F22" w:rsidRPr="00620F22" w14:paraId="088D48AF" w14:textId="77777777" w:rsidTr="001D4222">
        <w:tc>
          <w:tcPr>
            <w:tcW w:w="4248" w:type="dxa"/>
          </w:tcPr>
          <w:p w14:paraId="63C38374" w14:textId="77777777" w:rsidR="00620F22" w:rsidRPr="00620F22" w:rsidRDefault="00620F22" w:rsidP="00620F22">
            <w:pPr>
              <w:rPr>
                <w:rFonts w:asciiTheme="minorBidi" w:eastAsia="Times New Roman" w:hAnsiTheme="minorBidi"/>
                <w:sz w:val="24"/>
                <w:szCs w:val="24"/>
                <w:lang w:eastAsia="en-GB"/>
              </w:rPr>
            </w:pPr>
            <w:r w:rsidRPr="00620F22">
              <w:rPr>
                <w:rFonts w:asciiTheme="minorBidi" w:eastAsia="Times New Roman" w:hAnsiTheme="minorBidi"/>
                <w:sz w:val="24"/>
                <w:szCs w:val="24"/>
                <w:lang w:eastAsia="en-GB"/>
              </w:rPr>
              <w:t>≥58</w:t>
            </w:r>
          </w:p>
          <w:p w14:paraId="5E96ED34" w14:textId="77777777" w:rsidR="00620F22" w:rsidRPr="00620F22" w:rsidRDefault="00620F22" w:rsidP="00620F22">
            <w:pPr>
              <w:rPr>
                <w:rFonts w:asciiTheme="minorBidi" w:hAnsiTheme="minorBidi"/>
                <w:sz w:val="24"/>
                <w:szCs w:val="24"/>
              </w:rPr>
            </w:pPr>
          </w:p>
        </w:tc>
        <w:tc>
          <w:tcPr>
            <w:tcW w:w="4678" w:type="dxa"/>
          </w:tcPr>
          <w:p w14:paraId="5F16CB97"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2</w:t>
            </w:r>
          </w:p>
        </w:tc>
      </w:tr>
    </w:tbl>
    <w:p w14:paraId="2F2A1979" w14:textId="77777777" w:rsidR="00620F22" w:rsidRPr="00620F22" w:rsidRDefault="00620F22" w:rsidP="00620F22">
      <w:pPr>
        <w:spacing w:line="480" w:lineRule="auto"/>
        <w:jc w:val="both"/>
        <w:rPr>
          <w:rFonts w:asciiTheme="minorBidi" w:hAnsiTheme="minorBidi"/>
          <w:color w:val="000000" w:themeColor="text1"/>
        </w:rPr>
      </w:pPr>
    </w:p>
    <w:p w14:paraId="7D1FFDC3" w14:textId="77777777" w:rsidR="00620F22" w:rsidRPr="00620F22" w:rsidRDefault="00620F22" w:rsidP="00620F22">
      <w:pPr>
        <w:spacing w:line="480" w:lineRule="auto"/>
        <w:jc w:val="both"/>
        <w:rPr>
          <w:rFonts w:ascii="Arial" w:hAnsi="Arial" w:cs="Arial"/>
          <w:color w:val="000000" w:themeColor="text1"/>
          <w:shd w:val="clear" w:color="auto" w:fill="FFFFFF"/>
        </w:rPr>
      </w:pPr>
      <w:r w:rsidRPr="00620F22">
        <w:rPr>
          <w:rFonts w:ascii="Arial" w:hAnsi="Arial" w:cs="Arial"/>
          <w:color w:val="000000" w:themeColor="text1"/>
        </w:rPr>
        <w:lastRenderedPageBreak/>
        <w:t xml:space="preserve">The two graduated students that displayed clear psychopathic tendencies were male and female (1%), 62 % were non-psychopathic and the remainder, 29%, were mixed. This result concurs with Hare (1994) </w:t>
      </w:r>
      <w:r w:rsidRPr="00620F22">
        <w:rPr>
          <w:rFonts w:ascii="Arial" w:hAnsi="Arial" w:cs="Arial"/>
          <w:color w:val="000000" w:themeColor="text1"/>
          <w:shd w:val="clear" w:color="auto" w:fill="FFFFFF"/>
        </w:rPr>
        <w:t xml:space="preserve">who reported that approximately 1 percent of the general population meets the clinical threshold for psychopath and later maintained (Babiak and Hare, 2007) that the incidence of psychopaths was higher in the business world. Although this was a pilot study the mean, 46.19, and standard deviation, 9.15, was much higher than Baileys (2017) study (mean = 28.05, standard deviation = 6.03) although the sample size was more than 200. Undoubtedly a much bigger study is required which may suggest that British students may be on average more psychopathic than their American counterparts. </w:t>
      </w:r>
    </w:p>
    <w:p w14:paraId="4F5714A1" w14:textId="77777777"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Based on the pilot study results, the initial four research questions and Baileys (2017) study motivated the researcher to create a multiple regression (Rxy) model that could predict Psychopathy, Y criterion, by using several predictors in combination:</w:t>
      </w:r>
    </w:p>
    <w:p w14:paraId="5ABF48D1" w14:textId="77777777"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X1 – Mean Disapproval of Unethical Actions</w:t>
      </w:r>
    </w:p>
    <w:p w14:paraId="77595C14" w14:textId="77777777"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X2 - Gender</w:t>
      </w:r>
    </w:p>
    <w:p w14:paraId="3A2E6985" w14:textId="77777777"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X3 – Ethical Framework</w:t>
      </w:r>
    </w:p>
    <w:p w14:paraId="2192EFB5" w14:textId="77777777"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X4 - Religiosity (As explained earlier this will be ignored next time and replaced with age)</w:t>
      </w:r>
    </w:p>
    <w:p w14:paraId="1D02A4CF" w14:textId="77777777"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 xml:space="preserve">Each predictor is ‘weighted’ different manner according to its discrete correlation with Y and its correlation with the other predictors. The objective of multiple correlation is to supply a regression equation that will weight each predictor variable in such a way that the combination of the X variables does a much better role of predicting Y or psychopathy than any single X variable in isolation. </w:t>
      </w:r>
    </w:p>
    <w:p w14:paraId="09795991"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color w:val="000000" w:themeColor="text1"/>
        </w:rPr>
        <w:lastRenderedPageBreak/>
        <w:t xml:space="preserve">According to the SUMMARY OUTPUT </w:t>
      </w:r>
      <w:r w:rsidRPr="00620F22">
        <w:rPr>
          <w:rFonts w:ascii="Arial" w:hAnsi="Arial" w:cs="Arial"/>
          <w:b/>
          <w:bCs/>
          <w:color w:val="000000" w:themeColor="text1"/>
        </w:rPr>
        <w:t xml:space="preserve">(See Appendix G), </w:t>
      </w:r>
      <w:r w:rsidRPr="00620F22">
        <w:rPr>
          <w:rFonts w:ascii="Arial" w:hAnsi="Arial" w:cs="Arial"/>
          <w:color w:val="000000" w:themeColor="text1"/>
        </w:rPr>
        <w:t>the multiple regression model predicting criterion Y or psychopathy is (as per practice the figures are to 4 significant figures):</w:t>
      </w:r>
    </w:p>
    <w:p w14:paraId="0F6DC447" w14:textId="77777777" w:rsidR="00620F22" w:rsidRPr="00620F22" w:rsidRDefault="00620F22" w:rsidP="00620F22">
      <w:pPr>
        <w:spacing w:line="480" w:lineRule="auto"/>
        <w:jc w:val="center"/>
        <w:rPr>
          <w:rFonts w:ascii="Arial" w:hAnsi="Arial" w:cs="Arial"/>
          <w:b/>
          <w:bCs/>
          <w:color w:val="000000" w:themeColor="text1"/>
          <w:lang w:val="es-ES"/>
        </w:rPr>
      </w:pPr>
      <w:r w:rsidRPr="00620F22">
        <w:rPr>
          <w:rFonts w:ascii="Arial" w:hAnsi="Arial" w:cs="Arial"/>
          <w:b/>
          <w:bCs/>
          <w:color w:val="000000" w:themeColor="text1"/>
          <w:lang w:val="es-ES"/>
        </w:rPr>
        <w:t>Y = a + b1X1 + b2X2 + b3X3 + b4X4</w:t>
      </w:r>
    </w:p>
    <w:p w14:paraId="010F9EE7" w14:textId="77777777" w:rsidR="00620F22" w:rsidRPr="00620F22" w:rsidRDefault="00620F22" w:rsidP="00620F22">
      <w:pPr>
        <w:spacing w:line="480" w:lineRule="auto"/>
        <w:jc w:val="center"/>
        <w:rPr>
          <w:rFonts w:ascii="Arial" w:hAnsi="Arial" w:cs="Arial"/>
          <w:b/>
          <w:bCs/>
          <w:color w:val="000000" w:themeColor="text1"/>
          <w:sz w:val="28"/>
          <w:szCs w:val="28"/>
        </w:rPr>
      </w:pPr>
      <w:r w:rsidRPr="00620F22">
        <w:rPr>
          <w:rFonts w:ascii="Arial" w:hAnsi="Arial" w:cs="Arial"/>
          <w:b/>
          <w:bCs/>
          <w:color w:val="000000" w:themeColor="text1"/>
        </w:rPr>
        <w:t>Y = 85.3786 - 0.94438X1 + 0.6033X2 - 0.6238X2X3 + 0.3540X</w:t>
      </w:r>
    </w:p>
    <w:p w14:paraId="4F4FC5DB" w14:textId="77777777"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 xml:space="preserve">The final step in multiple regression model is to ascertain the correlation between all the salient variables that occur in the multiple regression equation. This was achieved in the pilot study by finding the correlation between each of the four pairs of variables and the “correlation matrix’’ was calculated using the Excel pack which also appears at the bottom of the SUMMARY OUTPUT </w:t>
      </w:r>
      <w:r w:rsidRPr="00620F22">
        <w:rPr>
          <w:rFonts w:ascii="Arial" w:hAnsi="Arial" w:cs="Arial"/>
          <w:b/>
          <w:bCs/>
          <w:color w:val="000000" w:themeColor="text1"/>
        </w:rPr>
        <w:t>(see Appendix G).</w:t>
      </w:r>
      <w:r w:rsidRPr="00620F22">
        <w:rPr>
          <w:rFonts w:ascii="Arial" w:hAnsi="Arial" w:cs="Arial"/>
          <w:color w:val="000000" w:themeColor="text1"/>
        </w:rPr>
        <w:t xml:space="preserve"> This matrix encapsulates the correlations between all the variables in the model (It is common practice to show the results in two decimal places):</w:t>
      </w:r>
    </w:p>
    <w:p w14:paraId="42663668"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t xml:space="preserve">The correlation between PSYCOPATHY and MEAN DISAPPROVAL is: - 0.65 </w:t>
      </w:r>
    </w:p>
    <w:p w14:paraId="6641FC89"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t>The correlation between PSYCOPATHY and GENDER is: + 0.09</w:t>
      </w:r>
    </w:p>
    <w:p w14:paraId="0C81FBEC"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t>The correlation between PSYCOPATHY and ETHICAL FRAMEWORK is: - 0.22</w:t>
      </w:r>
    </w:p>
    <w:p w14:paraId="71AA52A4"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t>The correlation between PSYCOPATHY and RELIGIOSITY is: - 0.03</w:t>
      </w:r>
    </w:p>
    <w:p w14:paraId="2E31497A" w14:textId="06F0E053"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 xml:space="preserve">The best predictor is MEAN DISAPPROVAL then ETHICAL FRAMEWORK whilst GENDER and RELIGIOSITY have a minor impact although it is important to remember that this is a small pilot study. </w:t>
      </w:r>
      <w:r w:rsidR="0013059F" w:rsidRPr="00620F22">
        <w:rPr>
          <w:rFonts w:ascii="Arial" w:hAnsi="Arial" w:cs="Arial"/>
          <w:color w:val="000000" w:themeColor="text1"/>
        </w:rPr>
        <w:t>Overall,</w:t>
      </w:r>
      <w:r w:rsidRPr="00620F22">
        <w:rPr>
          <w:rFonts w:ascii="Arial" w:hAnsi="Arial" w:cs="Arial"/>
          <w:color w:val="000000" w:themeColor="text1"/>
        </w:rPr>
        <w:t xml:space="preserve"> the Multiple Regression for model is 0.651.</w:t>
      </w:r>
    </w:p>
    <w:p w14:paraId="33DC9660" w14:textId="77777777" w:rsidR="00620F22" w:rsidRPr="00620F22" w:rsidRDefault="00620F22" w:rsidP="00620F22">
      <w:pPr>
        <w:spacing w:line="480" w:lineRule="auto"/>
        <w:jc w:val="both"/>
        <w:rPr>
          <w:rFonts w:ascii="Arial" w:hAnsi="Arial" w:cs="Arial"/>
          <w:b/>
          <w:bCs/>
          <w:i/>
          <w:iCs/>
          <w:color w:val="000000" w:themeColor="text1"/>
        </w:rPr>
      </w:pPr>
      <w:r w:rsidRPr="00620F22">
        <w:rPr>
          <w:rFonts w:ascii="Arial" w:hAnsi="Arial" w:cs="Arial"/>
          <w:b/>
          <w:bCs/>
          <w:i/>
          <w:iCs/>
          <w:color w:val="000000" w:themeColor="text1"/>
        </w:rPr>
        <w:t xml:space="preserve">Going forward as already discussed the researcher intends to make modifications to the questionnaire and work with: </w:t>
      </w:r>
    </w:p>
    <w:p w14:paraId="3081BE89" w14:textId="77777777" w:rsidR="00620F22" w:rsidRPr="00620F22" w:rsidRDefault="00620F22">
      <w:pPr>
        <w:numPr>
          <w:ilvl w:val="0"/>
          <w:numId w:val="22"/>
        </w:numPr>
        <w:spacing w:line="480" w:lineRule="auto"/>
        <w:contextualSpacing/>
        <w:jc w:val="both"/>
        <w:rPr>
          <w:rFonts w:ascii="Arial" w:hAnsi="Arial" w:cs="Arial"/>
          <w:color w:val="000000" w:themeColor="text1"/>
        </w:rPr>
      </w:pPr>
      <w:r w:rsidRPr="00620F22">
        <w:rPr>
          <w:rFonts w:ascii="Arial" w:hAnsi="Arial" w:cs="Arial"/>
          <w:color w:val="000000" w:themeColor="text1"/>
        </w:rPr>
        <w:lastRenderedPageBreak/>
        <w:t>a much bigger sample of final year accounting students from Salford Business School (SBS)</w:t>
      </w:r>
    </w:p>
    <w:p w14:paraId="7C77698E" w14:textId="77777777" w:rsidR="00620F22" w:rsidRPr="00620F22" w:rsidRDefault="00620F22">
      <w:pPr>
        <w:numPr>
          <w:ilvl w:val="0"/>
          <w:numId w:val="22"/>
        </w:numPr>
        <w:spacing w:line="480" w:lineRule="auto"/>
        <w:contextualSpacing/>
        <w:jc w:val="both"/>
        <w:rPr>
          <w:rFonts w:ascii="Arial" w:hAnsi="Arial" w:cs="Arial"/>
          <w:color w:val="000000" w:themeColor="text1"/>
        </w:rPr>
      </w:pPr>
      <w:r w:rsidRPr="00620F22">
        <w:rPr>
          <w:rFonts w:ascii="Arial" w:hAnsi="Arial" w:cs="Arial"/>
          <w:color w:val="000000" w:themeColor="text1"/>
        </w:rPr>
        <w:t>potentially with a group of auditors / accountants from a leading audit firm in the U.A.E which would be ground-breaking as no formal study to date has been conducted measuring the psychopathic tendencies of auditors / accountants.</w:t>
      </w:r>
    </w:p>
    <w:p w14:paraId="0C1959FC" w14:textId="77777777" w:rsidR="00620F22" w:rsidRPr="00620F22" w:rsidRDefault="00620F22" w:rsidP="00620F22">
      <w:pPr>
        <w:spacing w:line="480" w:lineRule="auto"/>
        <w:ind w:left="720"/>
        <w:contextualSpacing/>
        <w:jc w:val="both"/>
        <w:rPr>
          <w:rFonts w:ascii="Arial" w:hAnsi="Arial" w:cs="Arial"/>
          <w:color w:val="000000" w:themeColor="text1"/>
        </w:rPr>
      </w:pPr>
    </w:p>
    <w:p w14:paraId="439DD384" w14:textId="77777777" w:rsidR="00620F22" w:rsidRPr="00620F22" w:rsidRDefault="00620F22" w:rsidP="00620F22">
      <w:pPr>
        <w:spacing w:line="480" w:lineRule="auto"/>
        <w:jc w:val="both"/>
        <w:rPr>
          <w:rFonts w:ascii="Arial" w:hAnsi="Arial" w:cs="Arial"/>
          <w:color w:val="000000" w:themeColor="text1"/>
          <w:lang w:eastAsia="en-GB"/>
        </w:rPr>
      </w:pPr>
      <w:r w:rsidRPr="00620F22">
        <w:rPr>
          <w:rFonts w:ascii="Arial" w:hAnsi="Arial" w:cs="Arial"/>
          <w:color w:val="000000" w:themeColor="text1"/>
        </w:rPr>
        <w:t xml:space="preserve">The researcher will now proceed to </w:t>
      </w:r>
      <w:r w:rsidRPr="00620F22">
        <w:rPr>
          <w:rFonts w:ascii="Arial" w:hAnsi="Arial" w:cs="Arial"/>
          <w:b/>
          <w:bCs/>
          <w:color w:val="000000" w:themeColor="text1"/>
          <w:lang w:eastAsia="en-GB"/>
        </w:rPr>
        <w:t xml:space="preserve">the next section </w:t>
      </w:r>
      <w:r w:rsidRPr="00620F22">
        <w:rPr>
          <w:rFonts w:ascii="Arial" w:hAnsi="Arial" w:cs="Arial"/>
          <w:color w:val="000000" w:themeColor="text1"/>
          <w:lang w:eastAsia="en-GB"/>
        </w:rPr>
        <w:t>where he will discuss the quantitative results from the survey completed by working accountants and undergraduate students.</w:t>
      </w:r>
    </w:p>
    <w:bookmarkStart w:id="700" w:name="D94"/>
    <w:p w14:paraId="18C846EC" w14:textId="49B2DB92" w:rsidR="00620F22" w:rsidRPr="00620F22" w:rsidRDefault="00A44CBA" w:rsidP="00620F22">
      <w:pPr>
        <w:pBdr>
          <w:top w:val="single" w:sz="4" w:space="1" w:color="auto"/>
          <w:left w:val="single" w:sz="4" w:space="4" w:color="auto"/>
          <w:bottom w:val="single" w:sz="4" w:space="1" w:color="auto"/>
          <w:right w:val="single" w:sz="4" w:space="4" w:color="auto"/>
        </w:pBdr>
        <w:spacing w:line="480" w:lineRule="auto"/>
        <w:jc w:val="both"/>
        <w:rPr>
          <w:rFonts w:ascii="Arial" w:hAnsi="Arial" w:cs="Arial"/>
          <w:b/>
          <w:bCs/>
          <w:lang w:eastAsia="en-GB"/>
        </w:rPr>
      </w:pPr>
      <w:r>
        <w:rPr>
          <w:rFonts w:ascii="Arial" w:hAnsi="Arial" w:cs="Arial"/>
          <w:b/>
          <w:bCs/>
          <w:lang w:eastAsia="en-GB"/>
        </w:rPr>
        <w:fldChar w:fldCharType="begin"/>
      </w:r>
      <w:r>
        <w:rPr>
          <w:rFonts w:ascii="Arial" w:hAnsi="Arial" w:cs="Arial"/>
          <w:b/>
          <w:bCs/>
          <w:lang w:eastAsia="en-GB"/>
        </w:rPr>
        <w:instrText>HYPERLINK  \l "C94"</w:instrText>
      </w:r>
      <w:r>
        <w:rPr>
          <w:rFonts w:ascii="Arial" w:hAnsi="Arial" w:cs="Arial"/>
          <w:b/>
          <w:bCs/>
          <w:lang w:eastAsia="en-GB"/>
        </w:rPr>
      </w:r>
      <w:r>
        <w:rPr>
          <w:rFonts w:ascii="Arial" w:hAnsi="Arial" w:cs="Arial"/>
          <w:b/>
          <w:bCs/>
          <w:lang w:eastAsia="en-GB"/>
        </w:rPr>
        <w:fldChar w:fldCharType="separate"/>
      </w:r>
      <w:r w:rsidR="00620F22" w:rsidRPr="00A44CBA">
        <w:rPr>
          <w:rStyle w:val="Hyperlink"/>
          <w:rFonts w:ascii="Arial" w:hAnsi="Arial" w:cs="Arial"/>
          <w:b/>
          <w:bCs/>
          <w:lang w:eastAsia="en-GB"/>
        </w:rPr>
        <w:t>4.2 Modelling Psych</w:t>
      </w:r>
      <w:r w:rsidR="00620F22" w:rsidRPr="00A44CBA">
        <w:rPr>
          <w:rStyle w:val="Hyperlink"/>
          <w:rFonts w:ascii="Arial" w:hAnsi="Arial" w:cs="Arial"/>
          <w:b/>
          <w:bCs/>
          <w:lang w:eastAsia="en-GB"/>
        </w:rPr>
        <w:t>opathy: Professionals &amp; Students</w:t>
      </w:r>
      <w:r>
        <w:rPr>
          <w:rFonts w:ascii="Arial" w:hAnsi="Arial" w:cs="Arial"/>
          <w:b/>
          <w:bCs/>
          <w:lang w:eastAsia="en-GB"/>
        </w:rPr>
        <w:fldChar w:fldCharType="end"/>
      </w:r>
      <w:r w:rsidR="00620F22" w:rsidRPr="00620F22">
        <w:rPr>
          <w:rFonts w:ascii="Arial" w:hAnsi="Arial" w:cs="Arial"/>
          <w:b/>
          <w:bCs/>
          <w:lang w:eastAsia="en-GB"/>
        </w:rPr>
        <w:t xml:space="preserve"> </w:t>
      </w:r>
    </w:p>
    <w:bookmarkEnd w:id="700"/>
    <w:p w14:paraId="565588A6" w14:textId="2E0E7673"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 xml:space="preserve">The researcher </w:t>
      </w:r>
      <w:bookmarkStart w:id="701" w:name="_Hlk146212850"/>
      <w:r w:rsidRPr="00620F22">
        <w:rPr>
          <w:rFonts w:ascii="Arial" w:hAnsi="Arial" w:cs="Arial"/>
          <w:color w:val="000000" w:themeColor="text1"/>
        </w:rPr>
        <w:t xml:space="preserve">conducted a study using a structured survey on a sample of qualified accountants (See Appendix </w:t>
      </w:r>
      <w:r w:rsidR="0013059F" w:rsidRPr="00620F22">
        <w:rPr>
          <w:rFonts w:ascii="Arial" w:hAnsi="Arial" w:cs="Arial"/>
          <w:color w:val="000000" w:themeColor="text1"/>
        </w:rPr>
        <w:t>H and</w:t>
      </w:r>
      <w:r w:rsidRPr="00620F22">
        <w:rPr>
          <w:rFonts w:ascii="Arial" w:hAnsi="Arial" w:cs="Arial"/>
          <w:color w:val="000000" w:themeColor="text1"/>
        </w:rPr>
        <w:t xml:space="preserve"> I (Excel Analysis)), from a global top ten firm with offices based in the Asia and Asia Pacific region. It should be noted that this is the first time in the literature that professionals are taking a questionnaire which is explicitly attempting to model Corporate Accountant Psychopathy</w:t>
      </w:r>
      <w:bookmarkEnd w:id="701"/>
      <w:r w:rsidRPr="00620F22">
        <w:rPr>
          <w:rFonts w:ascii="Arial" w:hAnsi="Arial" w:cs="Arial"/>
          <w:color w:val="000000" w:themeColor="text1"/>
        </w:rPr>
        <w:t>. Thereafter a similar structured survey was used on a sample of final undergraduate accounting &amp; finance students.</w:t>
      </w:r>
    </w:p>
    <w:bookmarkStart w:id="702" w:name="_Hlk167883252"/>
    <w:bookmarkStart w:id="703" w:name="D95"/>
    <w:p w14:paraId="2A683BFF" w14:textId="2987C84E" w:rsidR="00620F22" w:rsidRPr="00620F22" w:rsidRDefault="001A7A41" w:rsidP="00620F22">
      <w:pPr>
        <w:pBdr>
          <w:top w:val="single" w:sz="4" w:space="1" w:color="auto"/>
          <w:left w:val="single" w:sz="4" w:space="4" w:color="auto"/>
          <w:bottom w:val="single" w:sz="4" w:space="1" w:color="auto"/>
          <w:right w:val="single" w:sz="4" w:space="4" w:color="auto"/>
        </w:pBdr>
        <w:spacing w:after="240" w:line="480" w:lineRule="auto"/>
        <w:jc w:val="both"/>
        <w:rPr>
          <w:rFonts w:ascii="Arial" w:hAnsi="Arial" w:cs="Arial"/>
          <w:b/>
          <w:bCs/>
        </w:rPr>
      </w:pPr>
      <w:r>
        <w:rPr>
          <w:rFonts w:asciiTheme="minorBidi" w:hAnsiTheme="minorBidi"/>
          <w:b/>
          <w:bCs/>
        </w:rPr>
        <w:fldChar w:fldCharType="begin"/>
      </w:r>
      <w:r>
        <w:rPr>
          <w:rFonts w:asciiTheme="minorBidi" w:hAnsiTheme="minorBidi"/>
          <w:b/>
          <w:bCs/>
        </w:rPr>
        <w:instrText>HYPERLINK  \l "C95"</w:instrText>
      </w:r>
      <w:r>
        <w:rPr>
          <w:rFonts w:asciiTheme="minorBidi" w:hAnsiTheme="minorBidi"/>
          <w:b/>
          <w:bCs/>
        </w:rPr>
      </w:r>
      <w:r>
        <w:rPr>
          <w:rFonts w:asciiTheme="minorBidi" w:hAnsiTheme="minorBidi"/>
          <w:b/>
          <w:bCs/>
        </w:rPr>
        <w:fldChar w:fldCharType="separate"/>
      </w:r>
      <w:r w:rsidR="00620F22" w:rsidRPr="001A7A41">
        <w:rPr>
          <w:rStyle w:val="Hyperlink"/>
          <w:rFonts w:asciiTheme="minorBidi" w:hAnsiTheme="minorBidi"/>
          <w:b/>
          <w:bCs/>
        </w:rPr>
        <w:t xml:space="preserve">4.2.1 </w:t>
      </w:r>
      <w:r w:rsidR="00620F22" w:rsidRPr="001A7A41">
        <w:rPr>
          <w:rStyle w:val="Hyperlink"/>
          <w:rFonts w:ascii="Arial" w:hAnsi="Arial" w:cs="Arial"/>
          <w:b/>
          <w:bCs/>
        </w:rPr>
        <w:t xml:space="preserve">The Sample of Qualified and </w:t>
      </w:r>
      <w:r w:rsidR="00620F22" w:rsidRPr="001A7A41">
        <w:rPr>
          <w:rStyle w:val="Hyperlink"/>
          <w:rFonts w:ascii="Arial" w:hAnsi="Arial" w:cs="Arial"/>
          <w:b/>
          <w:bCs/>
        </w:rPr>
        <w:t>Working Accountants</w:t>
      </w:r>
      <w:r>
        <w:rPr>
          <w:rFonts w:asciiTheme="minorBidi" w:hAnsiTheme="minorBidi"/>
          <w:b/>
          <w:bCs/>
        </w:rPr>
        <w:fldChar w:fldCharType="end"/>
      </w:r>
    </w:p>
    <w:p w14:paraId="7BD26A7E" w14:textId="1A816BF0" w:rsidR="00620F22" w:rsidRPr="00620F22" w:rsidRDefault="00620F22" w:rsidP="00620F22">
      <w:pPr>
        <w:spacing w:line="480" w:lineRule="auto"/>
        <w:jc w:val="both"/>
        <w:rPr>
          <w:rFonts w:ascii="Arial" w:hAnsi="Arial" w:cs="Arial"/>
          <w:color w:val="000000" w:themeColor="text1"/>
        </w:rPr>
      </w:pPr>
      <w:bookmarkStart w:id="704" w:name="_Hlk146212970"/>
      <w:bookmarkEnd w:id="702"/>
      <w:bookmarkEnd w:id="703"/>
      <w:r w:rsidRPr="00620F22">
        <w:rPr>
          <w:rFonts w:ascii="Arial" w:hAnsi="Arial" w:cs="Arial"/>
          <w:color w:val="000000" w:themeColor="text1"/>
        </w:rPr>
        <w:t xml:space="preserve">The survey comprised of four sections covering baseline questions, culture, unethical accounting practices / </w:t>
      </w:r>
      <w:bookmarkStart w:id="705" w:name="_Hlk142832267"/>
      <w:r w:rsidRPr="00620F22">
        <w:rPr>
          <w:rFonts w:ascii="Arial" w:hAnsi="Arial" w:cs="Arial"/>
          <w:color w:val="000000" w:themeColor="text1"/>
        </w:rPr>
        <w:t xml:space="preserve">Accounting Fraud </w:t>
      </w:r>
      <w:bookmarkEnd w:id="705"/>
      <w:r w:rsidRPr="00620F22">
        <w:rPr>
          <w:rFonts w:ascii="Arial" w:hAnsi="Arial" w:cs="Arial"/>
          <w:color w:val="000000" w:themeColor="text1"/>
        </w:rPr>
        <w:t xml:space="preserve">which was the ‘disapproval variable’, psychopathy scores and finally deterrence of Accounting Fraud. The second section was unique as the </w:t>
      </w:r>
      <w:r w:rsidR="00BC488C">
        <w:rPr>
          <w:rFonts w:ascii="Arial" w:hAnsi="Arial" w:cs="Arial"/>
          <w:color w:val="000000" w:themeColor="text1"/>
        </w:rPr>
        <w:t>researcher</w:t>
      </w:r>
      <w:r w:rsidRPr="00620F22">
        <w:rPr>
          <w:rFonts w:ascii="Arial" w:hAnsi="Arial" w:cs="Arial"/>
          <w:color w:val="000000" w:themeColor="text1"/>
        </w:rPr>
        <w:t xml:space="preserve"> wanted to ascertain whether culture was a factor in creating corporate psychopathy.  </w:t>
      </w:r>
    </w:p>
    <w:bookmarkEnd w:id="704"/>
    <w:p w14:paraId="524C6134" w14:textId="2D5AE714"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lastRenderedPageBreak/>
        <w:t xml:space="preserve">The </w:t>
      </w:r>
      <w:r w:rsidR="00BC488C">
        <w:rPr>
          <w:rFonts w:ascii="Arial" w:hAnsi="Arial" w:cs="Arial"/>
          <w:color w:val="000000" w:themeColor="text1"/>
        </w:rPr>
        <w:t>researcher</w:t>
      </w:r>
      <w:r w:rsidRPr="00620F22">
        <w:rPr>
          <w:rFonts w:ascii="Arial" w:hAnsi="Arial" w:cs="Arial"/>
          <w:color w:val="000000" w:themeColor="text1"/>
        </w:rPr>
        <w:t xml:space="preserve"> was helped by an internal Director of Audit who circulated the questionnaire through Survey Monkey which included participant consent in April 2022. The cut off for completed questionnaires was late May 2022 and the </w:t>
      </w:r>
      <w:r w:rsidR="00BC488C">
        <w:rPr>
          <w:rFonts w:ascii="Arial" w:hAnsi="Arial" w:cs="Arial"/>
          <w:color w:val="000000" w:themeColor="text1"/>
        </w:rPr>
        <w:t>researcher</w:t>
      </w:r>
      <w:r w:rsidRPr="00620F22">
        <w:rPr>
          <w:rFonts w:ascii="Arial" w:hAnsi="Arial" w:cs="Arial"/>
          <w:color w:val="000000" w:themeColor="text1"/>
        </w:rPr>
        <w:t xml:space="preserve"> received 61 anonymously completed questionnaires however, four had to be ignored as they were incomplete, thus the total sample was </w:t>
      </w:r>
      <w:r w:rsidRPr="00620F22">
        <w:rPr>
          <w:rFonts w:ascii="Arial" w:hAnsi="Arial" w:cs="Arial"/>
          <w:b/>
          <w:bCs/>
          <w:color w:val="000000" w:themeColor="text1"/>
        </w:rPr>
        <w:t>57.</w:t>
      </w:r>
    </w:p>
    <w:p w14:paraId="5739E46D"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t>The key highlights from the baseline analysis or section A are:</w:t>
      </w:r>
    </w:p>
    <w:p w14:paraId="62FD0FF3" w14:textId="77777777" w:rsidR="00620F22" w:rsidRPr="00620F22" w:rsidRDefault="00620F22">
      <w:pPr>
        <w:numPr>
          <w:ilvl w:val="0"/>
          <w:numId w:val="19"/>
        </w:numPr>
        <w:spacing w:line="480" w:lineRule="auto"/>
        <w:contextualSpacing/>
        <w:jc w:val="both"/>
        <w:rPr>
          <w:rFonts w:ascii="Arial" w:hAnsi="Arial" w:cs="Arial"/>
          <w:color w:val="000000" w:themeColor="text1"/>
        </w:rPr>
      </w:pPr>
      <w:r w:rsidRPr="00620F22">
        <w:rPr>
          <w:rFonts w:ascii="Arial" w:hAnsi="Arial" w:cs="Arial"/>
          <w:color w:val="000000" w:themeColor="text1"/>
        </w:rPr>
        <w:t>89% of the sample were aged between 24 to 55 years and above,</w:t>
      </w:r>
    </w:p>
    <w:p w14:paraId="2159BBC4" w14:textId="77777777" w:rsidR="00620F22" w:rsidRPr="00620F22" w:rsidRDefault="00620F22">
      <w:pPr>
        <w:numPr>
          <w:ilvl w:val="0"/>
          <w:numId w:val="19"/>
        </w:numPr>
        <w:spacing w:line="480" w:lineRule="auto"/>
        <w:contextualSpacing/>
        <w:jc w:val="both"/>
        <w:rPr>
          <w:rFonts w:ascii="Arial" w:hAnsi="Arial" w:cs="Arial"/>
          <w:color w:val="000000" w:themeColor="text1"/>
        </w:rPr>
      </w:pPr>
      <w:r w:rsidRPr="00620F22">
        <w:rPr>
          <w:rFonts w:ascii="Arial" w:hAnsi="Arial" w:cs="Arial"/>
          <w:color w:val="000000" w:themeColor="text1"/>
        </w:rPr>
        <w:t>54% were male respondents and the balance, 46% were female,</w:t>
      </w:r>
    </w:p>
    <w:p w14:paraId="0A85038E" w14:textId="77777777" w:rsidR="00620F22" w:rsidRPr="00620F22" w:rsidRDefault="00620F22">
      <w:pPr>
        <w:numPr>
          <w:ilvl w:val="0"/>
          <w:numId w:val="19"/>
        </w:numPr>
        <w:spacing w:line="480" w:lineRule="auto"/>
        <w:contextualSpacing/>
        <w:jc w:val="both"/>
        <w:rPr>
          <w:rFonts w:ascii="Arial" w:hAnsi="Arial" w:cs="Arial"/>
          <w:color w:val="000000" w:themeColor="text1"/>
        </w:rPr>
      </w:pPr>
      <w:r w:rsidRPr="00620F22">
        <w:rPr>
          <w:rFonts w:ascii="Arial" w:hAnsi="Arial" w:cs="Arial"/>
          <w:color w:val="000000" w:themeColor="text1"/>
        </w:rPr>
        <w:t>All the respondents were professionally qualified including 22 who were multi-certified i.e. They held more than one professional qualification such as ACCA and ICAP,</w:t>
      </w:r>
    </w:p>
    <w:p w14:paraId="2BE61EA7" w14:textId="77777777" w:rsidR="00620F22" w:rsidRPr="00620F22" w:rsidRDefault="00620F22">
      <w:pPr>
        <w:numPr>
          <w:ilvl w:val="0"/>
          <w:numId w:val="19"/>
        </w:numPr>
        <w:spacing w:line="480" w:lineRule="auto"/>
        <w:contextualSpacing/>
        <w:jc w:val="both"/>
        <w:rPr>
          <w:rFonts w:ascii="Arial" w:hAnsi="Arial" w:cs="Arial"/>
          <w:color w:val="000000" w:themeColor="text1"/>
        </w:rPr>
      </w:pPr>
      <w:r w:rsidRPr="00620F22">
        <w:rPr>
          <w:rFonts w:ascii="Arial" w:hAnsi="Arial" w:cs="Arial"/>
          <w:color w:val="000000" w:themeColor="text1"/>
        </w:rPr>
        <w:t>The participants ranged from audit junior to partner,</w:t>
      </w:r>
    </w:p>
    <w:p w14:paraId="3632ABC2" w14:textId="77777777" w:rsidR="00620F22" w:rsidRPr="00620F22" w:rsidRDefault="00620F22">
      <w:pPr>
        <w:numPr>
          <w:ilvl w:val="0"/>
          <w:numId w:val="19"/>
        </w:numPr>
        <w:spacing w:line="480" w:lineRule="auto"/>
        <w:contextualSpacing/>
        <w:jc w:val="both"/>
        <w:rPr>
          <w:rFonts w:ascii="Arial" w:hAnsi="Arial" w:cs="Arial"/>
          <w:color w:val="000000" w:themeColor="text1"/>
        </w:rPr>
      </w:pPr>
      <w:r w:rsidRPr="00620F22">
        <w:rPr>
          <w:rFonts w:ascii="Arial" w:hAnsi="Arial" w:cs="Arial"/>
          <w:color w:val="000000" w:themeColor="text1"/>
        </w:rPr>
        <w:t xml:space="preserve">47 participants specialised in audit, one in corporate finance, six in tax and three in business advisory services, </w:t>
      </w:r>
    </w:p>
    <w:p w14:paraId="50F40911" w14:textId="77777777" w:rsidR="00620F22" w:rsidRPr="00620F22" w:rsidRDefault="00620F22">
      <w:pPr>
        <w:numPr>
          <w:ilvl w:val="0"/>
          <w:numId w:val="19"/>
        </w:numPr>
        <w:spacing w:line="480" w:lineRule="auto"/>
        <w:contextualSpacing/>
        <w:jc w:val="both"/>
        <w:rPr>
          <w:rFonts w:ascii="Arial" w:hAnsi="Arial" w:cs="Arial"/>
          <w:color w:val="000000" w:themeColor="text1"/>
        </w:rPr>
      </w:pPr>
      <w:r w:rsidRPr="00620F22">
        <w:rPr>
          <w:rFonts w:ascii="Arial" w:hAnsi="Arial" w:cs="Arial"/>
          <w:color w:val="000000" w:themeColor="text1"/>
        </w:rPr>
        <w:t>53% of the sample had five to ten years professional experience and 30% of participants had more than 10 years of professional experience,</w:t>
      </w:r>
    </w:p>
    <w:p w14:paraId="3D0CB7FA" w14:textId="77777777" w:rsidR="00620F22" w:rsidRPr="00620F22" w:rsidRDefault="00620F22">
      <w:pPr>
        <w:numPr>
          <w:ilvl w:val="0"/>
          <w:numId w:val="19"/>
        </w:numPr>
        <w:spacing w:line="480" w:lineRule="auto"/>
        <w:contextualSpacing/>
        <w:jc w:val="both"/>
        <w:rPr>
          <w:rFonts w:ascii="Arial" w:hAnsi="Arial" w:cs="Arial"/>
          <w:color w:val="000000" w:themeColor="text1"/>
        </w:rPr>
      </w:pPr>
      <w:r w:rsidRPr="00620F22">
        <w:rPr>
          <w:rFonts w:ascii="Arial" w:hAnsi="Arial" w:cs="Arial"/>
          <w:color w:val="000000" w:themeColor="text1"/>
        </w:rPr>
        <w:t>75% explicitly stated that they adhered to a recognised ethical framework such as Islam or Buddhism or Christianity and the balance answered ‘other’.</w:t>
      </w:r>
    </w:p>
    <w:p w14:paraId="2BFAD3C1" w14:textId="77777777" w:rsidR="00620F22" w:rsidRPr="00620F22" w:rsidRDefault="00620F22" w:rsidP="00620F22">
      <w:pPr>
        <w:spacing w:line="480" w:lineRule="auto"/>
        <w:ind w:left="720"/>
        <w:contextualSpacing/>
        <w:jc w:val="both"/>
        <w:rPr>
          <w:rFonts w:ascii="Arial" w:hAnsi="Arial" w:cs="Arial"/>
          <w:color w:val="000000" w:themeColor="text1"/>
        </w:rPr>
      </w:pPr>
    </w:p>
    <w:p w14:paraId="509A5619" w14:textId="1135D2D9" w:rsidR="00620F22" w:rsidRPr="00620F22" w:rsidRDefault="00620F22" w:rsidP="00620F22">
      <w:pPr>
        <w:spacing w:line="480" w:lineRule="auto"/>
        <w:contextualSpacing/>
        <w:jc w:val="both"/>
        <w:rPr>
          <w:rFonts w:ascii="Arial" w:hAnsi="Arial" w:cs="Arial"/>
          <w:color w:val="000000" w:themeColor="text1"/>
        </w:rPr>
      </w:pPr>
      <w:r w:rsidRPr="00620F22">
        <w:rPr>
          <w:rFonts w:ascii="Arial" w:hAnsi="Arial" w:cs="Arial"/>
          <w:b/>
          <w:bCs/>
          <w:color w:val="000000" w:themeColor="text1"/>
        </w:rPr>
        <w:t>Section B</w:t>
      </w:r>
      <w:r w:rsidRPr="00620F22">
        <w:rPr>
          <w:rFonts w:ascii="Arial" w:hAnsi="Arial" w:cs="Arial"/>
          <w:color w:val="000000" w:themeColor="text1"/>
        </w:rPr>
        <w:t xml:space="preserve"> explored the corporate culture of the firm as the </w:t>
      </w:r>
      <w:r w:rsidR="009F6071">
        <w:rPr>
          <w:rFonts w:ascii="Arial" w:hAnsi="Arial" w:cs="Arial"/>
          <w:color w:val="000000" w:themeColor="text1"/>
        </w:rPr>
        <w:t>researcher</w:t>
      </w:r>
      <w:r w:rsidRPr="00620F22">
        <w:rPr>
          <w:rFonts w:ascii="Arial" w:hAnsi="Arial" w:cs="Arial"/>
          <w:color w:val="000000" w:themeColor="text1"/>
        </w:rPr>
        <w:t xml:space="preserve"> wanted to establish whether this is an explanatory variable for modelling the corporate psychopath accountant. </w:t>
      </w:r>
    </w:p>
    <w:p w14:paraId="4BE5E5C2" w14:textId="77777777" w:rsidR="00620F22" w:rsidRDefault="00620F22" w:rsidP="00620F22">
      <w:pPr>
        <w:spacing w:line="480" w:lineRule="auto"/>
        <w:contextualSpacing/>
        <w:jc w:val="both"/>
        <w:rPr>
          <w:rFonts w:ascii="Arial" w:hAnsi="Arial" w:cs="Arial"/>
          <w:color w:val="000000" w:themeColor="text1"/>
          <w:spacing w:val="1"/>
          <w:shd w:val="clear" w:color="auto" w:fill="FFFFFF"/>
        </w:rPr>
      </w:pPr>
      <w:r w:rsidRPr="00620F22">
        <w:rPr>
          <w:rFonts w:ascii="Arial" w:hAnsi="Arial" w:cs="Arial"/>
          <w:color w:val="000000" w:themeColor="text1"/>
          <w:spacing w:val="1"/>
          <w:shd w:val="clear" w:color="auto" w:fill="FFFFFF"/>
        </w:rPr>
        <w:t xml:space="preserve">Corporate culture signifies the beliefs and behaviours that govern how an organisations employees and management interact (internal) and conduct external transactions (Graham et al, 2022). Most of the time corporate culture is implicit, may </w:t>
      </w:r>
      <w:r w:rsidRPr="00620F22">
        <w:rPr>
          <w:rFonts w:ascii="Arial" w:hAnsi="Arial" w:cs="Arial"/>
          <w:color w:val="000000" w:themeColor="text1"/>
          <w:spacing w:val="1"/>
          <w:shd w:val="clear" w:color="auto" w:fill="FFFFFF"/>
        </w:rPr>
        <w:lastRenderedPageBreak/>
        <w:t xml:space="preserve">develop incrementally over time and is underpinned by the critical characteristics of the worker the company hires. </w:t>
      </w:r>
    </w:p>
    <w:p w14:paraId="4DF7C188" w14:textId="77777777" w:rsidR="005B7778" w:rsidRPr="00620F22" w:rsidRDefault="005B7778" w:rsidP="00620F22">
      <w:pPr>
        <w:spacing w:line="480" w:lineRule="auto"/>
        <w:contextualSpacing/>
        <w:jc w:val="both"/>
        <w:rPr>
          <w:rFonts w:ascii="Arial" w:hAnsi="Arial" w:cs="Arial"/>
          <w:color w:val="000000" w:themeColor="text1"/>
          <w:spacing w:val="1"/>
          <w:shd w:val="clear" w:color="auto" w:fill="FFFFFF"/>
        </w:rPr>
      </w:pPr>
    </w:p>
    <w:p w14:paraId="4247F5E9" w14:textId="0A10346E" w:rsidR="005B7778" w:rsidRDefault="00620F22" w:rsidP="005B7778">
      <w:pPr>
        <w:spacing w:line="480" w:lineRule="auto"/>
        <w:contextualSpacing/>
        <w:jc w:val="both"/>
        <w:rPr>
          <w:rFonts w:ascii="Arial" w:hAnsi="Arial" w:cs="Arial"/>
          <w:color w:val="000000" w:themeColor="text1"/>
          <w:spacing w:val="1"/>
          <w:shd w:val="clear" w:color="auto" w:fill="FFFFFF"/>
        </w:rPr>
      </w:pPr>
      <w:r w:rsidRPr="00620F22">
        <w:rPr>
          <w:rFonts w:ascii="Arial" w:hAnsi="Arial" w:cs="Arial"/>
          <w:color w:val="000000" w:themeColor="text1"/>
          <w:spacing w:val="1"/>
          <w:shd w:val="clear" w:color="auto" w:fill="FFFFFF"/>
        </w:rPr>
        <w:t>The term “corporate culture” highlights the beliefs and practices related with a particular organisation. For example, corporate culture may be highlighted in the way a firm hire and promotes employees, or in its corporate vision statement. Some companies attempt to align themselves with a specific set of values or ethics, such as by expressing themselves as an “innovative” or “</w:t>
      </w:r>
      <w:r w:rsidR="00075C6A" w:rsidRPr="00620F22">
        <w:rPr>
          <w:rFonts w:ascii="Arial" w:hAnsi="Arial" w:cs="Arial"/>
          <w:color w:val="000000" w:themeColor="text1"/>
          <w:spacing w:val="1"/>
          <w:shd w:val="clear" w:color="auto" w:fill="FFFFFF"/>
        </w:rPr>
        <w:t>environmentally conscious</w:t>
      </w:r>
      <w:r w:rsidRPr="00620F22">
        <w:rPr>
          <w:rFonts w:ascii="Arial" w:hAnsi="Arial" w:cs="Arial"/>
          <w:color w:val="000000" w:themeColor="text1"/>
          <w:spacing w:val="1"/>
          <w:shd w:val="clear" w:color="auto" w:fill="FFFFFF"/>
        </w:rPr>
        <w:t>” business. For example, Alphabet Inc. or Google is famous for promoting an employee-centric culture where its workers are permitted to spend up to 20% of company pursuing their own projects (Murphy, 2020). In contrast Amazon is known for its unrelenting quest for superior customer service and exceptional operational productivity (Razzetti, 2021).</w:t>
      </w:r>
    </w:p>
    <w:p w14:paraId="6178627C" w14:textId="77777777" w:rsidR="0079547B" w:rsidRDefault="0079547B" w:rsidP="005B7778">
      <w:pPr>
        <w:spacing w:line="480" w:lineRule="auto"/>
        <w:contextualSpacing/>
        <w:jc w:val="both"/>
        <w:rPr>
          <w:rFonts w:ascii="Arial" w:hAnsi="Arial" w:cs="Arial"/>
          <w:color w:val="000000" w:themeColor="text1"/>
          <w:spacing w:val="1"/>
          <w:shd w:val="clear" w:color="auto" w:fill="FFFFFF"/>
        </w:rPr>
      </w:pPr>
    </w:p>
    <w:p w14:paraId="5D806E85" w14:textId="4BD6A57D" w:rsidR="00620F22" w:rsidRDefault="00620F22" w:rsidP="005B7778">
      <w:pPr>
        <w:spacing w:line="480" w:lineRule="auto"/>
        <w:contextualSpacing/>
        <w:jc w:val="both"/>
        <w:rPr>
          <w:rFonts w:ascii="Arial" w:hAnsi="Arial" w:cs="Arial"/>
          <w:color w:val="000000" w:themeColor="text1"/>
          <w:spacing w:val="1"/>
          <w:shd w:val="clear" w:color="auto" w:fill="FFFFFF"/>
        </w:rPr>
      </w:pPr>
      <w:r w:rsidRPr="00620F22">
        <w:rPr>
          <w:rFonts w:ascii="Arial" w:hAnsi="Arial" w:cs="Arial"/>
          <w:color w:val="000000" w:themeColor="text1"/>
          <w:spacing w:val="1"/>
        </w:rPr>
        <w:t xml:space="preserve">It is argued that corporate cultures, whether they are moulded proactively or achieved organically, are at the crux of a company’s ideology and practice, and affect every facet of a business, from each employee welfare or retention to brand image (Tarver, 2023). </w:t>
      </w:r>
      <w:r w:rsidRPr="00620F22">
        <w:rPr>
          <w:rFonts w:ascii="Arial" w:hAnsi="Arial" w:cs="Arial"/>
          <w:color w:val="000000" w:themeColor="text1"/>
          <w:spacing w:val="1"/>
          <w:shd w:val="clear" w:color="auto" w:fill="FFFFFF"/>
        </w:rPr>
        <w:t xml:space="preserve">Consequently, the </w:t>
      </w:r>
      <w:r w:rsidR="00873A32">
        <w:rPr>
          <w:rFonts w:ascii="Arial" w:hAnsi="Arial" w:cs="Arial"/>
          <w:color w:val="000000" w:themeColor="text1"/>
          <w:spacing w:val="1"/>
          <w:shd w:val="clear" w:color="auto" w:fill="FFFFFF"/>
        </w:rPr>
        <w:t>researcher</w:t>
      </w:r>
      <w:r w:rsidRPr="00620F22">
        <w:rPr>
          <w:rFonts w:ascii="Arial" w:hAnsi="Arial" w:cs="Arial"/>
          <w:color w:val="000000" w:themeColor="text1"/>
          <w:spacing w:val="1"/>
          <w:shd w:val="clear" w:color="auto" w:fill="FFFFFF"/>
        </w:rPr>
        <w:t xml:space="preserve"> argues that the corporate psychopath could influence the business culture. </w:t>
      </w:r>
    </w:p>
    <w:p w14:paraId="73DA9376" w14:textId="77777777" w:rsidR="005B7778" w:rsidRPr="00620F22" w:rsidRDefault="005B7778" w:rsidP="00620F22">
      <w:pPr>
        <w:spacing w:line="480" w:lineRule="auto"/>
        <w:contextualSpacing/>
        <w:jc w:val="both"/>
        <w:rPr>
          <w:rFonts w:ascii="Arial" w:hAnsi="Arial" w:cs="Arial"/>
          <w:color w:val="000000" w:themeColor="text1"/>
        </w:rPr>
      </w:pPr>
    </w:p>
    <w:p w14:paraId="231CD65C" w14:textId="77777777" w:rsidR="00620F22" w:rsidRPr="00620F22" w:rsidRDefault="00620F22" w:rsidP="00620F22">
      <w:pPr>
        <w:shd w:val="clear" w:color="auto" w:fill="FFFFFF"/>
        <w:spacing w:after="100" w:afterAutospacing="1" w:line="480" w:lineRule="auto"/>
        <w:jc w:val="both"/>
        <w:rPr>
          <w:rFonts w:ascii="Arial" w:eastAsia="Times New Roman" w:hAnsi="Arial" w:cs="Arial"/>
          <w:color w:val="000000" w:themeColor="text1"/>
          <w:spacing w:val="1"/>
          <w:lang w:eastAsia="en-GB"/>
        </w:rPr>
      </w:pPr>
      <w:r w:rsidRPr="00620F22">
        <w:rPr>
          <w:rFonts w:ascii="Arial" w:eastAsia="Times New Roman" w:hAnsi="Arial" w:cs="Arial"/>
          <w:color w:val="000000" w:themeColor="text1"/>
          <w:spacing w:val="1"/>
          <w:lang w:eastAsia="en-GB"/>
        </w:rPr>
        <w:t>The seminal study Harvard</w:t>
      </w:r>
      <w:r w:rsidRPr="00620F22">
        <w:rPr>
          <w:rFonts w:ascii="Arial" w:eastAsia="Times New Roman" w:hAnsi="Arial" w:cs="Arial"/>
          <w:i/>
          <w:iCs/>
          <w:color w:val="000000" w:themeColor="text1"/>
          <w:spacing w:val="1"/>
          <w:lang w:eastAsia="en-GB"/>
        </w:rPr>
        <w:t xml:space="preserve"> Business Review</w:t>
      </w:r>
      <w:r w:rsidRPr="00620F22">
        <w:rPr>
          <w:rFonts w:ascii="Arial" w:eastAsia="Times New Roman" w:hAnsi="Arial" w:cs="Arial"/>
          <w:color w:val="000000" w:themeColor="text1"/>
          <w:spacing w:val="1"/>
          <w:lang w:eastAsia="en-GB"/>
        </w:rPr>
        <w:t xml:space="preserve"> (2015) highlighted six vital features of a healthy corporate culture. Beginning with a "vision": from an uncomplicated mission statement, a company’s vision is a powerful instrument. For example, Pepsi’s business slogan: “The Choice of a New Generation” is a brilliant corporate vision. </w:t>
      </w:r>
      <w:r w:rsidRPr="00620F22">
        <w:rPr>
          <w:rFonts w:ascii="Arial" w:eastAsia="Times New Roman" w:hAnsi="Arial" w:cs="Arial"/>
          <w:color w:val="000000" w:themeColor="text1"/>
          <w:spacing w:val="1"/>
          <w:lang w:eastAsia="en-GB"/>
        </w:rPr>
        <w:lastRenderedPageBreak/>
        <w:t>Secondly, "values," although an all-encompassing concept, represent the mindset and perceptions essential to achieve a company vision.</w:t>
      </w:r>
    </w:p>
    <w:p w14:paraId="24584C6F" w14:textId="77777777" w:rsidR="00620F22" w:rsidRPr="00620F22" w:rsidRDefault="00620F22" w:rsidP="00620F22">
      <w:pPr>
        <w:shd w:val="clear" w:color="auto" w:fill="FFFFFF"/>
        <w:spacing w:after="100" w:afterAutospacing="1" w:line="480" w:lineRule="auto"/>
        <w:jc w:val="both"/>
        <w:rPr>
          <w:rFonts w:ascii="Arial" w:eastAsia="Times New Roman" w:hAnsi="Arial" w:cs="Arial"/>
          <w:color w:val="000000" w:themeColor="text1"/>
          <w:spacing w:val="1"/>
          <w:lang w:eastAsia="en-GB"/>
        </w:rPr>
      </w:pPr>
      <w:r w:rsidRPr="00620F22">
        <w:rPr>
          <w:rFonts w:ascii="Arial" w:eastAsia="Times New Roman" w:hAnsi="Arial" w:cs="Arial"/>
          <w:color w:val="000000" w:themeColor="text1"/>
          <w:spacing w:val="1"/>
          <w:lang w:eastAsia="en-GB"/>
        </w:rPr>
        <w:t>Equally, "practices" are the visible methods, underpinned by ethics, through which a company realises its values. For example, Netflix stress the significance of knowledge-focussed, high performing employees therefore, Netflix remunerates its employees with the highest possible salaries, rather than through a paygrade where an employee will have to climb the corporate ladder (Anon,2021). Next are "People, with companies employing and recruiting employees who are strongly aligned to their corporate culture. As noted earlier in the psychopathic process section a future psychopath is a master of feigning sincerity and deceiving colleagues.</w:t>
      </w:r>
    </w:p>
    <w:p w14:paraId="6A78FCF6" w14:textId="77777777" w:rsidR="00620F22" w:rsidRPr="00620F22" w:rsidRDefault="00620F22" w:rsidP="00620F22">
      <w:pPr>
        <w:shd w:val="clear" w:color="auto" w:fill="FFFFFF"/>
        <w:spacing w:after="100" w:afterAutospacing="1" w:line="480" w:lineRule="auto"/>
        <w:jc w:val="both"/>
        <w:rPr>
          <w:rFonts w:ascii="Arial" w:eastAsia="Times New Roman" w:hAnsi="Arial" w:cs="Arial"/>
          <w:color w:val="000000" w:themeColor="text1"/>
          <w:spacing w:val="1"/>
          <w:lang w:eastAsia="en-GB"/>
        </w:rPr>
      </w:pPr>
      <w:r w:rsidRPr="00620F22">
        <w:rPr>
          <w:rFonts w:ascii="Arial" w:eastAsia="Times New Roman" w:hAnsi="Arial" w:cs="Arial"/>
          <w:color w:val="000000" w:themeColor="text1"/>
          <w:spacing w:val="1"/>
          <w:lang w:eastAsia="en-GB"/>
        </w:rPr>
        <w:t>Finally, "narrative" and "place" which are distinctly modern perhaps the most contemporary features of a corporate culture. Possessing a powerful narrative or ‘’origin story’’, such as that of Bill Gates of Microsoft, is imperative for development and a positive public image. The "place" of business, such as office space or staff facilities, is probably one of the major innovations in contemporary corporate culture</w:t>
      </w:r>
      <w:r w:rsidRPr="00620F22">
        <w:rPr>
          <w:rFonts w:ascii="Arial" w:eastAsia="Times New Roman" w:hAnsi="Arial" w:cs="Arial"/>
          <w:color w:val="000000" w:themeColor="text1"/>
          <w:spacing w:val="1"/>
          <w:sz w:val="27"/>
          <w:szCs w:val="27"/>
          <w:lang w:eastAsia="en-GB"/>
        </w:rPr>
        <w:t xml:space="preserve">. </w:t>
      </w:r>
      <w:r w:rsidRPr="00620F22">
        <w:rPr>
          <w:rFonts w:ascii="Arial" w:eastAsia="Times New Roman" w:hAnsi="Arial" w:cs="Arial"/>
          <w:color w:val="000000" w:themeColor="text1"/>
          <w:spacing w:val="1"/>
          <w:lang w:eastAsia="en-GB"/>
        </w:rPr>
        <w:t>Although outside the scope of this study the current global phenomenon of agile working, post pandemic has changed this the concept of “place”.</w:t>
      </w:r>
    </w:p>
    <w:p w14:paraId="3E8D63E0" w14:textId="77777777" w:rsidR="00620F22" w:rsidRDefault="00620F22" w:rsidP="00620F22">
      <w:pPr>
        <w:shd w:val="clear" w:color="auto" w:fill="FFFFFF"/>
        <w:spacing w:after="100" w:afterAutospacing="1" w:line="480" w:lineRule="auto"/>
        <w:jc w:val="both"/>
        <w:rPr>
          <w:rFonts w:ascii="Arial" w:eastAsia="Times New Roman" w:hAnsi="Arial" w:cs="Arial"/>
          <w:b/>
          <w:bCs/>
          <w:color w:val="000000" w:themeColor="text1"/>
          <w:spacing w:val="1"/>
          <w:lang w:eastAsia="en-GB"/>
        </w:rPr>
      </w:pPr>
      <w:r w:rsidRPr="00620F22">
        <w:rPr>
          <w:rFonts w:ascii="Arial" w:eastAsia="Times New Roman" w:hAnsi="Arial" w:cs="Arial"/>
          <w:color w:val="000000" w:themeColor="text1"/>
          <w:spacing w:val="1"/>
          <w:lang w:eastAsia="en-GB"/>
        </w:rPr>
        <w:t xml:space="preserve">The following twelve statements were tested on a Likert scale, 1 – 5, ranging from Completely Agree (Moderately Agree, Unclear) to (Moderately Disagree) Complete Disagree, </w:t>
      </w:r>
      <w:r w:rsidRPr="00620F22">
        <w:rPr>
          <w:rFonts w:ascii="Arial" w:eastAsia="Times New Roman" w:hAnsi="Arial" w:cs="Arial"/>
          <w:b/>
          <w:bCs/>
          <w:color w:val="000000" w:themeColor="text1"/>
          <w:spacing w:val="1"/>
          <w:lang w:eastAsia="en-GB"/>
        </w:rPr>
        <w:t>Table 4.3.</w:t>
      </w:r>
    </w:p>
    <w:p w14:paraId="20C73C01" w14:textId="77777777" w:rsidR="0079547B" w:rsidRDefault="0079547B" w:rsidP="00620F22">
      <w:pPr>
        <w:shd w:val="clear" w:color="auto" w:fill="FFFFFF"/>
        <w:spacing w:after="100" w:afterAutospacing="1" w:line="480" w:lineRule="auto"/>
        <w:jc w:val="both"/>
        <w:rPr>
          <w:rFonts w:ascii="Arial" w:eastAsia="Times New Roman" w:hAnsi="Arial" w:cs="Arial"/>
          <w:b/>
          <w:bCs/>
          <w:color w:val="000000" w:themeColor="text1"/>
          <w:spacing w:val="1"/>
          <w:lang w:eastAsia="en-GB"/>
        </w:rPr>
      </w:pPr>
    </w:p>
    <w:p w14:paraId="6F159748" w14:textId="77777777" w:rsidR="0079547B" w:rsidRPr="00620F22" w:rsidRDefault="0079547B" w:rsidP="00620F22">
      <w:pPr>
        <w:shd w:val="clear" w:color="auto" w:fill="FFFFFF"/>
        <w:spacing w:after="100" w:afterAutospacing="1" w:line="480" w:lineRule="auto"/>
        <w:jc w:val="both"/>
        <w:rPr>
          <w:rFonts w:ascii="Arial" w:eastAsia="Times New Roman" w:hAnsi="Arial" w:cs="Arial"/>
          <w:color w:val="000000" w:themeColor="text1"/>
          <w:spacing w:val="1"/>
          <w:lang w:eastAsia="en-GB"/>
        </w:rPr>
      </w:pPr>
    </w:p>
    <w:p w14:paraId="513D618A" w14:textId="77777777" w:rsidR="00620F22" w:rsidRPr="00620F22" w:rsidRDefault="00620F22" w:rsidP="00620F22">
      <w:pPr>
        <w:shd w:val="clear" w:color="auto" w:fill="FFFFFF"/>
        <w:spacing w:after="100" w:afterAutospacing="1" w:line="480" w:lineRule="auto"/>
        <w:jc w:val="both"/>
        <w:rPr>
          <w:rFonts w:ascii="Arial" w:eastAsia="Times New Roman" w:hAnsi="Arial" w:cs="Arial"/>
          <w:b/>
          <w:bCs/>
          <w:color w:val="000000" w:themeColor="text1"/>
          <w:spacing w:val="1"/>
          <w:lang w:eastAsia="en-GB"/>
        </w:rPr>
      </w:pPr>
      <w:bookmarkStart w:id="706" w:name="_Hlk113208804"/>
      <w:r w:rsidRPr="00620F22">
        <w:rPr>
          <w:rFonts w:ascii="Arial" w:eastAsia="Times New Roman" w:hAnsi="Arial" w:cs="Arial"/>
          <w:b/>
          <w:bCs/>
          <w:color w:val="000000" w:themeColor="text1"/>
          <w:spacing w:val="1"/>
          <w:lang w:eastAsia="en-GB"/>
        </w:rPr>
        <w:lastRenderedPageBreak/>
        <w:t xml:space="preserve">Table 4.3 Culture Statements </w:t>
      </w:r>
    </w:p>
    <w:tbl>
      <w:tblPr>
        <w:tblStyle w:val="TableGrid1"/>
        <w:tblW w:w="0" w:type="auto"/>
        <w:tblLook w:val="04A0" w:firstRow="1" w:lastRow="0" w:firstColumn="1" w:lastColumn="0" w:noHBand="0" w:noVBand="1"/>
      </w:tblPr>
      <w:tblGrid>
        <w:gridCol w:w="1265"/>
        <w:gridCol w:w="7751"/>
      </w:tblGrid>
      <w:tr w:rsidR="00620F22" w:rsidRPr="00620F22" w14:paraId="4AC14CD9" w14:textId="77777777" w:rsidTr="001D4222">
        <w:tc>
          <w:tcPr>
            <w:tcW w:w="1129" w:type="dxa"/>
          </w:tcPr>
          <w:p w14:paraId="3AD3CAD1" w14:textId="77777777" w:rsidR="00620F22" w:rsidRPr="00620F22" w:rsidRDefault="00620F22" w:rsidP="008E2178">
            <w:pPr>
              <w:spacing w:after="100" w:afterAutospacing="1" w:line="360" w:lineRule="auto"/>
              <w:rPr>
                <w:rFonts w:asciiTheme="minorBidi" w:eastAsia="Times New Roman" w:hAnsiTheme="minorBidi"/>
                <w:b/>
                <w:bCs/>
                <w:spacing w:val="1"/>
                <w:sz w:val="24"/>
                <w:szCs w:val="24"/>
                <w:lang w:eastAsia="en-GB"/>
              </w:rPr>
            </w:pPr>
            <w:r w:rsidRPr="00620F22">
              <w:rPr>
                <w:rFonts w:asciiTheme="minorBidi" w:eastAsia="Times New Roman" w:hAnsiTheme="minorBidi"/>
                <w:b/>
                <w:bCs/>
                <w:spacing w:val="1"/>
                <w:sz w:val="24"/>
                <w:szCs w:val="24"/>
                <w:lang w:eastAsia="en-GB"/>
              </w:rPr>
              <w:t>Question</w:t>
            </w:r>
          </w:p>
        </w:tc>
        <w:tc>
          <w:tcPr>
            <w:tcW w:w="7887" w:type="dxa"/>
          </w:tcPr>
          <w:p w14:paraId="6A188C0A" w14:textId="77777777" w:rsidR="00620F22" w:rsidRPr="00620F22" w:rsidRDefault="00620F22" w:rsidP="008E2178">
            <w:pPr>
              <w:spacing w:after="100" w:afterAutospacing="1" w:line="360" w:lineRule="auto"/>
              <w:rPr>
                <w:rFonts w:asciiTheme="minorBidi" w:eastAsia="Times New Roman" w:hAnsiTheme="minorBidi"/>
                <w:b/>
                <w:bCs/>
                <w:spacing w:val="1"/>
                <w:sz w:val="24"/>
                <w:szCs w:val="24"/>
                <w:lang w:eastAsia="en-GB"/>
              </w:rPr>
            </w:pPr>
            <w:r w:rsidRPr="00620F22">
              <w:rPr>
                <w:rFonts w:asciiTheme="minorBidi" w:eastAsia="Times New Roman" w:hAnsiTheme="minorBidi"/>
                <w:b/>
                <w:bCs/>
                <w:spacing w:val="1"/>
                <w:sz w:val="24"/>
                <w:szCs w:val="24"/>
                <w:lang w:eastAsia="en-GB"/>
              </w:rPr>
              <w:t>Statement</w:t>
            </w:r>
          </w:p>
        </w:tc>
      </w:tr>
      <w:tr w:rsidR="00620F22" w:rsidRPr="00620F22" w14:paraId="01768E4E" w14:textId="77777777" w:rsidTr="001D4222">
        <w:tc>
          <w:tcPr>
            <w:tcW w:w="1129" w:type="dxa"/>
          </w:tcPr>
          <w:p w14:paraId="74AE0C47" w14:textId="77777777" w:rsidR="00620F22" w:rsidRPr="00620F22" w:rsidRDefault="00620F22" w:rsidP="008E2178">
            <w:pPr>
              <w:spacing w:after="100" w:afterAutospacing="1" w:line="36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1</w:t>
            </w:r>
          </w:p>
        </w:tc>
        <w:tc>
          <w:tcPr>
            <w:tcW w:w="7887" w:type="dxa"/>
          </w:tcPr>
          <w:p w14:paraId="5419EBC4" w14:textId="77777777" w:rsidR="00620F22" w:rsidRPr="00620F22" w:rsidRDefault="00620F22" w:rsidP="008E2178">
            <w:pPr>
              <w:spacing w:after="100" w:afterAutospacing="1" w:line="36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Teamwork is encouraged and rewarded</w:t>
            </w:r>
          </w:p>
        </w:tc>
      </w:tr>
      <w:tr w:rsidR="00620F22" w:rsidRPr="00620F22" w14:paraId="2C971CEC" w14:textId="77777777" w:rsidTr="001D4222">
        <w:tc>
          <w:tcPr>
            <w:tcW w:w="1129" w:type="dxa"/>
          </w:tcPr>
          <w:p w14:paraId="3C3E007B" w14:textId="77777777" w:rsidR="00620F22" w:rsidRPr="00620F22" w:rsidRDefault="00620F22" w:rsidP="008E2178">
            <w:pPr>
              <w:spacing w:after="100" w:afterAutospacing="1" w:line="36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2</w:t>
            </w:r>
          </w:p>
        </w:tc>
        <w:tc>
          <w:tcPr>
            <w:tcW w:w="7887" w:type="dxa"/>
          </w:tcPr>
          <w:p w14:paraId="31A546BA" w14:textId="77777777" w:rsidR="00620F22" w:rsidRPr="00620F22" w:rsidRDefault="00620F22" w:rsidP="008E2178">
            <w:pPr>
              <w:spacing w:after="100" w:afterAutospacing="1" w:line="36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People’s behaviour is not governed by office policies, procedures, and manuals</w:t>
            </w:r>
          </w:p>
        </w:tc>
      </w:tr>
      <w:tr w:rsidR="00620F22" w:rsidRPr="00620F22" w14:paraId="65BA2C43" w14:textId="77777777" w:rsidTr="001D4222">
        <w:tc>
          <w:tcPr>
            <w:tcW w:w="1129" w:type="dxa"/>
          </w:tcPr>
          <w:p w14:paraId="3C3D4AEC" w14:textId="77777777" w:rsidR="00620F22" w:rsidRPr="00620F22" w:rsidRDefault="00620F22" w:rsidP="008E2178">
            <w:pPr>
              <w:spacing w:after="100" w:afterAutospacing="1" w:line="36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3</w:t>
            </w:r>
          </w:p>
        </w:tc>
        <w:tc>
          <w:tcPr>
            <w:tcW w:w="7887" w:type="dxa"/>
          </w:tcPr>
          <w:p w14:paraId="16701AA0" w14:textId="77777777" w:rsidR="00620F22" w:rsidRPr="00620F22" w:rsidRDefault="00620F22" w:rsidP="008E2178">
            <w:pPr>
              <w:spacing w:after="100" w:afterAutospacing="1" w:line="36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Completing an assignment to budget even if that involves unpaid overtime is discouraged</w:t>
            </w:r>
          </w:p>
        </w:tc>
      </w:tr>
      <w:tr w:rsidR="00620F22" w:rsidRPr="00620F22" w14:paraId="2CCF1BE1" w14:textId="77777777" w:rsidTr="001D4222">
        <w:tc>
          <w:tcPr>
            <w:tcW w:w="1129" w:type="dxa"/>
          </w:tcPr>
          <w:p w14:paraId="3240F2C3" w14:textId="77777777" w:rsidR="00620F22" w:rsidRPr="00620F22" w:rsidRDefault="00620F22" w:rsidP="008E2178">
            <w:pPr>
              <w:spacing w:after="100" w:afterAutospacing="1" w:line="36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4</w:t>
            </w:r>
          </w:p>
        </w:tc>
        <w:tc>
          <w:tcPr>
            <w:tcW w:w="7887" w:type="dxa"/>
          </w:tcPr>
          <w:p w14:paraId="00ADF650" w14:textId="77777777" w:rsidR="00620F22" w:rsidRPr="00620F22" w:rsidRDefault="00620F22" w:rsidP="008E2178">
            <w:pPr>
              <w:spacing w:after="100" w:afterAutospacing="1" w:line="36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Work-life balance is actively promoted in the office</w:t>
            </w:r>
          </w:p>
        </w:tc>
      </w:tr>
      <w:tr w:rsidR="00620F22" w:rsidRPr="00620F22" w14:paraId="3A1B5489" w14:textId="77777777" w:rsidTr="001D4222">
        <w:tc>
          <w:tcPr>
            <w:tcW w:w="1129" w:type="dxa"/>
          </w:tcPr>
          <w:p w14:paraId="206D3ECA" w14:textId="77777777" w:rsidR="00620F22" w:rsidRPr="00620F22" w:rsidRDefault="00620F22" w:rsidP="008E2178">
            <w:pPr>
              <w:spacing w:after="100" w:afterAutospacing="1" w:line="36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5</w:t>
            </w:r>
          </w:p>
        </w:tc>
        <w:tc>
          <w:tcPr>
            <w:tcW w:w="7887" w:type="dxa"/>
          </w:tcPr>
          <w:p w14:paraId="1A0E8544" w14:textId="77777777" w:rsidR="00620F22" w:rsidRPr="00620F22" w:rsidRDefault="00620F22" w:rsidP="008E2178">
            <w:pPr>
              <w:spacing w:after="100" w:afterAutospacing="1" w:line="36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Staff are not encouraged to take leave / vacation/ holiday</w:t>
            </w:r>
          </w:p>
        </w:tc>
      </w:tr>
      <w:tr w:rsidR="00620F22" w:rsidRPr="00620F22" w14:paraId="5B6DC24A" w14:textId="77777777" w:rsidTr="001D4222">
        <w:tc>
          <w:tcPr>
            <w:tcW w:w="1129" w:type="dxa"/>
          </w:tcPr>
          <w:p w14:paraId="4586F143" w14:textId="77777777" w:rsidR="00620F22" w:rsidRPr="00620F22" w:rsidRDefault="00620F22" w:rsidP="008E2178">
            <w:pPr>
              <w:spacing w:after="100" w:afterAutospacing="1" w:line="36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6</w:t>
            </w:r>
          </w:p>
        </w:tc>
        <w:tc>
          <w:tcPr>
            <w:tcW w:w="7887" w:type="dxa"/>
          </w:tcPr>
          <w:p w14:paraId="64E25F45" w14:textId="77777777" w:rsidR="00620F22" w:rsidRPr="00620F22" w:rsidRDefault="00620F22" w:rsidP="008E2178">
            <w:pPr>
              <w:spacing w:after="100" w:afterAutospacing="1" w:line="36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You feel valued and supported by your line manager in your job function</w:t>
            </w:r>
          </w:p>
        </w:tc>
      </w:tr>
      <w:tr w:rsidR="00620F22" w:rsidRPr="00620F22" w14:paraId="7553260F" w14:textId="77777777" w:rsidTr="001D4222">
        <w:tc>
          <w:tcPr>
            <w:tcW w:w="1129" w:type="dxa"/>
          </w:tcPr>
          <w:p w14:paraId="1CC38420" w14:textId="77777777" w:rsidR="00620F22" w:rsidRPr="00620F22" w:rsidRDefault="00620F22" w:rsidP="008E2178">
            <w:pPr>
              <w:spacing w:after="100" w:afterAutospacing="1" w:line="36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7</w:t>
            </w:r>
          </w:p>
        </w:tc>
        <w:tc>
          <w:tcPr>
            <w:tcW w:w="7887" w:type="dxa"/>
          </w:tcPr>
          <w:p w14:paraId="13B0810A" w14:textId="77777777" w:rsidR="00620F22" w:rsidRPr="00620F22" w:rsidRDefault="00620F22" w:rsidP="008E2178">
            <w:pPr>
              <w:spacing w:after="100" w:afterAutospacing="1" w:line="36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You believe that senior management do not work for the benefit of your office rather for themselves</w:t>
            </w:r>
          </w:p>
        </w:tc>
      </w:tr>
      <w:tr w:rsidR="00620F22" w:rsidRPr="00620F22" w14:paraId="62D1176D" w14:textId="77777777" w:rsidTr="001D4222">
        <w:tc>
          <w:tcPr>
            <w:tcW w:w="1129" w:type="dxa"/>
          </w:tcPr>
          <w:p w14:paraId="11E80DF4" w14:textId="77777777" w:rsidR="00620F22" w:rsidRPr="00620F22" w:rsidRDefault="00620F22" w:rsidP="008E2178">
            <w:pPr>
              <w:spacing w:after="100" w:afterAutospacing="1" w:line="36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8</w:t>
            </w:r>
          </w:p>
        </w:tc>
        <w:tc>
          <w:tcPr>
            <w:tcW w:w="7887" w:type="dxa"/>
          </w:tcPr>
          <w:p w14:paraId="0E6C10E7" w14:textId="77777777" w:rsidR="00620F22" w:rsidRPr="00620F22" w:rsidRDefault="00620F22" w:rsidP="008E2178">
            <w:pPr>
              <w:spacing w:after="100" w:afterAutospacing="1" w:line="36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Promotion is open, fair and transparent</w:t>
            </w:r>
          </w:p>
        </w:tc>
      </w:tr>
      <w:tr w:rsidR="00620F22" w:rsidRPr="00620F22" w14:paraId="31F31F9B" w14:textId="77777777" w:rsidTr="001D4222">
        <w:tc>
          <w:tcPr>
            <w:tcW w:w="1129" w:type="dxa"/>
          </w:tcPr>
          <w:p w14:paraId="0A7CA291" w14:textId="77777777" w:rsidR="00620F22" w:rsidRPr="00620F22" w:rsidRDefault="00620F22" w:rsidP="008E2178">
            <w:pPr>
              <w:spacing w:after="100" w:afterAutospacing="1" w:line="36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9</w:t>
            </w:r>
          </w:p>
        </w:tc>
        <w:tc>
          <w:tcPr>
            <w:tcW w:w="7887" w:type="dxa"/>
          </w:tcPr>
          <w:p w14:paraId="6A7552B7" w14:textId="77777777" w:rsidR="00620F22" w:rsidRPr="00620F22" w:rsidRDefault="00620F22" w:rsidP="008E2178">
            <w:pPr>
              <w:spacing w:after="100" w:afterAutospacing="1" w:line="36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Authority is more important than job satisfaction</w:t>
            </w:r>
          </w:p>
        </w:tc>
      </w:tr>
      <w:tr w:rsidR="00620F22" w:rsidRPr="00620F22" w14:paraId="21128691" w14:textId="77777777" w:rsidTr="001D4222">
        <w:tc>
          <w:tcPr>
            <w:tcW w:w="1129" w:type="dxa"/>
          </w:tcPr>
          <w:p w14:paraId="57105114" w14:textId="77777777" w:rsidR="00620F22" w:rsidRPr="00620F22" w:rsidRDefault="00620F22" w:rsidP="008E2178">
            <w:pPr>
              <w:spacing w:after="100" w:afterAutospacing="1" w:line="36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10</w:t>
            </w:r>
          </w:p>
        </w:tc>
        <w:tc>
          <w:tcPr>
            <w:tcW w:w="7887" w:type="dxa"/>
          </w:tcPr>
          <w:p w14:paraId="280348F4" w14:textId="77777777" w:rsidR="00620F22" w:rsidRPr="00620F22" w:rsidRDefault="00620F22" w:rsidP="008E2178">
            <w:pPr>
              <w:spacing w:after="100" w:afterAutospacing="1" w:line="36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Workplace stress should be managed so that it does not damage health</w:t>
            </w:r>
          </w:p>
        </w:tc>
      </w:tr>
      <w:tr w:rsidR="00620F22" w:rsidRPr="00620F22" w14:paraId="70F55FC3" w14:textId="77777777" w:rsidTr="001D4222">
        <w:tc>
          <w:tcPr>
            <w:tcW w:w="1129" w:type="dxa"/>
          </w:tcPr>
          <w:p w14:paraId="5EC13EEB" w14:textId="77777777" w:rsidR="00620F22" w:rsidRPr="00620F22" w:rsidRDefault="00620F22" w:rsidP="008E2178">
            <w:pPr>
              <w:spacing w:after="100" w:afterAutospacing="1" w:line="36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11</w:t>
            </w:r>
          </w:p>
        </w:tc>
        <w:tc>
          <w:tcPr>
            <w:tcW w:w="7887" w:type="dxa"/>
          </w:tcPr>
          <w:p w14:paraId="369799D5" w14:textId="77777777" w:rsidR="00620F22" w:rsidRPr="00620F22" w:rsidRDefault="00620F22" w:rsidP="008E2178">
            <w:pPr>
              <w:spacing w:after="100" w:afterAutospacing="1" w:line="36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You are likely to recommend your firm to others</w:t>
            </w:r>
          </w:p>
        </w:tc>
      </w:tr>
      <w:tr w:rsidR="00620F22" w:rsidRPr="00620F22" w14:paraId="29AAEDB3" w14:textId="77777777" w:rsidTr="001D4222">
        <w:tc>
          <w:tcPr>
            <w:tcW w:w="1129" w:type="dxa"/>
          </w:tcPr>
          <w:p w14:paraId="10679E73" w14:textId="77777777" w:rsidR="00620F22" w:rsidRPr="00620F22" w:rsidRDefault="00620F22" w:rsidP="008E2178">
            <w:pPr>
              <w:spacing w:after="100" w:afterAutospacing="1" w:line="36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12</w:t>
            </w:r>
          </w:p>
        </w:tc>
        <w:tc>
          <w:tcPr>
            <w:tcW w:w="7887" w:type="dxa"/>
          </w:tcPr>
          <w:p w14:paraId="723656C0" w14:textId="77777777" w:rsidR="00620F22" w:rsidRPr="00620F22" w:rsidRDefault="00620F22" w:rsidP="008E2178">
            <w:pPr>
              <w:spacing w:after="100" w:afterAutospacing="1" w:line="36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 xml:space="preserve">Diversity and inclusion are the priority agenda at your firm </w:t>
            </w:r>
          </w:p>
        </w:tc>
      </w:tr>
      <w:bookmarkEnd w:id="706"/>
    </w:tbl>
    <w:p w14:paraId="1D6DBFE0" w14:textId="77777777" w:rsidR="00620F22" w:rsidRPr="00620F22" w:rsidRDefault="00620F22" w:rsidP="008E2178">
      <w:pPr>
        <w:shd w:val="clear" w:color="auto" w:fill="FFFFFF"/>
        <w:spacing w:after="100" w:afterAutospacing="1" w:line="360" w:lineRule="auto"/>
        <w:jc w:val="both"/>
        <w:rPr>
          <w:rFonts w:asciiTheme="minorBidi" w:eastAsia="Times New Roman" w:hAnsiTheme="minorBidi"/>
          <w:color w:val="000000" w:themeColor="text1"/>
          <w:spacing w:val="1"/>
          <w:lang w:eastAsia="en-GB"/>
        </w:rPr>
      </w:pPr>
    </w:p>
    <w:p w14:paraId="1666B1AB" w14:textId="1FC397AB" w:rsidR="00620F22" w:rsidRPr="00620F22" w:rsidRDefault="00620F22" w:rsidP="00620F22">
      <w:pPr>
        <w:spacing w:line="480" w:lineRule="auto"/>
        <w:contextualSpacing/>
        <w:jc w:val="both"/>
        <w:rPr>
          <w:rFonts w:ascii="Arial" w:hAnsi="Arial" w:cs="Arial"/>
          <w:color w:val="000000" w:themeColor="text1"/>
        </w:rPr>
      </w:pPr>
      <w:bookmarkStart w:id="707" w:name="_Hlk113210104"/>
      <w:r w:rsidRPr="00620F22">
        <w:rPr>
          <w:rFonts w:ascii="Arial" w:hAnsi="Arial" w:cs="Arial"/>
          <w:color w:val="000000" w:themeColor="text1"/>
        </w:rPr>
        <w:t xml:space="preserve">Once the Cronbach Alpha, a measure internal consistency, for this part of the survey was established at an acceptable 0.63, </w:t>
      </w:r>
      <w:r w:rsidRPr="00620F22">
        <w:rPr>
          <w:rFonts w:ascii="Arial" w:hAnsi="Arial" w:cs="Arial"/>
          <w:b/>
          <w:bCs/>
          <w:color w:val="000000" w:themeColor="text1"/>
        </w:rPr>
        <w:t>see Appendix I</w:t>
      </w:r>
      <w:r w:rsidRPr="00620F22">
        <w:rPr>
          <w:rFonts w:ascii="Arial" w:hAnsi="Arial" w:cs="Arial"/>
          <w:color w:val="000000" w:themeColor="text1"/>
        </w:rPr>
        <w:t xml:space="preserve">. The </w:t>
      </w:r>
      <w:r w:rsidR="00DA6F76">
        <w:rPr>
          <w:rFonts w:ascii="Arial" w:hAnsi="Arial" w:cs="Arial"/>
          <w:color w:val="000000" w:themeColor="text1"/>
        </w:rPr>
        <w:t>researcher</w:t>
      </w:r>
      <w:r w:rsidRPr="00620F22">
        <w:rPr>
          <w:rFonts w:ascii="Arial" w:hAnsi="Arial" w:cs="Arial"/>
          <w:color w:val="000000" w:themeColor="text1"/>
        </w:rPr>
        <w:t xml:space="preserve"> subjected all twelve questions to a null (where the population mean is equal to 3) and research hypothesis (where the population mean does not equal 3) underpinned by the Confidence Interval and One-t test statistical tests</w:t>
      </w:r>
      <w:bookmarkEnd w:id="707"/>
      <w:r w:rsidRPr="00620F22">
        <w:rPr>
          <w:rFonts w:ascii="Arial" w:hAnsi="Arial" w:cs="Arial"/>
          <w:color w:val="000000" w:themeColor="text1"/>
        </w:rPr>
        <w:t xml:space="preserve">, </w:t>
      </w:r>
      <w:r w:rsidRPr="00620F22">
        <w:rPr>
          <w:rFonts w:ascii="Arial" w:hAnsi="Arial" w:cs="Arial"/>
          <w:b/>
          <w:bCs/>
          <w:color w:val="000000" w:themeColor="text1"/>
        </w:rPr>
        <w:t>see Appendix J</w:t>
      </w:r>
      <w:r w:rsidRPr="00620F22">
        <w:rPr>
          <w:rFonts w:ascii="Arial" w:hAnsi="Arial" w:cs="Arial"/>
          <w:color w:val="000000" w:themeColor="text1"/>
        </w:rPr>
        <w:t xml:space="preserve">. </w:t>
      </w:r>
    </w:p>
    <w:p w14:paraId="7CBAB6EC" w14:textId="77777777" w:rsidR="00620F22" w:rsidRPr="00620F22" w:rsidRDefault="00620F22" w:rsidP="00620F22">
      <w:pPr>
        <w:spacing w:line="480" w:lineRule="auto"/>
        <w:contextualSpacing/>
        <w:jc w:val="both"/>
        <w:rPr>
          <w:rFonts w:ascii="Arial" w:hAnsi="Arial" w:cs="Arial"/>
          <w:color w:val="000000" w:themeColor="text1"/>
        </w:rPr>
      </w:pPr>
    </w:p>
    <w:p w14:paraId="220878B8" w14:textId="77777777" w:rsidR="00620F22" w:rsidRPr="00620F22" w:rsidRDefault="00620F22" w:rsidP="00620F22">
      <w:pPr>
        <w:spacing w:line="480" w:lineRule="auto"/>
        <w:contextualSpacing/>
        <w:jc w:val="both"/>
        <w:rPr>
          <w:rFonts w:ascii="Arial" w:hAnsi="Arial" w:cs="Arial"/>
          <w:color w:val="000000" w:themeColor="text1"/>
        </w:rPr>
      </w:pPr>
      <w:r w:rsidRPr="00620F22">
        <w:rPr>
          <w:rFonts w:ascii="Arial" w:hAnsi="Arial" w:cs="Arial"/>
          <w:color w:val="000000" w:themeColor="text1"/>
        </w:rPr>
        <w:t xml:space="preserve">In summary the participants significantly agreed in a positive manner towards question one, five, six, seven, eight, ten, eleven and twelve and neither agreed or disagreed to question two, three, four and nine, see Figure 3.1. Suggesting that the firm should </w:t>
      </w:r>
      <w:r w:rsidRPr="00620F22">
        <w:rPr>
          <w:rFonts w:ascii="Arial" w:hAnsi="Arial" w:cs="Arial"/>
          <w:color w:val="000000" w:themeColor="text1"/>
        </w:rPr>
        <w:lastRenderedPageBreak/>
        <w:t>consider improving office protocols, workload, work-life balance, and job satisfaction ideally in consultation with firm employees. On the other hand, there is much to commend as the corporate culture is based on teamwork, staff wellbeing, employees feel valued, there is a belief that senior managers work for the benefit of the firm, progression is fair and transparent, workplace stress is not tolerated, the firm would be recommended by its workers, and is an inclusive and diverse work environment.</w:t>
      </w:r>
    </w:p>
    <w:p w14:paraId="3A0BDD6C" w14:textId="77777777" w:rsidR="00620F22" w:rsidRPr="00620F22" w:rsidRDefault="00620F22" w:rsidP="00620F22">
      <w:pPr>
        <w:spacing w:line="480" w:lineRule="auto"/>
        <w:contextualSpacing/>
        <w:jc w:val="both"/>
        <w:rPr>
          <w:rFonts w:ascii="Arial" w:hAnsi="Arial" w:cs="Arial"/>
          <w:color w:val="000000" w:themeColor="text1"/>
        </w:rPr>
      </w:pPr>
      <w:r w:rsidRPr="00620F22">
        <w:rPr>
          <w:rFonts w:ascii="Arial" w:hAnsi="Arial" w:cs="Arial"/>
          <w:color w:val="000000" w:themeColor="text1"/>
        </w:rPr>
        <w:t xml:space="preserve"> </w:t>
      </w:r>
    </w:p>
    <w:p w14:paraId="0FBBE15E" w14:textId="77777777" w:rsidR="005B7778" w:rsidRDefault="00620F22" w:rsidP="005B7778">
      <w:pPr>
        <w:spacing w:line="480" w:lineRule="auto"/>
        <w:contextualSpacing/>
        <w:jc w:val="both"/>
        <w:rPr>
          <w:rFonts w:ascii="Arial" w:hAnsi="Arial" w:cs="Arial"/>
          <w:color w:val="000000" w:themeColor="text1"/>
        </w:rPr>
      </w:pPr>
      <w:r w:rsidRPr="00620F22">
        <w:rPr>
          <w:rFonts w:ascii="Arial" w:hAnsi="Arial" w:cs="Arial"/>
          <w:color w:val="000000" w:themeColor="text1"/>
        </w:rPr>
        <w:t>Overall, it is a good corporate culture as the mean culture score was 32 compared ideal or prefect score of 28 (where participants responded completely agree or completely disagree based upon the statement). Whether the corporate culture is a factor in creating a Corporate Psychopath Accountant will be demonstrated later in the multiple regression or modelling section.</w:t>
      </w:r>
    </w:p>
    <w:p w14:paraId="0A9EED19" w14:textId="77777777" w:rsidR="00532AD0" w:rsidRDefault="00532AD0" w:rsidP="005B7778">
      <w:pPr>
        <w:spacing w:line="480" w:lineRule="auto"/>
        <w:contextualSpacing/>
        <w:jc w:val="both"/>
        <w:rPr>
          <w:rFonts w:ascii="Arial" w:hAnsi="Arial" w:cs="Arial"/>
          <w:color w:val="000000" w:themeColor="text1"/>
        </w:rPr>
      </w:pPr>
    </w:p>
    <w:p w14:paraId="2C1AE0D8" w14:textId="0A30DDDB" w:rsidR="00620F22" w:rsidRPr="005B7778" w:rsidRDefault="00620F22" w:rsidP="005B7778">
      <w:pPr>
        <w:spacing w:line="480" w:lineRule="auto"/>
        <w:contextualSpacing/>
        <w:jc w:val="both"/>
        <w:rPr>
          <w:rFonts w:ascii="Arial" w:hAnsi="Arial" w:cs="Arial"/>
          <w:color w:val="000000" w:themeColor="text1"/>
        </w:rPr>
      </w:pPr>
      <w:r w:rsidRPr="00620F22">
        <w:rPr>
          <w:rFonts w:ascii="Arial" w:eastAsia="Times New Roman" w:hAnsi="Arial" w:cs="Arial"/>
          <w:b/>
          <w:bCs/>
          <w:color w:val="000000" w:themeColor="text1"/>
          <w:lang w:eastAsia="en-GB"/>
        </w:rPr>
        <w:t>Section C</w:t>
      </w:r>
      <w:r w:rsidRPr="00620F22">
        <w:rPr>
          <w:rFonts w:ascii="Arial" w:eastAsia="Times New Roman" w:hAnsi="Arial" w:cs="Arial"/>
          <w:color w:val="000000" w:themeColor="text1"/>
          <w:lang w:eastAsia="en-GB"/>
        </w:rPr>
        <w:t xml:space="preserve"> explored disapproval towards unethical actions, the first four statements comprised of basic Accounting Fraud and the remaining four were behavioural in nature. </w:t>
      </w:r>
      <w:bookmarkStart w:id="708" w:name="_Hlk123727981"/>
      <w:r w:rsidRPr="00620F22">
        <w:rPr>
          <w:rFonts w:ascii="Arial" w:eastAsia="Times New Roman" w:hAnsi="Arial" w:cs="Arial"/>
          <w:color w:val="000000" w:themeColor="text1"/>
          <w:lang w:eastAsia="en-GB"/>
        </w:rPr>
        <w:t>Like section A, a</w:t>
      </w:r>
      <w:r w:rsidRPr="00620F22">
        <w:rPr>
          <w:rFonts w:ascii="Arial" w:eastAsia="Times New Roman" w:hAnsi="Arial" w:cs="Arial"/>
          <w:color w:val="000000" w:themeColor="text1"/>
          <w:spacing w:val="1"/>
          <w:lang w:eastAsia="en-GB"/>
        </w:rPr>
        <w:t xml:space="preserve"> Likert scale, 1 – 5, ranging from Completely Agree (Moderately Agree, Unclear) to (Moderately Disagree) Complete Disagree was used on the following, </w:t>
      </w:r>
      <w:r w:rsidRPr="00620F22">
        <w:rPr>
          <w:rFonts w:ascii="Arial" w:eastAsia="Times New Roman" w:hAnsi="Arial" w:cs="Arial"/>
          <w:b/>
          <w:bCs/>
          <w:color w:val="000000" w:themeColor="text1"/>
          <w:spacing w:val="1"/>
          <w:lang w:eastAsia="en-GB"/>
        </w:rPr>
        <w:t>Table 4.4:</w:t>
      </w:r>
      <w:bookmarkEnd w:id="708"/>
    </w:p>
    <w:p w14:paraId="1E30952A" w14:textId="77777777" w:rsidR="00620F22" w:rsidRPr="00620F22" w:rsidRDefault="00620F22" w:rsidP="00620F22">
      <w:pPr>
        <w:shd w:val="clear" w:color="auto" w:fill="FFFFFF"/>
        <w:spacing w:after="100" w:afterAutospacing="1" w:line="480" w:lineRule="auto"/>
        <w:jc w:val="both"/>
        <w:rPr>
          <w:rFonts w:ascii="Arial" w:eastAsia="Times New Roman" w:hAnsi="Arial" w:cs="Arial"/>
          <w:b/>
          <w:bCs/>
          <w:color w:val="000000" w:themeColor="text1"/>
          <w:spacing w:val="1"/>
          <w:lang w:eastAsia="en-GB"/>
        </w:rPr>
      </w:pPr>
      <w:r w:rsidRPr="00620F22">
        <w:rPr>
          <w:rFonts w:ascii="Arial" w:eastAsia="Times New Roman" w:hAnsi="Arial" w:cs="Arial"/>
          <w:b/>
          <w:bCs/>
          <w:color w:val="000000" w:themeColor="text1"/>
          <w:spacing w:val="1"/>
          <w:lang w:eastAsia="en-GB"/>
        </w:rPr>
        <w:t>Table 4.4 Unethical Actions</w:t>
      </w:r>
    </w:p>
    <w:tbl>
      <w:tblPr>
        <w:tblStyle w:val="TableGrid1"/>
        <w:tblW w:w="0" w:type="auto"/>
        <w:tblLook w:val="04A0" w:firstRow="1" w:lastRow="0" w:firstColumn="1" w:lastColumn="0" w:noHBand="0" w:noVBand="1"/>
      </w:tblPr>
      <w:tblGrid>
        <w:gridCol w:w="1265"/>
        <w:gridCol w:w="7751"/>
      </w:tblGrid>
      <w:tr w:rsidR="00620F22" w:rsidRPr="00620F22" w14:paraId="16B5C4A1" w14:textId="77777777" w:rsidTr="001D4222">
        <w:tc>
          <w:tcPr>
            <w:tcW w:w="1265" w:type="dxa"/>
          </w:tcPr>
          <w:p w14:paraId="48D725CD" w14:textId="77777777" w:rsidR="00620F22" w:rsidRPr="00620F22" w:rsidRDefault="00620F22" w:rsidP="008E2178">
            <w:pPr>
              <w:spacing w:after="100" w:afterAutospacing="1" w:line="480" w:lineRule="auto"/>
              <w:rPr>
                <w:rFonts w:asciiTheme="minorBidi" w:eastAsia="Times New Roman" w:hAnsiTheme="minorBidi"/>
                <w:b/>
                <w:bCs/>
                <w:spacing w:val="1"/>
                <w:sz w:val="24"/>
                <w:szCs w:val="24"/>
                <w:lang w:eastAsia="en-GB"/>
              </w:rPr>
            </w:pPr>
            <w:r w:rsidRPr="00620F22">
              <w:rPr>
                <w:rFonts w:asciiTheme="minorBidi" w:eastAsia="Times New Roman" w:hAnsiTheme="minorBidi"/>
                <w:b/>
                <w:bCs/>
                <w:spacing w:val="1"/>
                <w:sz w:val="24"/>
                <w:szCs w:val="24"/>
                <w:lang w:eastAsia="en-GB"/>
              </w:rPr>
              <w:t>Question</w:t>
            </w:r>
          </w:p>
        </w:tc>
        <w:tc>
          <w:tcPr>
            <w:tcW w:w="7751" w:type="dxa"/>
          </w:tcPr>
          <w:p w14:paraId="00D2167F" w14:textId="77777777" w:rsidR="00620F22" w:rsidRPr="00620F22" w:rsidRDefault="00620F22" w:rsidP="008E2178">
            <w:pPr>
              <w:spacing w:after="100" w:afterAutospacing="1" w:line="480" w:lineRule="auto"/>
              <w:rPr>
                <w:rFonts w:asciiTheme="minorBidi" w:eastAsia="Times New Roman" w:hAnsiTheme="minorBidi"/>
                <w:b/>
                <w:bCs/>
                <w:spacing w:val="1"/>
                <w:sz w:val="24"/>
                <w:szCs w:val="24"/>
                <w:lang w:eastAsia="en-GB"/>
              </w:rPr>
            </w:pPr>
            <w:r w:rsidRPr="00620F22">
              <w:rPr>
                <w:rFonts w:asciiTheme="minorBidi" w:eastAsia="Times New Roman" w:hAnsiTheme="minorBidi"/>
                <w:b/>
                <w:bCs/>
                <w:spacing w:val="1"/>
                <w:sz w:val="24"/>
                <w:szCs w:val="24"/>
                <w:lang w:eastAsia="en-GB"/>
              </w:rPr>
              <w:t>Statement</w:t>
            </w:r>
          </w:p>
        </w:tc>
      </w:tr>
      <w:tr w:rsidR="00620F22" w:rsidRPr="00620F22" w14:paraId="7011BC65" w14:textId="77777777" w:rsidTr="001D4222">
        <w:tc>
          <w:tcPr>
            <w:tcW w:w="1265" w:type="dxa"/>
          </w:tcPr>
          <w:p w14:paraId="56451AB2" w14:textId="77777777" w:rsidR="00620F22" w:rsidRPr="00620F22" w:rsidRDefault="00620F22" w:rsidP="008E2178">
            <w:pPr>
              <w:spacing w:after="100" w:afterAutospacing="1" w:line="48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1</w:t>
            </w:r>
          </w:p>
        </w:tc>
        <w:tc>
          <w:tcPr>
            <w:tcW w:w="7751" w:type="dxa"/>
          </w:tcPr>
          <w:p w14:paraId="341E0B93" w14:textId="77777777" w:rsidR="00620F22" w:rsidRPr="00620F22" w:rsidRDefault="00620F22" w:rsidP="008E2178">
            <w:pPr>
              <w:spacing w:line="480" w:lineRule="auto"/>
              <w:rPr>
                <w:rFonts w:asciiTheme="minorBidi" w:hAnsiTheme="minorBidi"/>
                <w:bCs/>
                <w:i/>
                <w:iCs/>
                <w:sz w:val="24"/>
                <w:szCs w:val="24"/>
              </w:rPr>
            </w:pPr>
            <w:r w:rsidRPr="00620F22">
              <w:rPr>
                <w:rFonts w:asciiTheme="minorBidi" w:hAnsiTheme="minorBidi"/>
                <w:bCs/>
                <w:sz w:val="24"/>
                <w:szCs w:val="24"/>
              </w:rPr>
              <w:t xml:space="preserve">To improve revenue, management decided to record fictitious credit sales. </w:t>
            </w:r>
            <w:r w:rsidRPr="00620F22">
              <w:rPr>
                <w:rFonts w:asciiTheme="minorBidi" w:hAnsiTheme="minorBidi"/>
                <w:bCs/>
                <w:i/>
                <w:iCs/>
                <w:sz w:val="24"/>
                <w:szCs w:val="24"/>
              </w:rPr>
              <w:t>(Impact: Higher revenue, receivables &amp; profit)</w:t>
            </w:r>
          </w:p>
          <w:p w14:paraId="7FAECD95" w14:textId="77777777" w:rsidR="00620F22" w:rsidRPr="00620F22" w:rsidRDefault="00620F22" w:rsidP="008E2178">
            <w:pPr>
              <w:spacing w:after="100" w:afterAutospacing="1" w:line="480" w:lineRule="auto"/>
              <w:rPr>
                <w:rFonts w:asciiTheme="minorBidi" w:eastAsia="Times New Roman" w:hAnsiTheme="minorBidi"/>
                <w:spacing w:val="1"/>
                <w:sz w:val="24"/>
                <w:szCs w:val="24"/>
                <w:lang w:eastAsia="en-GB"/>
              </w:rPr>
            </w:pPr>
          </w:p>
        </w:tc>
      </w:tr>
      <w:tr w:rsidR="00620F22" w:rsidRPr="00620F22" w14:paraId="2D319CBD" w14:textId="77777777" w:rsidTr="001D4222">
        <w:tc>
          <w:tcPr>
            <w:tcW w:w="1265" w:type="dxa"/>
          </w:tcPr>
          <w:p w14:paraId="737564DA" w14:textId="77777777" w:rsidR="00620F22" w:rsidRPr="00620F22" w:rsidRDefault="00620F22" w:rsidP="008E2178">
            <w:pPr>
              <w:spacing w:after="100" w:afterAutospacing="1" w:line="48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lastRenderedPageBreak/>
              <w:t>2</w:t>
            </w:r>
          </w:p>
        </w:tc>
        <w:tc>
          <w:tcPr>
            <w:tcW w:w="7751" w:type="dxa"/>
          </w:tcPr>
          <w:p w14:paraId="79AAEA44" w14:textId="77777777" w:rsidR="00620F22" w:rsidRPr="00620F22" w:rsidRDefault="00620F22" w:rsidP="008E2178">
            <w:pPr>
              <w:spacing w:line="480" w:lineRule="auto"/>
              <w:rPr>
                <w:rFonts w:asciiTheme="minorBidi" w:hAnsiTheme="minorBidi"/>
                <w:bCs/>
                <w:i/>
                <w:iCs/>
                <w:sz w:val="24"/>
                <w:szCs w:val="24"/>
              </w:rPr>
            </w:pPr>
            <w:r w:rsidRPr="00620F22">
              <w:rPr>
                <w:rFonts w:asciiTheme="minorBidi" w:hAnsiTheme="minorBidi"/>
                <w:bCs/>
                <w:sz w:val="24"/>
                <w:szCs w:val="24"/>
              </w:rPr>
              <w:t xml:space="preserve">Hiding most of the scrap expense in other expense accounts to avoid scrutiny of excessive scrap costs. </w:t>
            </w:r>
            <w:r w:rsidRPr="00620F22">
              <w:rPr>
                <w:rFonts w:asciiTheme="minorBidi" w:hAnsiTheme="minorBidi"/>
                <w:bCs/>
                <w:i/>
                <w:iCs/>
                <w:sz w:val="24"/>
                <w:szCs w:val="24"/>
              </w:rPr>
              <w:t>(Impact: Individual expense not faithfully representing the business)</w:t>
            </w:r>
          </w:p>
          <w:p w14:paraId="2CEA2246" w14:textId="77777777" w:rsidR="00620F22" w:rsidRPr="00620F22" w:rsidRDefault="00620F22" w:rsidP="008E2178">
            <w:pPr>
              <w:spacing w:after="100" w:afterAutospacing="1" w:line="480" w:lineRule="auto"/>
              <w:rPr>
                <w:rFonts w:asciiTheme="minorBidi" w:eastAsia="Times New Roman" w:hAnsiTheme="minorBidi"/>
                <w:spacing w:val="1"/>
                <w:sz w:val="24"/>
                <w:szCs w:val="24"/>
                <w:lang w:eastAsia="en-GB"/>
              </w:rPr>
            </w:pPr>
          </w:p>
        </w:tc>
      </w:tr>
      <w:tr w:rsidR="00620F22" w:rsidRPr="00620F22" w14:paraId="2F3247ED" w14:textId="77777777" w:rsidTr="001D4222">
        <w:tc>
          <w:tcPr>
            <w:tcW w:w="1265" w:type="dxa"/>
          </w:tcPr>
          <w:p w14:paraId="6356D92C" w14:textId="77777777" w:rsidR="00620F22" w:rsidRPr="00620F22" w:rsidRDefault="00620F22" w:rsidP="008E2178">
            <w:pPr>
              <w:spacing w:after="100" w:afterAutospacing="1" w:line="48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3</w:t>
            </w:r>
          </w:p>
        </w:tc>
        <w:tc>
          <w:tcPr>
            <w:tcW w:w="7751" w:type="dxa"/>
          </w:tcPr>
          <w:p w14:paraId="15D65703" w14:textId="77777777" w:rsidR="00620F22" w:rsidRPr="00620F22" w:rsidRDefault="00620F22" w:rsidP="008E2178">
            <w:pPr>
              <w:spacing w:line="480" w:lineRule="auto"/>
              <w:rPr>
                <w:rFonts w:asciiTheme="minorBidi" w:hAnsiTheme="minorBidi"/>
                <w:bCs/>
                <w:i/>
                <w:iCs/>
                <w:sz w:val="24"/>
                <w:szCs w:val="24"/>
              </w:rPr>
            </w:pPr>
            <w:r w:rsidRPr="00620F22">
              <w:rPr>
                <w:rFonts w:asciiTheme="minorBidi" w:hAnsiTheme="minorBidi"/>
                <w:bCs/>
                <w:sz w:val="24"/>
                <w:szCs w:val="24"/>
              </w:rPr>
              <w:t xml:space="preserve">Request a legal firm to delay invoicing a material amount of work already undertaken until the next financial year end and it is not accrued for. </w:t>
            </w:r>
            <w:r w:rsidRPr="00620F22">
              <w:rPr>
                <w:rFonts w:asciiTheme="minorBidi" w:hAnsiTheme="minorBidi"/>
                <w:bCs/>
                <w:i/>
                <w:iCs/>
                <w:sz w:val="24"/>
                <w:szCs w:val="24"/>
              </w:rPr>
              <w:t>(Impact: Defer expenses to improve profitability)</w:t>
            </w:r>
          </w:p>
          <w:p w14:paraId="5AD4C263" w14:textId="77777777" w:rsidR="00620F22" w:rsidRPr="00620F22" w:rsidRDefault="00620F22" w:rsidP="008E2178">
            <w:pPr>
              <w:spacing w:after="100" w:afterAutospacing="1" w:line="480" w:lineRule="auto"/>
              <w:rPr>
                <w:rFonts w:asciiTheme="minorBidi" w:eastAsia="Times New Roman" w:hAnsiTheme="minorBidi"/>
                <w:spacing w:val="1"/>
                <w:sz w:val="24"/>
                <w:szCs w:val="24"/>
                <w:lang w:eastAsia="en-GB"/>
              </w:rPr>
            </w:pPr>
          </w:p>
        </w:tc>
      </w:tr>
      <w:tr w:rsidR="00620F22" w:rsidRPr="00620F22" w14:paraId="306C8437" w14:textId="77777777" w:rsidTr="001D4222">
        <w:tc>
          <w:tcPr>
            <w:tcW w:w="1265" w:type="dxa"/>
          </w:tcPr>
          <w:p w14:paraId="36FE2185" w14:textId="77777777" w:rsidR="00620F22" w:rsidRPr="00620F22" w:rsidRDefault="00620F22" w:rsidP="008E2178">
            <w:pPr>
              <w:spacing w:after="100" w:afterAutospacing="1" w:line="48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4</w:t>
            </w:r>
          </w:p>
        </w:tc>
        <w:tc>
          <w:tcPr>
            <w:tcW w:w="7751" w:type="dxa"/>
          </w:tcPr>
          <w:p w14:paraId="4E58BDA9" w14:textId="77777777" w:rsidR="00620F22" w:rsidRPr="00620F22" w:rsidRDefault="00620F22" w:rsidP="008E2178">
            <w:pPr>
              <w:spacing w:line="480" w:lineRule="auto"/>
              <w:rPr>
                <w:rFonts w:asciiTheme="minorBidi" w:hAnsiTheme="minorBidi"/>
                <w:bCs/>
                <w:i/>
                <w:iCs/>
                <w:sz w:val="24"/>
                <w:szCs w:val="24"/>
              </w:rPr>
            </w:pPr>
            <w:r w:rsidRPr="00620F22">
              <w:rPr>
                <w:rFonts w:asciiTheme="minorBidi" w:hAnsiTheme="minorBidi"/>
                <w:bCs/>
                <w:sz w:val="24"/>
                <w:szCs w:val="24"/>
              </w:rPr>
              <w:t xml:space="preserve">Postpone writing off spoiled, worthless inventory. </w:t>
            </w:r>
            <w:r w:rsidRPr="00620F22">
              <w:rPr>
                <w:rFonts w:asciiTheme="minorBidi" w:hAnsiTheme="minorBidi"/>
                <w:bCs/>
                <w:i/>
                <w:iCs/>
                <w:sz w:val="24"/>
                <w:szCs w:val="24"/>
              </w:rPr>
              <w:t>(Impact: Overstating closing   inventory leading to higher profits)</w:t>
            </w:r>
          </w:p>
          <w:p w14:paraId="3D70EE23" w14:textId="77777777" w:rsidR="00620F22" w:rsidRPr="00620F22" w:rsidRDefault="00620F22" w:rsidP="008E2178">
            <w:pPr>
              <w:spacing w:after="100" w:afterAutospacing="1" w:line="480" w:lineRule="auto"/>
              <w:rPr>
                <w:rFonts w:asciiTheme="minorBidi" w:eastAsia="Times New Roman" w:hAnsiTheme="minorBidi"/>
                <w:spacing w:val="1"/>
                <w:sz w:val="24"/>
                <w:szCs w:val="24"/>
                <w:lang w:eastAsia="en-GB"/>
              </w:rPr>
            </w:pPr>
          </w:p>
        </w:tc>
      </w:tr>
      <w:tr w:rsidR="00620F22" w:rsidRPr="00620F22" w14:paraId="2C5BB9B5" w14:textId="77777777" w:rsidTr="001D4222">
        <w:tc>
          <w:tcPr>
            <w:tcW w:w="1265" w:type="dxa"/>
          </w:tcPr>
          <w:p w14:paraId="4E19011B" w14:textId="77777777" w:rsidR="00620F22" w:rsidRPr="00620F22" w:rsidRDefault="00620F22" w:rsidP="008E2178">
            <w:pPr>
              <w:spacing w:after="100" w:afterAutospacing="1" w:line="48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5</w:t>
            </w:r>
          </w:p>
        </w:tc>
        <w:tc>
          <w:tcPr>
            <w:tcW w:w="7751" w:type="dxa"/>
          </w:tcPr>
          <w:p w14:paraId="304C3B75" w14:textId="77777777" w:rsidR="00620F22" w:rsidRPr="00620F22" w:rsidRDefault="00620F22" w:rsidP="008E2178">
            <w:pPr>
              <w:spacing w:line="480" w:lineRule="auto"/>
              <w:rPr>
                <w:rFonts w:asciiTheme="minorBidi" w:hAnsiTheme="minorBidi"/>
                <w:bCs/>
                <w:sz w:val="24"/>
                <w:szCs w:val="24"/>
              </w:rPr>
            </w:pPr>
            <w:r w:rsidRPr="00620F22">
              <w:rPr>
                <w:rFonts w:asciiTheme="minorBidi" w:hAnsiTheme="minorBidi"/>
                <w:bCs/>
                <w:sz w:val="24"/>
                <w:szCs w:val="24"/>
              </w:rPr>
              <w:t>The employee chooses not to report an over payment of $500 included in their monthly pay, due to a clerical error.</w:t>
            </w:r>
          </w:p>
          <w:p w14:paraId="7791B864" w14:textId="77777777" w:rsidR="00620F22" w:rsidRPr="00620F22" w:rsidRDefault="00620F22" w:rsidP="008E2178">
            <w:pPr>
              <w:spacing w:after="100" w:afterAutospacing="1" w:line="480" w:lineRule="auto"/>
              <w:rPr>
                <w:rFonts w:asciiTheme="minorBidi" w:eastAsia="Times New Roman" w:hAnsiTheme="minorBidi"/>
                <w:spacing w:val="1"/>
                <w:sz w:val="24"/>
                <w:szCs w:val="24"/>
                <w:lang w:eastAsia="en-GB"/>
              </w:rPr>
            </w:pPr>
          </w:p>
        </w:tc>
      </w:tr>
      <w:tr w:rsidR="00620F22" w:rsidRPr="00620F22" w14:paraId="1D2EABE9" w14:textId="77777777" w:rsidTr="001D4222">
        <w:tc>
          <w:tcPr>
            <w:tcW w:w="1265" w:type="dxa"/>
          </w:tcPr>
          <w:p w14:paraId="55F02573" w14:textId="77777777" w:rsidR="00620F22" w:rsidRPr="00620F22" w:rsidRDefault="00620F22" w:rsidP="008E2178">
            <w:pPr>
              <w:spacing w:after="100" w:afterAutospacing="1" w:line="48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6</w:t>
            </w:r>
          </w:p>
        </w:tc>
        <w:tc>
          <w:tcPr>
            <w:tcW w:w="7751" w:type="dxa"/>
          </w:tcPr>
          <w:p w14:paraId="78D99EAA" w14:textId="77777777" w:rsidR="00620F22" w:rsidRPr="00620F22" w:rsidRDefault="00620F22" w:rsidP="008E2178">
            <w:pPr>
              <w:spacing w:line="480" w:lineRule="auto"/>
              <w:rPr>
                <w:rFonts w:asciiTheme="minorBidi" w:hAnsiTheme="minorBidi"/>
                <w:bCs/>
                <w:sz w:val="24"/>
                <w:szCs w:val="24"/>
              </w:rPr>
            </w:pPr>
            <w:r w:rsidRPr="00620F22">
              <w:rPr>
                <w:rFonts w:asciiTheme="minorBidi" w:hAnsiTheme="minorBidi"/>
                <w:bCs/>
                <w:sz w:val="24"/>
                <w:szCs w:val="24"/>
              </w:rPr>
              <w:t>The employee deposits a cheque, received in payment of a written-off receivable account from more than two years ago, into their own personal bank account.</w:t>
            </w:r>
          </w:p>
          <w:p w14:paraId="4FA8E38E" w14:textId="77777777" w:rsidR="00620F22" w:rsidRPr="00620F22" w:rsidRDefault="00620F22" w:rsidP="008E2178">
            <w:pPr>
              <w:spacing w:after="100" w:afterAutospacing="1" w:line="480" w:lineRule="auto"/>
              <w:rPr>
                <w:rFonts w:asciiTheme="minorBidi" w:eastAsia="Times New Roman" w:hAnsiTheme="minorBidi"/>
                <w:spacing w:val="1"/>
                <w:sz w:val="24"/>
                <w:szCs w:val="24"/>
                <w:lang w:eastAsia="en-GB"/>
              </w:rPr>
            </w:pPr>
          </w:p>
        </w:tc>
      </w:tr>
      <w:tr w:rsidR="00620F22" w:rsidRPr="00620F22" w14:paraId="6A2D569F" w14:textId="77777777" w:rsidTr="001D4222">
        <w:tc>
          <w:tcPr>
            <w:tcW w:w="1265" w:type="dxa"/>
          </w:tcPr>
          <w:p w14:paraId="2285BDA6" w14:textId="77777777" w:rsidR="00620F22" w:rsidRPr="00620F22" w:rsidRDefault="00620F22" w:rsidP="008E2178">
            <w:pPr>
              <w:spacing w:after="100" w:afterAutospacing="1" w:line="48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7</w:t>
            </w:r>
          </w:p>
        </w:tc>
        <w:tc>
          <w:tcPr>
            <w:tcW w:w="7751" w:type="dxa"/>
          </w:tcPr>
          <w:p w14:paraId="7FC93F06" w14:textId="77777777" w:rsidR="00620F22" w:rsidRPr="00620F22" w:rsidRDefault="00620F22" w:rsidP="008E2178">
            <w:pPr>
              <w:spacing w:line="480" w:lineRule="auto"/>
              <w:rPr>
                <w:rFonts w:asciiTheme="minorBidi" w:hAnsiTheme="minorBidi"/>
                <w:bCs/>
                <w:sz w:val="24"/>
                <w:szCs w:val="24"/>
              </w:rPr>
            </w:pPr>
            <w:r w:rsidRPr="00620F22">
              <w:rPr>
                <w:rFonts w:asciiTheme="minorBidi" w:hAnsiTheme="minorBidi"/>
                <w:bCs/>
                <w:sz w:val="24"/>
                <w:szCs w:val="24"/>
              </w:rPr>
              <w:t>The employee goes to see a client and overclaims mileage.</w:t>
            </w:r>
          </w:p>
          <w:p w14:paraId="6683D272" w14:textId="77777777" w:rsidR="00620F22" w:rsidRPr="00620F22" w:rsidRDefault="00620F22" w:rsidP="008E2178">
            <w:pPr>
              <w:spacing w:after="100" w:afterAutospacing="1" w:line="480" w:lineRule="auto"/>
              <w:rPr>
                <w:rFonts w:asciiTheme="minorBidi" w:eastAsia="Times New Roman" w:hAnsiTheme="minorBidi"/>
                <w:spacing w:val="1"/>
                <w:sz w:val="24"/>
                <w:szCs w:val="24"/>
                <w:lang w:eastAsia="en-GB"/>
              </w:rPr>
            </w:pPr>
          </w:p>
        </w:tc>
      </w:tr>
      <w:tr w:rsidR="00620F22" w:rsidRPr="00620F22" w14:paraId="0737F15C" w14:textId="77777777" w:rsidTr="001D4222">
        <w:tc>
          <w:tcPr>
            <w:tcW w:w="1265" w:type="dxa"/>
          </w:tcPr>
          <w:p w14:paraId="68611196" w14:textId="77777777" w:rsidR="00620F22" w:rsidRPr="00620F22" w:rsidRDefault="00620F22" w:rsidP="008E2178">
            <w:pPr>
              <w:spacing w:after="100" w:afterAutospacing="1" w:line="480" w:lineRule="auto"/>
              <w:rPr>
                <w:rFonts w:asciiTheme="minorBidi" w:eastAsia="Times New Roman" w:hAnsiTheme="minorBidi"/>
                <w:spacing w:val="1"/>
                <w:sz w:val="24"/>
                <w:szCs w:val="24"/>
                <w:lang w:eastAsia="en-GB"/>
              </w:rPr>
            </w:pPr>
            <w:r w:rsidRPr="00620F22">
              <w:rPr>
                <w:rFonts w:asciiTheme="minorBidi" w:eastAsia="Times New Roman" w:hAnsiTheme="minorBidi"/>
                <w:spacing w:val="1"/>
                <w:sz w:val="24"/>
                <w:szCs w:val="24"/>
                <w:lang w:eastAsia="en-GB"/>
              </w:rPr>
              <w:t>8</w:t>
            </w:r>
          </w:p>
        </w:tc>
        <w:tc>
          <w:tcPr>
            <w:tcW w:w="7751" w:type="dxa"/>
          </w:tcPr>
          <w:p w14:paraId="6EECA30C" w14:textId="77777777" w:rsidR="00620F22" w:rsidRPr="00620F22" w:rsidRDefault="00620F22" w:rsidP="008E2178">
            <w:pPr>
              <w:spacing w:after="100" w:afterAutospacing="1" w:line="480" w:lineRule="auto"/>
              <w:rPr>
                <w:rFonts w:asciiTheme="minorBidi" w:eastAsia="Times New Roman" w:hAnsiTheme="minorBidi"/>
                <w:spacing w:val="1"/>
                <w:sz w:val="24"/>
                <w:szCs w:val="24"/>
                <w:lang w:eastAsia="en-GB"/>
              </w:rPr>
            </w:pPr>
            <w:r w:rsidRPr="00620F22">
              <w:rPr>
                <w:rFonts w:asciiTheme="minorBidi" w:eastAsia="Times New Roman" w:hAnsiTheme="minorBidi"/>
                <w:bCs/>
                <w:sz w:val="24"/>
                <w:szCs w:val="24"/>
                <w:lang w:eastAsia="en-GB"/>
              </w:rPr>
              <w:t>The employee sells the company’s client list to a competitor</w:t>
            </w:r>
          </w:p>
        </w:tc>
      </w:tr>
    </w:tbl>
    <w:p w14:paraId="0832FC6A" w14:textId="77777777" w:rsidR="00620F22" w:rsidRPr="00620F22" w:rsidRDefault="00620F22" w:rsidP="00620F22">
      <w:pPr>
        <w:spacing w:line="480" w:lineRule="auto"/>
        <w:contextualSpacing/>
        <w:jc w:val="both"/>
        <w:rPr>
          <w:rFonts w:ascii="Arial" w:hAnsi="Arial" w:cs="Arial"/>
          <w:color w:val="000000" w:themeColor="text1"/>
        </w:rPr>
      </w:pPr>
    </w:p>
    <w:p w14:paraId="270A2582" w14:textId="53444CB9" w:rsidR="00620F22" w:rsidRPr="00620F22" w:rsidRDefault="00620F22" w:rsidP="00620F22">
      <w:pPr>
        <w:spacing w:line="480" w:lineRule="auto"/>
        <w:contextualSpacing/>
        <w:jc w:val="both"/>
        <w:rPr>
          <w:rFonts w:ascii="Arial" w:hAnsi="Arial" w:cs="Arial"/>
          <w:color w:val="000000" w:themeColor="text1"/>
        </w:rPr>
      </w:pPr>
      <w:r w:rsidRPr="00620F22">
        <w:rPr>
          <w:rFonts w:ascii="Arial" w:hAnsi="Arial" w:cs="Arial"/>
          <w:color w:val="000000" w:themeColor="text1"/>
        </w:rPr>
        <w:t>Once the Cronbach Alpha, a measure internal consistency, for section B was established at an acceptable 0.89</w:t>
      </w:r>
      <w:r w:rsidRPr="00620F22">
        <w:rPr>
          <w:rFonts w:ascii="Arial" w:hAnsi="Arial" w:cs="Arial"/>
          <w:b/>
          <w:bCs/>
          <w:color w:val="000000" w:themeColor="text1"/>
        </w:rPr>
        <w:t>, see Appendix I.</w:t>
      </w:r>
      <w:r w:rsidRPr="00620F22">
        <w:rPr>
          <w:rFonts w:ascii="Arial" w:hAnsi="Arial" w:cs="Arial"/>
          <w:color w:val="000000" w:themeColor="text1"/>
        </w:rPr>
        <w:t xml:space="preserve"> The </w:t>
      </w:r>
      <w:r w:rsidR="0013059F">
        <w:rPr>
          <w:rFonts w:ascii="Arial" w:hAnsi="Arial" w:cs="Arial"/>
          <w:color w:val="000000" w:themeColor="text1"/>
        </w:rPr>
        <w:t>researcher</w:t>
      </w:r>
      <w:r w:rsidRPr="00620F22">
        <w:rPr>
          <w:rFonts w:ascii="Arial" w:hAnsi="Arial" w:cs="Arial"/>
          <w:color w:val="000000" w:themeColor="text1"/>
        </w:rPr>
        <w:t xml:space="preserve"> subjected all eight questions to a null (where the population mean is equal to 3) and research hypothesis </w:t>
      </w:r>
      <w:r w:rsidRPr="00620F22">
        <w:rPr>
          <w:rFonts w:ascii="Arial" w:hAnsi="Arial" w:cs="Arial"/>
          <w:color w:val="000000" w:themeColor="text1"/>
        </w:rPr>
        <w:lastRenderedPageBreak/>
        <w:t xml:space="preserve">(where the population mean does not equal 3) underpinned by the Confidence Interval and One-t test statistical tests, </w:t>
      </w:r>
      <w:r w:rsidRPr="00620F22">
        <w:rPr>
          <w:rFonts w:ascii="Arial" w:hAnsi="Arial" w:cs="Arial"/>
          <w:b/>
          <w:bCs/>
          <w:color w:val="000000" w:themeColor="text1"/>
        </w:rPr>
        <w:t>see Appendix K</w:t>
      </w:r>
      <w:r w:rsidRPr="00620F22">
        <w:rPr>
          <w:rFonts w:ascii="Arial" w:hAnsi="Arial" w:cs="Arial"/>
          <w:color w:val="000000" w:themeColor="text1"/>
        </w:rPr>
        <w:t xml:space="preserve">. In brief the participants significantly disagreed to all eight statements suggesting that even if they were suffering from a lifestyle pressure, as per the pressure side of the Fraud Triangle, they would not undertake Accounting Fraud such as inflating revenue or selling a company client list. </w:t>
      </w:r>
    </w:p>
    <w:p w14:paraId="4B4DAC24" w14:textId="77777777" w:rsidR="00620F22" w:rsidRPr="00620F22" w:rsidRDefault="00620F22" w:rsidP="00620F22">
      <w:pPr>
        <w:spacing w:line="480" w:lineRule="auto"/>
        <w:contextualSpacing/>
        <w:jc w:val="both"/>
        <w:rPr>
          <w:rFonts w:ascii="Arial" w:hAnsi="Arial" w:cs="Arial"/>
          <w:color w:val="000000" w:themeColor="text1"/>
        </w:rPr>
      </w:pPr>
    </w:p>
    <w:p w14:paraId="5446303F" w14:textId="6AC55B08" w:rsidR="005B7778" w:rsidRDefault="00620F22" w:rsidP="00532AD0">
      <w:pPr>
        <w:spacing w:line="480" w:lineRule="auto"/>
        <w:contextualSpacing/>
        <w:jc w:val="both"/>
        <w:rPr>
          <w:rFonts w:ascii="Arial" w:hAnsi="Arial" w:cs="Arial"/>
          <w:color w:val="000000" w:themeColor="text1"/>
          <w:spacing w:val="1"/>
        </w:rPr>
      </w:pPr>
      <w:r w:rsidRPr="00620F22">
        <w:rPr>
          <w:rFonts w:ascii="Arial" w:eastAsia="Times New Roman" w:hAnsi="Arial" w:cs="Arial"/>
          <w:b/>
          <w:bCs/>
          <w:color w:val="000000" w:themeColor="text1"/>
          <w:lang w:eastAsia="en-GB"/>
        </w:rPr>
        <w:t>Section D</w:t>
      </w:r>
      <w:r w:rsidRPr="00620F22">
        <w:rPr>
          <w:rFonts w:ascii="Arial" w:eastAsia="Times New Roman" w:hAnsi="Arial" w:cs="Arial"/>
          <w:color w:val="000000" w:themeColor="text1"/>
          <w:lang w:eastAsia="en-GB"/>
        </w:rPr>
        <w:t xml:space="preserve"> measured the Psychopathy of the participants using sixteen questions.</w:t>
      </w:r>
      <w:r w:rsidRPr="00620F22">
        <w:rPr>
          <w:rFonts w:ascii="Arial" w:hAnsi="Arial" w:cs="Arial"/>
          <w:color w:val="000000" w:themeColor="text1"/>
        </w:rPr>
        <w:t xml:space="preserve"> </w:t>
      </w:r>
      <w:r w:rsidR="00DB137D" w:rsidRPr="00620F22">
        <w:rPr>
          <w:rFonts w:ascii="Arial" w:hAnsi="Arial" w:cs="Arial"/>
          <w:color w:val="000000" w:themeColor="text1"/>
        </w:rPr>
        <w:t>Again,</w:t>
      </w:r>
      <w:r w:rsidRPr="00620F22">
        <w:rPr>
          <w:rFonts w:ascii="Arial" w:hAnsi="Arial" w:cs="Arial"/>
          <w:color w:val="000000" w:themeColor="text1"/>
        </w:rPr>
        <w:t xml:space="preserve"> a</w:t>
      </w:r>
      <w:r w:rsidRPr="00620F22">
        <w:rPr>
          <w:rFonts w:ascii="Arial" w:hAnsi="Arial" w:cs="Arial"/>
          <w:color w:val="000000" w:themeColor="text1"/>
          <w:spacing w:val="1"/>
        </w:rPr>
        <w:t xml:space="preserve"> Likert scale, 1 – 5, was used ranging from Disagree Strongly to Agree Strongly, </w:t>
      </w:r>
      <w:r w:rsidRPr="00620F22">
        <w:rPr>
          <w:rFonts w:ascii="Arial" w:hAnsi="Arial" w:cs="Arial"/>
          <w:b/>
          <w:bCs/>
          <w:color w:val="000000" w:themeColor="text1"/>
          <w:spacing w:val="1"/>
        </w:rPr>
        <w:t>Table 4.5:</w:t>
      </w:r>
    </w:p>
    <w:p w14:paraId="0E2AFED9" w14:textId="77777777" w:rsidR="005B7778" w:rsidRPr="00620F22" w:rsidRDefault="005B7778" w:rsidP="00620F22">
      <w:pPr>
        <w:spacing w:line="480" w:lineRule="auto"/>
        <w:contextualSpacing/>
        <w:jc w:val="both"/>
        <w:rPr>
          <w:rFonts w:ascii="Arial" w:hAnsi="Arial" w:cs="Arial"/>
          <w:color w:val="000000" w:themeColor="text1"/>
          <w:spacing w:val="1"/>
        </w:rPr>
      </w:pPr>
    </w:p>
    <w:p w14:paraId="3671AAE0" w14:textId="77777777" w:rsidR="00620F22" w:rsidRPr="00620F22" w:rsidRDefault="00620F22" w:rsidP="00620F22">
      <w:pPr>
        <w:spacing w:line="480" w:lineRule="auto"/>
        <w:contextualSpacing/>
        <w:jc w:val="both"/>
        <w:rPr>
          <w:rFonts w:ascii="Arial" w:hAnsi="Arial" w:cs="Arial"/>
          <w:b/>
          <w:bCs/>
          <w:color w:val="000000" w:themeColor="text1"/>
          <w:spacing w:val="1"/>
        </w:rPr>
      </w:pPr>
      <w:r w:rsidRPr="00620F22">
        <w:rPr>
          <w:rFonts w:ascii="Arial" w:hAnsi="Arial" w:cs="Arial"/>
          <w:b/>
          <w:bCs/>
          <w:color w:val="000000" w:themeColor="text1"/>
          <w:spacing w:val="1"/>
        </w:rPr>
        <w:t>Table 4.5 Statements Testing Psychopathy</w:t>
      </w:r>
    </w:p>
    <w:tbl>
      <w:tblPr>
        <w:tblStyle w:val="TableGrid1"/>
        <w:tblW w:w="0" w:type="auto"/>
        <w:tblLook w:val="04A0" w:firstRow="1" w:lastRow="0" w:firstColumn="1" w:lastColumn="0" w:noHBand="0" w:noVBand="1"/>
      </w:tblPr>
      <w:tblGrid>
        <w:gridCol w:w="1185"/>
        <w:gridCol w:w="7831"/>
      </w:tblGrid>
      <w:tr w:rsidR="00620F22" w:rsidRPr="00620F22" w14:paraId="35743158" w14:textId="77777777" w:rsidTr="001D4222">
        <w:tc>
          <w:tcPr>
            <w:tcW w:w="988" w:type="dxa"/>
          </w:tcPr>
          <w:p w14:paraId="41B5348F"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pacing w:val="1"/>
                <w:sz w:val="24"/>
                <w:szCs w:val="24"/>
              </w:rPr>
              <w:t xml:space="preserve">Question </w:t>
            </w:r>
          </w:p>
        </w:tc>
        <w:tc>
          <w:tcPr>
            <w:tcW w:w="8028" w:type="dxa"/>
          </w:tcPr>
          <w:p w14:paraId="5FAE1BFA"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pacing w:val="1"/>
                <w:sz w:val="24"/>
                <w:szCs w:val="24"/>
              </w:rPr>
              <w:t>Statement</w:t>
            </w:r>
          </w:p>
        </w:tc>
      </w:tr>
      <w:tr w:rsidR="00620F22" w:rsidRPr="00620F22" w14:paraId="28D2D1C1" w14:textId="77777777" w:rsidTr="001D4222">
        <w:tc>
          <w:tcPr>
            <w:tcW w:w="988" w:type="dxa"/>
          </w:tcPr>
          <w:p w14:paraId="4595C98C"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pacing w:val="1"/>
                <w:sz w:val="24"/>
                <w:szCs w:val="24"/>
              </w:rPr>
              <w:t>1</w:t>
            </w:r>
          </w:p>
        </w:tc>
        <w:tc>
          <w:tcPr>
            <w:tcW w:w="8028" w:type="dxa"/>
          </w:tcPr>
          <w:p w14:paraId="1E61CBC4"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z w:val="24"/>
                <w:szCs w:val="24"/>
              </w:rPr>
              <w:t>Success is based on the survival of the fittest; I am not concerned about the losers.</w:t>
            </w:r>
          </w:p>
        </w:tc>
      </w:tr>
      <w:tr w:rsidR="00620F22" w:rsidRPr="00620F22" w14:paraId="53D19433" w14:textId="77777777" w:rsidTr="001D4222">
        <w:tc>
          <w:tcPr>
            <w:tcW w:w="988" w:type="dxa"/>
          </w:tcPr>
          <w:p w14:paraId="3AC5B1C1"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pacing w:val="1"/>
                <w:sz w:val="24"/>
                <w:szCs w:val="24"/>
              </w:rPr>
              <w:t>2</w:t>
            </w:r>
          </w:p>
        </w:tc>
        <w:tc>
          <w:tcPr>
            <w:tcW w:w="8028" w:type="dxa"/>
          </w:tcPr>
          <w:p w14:paraId="4D410E62"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z w:val="24"/>
                <w:szCs w:val="24"/>
              </w:rPr>
              <w:t>For me, what’s right is whatever I can get away with.</w:t>
            </w:r>
          </w:p>
        </w:tc>
      </w:tr>
      <w:tr w:rsidR="00620F22" w:rsidRPr="00620F22" w14:paraId="0541A265" w14:textId="77777777" w:rsidTr="001D4222">
        <w:tc>
          <w:tcPr>
            <w:tcW w:w="988" w:type="dxa"/>
          </w:tcPr>
          <w:p w14:paraId="2A2F5720"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pacing w:val="1"/>
                <w:sz w:val="24"/>
                <w:szCs w:val="24"/>
              </w:rPr>
              <w:t>3</w:t>
            </w:r>
          </w:p>
        </w:tc>
        <w:tc>
          <w:tcPr>
            <w:tcW w:w="8028" w:type="dxa"/>
          </w:tcPr>
          <w:p w14:paraId="752E1DFE"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z w:val="24"/>
                <w:szCs w:val="24"/>
              </w:rPr>
              <w:t>In today’s world, I feel justified in doing anything I can get away with, to succeed.</w:t>
            </w:r>
          </w:p>
        </w:tc>
      </w:tr>
      <w:tr w:rsidR="00620F22" w:rsidRPr="00620F22" w14:paraId="4CF0A6E5" w14:textId="77777777" w:rsidTr="001D4222">
        <w:tc>
          <w:tcPr>
            <w:tcW w:w="988" w:type="dxa"/>
          </w:tcPr>
          <w:p w14:paraId="41FFBFC1"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pacing w:val="1"/>
                <w:sz w:val="24"/>
                <w:szCs w:val="24"/>
              </w:rPr>
              <w:t>4</w:t>
            </w:r>
          </w:p>
        </w:tc>
        <w:tc>
          <w:tcPr>
            <w:tcW w:w="8028" w:type="dxa"/>
          </w:tcPr>
          <w:p w14:paraId="0B6C1866"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z w:val="24"/>
                <w:szCs w:val="24"/>
              </w:rPr>
              <w:t>My main purpose in life is getting as many goodies as I can.</w:t>
            </w:r>
          </w:p>
        </w:tc>
      </w:tr>
      <w:tr w:rsidR="00620F22" w:rsidRPr="00620F22" w14:paraId="37C1FD5B" w14:textId="77777777" w:rsidTr="001D4222">
        <w:tc>
          <w:tcPr>
            <w:tcW w:w="988" w:type="dxa"/>
          </w:tcPr>
          <w:p w14:paraId="473F6E9E"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pacing w:val="1"/>
                <w:sz w:val="24"/>
                <w:szCs w:val="24"/>
              </w:rPr>
              <w:t>5</w:t>
            </w:r>
          </w:p>
        </w:tc>
        <w:tc>
          <w:tcPr>
            <w:tcW w:w="8028" w:type="dxa"/>
          </w:tcPr>
          <w:p w14:paraId="67836B8D"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z w:val="24"/>
                <w:szCs w:val="24"/>
              </w:rPr>
              <w:t>Making a lot of money is my most important goal.</w:t>
            </w:r>
          </w:p>
        </w:tc>
      </w:tr>
      <w:tr w:rsidR="00620F22" w:rsidRPr="00620F22" w14:paraId="6BEA8D6A" w14:textId="77777777" w:rsidTr="001D4222">
        <w:tc>
          <w:tcPr>
            <w:tcW w:w="988" w:type="dxa"/>
          </w:tcPr>
          <w:p w14:paraId="28214C93"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pacing w:val="1"/>
                <w:sz w:val="24"/>
                <w:szCs w:val="24"/>
              </w:rPr>
              <w:t>6</w:t>
            </w:r>
          </w:p>
        </w:tc>
        <w:tc>
          <w:tcPr>
            <w:tcW w:w="8028" w:type="dxa"/>
          </w:tcPr>
          <w:p w14:paraId="208365F1"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z w:val="24"/>
                <w:szCs w:val="24"/>
              </w:rPr>
              <w:t>I let others worry about higher values; my main concern is with the profit</w:t>
            </w:r>
          </w:p>
        </w:tc>
      </w:tr>
      <w:tr w:rsidR="00620F22" w:rsidRPr="00620F22" w14:paraId="1C719C4D" w14:textId="77777777" w:rsidTr="001D4222">
        <w:tc>
          <w:tcPr>
            <w:tcW w:w="988" w:type="dxa"/>
          </w:tcPr>
          <w:p w14:paraId="2040048F"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pacing w:val="1"/>
                <w:sz w:val="24"/>
                <w:szCs w:val="24"/>
              </w:rPr>
              <w:t>7</w:t>
            </w:r>
          </w:p>
        </w:tc>
        <w:tc>
          <w:tcPr>
            <w:tcW w:w="8028" w:type="dxa"/>
          </w:tcPr>
          <w:p w14:paraId="52FBAEE6"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z w:val="24"/>
                <w:szCs w:val="24"/>
              </w:rPr>
              <w:t>People who are stupid enough to get ripped off usually deserve it</w:t>
            </w:r>
          </w:p>
        </w:tc>
      </w:tr>
      <w:tr w:rsidR="00620F22" w:rsidRPr="00620F22" w14:paraId="02963126" w14:textId="77777777" w:rsidTr="001D4222">
        <w:tc>
          <w:tcPr>
            <w:tcW w:w="988" w:type="dxa"/>
          </w:tcPr>
          <w:p w14:paraId="4D85FB48"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pacing w:val="1"/>
                <w:sz w:val="24"/>
                <w:szCs w:val="24"/>
              </w:rPr>
              <w:t>8</w:t>
            </w:r>
          </w:p>
        </w:tc>
        <w:tc>
          <w:tcPr>
            <w:tcW w:w="8028" w:type="dxa"/>
          </w:tcPr>
          <w:p w14:paraId="2805D3AC"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z w:val="24"/>
                <w:szCs w:val="24"/>
              </w:rPr>
              <w:t>Looking out for myself is my top priority</w:t>
            </w:r>
          </w:p>
        </w:tc>
      </w:tr>
      <w:tr w:rsidR="00620F22" w:rsidRPr="00620F22" w14:paraId="2801D335" w14:textId="77777777" w:rsidTr="001D4222">
        <w:tc>
          <w:tcPr>
            <w:tcW w:w="988" w:type="dxa"/>
          </w:tcPr>
          <w:p w14:paraId="56E8331B"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pacing w:val="1"/>
                <w:sz w:val="24"/>
                <w:szCs w:val="24"/>
              </w:rPr>
              <w:t>9</w:t>
            </w:r>
          </w:p>
        </w:tc>
        <w:tc>
          <w:tcPr>
            <w:tcW w:w="8028" w:type="dxa"/>
          </w:tcPr>
          <w:p w14:paraId="24FD6469"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z w:val="24"/>
                <w:szCs w:val="24"/>
              </w:rPr>
              <w:t>I tell other people what they want to hear so that they will do what I want them to do.</w:t>
            </w:r>
          </w:p>
        </w:tc>
      </w:tr>
      <w:tr w:rsidR="00620F22" w:rsidRPr="00620F22" w14:paraId="5D186FE1" w14:textId="77777777" w:rsidTr="001D4222">
        <w:tc>
          <w:tcPr>
            <w:tcW w:w="988" w:type="dxa"/>
          </w:tcPr>
          <w:p w14:paraId="69106188"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pacing w:val="1"/>
                <w:sz w:val="24"/>
                <w:szCs w:val="24"/>
              </w:rPr>
              <w:lastRenderedPageBreak/>
              <w:t>10</w:t>
            </w:r>
          </w:p>
        </w:tc>
        <w:tc>
          <w:tcPr>
            <w:tcW w:w="8028" w:type="dxa"/>
          </w:tcPr>
          <w:p w14:paraId="347A90F9"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z w:val="24"/>
                <w:szCs w:val="24"/>
              </w:rPr>
              <w:t>I would be upset if my success came at someone else’s expense.</w:t>
            </w:r>
          </w:p>
        </w:tc>
      </w:tr>
      <w:tr w:rsidR="00620F22" w:rsidRPr="00620F22" w14:paraId="596772E6" w14:textId="77777777" w:rsidTr="001D4222">
        <w:tc>
          <w:tcPr>
            <w:tcW w:w="988" w:type="dxa"/>
          </w:tcPr>
          <w:p w14:paraId="0D88F943"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pacing w:val="1"/>
                <w:sz w:val="24"/>
                <w:szCs w:val="24"/>
              </w:rPr>
              <w:t>11</w:t>
            </w:r>
          </w:p>
        </w:tc>
        <w:tc>
          <w:tcPr>
            <w:tcW w:w="8028" w:type="dxa"/>
          </w:tcPr>
          <w:p w14:paraId="5ACF2FBE"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z w:val="24"/>
                <w:szCs w:val="24"/>
              </w:rPr>
              <w:t>I often admire a clever scam.</w:t>
            </w:r>
          </w:p>
        </w:tc>
      </w:tr>
      <w:tr w:rsidR="00620F22" w:rsidRPr="00620F22" w14:paraId="6BCC6445" w14:textId="77777777" w:rsidTr="001D4222">
        <w:tc>
          <w:tcPr>
            <w:tcW w:w="988" w:type="dxa"/>
          </w:tcPr>
          <w:p w14:paraId="70AFCA74"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pacing w:val="1"/>
                <w:sz w:val="24"/>
                <w:szCs w:val="24"/>
              </w:rPr>
              <w:t>12</w:t>
            </w:r>
          </w:p>
        </w:tc>
        <w:tc>
          <w:tcPr>
            <w:tcW w:w="8028" w:type="dxa"/>
          </w:tcPr>
          <w:p w14:paraId="22F6A95F"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z w:val="24"/>
                <w:szCs w:val="24"/>
              </w:rPr>
              <w:t>I make a point of trying not to hurt others, in pursuit of my goals.</w:t>
            </w:r>
          </w:p>
        </w:tc>
      </w:tr>
      <w:tr w:rsidR="00620F22" w:rsidRPr="00620F22" w14:paraId="1CED35A6" w14:textId="77777777" w:rsidTr="001D4222">
        <w:tc>
          <w:tcPr>
            <w:tcW w:w="988" w:type="dxa"/>
          </w:tcPr>
          <w:p w14:paraId="1B2FA534"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pacing w:val="1"/>
                <w:sz w:val="24"/>
                <w:szCs w:val="24"/>
              </w:rPr>
              <w:t>13</w:t>
            </w:r>
          </w:p>
        </w:tc>
        <w:tc>
          <w:tcPr>
            <w:tcW w:w="8028" w:type="dxa"/>
          </w:tcPr>
          <w:p w14:paraId="0DE1725E"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z w:val="24"/>
                <w:szCs w:val="24"/>
              </w:rPr>
              <w:t>I enjoy manipulating other people’s feelings.</w:t>
            </w:r>
          </w:p>
        </w:tc>
      </w:tr>
      <w:tr w:rsidR="00620F22" w:rsidRPr="00620F22" w14:paraId="1D10B334" w14:textId="77777777" w:rsidTr="001D4222">
        <w:tc>
          <w:tcPr>
            <w:tcW w:w="988" w:type="dxa"/>
          </w:tcPr>
          <w:p w14:paraId="532FEF4E"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pacing w:val="1"/>
                <w:sz w:val="24"/>
                <w:szCs w:val="24"/>
              </w:rPr>
              <w:t>14</w:t>
            </w:r>
          </w:p>
        </w:tc>
        <w:tc>
          <w:tcPr>
            <w:tcW w:w="8028" w:type="dxa"/>
          </w:tcPr>
          <w:p w14:paraId="70FC608B"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z w:val="24"/>
                <w:szCs w:val="24"/>
              </w:rPr>
              <w:t>I feel bad if my words or actions cause someone else to feel emotional pain.</w:t>
            </w:r>
          </w:p>
        </w:tc>
      </w:tr>
      <w:tr w:rsidR="00620F22" w:rsidRPr="00620F22" w14:paraId="4A4756A8" w14:textId="77777777" w:rsidTr="001D4222">
        <w:tc>
          <w:tcPr>
            <w:tcW w:w="988" w:type="dxa"/>
          </w:tcPr>
          <w:p w14:paraId="24B78B5D"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pacing w:val="1"/>
                <w:sz w:val="24"/>
                <w:szCs w:val="24"/>
              </w:rPr>
              <w:t>15</w:t>
            </w:r>
          </w:p>
        </w:tc>
        <w:tc>
          <w:tcPr>
            <w:tcW w:w="8028" w:type="dxa"/>
          </w:tcPr>
          <w:p w14:paraId="7485C0EE" w14:textId="7BBEC6CB" w:rsidR="00620F22" w:rsidRPr="00620F22" w:rsidRDefault="00620F22" w:rsidP="003E61E4">
            <w:pPr>
              <w:spacing w:after="160" w:line="480" w:lineRule="auto"/>
              <w:rPr>
                <w:rFonts w:asciiTheme="minorBidi" w:hAnsiTheme="minorBidi"/>
                <w:sz w:val="24"/>
                <w:szCs w:val="24"/>
              </w:rPr>
            </w:pPr>
            <w:r w:rsidRPr="00620F22">
              <w:rPr>
                <w:rFonts w:asciiTheme="minorBidi" w:hAnsiTheme="minorBidi"/>
                <w:sz w:val="24"/>
                <w:szCs w:val="24"/>
              </w:rPr>
              <w:t>Even if I were trying very hard to sell something, I would not tell untruths about it.</w:t>
            </w:r>
          </w:p>
        </w:tc>
      </w:tr>
      <w:tr w:rsidR="00620F22" w:rsidRPr="00620F22" w14:paraId="066D7AC9" w14:textId="77777777" w:rsidTr="001D4222">
        <w:tc>
          <w:tcPr>
            <w:tcW w:w="988" w:type="dxa"/>
          </w:tcPr>
          <w:p w14:paraId="2DD44FF6"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pacing w:val="1"/>
                <w:sz w:val="24"/>
                <w:szCs w:val="24"/>
              </w:rPr>
              <w:t>16</w:t>
            </w:r>
          </w:p>
        </w:tc>
        <w:tc>
          <w:tcPr>
            <w:tcW w:w="8028" w:type="dxa"/>
          </w:tcPr>
          <w:p w14:paraId="450C5D8B" w14:textId="77777777" w:rsidR="00620F22" w:rsidRPr="00620F22" w:rsidRDefault="00620F22" w:rsidP="005B350C">
            <w:pPr>
              <w:spacing w:line="480" w:lineRule="auto"/>
              <w:contextualSpacing/>
              <w:rPr>
                <w:rFonts w:asciiTheme="minorBidi" w:hAnsiTheme="minorBidi"/>
                <w:spacing w:val="1"/>
                <w:sz w:val="24"/>
                <w:szCs w:val="24"/>
              </w:rPr>
            </w:pPr>
            <w:r w:rsidRPr="00620F22">
              <w:rPr>
                <w:rFonts w:asciiTheme="minorBidi" w:hAnsiTheme="minorBidi"/>
                <w:sz w:val="24"/>
                <w:szCs w:val="24"/>
              </w:rPr>
              <w:t>Cheating is not justified because it is unfair to others.</w:t>
            </w:r>
          </w:p>
        </w:tc>
      </w:tr>
    </w:tbl>
    <w:p w14:paraId="310C29F7" w14:textId="77777777" w:rsidR="00620F22" w:rsidRPr="00620F22" w:rsidRDefault="00620F22" w:rsidP="00620F22">
      <w:pPr>
        <w:spacing w:line="480" w:lineRule="auto"/>
        <w:contextualSpacing/>
        <w:jc w:val="both"/>
        <w:rPr>
          <w:rFonts w:ascii="Arial" w:eastAsia="Times New Roman" w:hAnsi="Arial" w:cs="Arial"/>
          <w:color w:val="000000" w:themeColor="text1"/>
          <w:lang w:eastAsia="en-GB"/>
        </w:rPr>
      </w:pPr>
    </w:p>
    <w:p w14:paraId="3AB2C45E" w14:textId="77777777" w:rsidR="00620F22" w:rsidRPr="00620F22" w:rsidRDefault="00620F22" w:rsidP="00620F22">
      <w:pPr>
        <w:spacing w:line="480" w:lineRule="auto"/>
        <w:contextualSpacing/>
        <w:jc w:val="both"/>
        <w:rPr>
          <w:rFonts w:ascii="Arial" w:hAnsi="Arial" w:cs="Arial"/>
          <w:color w:val="000000" w:themeColor="text1"/>
        </w:rPr>
      </w:pPr>
      <w:r w:rsidRPr="00620F22">
        <w:rPr>
          <w:rFonts w:ascii="Arial" w:eastAsia="Times New Roman" w:hAnsi="Arial" w:cs="Arial"/>
          <w:color w:val="000000" w:themeColor="text1"/>
          <w:lang w:eastAsia="en-GB"/>
        </w:rPr>
        <w:t>According to the primary study (Brinkley et. al, 2000) the following thresholds were recognised:</w:t>
      </w:r>
    </w:p>
    <w:p w14:paraId="7724299B" w14:textId="77777777" w:rsidR="00620F22" w:rsidRPr="00620F22" w:rsidRDefault="00620F22">
      <w:pPr>
        <w:numPr>
          <w:ilvl w:val="0"/>
          <w:numId w:val="21"/>
        </w:numPr>
        <w:shd w:val="clear" w:color="auto" w:fill="FFFFFF"/>
        <w:spacing w:before="100" w:beforeAutospacing="1" w:after="24" w:line="480" w:lineRule="auto"/>
        <w:ind w:left="1104"/>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0-48: Non-Psychopathic group</w:t>
      </w:r>
    </w:p>
    <w:p w14:paraId="415D08E2" w14:textId="77777777" w:rsidR="00620F22" w:rsidRPr="00620F22" w:rsidRDefault="00620F22">
      <w:pPr>
        <w:numPr>
          <w:ilvl w:val="0"/>
          <w:numId w:val="21"/>
        </w:numPr>
        <w:shd w:val="clear" w:color="auto" w:fill="FFFFFF"/>
        <w:spacing w:before="100" w:beforeAutospacing="1" w:after="24" w:line="480" w:lineRule="auto"/>
        <w:ind w:left="1104"/>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49-57: Mixed group</w:t>
      </w:r>
    </w:p>
    <w:p w14:paraId="292A9D65" w14:textId="77777777" w:rsidR="00620F22" w:rsidRPr="00620F22" w:rsidRDefault="00620F22">
      <w:pPr>
        <w:numPr>
          <w:ilvl w:val="0"/>
          <w:numId w:val="21"/>
        </w:numPr>
        <w:shd w:val="clear" w:color="auto" w:fill="FFFFFF"/>
        <w:spacing w:before="100" w:beforeAutospacing="1" w:after="24" w:line="480" w:lineRule="auto"/>
        <w:ind w:left="1104"/>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≥58: Psychopathic group</w:t>
      </w:r>
    </w:p>
    <w:p w14:paraId="62E4F69E" w14:textId="77777777" w:rsidR="00620F22" w:rsidRPr="00620F22" w:rsidRDefault="00620F22" w:rsidP="00620F22">
      <w:pPr>
        <w:spacing w:line="480" w:lineRule="auto"/>
        <w:jc w:val="both"/>
        <w:rPr>
          <w:rFonts w:ascii="Arial" w:hAnsi="Arial" w:cs="Arial"/>
          <w:color w:val="000000" w:themeColor="text1"/>
        </w:rPr>
      </w:pPr>
      <w:bookmarkStart w:id="709" w:name="_Hlk146213057"/>
      <w:r w:rsidRPr="00620F22">
        <w:rPr>
          <w:rFonts w:ascii="Arial" w:hAnsi="Arial" w:cs="Arial"/>
          <w:color w:val="000000" w:themeColor="text1"/>
        </w:rPr>
        <w:t>The results of the sample of 57 professional accountants were:</w:t>
      </w:r>
    </w:p>
    <w:tbl>
      <w:tblPr>
        <w:tblStyle w:val="TableGrid1"/>
        <w:tblW w:w="0" w:type="auto"/>
        <w:tblLook w:val="04A0" w:firstRow="1" w:lastRow="0" w:firstColumn="1" w:lastColumn="0" w:noHBand="0" w:noVBand="1"/>
      </w:tblPr>
      <w:tblGrid>
        <w:gridCol w:w="3093"/>
        <w:gridCol w:w="3273"/>
        <w:gridCol w:w="2650"/>
      </w:tblGrid>
      <w:tr w:rsidR="00620F22" w:rsidRPr="00620F22" w14:paraId="1E63F188" w14:textId="77777777" w:rsidTr="001D4222">
        <w:tc>
          <w:tcPr>
            <w:tcW w:w="3093" w:type="dxa"/>
          </w:tcPr>
          <w:p w14:paraId="04D5FDD1" w14:textId="77777777" w:rsidR="00620F22" w:rsidRPr="00620F22" w:rsidRDefault="00620F22" w:rsidP="00620F22">
            <w:pPr>
              <w:rPr>
                <w:rFonts w:asciiTheme="minorBidi" w:hAnsiTheme="minorBidi"/>
                <w:b/>
                <w:bCs/>
                <w:sz w:val="24"/>
                <w:szCs w:val="24"/>
              </w:rPr>
            </w:pPr>
            <w:r w:rsidRPr="00620F22">
              <w:rPr>
                <w:rFonts w:asciiTheme="minorBidi" w:hAnsiTheme="minorBidi"/>
                <w:b/>
                <w:bCs/>
                <w:sz w:val="24"/>
                <w:szCs w:val="24"/>
              </w:rPr>
              <w:t>Psychopathy Score</w:t>
            </w:r>
          </w:p>
          <w:p w14:paraId="2076FC6A" w14:textId="77777777" w:rsidR="00620F22" w:rsidRPr="00620F22" w:rsidRDefault="00620F22" w:rsidP="00620F22">
            <w:pPr>
              <w:rPr>
                <w:rFonts w:asciiTheme="minorBidi" w:hAnsiTheme="minorBidi"/>
                <w:b/>
                <w:bCs/>
                <w:sz w:val="24"/>
                <w:szCs w:val="24"/>
              </w:rPr>
            </w:pPr>
          </w:p>
        </w:tc>
        <w:tc>
          <w:tcPr>
            <w:tcW w:w="3273" w:type="dxa"/>
          </w:tcPr>
          <w:p w14:paraId="0FBE3EE9" w14:textId="77777777" w:rsidR="00620F22" w:rsidRPr="00620F22" w:rsidRDefault="00620F22" w:rsidP="00620F22">
            <w:pPr>
              <w:rPr>
                <w:rFonts w:asciiTheme="minorBidi" w:hAnsiTheme="minorBidi"/>
                <w:b/>
                <w:bCs/>
                <w:sz w:val="24"/>
                <w:szCs w:val="24"/>
              </w:rPr>
            </w:pPr>
            <w:r w:rsidRPr="00620F22">
              <w:rPr>
                <w:rFonts w:asciiTheme="minorBidi" w:hAnsiTheme="minorBidi"/>
                <w:b/>
                <w:bCs/>
                <w:sz w:val="24"/>
                <w:szCs w:val="24"/>
              </w:rPr>
              <w:t>Participants</w:t>
            </w:r>
          </w:p>
        </w:tc>
        <w:tc>
          <w:tcPr>
            <w:tcW w:w="2650" w:type="dxa"/>
          </w:tcPr>
          <w:p w14:paraId="1080204D" w14:textId="77777777" w:rsidR="00620F22" w:rsidRPr="00620F22" w:rsidRDefault="00620F22" w:rsidP="00620F22">
            <w:pPr>
              <w:rPr>
                <w:rFonts w:asciiTheme="minorBidi" w:hAnsiTheme="minorBidi"/>
                <w:b/>
                <w:bCs/>
                <w:sz w:val="24"/>
                <w:szCs w:val="24"/>
              </w:rPr>
            </w:pPr>
            <w:r w:rsidRPr="00620F22">
              <w:rPr>
                <w:rFonts w:asciiTheme="minorBidi" w:hAnsiTheme="minorBidi"/>
                <w:b/>
                <w:bCs/>
                <w:sz w:val="24"/>
                <w:szCs w:val="24"/>
              </w:rPr>
              <w:t>%</w:t>
            </w:r>
          </w:p>
        </w:tc>
      </w:tr>
      <w:tr w:rsidR="00620F22" w:rsidRPr="00620F22" w14:paraId="46EEE149" w14:textId="77777777" w:rsidTr="001D4222">
        <w:tc>
          <w:tcPr>
            <w:tcW w:w="3093" w:type="dxa"/>
          </w:tcPr>
          <w:p w14:paraId="7B35B3C9" w14:textId="77777777" w:rsidR="00620F22" w:rsidRPr="00620F22" w:rsidRDefault="00620F22" w:rsidP="00620F22">
            <w:pPr>
              <w:rPr>
                <w:rFonts w:asciiTheme="minorBidi" w:eastAsia="Times New Roman" w:hAnsiTheme="minorBidi"/>
                <w:sz w:val="24"/>
                <w:szCs w:val="24"/>
                <w:lang w:eastAsia="en-GB"/>
              </w:rPr>
            </w:pPr>
            <w:r w:rsidRPr="00620F22">
              <w:rPr>
                <w:rFonts w:asciiTheme="minorBidi" w:eastAsia="Times New Roman" w:hAnsiTheme="minorBidi"/>
                <w:sz w:val="24"/>
                <w:szCs w:val="24"/>
                <w:lang w:eastAsia="en-GB"/>
              </w:rPr>
              <w:t>0-48</w:t>
            </w:r>
          </w:p>
          <w:p w14:paraId="563F2DDD" w14:textId="77777777" w:rsidR="00620F22" w:rsidRPr="00620F22" w:rsidRDefault="00620F22" w:rsidP="00620F22">
            <w:pPr>
              <w:rPr>
                <w:rFonts w:asciiTheme="minorBidi" w:hAnsiTheme="minorBidi"/>
                <w:sz w:val="24"/>
                <w:szCs w:val="24"/>
              </w:rPr>
            </w:pPr>
          </w:p>
        </w:tc>
        <w:tc>
          <w:tcPr>
            <w:tcW w:w="3273" w:type="dxa"/>
          </w:tcPr>
          <w:p w14:paraId="50CF5D43"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36</w:t>
            </w:r>
          </w:p>
        </w:tc>
        <w:tc>
          <w:tcPr>
            <w:tcW w:w="2650" w:type="dxa"/>
          </w:tcPr>
          <w:p w14:paraId="3E39B559"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63</w:t>
            </w:r>
          </w:p>
        </w:tc>
      </w:tr>
      <w:tr w:rsidR="00620F22" w:rsidRPr="00620F22" w14:paraId="24E62294" w14:textId="77777777" w:rsidTr="001D4222">
        <w:tc>
          <w:tcPr>
            <w:tcW w:w="3093" w:type="dxa"/>
          </w:tcPr>
          <w:p w14:paraId="55459213" w14:textId="77777777" w:rsidR="00620F22" w:rsidRPr="00620F22" w:rsidRDefault="00620F22" w:rsidP="00620F22">
            <w:pPr>
              <w:rPr>
                <w:rFonts w:asciiTheme="minorBidi" w:eastAsia="Times New Roman" w:hAnsiTheme="minorBidi"/>
                <w:sz w:val="24"/>
                <w:szCs w:val="24"/>
                <w:lang w:eastAsia="en-GB"/>
              </w:rPr>
            </w:pPr>
            <w:r w:rsidRPr="00620F22">
              <w:rPr>
                <w:rFonts w:asciiTheme="minorBidi" w:eastAsia="Times New Roman" w:hAnsiTheme="minorBidi"/>
                <w:sz w:val="24"/>
                <w:szCs w:val="24"/>
                <w:lang w:eastAsia="en-GB"/>
              </w:rPr>
              <w:t>49-57</w:t>
            </w:r>
          </w:p>
          <w:p w14:paraId="6901B399" w14:textId="77777777" w:rsidR="00620F22" w:rsidRPr="00620F22" w:rsidRDefault="00620F22" w:rsidP="00620F22">
            <w:pPr>
              <w:rPr>
                <w:rFonts w:asciiTheme="minorBidi" w:hAnsiTheme="minorBidi"/>
                <w:sz w:val="24"/>
                <w:szCs w:val="24"/>
              </w:rPr>
            </w:pPr>
          </w:p>
        </w:tc>
        <w:tc>
          <w:tcPr>
            <w:tcW w:w="3273" w:type="dxa"/>
          </w:tcPr>
          <w:p w14:paraId="0153E67A"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17</w:t>
            </w:r>
          </w:p>
        </w:tc>
        <w:tc>
          <w:tcPr>
            <w:tcW w:w="2650" w:type="dxa"/>
          </w:tcPr>
          <w:p w14:paraId="0ABD8D65"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30</w:t>
            </w:r>
          </w:p>
        </w:tc>
      </w:tr>
      <w:tr w:rsidR="00620F22" w:rsidRPr="00620F22" w14:paraId="6C9DD7A8" w14:textId="77777777" w:rsidTr="001D4222">
        <w:tc>
          <w:tcPr>
            <w:tcW w:w="3093" w:type="dxa"/>
          </w:tcPr>
          <w:p w14:paraId="2BC9404D" w14:textId="77777777" w:rsidR="00620F22" w:rsidRPr="00620F22" w:rsidRDefault="00620F22" w:rsidP="00620F22">
            <w:pPr>
              <w:rPr>
                <w:rFonts w:asciiTheme="minorBidi" w:eastAsia="Times New Roman" w:hAnsiTheme="minorBidi"/>
                <w:sz w:val="24"/>
                <w:szCs w:val="24"/>
                <w:lang w:eastAsia="en-GB"/>
              </w:rPr>
            </w:pPr>
            <w:r w:rsidRPr="00620F22">
              <w:rPr>
                <w:rFonts w:asciiTheme="minorBidi" w:eastAsia="Times New Roman" w:hAnsiTheme="minorBidi"/>
                <w:sz w:val="24"/>
                <w:szCs w:val="24"/>
                <w:lang w:eastAsia="en-GB"/>
              </w:rPr>
              <w:t>≥58</w:t>
            </w:r>
          </w:p>
          <w:p w14:paraId="62B49277" w14:textId="77777777" w:rsidR="00620F22" w:rsidRPr="00620F22" w:rsidRDefault="00620F22" w:rsidP="00620F22">
            <w:pPr>
              <w:rPr>
                <w:rFonts w:asciiTheme="minorBidi" w:hAnsiTheme="minorBidi"/>
                <w:sz w:val="24"/>
                <w:szCs w:val="24"/>
              </w:rPr>
            </w:pPr>
          </w:p>
        </w:tc>
        <w:tc>
          <w:tcPr>
            <w:tcW w:w="3273" w:type="dxa"/>
          </w:tcPr>
          <w:p w14:paraId="4463C22C"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4</w:t>
            </w:r>
          </w:p>
        </w:tc>
        <w:tc>
          <w:tcPr>
            <w:tcW w:w="2650" w:type="dxa"/>
          </w:tcPr>
          <w:p w14:paraId="421CF989"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7</w:t>
            </w:r>
          </w:p>
        </w:tc>
      </w:tr>
      <w:tr w:rsidR="00620F22" w:rsidRPr="00620F22" w14:paraId="32FC4602" w14:textId="77777777" w:rsidTr="001D4222">
        <w:tc>
          <w:tcPr>
            <w:tcW w:w="3093" w:type="dxa"/>
          </w:tcPr>
          <w:p w14:paraId="7E672E88" w14:textId="77777777" w:rsidR="00620F22" w:rsidRPr="00620F22" w:rsidRDefault="00620F22" w:rsidP="00620F22">
            <w:pPr>
              <w:rPr>
                <w:rFonts w:asciiTheme="minorBidi" w:eastAsia="Times New Roman" w:hAnsiTheme="minorBidi"/>
                <w:sz w:val="24"/>
                <w:szCs w:val="24"/>
                <w:lang w:eastAsia="en-GB"/>
              </w:rPr>
            </w:pPr>
            <w:r w:rsidRPr="00620F22">
              <w:rPr>
                <w:rFonts w:asciiTheme="minorBidi" w:eastAsia="Times New Roman" w:hAnsiTheme="minorBidi"/>
                <w:sz w:val="24"/>
                <w:szCs w:val="24"/>
                <w:lang w:eastAsia="en-GB"/>
              </w:rPr>
              <w:t>Total</w:t>
            </w:r>
          </w:p>
          <w:p w14:paraId="577103D4" w14:textId="77777777" w:rsidR="00620F22" w:rsidRPr="00620F22" w:rsidRDefault="00620F22" w:rsidP="00620F22">
            <w:pPr>
              <w:rPr>
                <w:rFonts w:asciiTheme="minorBidi" w:eastAsia="Times New Roman" w:hAnsiTheme="minorBidi"/>
                <w:sz w:val="24"/>
                <w:szCs w:val="24"/>
                <w:lang w:eastAsia="en-GB"/>
              </w:rPr>
            </w:pPr>
          </w:p>
        </w:tc>
        <w:tc>
          <w:tcPr>
            <w:tcW w:w="3273" w:type="dxa"/>
          </w:tcPr>
          <w:p w14:paraId="25ACAF90"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57</w:t>
            </w:r>
          </w:p>
        </w:tc>
        <w:tc>
          <w:tcPr>
            <w:tcW w:w="2650" w:type="dxa"/>
          </w:tcPr>
          <w:p w14:paraId="6CD7EF17"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100</w:t>
            </w:r>
          </w:p>
        </w:tc>
      </w:tr>
      <w:bookmarkEnd w:id="709"/>
    </w:tbl>
    <w:p w14:paraId="13168FEC" w14:textId="77777777" w:rsidR="00620F22" w:rsidRPr="00620F22" w:rsidRDefault="00620F22" w:rsidP="00620F22">
      <w:pPr>
        <w:spacing w:line="480" w:lineRule="auto"/>
        <w:jc w:val="both"/>
        <w:rPr>
          <w:rFonts w:asciiTheme="minorBidi" w:hAnsiTheme="minorBidi"/>
          <w:color w:val="000000" w:themeColor="text1"/>
        </w:rPr>
      </w:pPr>
    </w:p>
    <w:p w14:paraId="639C185D" w14:textId="3BF0FC9B" w:rsidR="00620F22" w:rsidRPr="00620F22" w:rsidRDefault="00620F22" w:rsidP="00620F22">
      <w:pPr>
        <w:spacing w:line="480" w:lineRule="auto"/>
        <w:jc w:val="both"/>
        <w:rPr>
          <w:rFonts w:ascii="Arial" w:hAnsi="Arial" w:cs="Arial"/>
          <w:color w:val="000000" w:themeColor="text1"/>
          <w:shd w:val="clear" w:color="auto" w:fill="FFFFFF"/>
        </w:rPr>
      </w:pPr>
      <w:r w:rsidRPr="00620F22">
        <w:rPr>
          <w:rFonts w:asciiTheme="minorBidi" w:hAnsiTheme="minorBidi"/>
          <w:color w:val="000000" w:themeColor="text1"/>
        </w:rPr>
        <w:t xml:space="preserve">It is interesting to note that the </w:t>
      </w:r>
      <w:r w:rsidRPr="00620F22">
        <w:rPr>
          <w:rFonts w:asciiTheme="minorBidi" w:hAnsiTheme="minorBidi"/>
          <w:b/>
          <w:bCs/>
          <w:color w:val="000000" w:themeColor="text1"/>
        </w:rPr>
        <w:t>‘non-psychopathic</w:t>
      </w:r>
      <w:r w:rsidRPr="00620F22">
        <w:rPr>
          <w:rFonts w:ascii="Arial" w:hAnsi="Arial" w:cs="Arial"/>
          <w:b/>
          <w:bCs/>
          <w:color w:val="000000" w:themeColor="text1"/>
        </w:rPr>
        <w:t xml:space="preserve"> group’ of 36</w:t>
      </w:r>
      <w:r w:rsidRPr="00620F22">
        <w:rPr>
          <w:rFonts w:ascii="Arial" w:hAnsi="Arial" w:cs="Arial"/>
          <w:color w:val="000000" w:themeColor="text1"/>
        </w:rPr>
        <w:t xml:space="preserve"> included </w:t>
      </w:r>
      <w:r w:rsidRPr="00620F22">
        <w:rPr>
          <w:rFonts w:ascii="Arial" w:hAnsi="Arial" w:cs="Arial"/>
          <w:b/>
          <w:bCs/>
          <w:color w:val="000000" w:themeColor="text1"/>
        </w:rPr>
        <w:t>four accountants who had a score of 48 and could be argued are borderline ‘</w:t>
      </w:r>
      <w:r w:rsidR="005E7A44" w:rsidRPr="00620F22">
        <w:rPr>
          <w:rFonts w:ascii="Arial" w:hAnsi="Arial" w:cs="Arial"/>
          <w:b/>
          <w:bCs/>
          <w:color w:val="000000" w:themeColor="text1"/>
        </w:rPr>
        <w:t xml:space="preserve">Mixed </w:t>
      </w:r>
      <w:r w:rsidR="005E7A44" w:rsidRPr="00620F22">
        <w:rPr>
          <w:rFonts w:ascii="Arial" w:hAnsi="Arial" w:cs="Arial"/>
          <w:b/>
          <w:bCs/>
          <w:color w:val="000000" w:themeColor="text1"/>
        </w:rPr>
        <w:lastRenderedPageBreak/>
        <w:t>group</w:t>
      </w:r>
      <w:r w:rsidRPr="00620F22">
        <w:rPr>
          <w:rFonts w:ascii="Arial" w:hAnsi="Arial" w:cs="Arial"/>
          <w:b/>
          <w:bCs/>
          <w:color w:val="000000" w:themeColor="text1"/>
        </w:rPr>
        <w:t>’</w:t>
      </w:r>
      <w:r w:rsidRPr="00620F22">
        <w:rPr>
          <w:rFonts w:ascii="Arial" w:hAnsi="Arial" w:cs="Arial"/>
          <w:color w:val="000000" w:themeColor="text1"/>
        </w:rPr>
        <w:t xml:space="preserve"> cases. There were </w:t>
      </w:r>
      <w:r w:rsidRPr="00620F22">
        <w:rPr>
          <w:rFonts w:ascii="Arial" w:hAnsi="Arial" w:cs="Arial"/>
          <w:b/>
          <w:bCs/>
          <w:color w:val="000000" w:themeColor="text1"/>
        </w:rPr>
        <w:t>17 clear cases in the ‘</w:t>
      </w:r>
      <w:r w:rsidR="00075C6A" w:rsidRPr="00620F22">
        <w:rPr>
          <w:rFonts w:ascii="Arial" w:hAnsi="Arial" w:cs="Arial"/>
          <w:b/>
          <w:bCs/>
          <w:color w:val="000000" w:themeColor="text1"/>
        </w:rPr>
        <w:t>Mixed group</w:t>
      </w:r>
      <w:r w:rsidRPr="00620F22">
        <w:rPr>
          <w:rFonts w:ascii="Arial" w:hAnsi="Arial" w:cs="Arial"/>
          <w:color w:val="000000" w:themeColor="text1"/>
        </w:rPr>
        <w:t>’ and a</w:t>
      </w:r>
      <w:r w:rsidRPr="00620F22">
        <w:rPr>
          <w:rFonts w:ascii="Arial" w:hAnsi="Arial" w:cs="Arial"/>
          <w:color w:val="000000" w:themeColor="text1"/>
          <w:shd w:val="clear" w:color="auto" w:fill="FFFFFF"/>
        </w:rPr>
        <w:t xml:space="preserve">lthough this is a small study the mean, 45.84, and standard deviation, 7.72, was much higher than Baileys (2017) study (mean = 28.05, standard deviation = 6.03) although the sample size was more than 200 albeit they were students. </w:t>
      </w:r>
      <w:r w:rsidRPr="00620F22">
        <w:rPr>
          <w:rFonts w:ascii="Arial" w:hAnsi="Arial" w:cs="Arial"/>
          <w:color w:val="000000" w:themeColor="text1"/>
        </w:rPr>
        <w:t xml:space="preserve"> The Cronbach Alpha, for section C was established at an acceptable 0.71.</w:t>
      </w:r>
    </w:p>
    <w:p w14:paraId="765F9A7F" w14:textId="77777777" w:rsidR="00620F22" w:rsidRPr="00620F22" w:rsidRDefault="00620F22" w:rsidP="00620F22">
      <w:pPr>
        <w:spacing w:line="480" w:lineRule="auto"/>
        <w:jc w:val="both"/>
        <w:rPr>
          <w:rFonts w:ascii="Arial" w:hAnsi="Arial" w:cs="Arial"/>
          <w:color w:val="000000" w:themeColor="text1"/>
          <w:shd w:val="clear" w:color="auto" w:fill="FFFFFF"/>
        </w:rPr>
      </w:pPr>
      <w:r w:rsidRPr="00620F22">
        <w:rPr>
          <w:rFonts w:ascii="Arial" w:hAnsi="Arial" w:cs="Arial"/>
          <w:color w:val="000000" w:themeColor="text1"/>
        </w:rPr>
        <w:t xml:space="preserve">Hare (1994) </w:t>
      </w:r>
      <w:r w:rsidRPr="00620F22">
        <w:rPr>
          <w:rFonts w:ascii="Arial" w:hAnsi="Arial" w:cs="Arial"/>
          <w:color w:val="000000" w:themeColor="text1"/>
          <w:shd w:val="clear" w:color="auto" w:fill="FFFFFF"/>
        </w:rPr>
        <w:t>reported that approximately 1 percent of the general population meet the clinical threshold for psychopath and later maintained (Babiak and Hare, 2019) that the incidence of psychopaths was higher in the business world. This study of 57 highlighted that 7 %, or 4 participants, were CPA and 30%, or 17 contributors, have borderline or mixed psychopathy which could become problematic in the future.</w:t>
      </w:r>
    </w:p>
    <w:p w14:paraId="4CB6FDDC" w14:textId="77777777" w:rsidR="00620F22" w:rsidRPr="00620F22" w:rsidRDefault="00620F22" w:rsidP="00620F22">
      <w:pPr>
        <w:spacing w:line="480" w:lineRule="auto"/>
        <w:jc w:val="both"/>
        <w:rPr>
          <w:rFonts w:ascii="Arial" w:hAnsi="Arial" w:cs="Arial"/>
          <w:color w:val="000000" w:themeColor="text1"/>
          <w:shd w:val="clear" w:color="auto" w:fill="FFFFFF"/>
        </w:rPr>
      </w:pPr>
      <w:r w:rsidRPr="00620F22">
        <w:rPr>
          <w:rFonts w:ascii="Arial" w:hAnsi="Arial" w:cs="Arial"/>
          <w:color w:val="000000" w:themeColor="text1"/>
          <w:shd w:val="clear" w:color="auto" w:fill="FFFFFF"/>
        </w:rPr>
        <w:t xml:space="preserve">In section E, 91 % of the accountants believe that a large fine and lengthy prison is a potential deterrence for </w:t>
      </w:r>
      <w:r w:rsidRPr="00620F22">
        <w:rPr>
          <w:rFonts w:ascii="Arial" w:hAnsi="Arial" w:cs="Arial"/>
          <w:color w:val="000000" w:themeColor="text1"/>
        </w:rPr>
        <w:t>Accounting Fraud</w:t>
      </w:r>
      <w:r w:rsidRPr="00620F22">
        <w:rPr>
          <w:rFonts w:ascii="Arial" w:hAnsi="Arial" w:cs="Arial"/>
          <w:color w:val="000000" w:themeColor="text1"/>
          <w:shd w:val="clear" w:color="auto" w:fill="FFFFFF"/>
        </w:rPr>
        <w:t xml:space="preserve">. </w:t>
      </w:r>
    </w:p>
    <w:p w14:paraId="2335C75A" w14:textId="0431D4D7" w:rsidR="00620F22" w:rsidRPr="00620F22" w:rsidRDefault="00620F22" w:rsidP="00620F22">
      <w:pPr>
        <w:spacing w:line="480" w:lineRule="auto"/>
        <w:jc w:val="both"/>
        <w:rPr>
          <w:rFonts w:ascii="Arial" w:hAnsi="Arial" w:cs="Arial"/>
          <w:color w:val="000000" w:themeColor="text1"/>
        </w:rPr>
      </w:pPr>
      <w:bookmarkStart w:id="710" w:name="_Hlk146213090"/>
      <w:r w:rsidRPr="00620F22">
        <w:rPr>
          <w:rFonts w:ascii="Arial" w:hAnsi="Arial" w:cs="Arial"/>
          <w:color w:val="000000" w:themeColor="text1"/>
        </w:rPr>
        <w:t xml:space="preserve">Based on the results, the </w:t>
      </w:r>
      <w:r w:rsidR="00642F4D">
        <w:rPr>
          <w:rFonts w:ascii="Arial" w:hAnsi="Arial" w:cs="Arial"/>
          <w:color w:val="000000" w:themeColor="text1"/>
        </w:rPr>
        <w:t>researcher</w:t>
      </w:r>
      <w:r w:rsidRPr="00620F22">
        <w:rPr>
          <w:rFonts w:ascii="Arial" w:hAnsi="Arial" w:cs="Arial"/>
          <w:color w:val="000000" w:themeColor="text1"/>
        </w:rPr>
        <w:t xml:space="preserve"> created a multiple regression (Rxy) model that could predict Psychopathy, Y criterion, by using several predictors in combination:</w:t>
      </w:r>
    </w:p>
    <w:p w14:paraId="612D86C9"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t>X1 – Mean Disapproval of Unethical Actions</w:t>
      </w:r>
    </w:p>
    <w:p w14:paraId="2A98A49D"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t xml:space="preserve">X2 - Culture </w:t>
      </w:r>
    </w:p>
    <w:p w14:paraId="3CEFDB79"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t xml:space="preserve">X3 – Gender </w:t>
      </w:r>
    </w:p>
    <w:p w14:paraId="58C392E3"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t xml:space="preserve">X4 – Professional Experience of more than 10 years </w:t>
      </w:r>
      <w:bookmarkEnd w:id="710"/>
    </w:p>
    <w:p w14:paraId="61E6F7D0" w14:textId="77777777"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 xml:space="preserve">Each predictor is ‘weighted’ different manner according to its discrete correlation with Y and its correlation with the other predictors. The objective of multiple correlation is to supply a regression equation that will weight each predictor variable in such a way that the combination of the X variables does a much better role of predicting Y or psychopathy than any single X variable in isolation. </w:t>
      </w:r>
    </w:p>
    <w:p w14:paraId="74BDCF3C" w14:textId="77777777"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lastRenderedPageBreak/>
        <w:t>The reason for selecting X1 and X2 has been discussed earlier and X3 and X4 were chosen as it is being hypothesised that gender and professional experience of more than 10 years may be an explanatory variable in predicting corporate psychopathy. Although 75% of the participants followed a religious framework such as Christianity or Islam it was decided not to use this as an explanatory variable as it was not clear if the ‘Other’ category of balance followed an alternative practice or did not follow an ethical framework.</w:t>
      </w:r>
    </w:p>
    <w:p w14:paraId="30C4277C" w14:textId="77777777" w:rsidR="00620F22" w:rsidRPr="00620F22" w:rsidRDefault="00620F22" w:rsidP="00620F22">
      <w:pPr>
        <w:spacing w:line="480" w:lineRule="auto"/>
        <w:jc w:val="both"/>
        <w:rPr>
          <w:rFonts w:ascii="Arial" w:hAnsi="Arial" w:cs="Arial"/>
          <w:b/>
          <w:bCs/>
          <w:color w:val="000000" w:themeColor="text1"/>
        </w:rPr>
      </w:pPr>
      <w:bookmarkStart w:id="711" w:name="_Hlk146213212"/>
      <w:r w:rsidRPr="00620F22">
        <w:rPr>
          <w:rFonts w:ascii="Arial" w:hAnsi="Arial" w:cs="Arial"/>
          <w:color w:val="000000" w:themeColor="text1"/>
        </w:rPr>
        <w:t>According to the summary output the multiple regression model predicting criterion Y or psychopathy is (as per practice the figures are to 4 significant figures):</w:t>
      </w:r>
    </w:p>
    <w:p w14:paraId="702B8F18" w14:textId="77777777" w:rsidR="00620F22" w:rsidRPr="00620F22" w:rsidRDefault="00620F22" w:rsidP="00620F22">
      <w:pPr>
        <w:spacing w:line="480" w:lineRule="auto"/>
        <w:jc w:val="center"/>
        <w:rPr>
          <w:rFonts w:ascii="Arial" w:hAnsi="Arial" w:cs="Arial"/>
          <w:b/>
          <w:bCs/>
          <w:color w:val="000000" w:themeColor="text1"/>
          <w:lang w:val="es-ES"/>
        </w:rPr>
      </w:pPr>
      <w:r w:rsidRPr="00620F22">
        <w:rPr>
          <w:rFonts w:ascii="Arial" w:hAnsi="Arial" w:cs="Arial"/>
          <w:b/>
          <w:bCs/>
          <w:color w:val="000000" w:themeColor="text1"/>
          <w:lang w:val="es-ES"/>
        </w:rPr>
        <w:t xml:space="preserve">Y = a + b1X1 + b2X2 + b3X3 + b4X4 </w:t>
      </w:r>
    </w:p>
    <w:p w14:paraId="521D7DC2" w14:textId="77777777" w:rsidR="00620F22" w:rsidRPr="00620F22" w:rsidRDefault="00620F22" w:rsidP="00620F22">
      <w:pPr>
        <w:pBdr>
          <w:top w:val="single" w:sz="4" w:space="1" w:color="auto"/>
          <w:left w:val="single" w:sz="4" w:space="4" w:color="auto"/>
          <w:bottom w:val="single" w:sz="4" w:space="0" w:color="auto"/>
          <w:right w:val="single" w:sz="4" w:space="4" w:color="auto"/>
        </w:pBdr>
        <w:spacing w:line="480" w:lineRule="auto"/>
        <w:jc w:val="center"/>
        <w:rPr>
          <w:rFonts w:ascii="Arial" w:hAnsi="Arial" w:cs="Arial"/>
          <w:b/>
          <w:bCs/>
          <w:color w:val="000000" w:themeColor="text1"/>
        </w:rPr>
      </w:pPr>
      <w:bookmarkStart w:id="712" w:name="_Hlk96887026"/>
      <w:r w:rsidRPr="00620F22">
        <w:rPr>
          <w:rFonts w:ascii="Arial" w:hAnsi="Arial" w:cs="Arial"/>
          <w:b/>
          <w:bCs/>
          <w:color w:val="000000" w:themeColor="text1"/>
        </w:rPr>
        <w:t xml:space="preserve">Y = </w:t>
      </w:r>
      <w:bookmarkStart w:id="713" w:name="_Hlk113797762"/>
      <w:r w:rsidRPr="00620F22">
        <w:rPr>
          <w:rFonts w:ascii="Arial" w:hAnsi="Arial" w:cs="Arial"/>
          <w:b/>
          <w:bCs/>
          <w:color w:val="000000" w:themeColor="text1"/>
        </w:rPr>
        <w:t>59.1060 – 2.5840X1 + 0.0336X2 – 0.4386X3 - 7.9113X4</w:t>
      </w:r>
      <w:bookmarkEnd w:id="711"/>
      <w:bookmarkEnd w:id="712"/>
      <w:bookmarkEnd w:id="713"/>
    </w:p>
    <w:p w14:paraId="506E66FF" w14:textId="77777777" w:rsidR="00620F22" w:rsidRPr="00620F22" w:rsidRDefault="00620F22" w:rsidP="00620F22">
      <w:pPr>
        <w:spacing w:line="480" w:lineRule="auto"/>
        <w:jc w:val="both"/>
        <w:rPr>
          <w:rFonts w:ascii="Arial" w:hAnsi="Arial" w:cs="Arial"/>
          <w:color w:val="000000" w:themeColor="text1"/>
        </w:rPr>
      </w:pPr>
    </w:p>
    <w:p w14:paraId="36723794" w14:textId="77777777"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Consequently, if we have the following hypothetical accountant profile then the predicted score for psychopathy would be:</w:t>
      </w:r>
    </w:p>
    <w:tbl>
      <w:tblPr>
        <w:tblStyle w:val="TableGrid1"/>
        <w:tblW w:w="0" w:type="auto"/>
        <w:tblLook w:val="04A0" w:firstRow="1" w:lastRow="0" w:firstColumn="1" w:lastColumn="0" w:noHBand="0" w:noVBand="1"/>
      </w:tblPr>
      <w:tblGrid>
        <w:gridCol w:w="5807"/>
        <w:gridCol w:w="3209"/>
      </w:tblGrid>
      <w:tr w:rsidR="00620F22" w:rsidRPr="00620F22" w14:paraId="35A217E9" w14:textId="77777777" w:rsidTr="001D4222">
        <w:tc>
          <w:tcPr>
            <w:tcW w:w="5807" w:type="dxa"/>
          </w:tcPr>
          <w:p w14:paraId="56CAF4AB" w14:textId="77777777" w:rsidR="00620F22" w:rsidRPr="00620F22" w:rsidRDefault="00620F22" w:rsidP="00FE676A">
            <w:pPr>
              <w:spacing w:line="480" w:lineRule="auto"/>
              <w:rPr>
                <w:rFonts w:asciiTheme="minorBidi" w:hAnsiTheme="minorBidi"/>
                <w:b/>
                <w:bCs/>
                <w:sz w:val="24"/>
                <w:szCs w:val="24"/>
              </w:rPr>
            </w:pPr>
            <w:r w:rsidRPr="00620F22">
              <w:rPr>
                <w:rFonts w:asciiTheme="minorBidi" w:hAnsiTheme="minorBidi"/>
                <w:b/>
                <w:bCs/>
                <w:sz w:val="24"/>
                <w:szCs w:val="24"/>
              </w:rPr>
              <w:t>Predictor</w:t>
            </w:r>
          </w:p>
        </w:tc>
        <w:tc>
          <w:tcPr>
            <w:tcW w:w="3209" w:type="dxa"/>
          </w:tcPr>
          <w:p w14:paraId="43191E09" w14:textId="77777777" w:rsidR="00620F22" w:rsidRPr="00620F22" w:rsidRDefault="00620F22" w:rsidP="00FE676A">
            <w:pPr>
              <w:spacing w:line="480" w:lineRule="auto"/>
              <w:rPr>
                <w:rFonts w:asciiTheme="minorBidi" w:hAnsiTheme="minorBidi"/>
                <w:b/>
                <w:bCs/>
                <w:sz w:val="24"/>
                <w:szCs w:val="24"/>
              </w:rPr>
            </w:pPr>
            <w:r w:rsidRPr="00620F22">
              <w:rPr>
                <w:rFonts w:asciiTheme="minorBidi" w:hAnsiTheme="minorBidi"/>
                <w:b/>
                <w:bCs/>
                <w:sz w:val="24"/>
                <w:szCs w:val="24"/>
              </w:rPr>
              <w:t xml:space="preserve">Score </w:t>
            </w:r>
          </w:p>
        </w:tc>
      </w:tr>
      <w:tr w:rsidR="00620F22" w:rsidRPr="00620F22" w14:paraId="534495E7" w14:textId="77777777" w:rsidTr="001D4222">
        <w:tc>
          <w:tcPr>
            <w:tcW w:w="5807" w:type="dxa"/>
          </w:tcPr>
          <w:p w14:paraId="267C1AEA" w14:textId="77777777" w:rsidR="00620F22" w:rsidRPr="00620F22" w:rsidRDefault="00620F22" w:rsidP="00FE676A">
            <w:pPr>
              <w:spacing w:line="480" w:lineRule="auto"/>
              <w:rPr>
                <w:rFonts w:asciiTheme="minorBidi" w:hAnsiTheme="minorBidi"/>
                <w:sz w:val="24"/>
                <w:szCs w:val="24"/>
              </w:rPr>
            </w:pPr>
            <w:r w:rsidRPr="00620F22">
              <w:rPr>
                <w:rFonts w:asciiTheme="minorBidi" w:hAnsiTheme="minorBidi"/>
                <w:sz w:val="24"/>
                <w:szCs w:val="24"/>
              </w:rPr>
              <w:t>X1 – Mean Disapproval of Unethical Actions</w:t>
            </w:r>
          </w:p>
        </w:tc>
        <w:tc>
          <w:tcPr>
            <w:tcW w:w="3209" w:type="dxa"/>
          </w:tcPr>
          <w:p w14:paraId="0221519D" w14:textId="77777777" w:rsidR="00620F22" w:rsidRPr="00620F22" w:rsidRDefault="00620F22" w:rsidP="00FE676A">
            <w:pPr>
              <w:spacing w:line="480" w:lineRule="auto"/>
              <w:rPr>
                <w:rFonts w:asciiTheme="minorBidi" w:hAnsiTheme="minorBidi"/>
                <w:sz w:val="24"/>
                <w:szCs w:val="24"/>
              </w:rPr>
            </w:pPr>
            <w:r w:rsidRPr="00620F22">
              <w:rPr>
                <w:rFonts w:asciiTheme="minorBidi" w:hAnsiTheme="minorBidi"/>
                <w:sz w:val="24"/>
                <w:szCs w:val="24"/>
              </w:rPr>
              <w:t>3</w:t>
            </w:r>
          </w:p>
        </w:tc>
      </w:tr>
      <w:tr w:rsidR="00620F22" w:rsidRPr="00620F22" w14:paraId="4AC0B1CE" w14:textId="77777777" w:rsidTr="001D4222">
        <w:tc>
          <w:tcPr>
            <w:tcW w:w="5807" w:type="dxa"/>
          </w:tcPr>
          <w:p w14:paraId="09379CA9" w14:textId="77777777" w:rsidR="00620F22" w:rsidRPr="00620F22" w:rsidRDefault="00620F22" w:rsidP="00FE676A">
            <w:pPr>
              <w:spacing w:line="480" w:lineRule="auto"/>
              <w:rPr>
                <w:rFonts w:asciiTheme="minorBidi" w:hAnsiTheme="minorBidi"/>
                <w:sz w:val="24"/>
                <w:szCs w:val="24"/>
              </w:rPr>
            </w:pPr>
            <w:r w:rsidRPr="00620F22">
              <w:rPr>
                <w:rFonts w:asciiTheme="minorBidi" w:hAnsiTheme="minorBidi"/>
                <w:sz w:val="24"/>
                <w:szCs w:val="24"/>
              </w:rPr>
              <w:t>X2 – Culture</w:t>
            </w:r>
          </w:p>
        </w:tc>
        <w:tc>
          <w:tcPr>
            <w:tcW w:w="3209" w:type="dxa"/>
          </w:tcPr>
          <w:p w14:paraId="3581AC6D" w14:textId="77777777" w:rsidR="00620F22" w:rsidRPr="00620F22" w:rsidRDefault="00620F22" w:rsidP="00FE676A">
            <w:pPr>
              <w:spacing w:line="480" w:lineRule="auto"/>
              <w:rPr>
                <w:rFonts w:asciiTheme="minorBidi" w:hAnsiTheme="minorBidi"/>
                <w:sz w:val="24"/>
                <w:szCs w:val="24"/>
              </w:rPr>
            </w:pPr>
            <w:r w:rsidRPr="00620F22">
              <w:rPr>
                <w:rFonts w:asciiTheme="minorBidi" w:hAnsiTheme="minorBidi"/>
                <w:sz w:val="24"/>
                <w:szCs w:val="24"/>
              </w:rPr>
              <w:t>33</w:t>
            </w:r>
          </w:p>
        </w:tc>
      </w:tr>
      <w:tr w:rsidR="00620F22" w:rsidRPr="00620F22" w14:paraId="7786B605" w14:textId="77777777" w:rsidTr="001D4222">
        <w:tc>
          <w:tcPr>
            <w:tcW w:w="5807" w:type="dxa"/>
          </w:tcPr>
          <w:p w14:paraId="5D720E5D" w14:textId="77777777" w:rsidR="00620F22" w:rsidRPr="00620F22" w:rsidRDefault="00620F22" w:rsidP="00FE676A">
            <w:pPr>
              <w:spacing w:line="480" w:lineRule="auto"/>
              <w:rPr>
                <w:rFonts w:asciiTheme="minorBidi" w:hAnsiTheme="minorBidi"/>
                <w:sz w:val="24"/>
                <w:szCs w:val="24"/>
              </w:rPr>
            </w:pPr>
            <w:r w:rsidRPr="00620F22">
              <w:rPr>
                <w:rFonts w:asciiTheme="minorBidi" w:hAnsiTheme="minorBidi"/>
                <w:sz w:val="24"/>
                <w:szCs w:val="24"/>
              </w:rPr>
              <w:t>X3 – Gender (M=1, F=0)</w:t>
            </w:r>
          </w:p>
        </w:tc>
        <w:tc>
          <w:tcPr>
            <w:tcW w:w="3209" w:type="dxa"/>
          </w:tcPr>
          <w:p w14:paraId="7B9E0084" w14:textId="77777777" w:rsidR="00620F22" w:rsidRPr="00620F22" w:rsidRDefault="00620F22" w:rsidP="00FE676A">
            <w:pPr>
              <w:spacing w:line="480" w:lineRule="auto"/>
              <w:rPr>
                <w:rFonts w:asciiTheme="minorBidi" w:hAnsiTheme="minorBidi"/>
                <w:sz w:val="24"/>
                <w:szCs w:val="24"/>
              </w:rPr>
            </w:pPr>
            <w:r w:rsidRPr="00620F22">
              <w:rPr>
                <w:rFonts w:asciiTheme="minorBidi" w:hAnsiTheme="minorBidi"/>
                <w:sz w:val="24"/>
                <w:szCs w:val="24"/>
              </w:rPr>
              <w:t>M / 1</w:t>
            </w:r>
          </w:p>
        </w:tc>
      </w:tr>
      <w:tr w:rsidR="00620F22" w:rsidRPr="00620F22" w14:paraId="214BDD13" w14:textId="77777777" w:rsidTr="001D4222">
        <w:tc>
          <w:tcPr>
            <w:tcW w:w="5807" w:type="dxa"/>
          </w:tcPr>
          <w:p w14:paraId="0601D794" w14:textId="77777777" w:rsidR="00620F22" w:rsidRPr="00620F22" w:rsidRDefault="00620F22" w:rsidP="00FE676A">
            <w:pPr>
              <w:spacing w:line="480" w:lineRule="auto"/>
              <w:rPr>
                <w:rFonts w:asciiTheme="minorBidi" w:hAnsiTheme="minorBidi"/>
                <w:sz w:val="24"/>
                <w:szCs w:val="24"/>
              </w:rPr>
            </w:pPr>
            <w:r w:rsidRPr="00620F22">
              <w:rPr>
                <w:rFonts w:asciiTheme="minorBidi" w:hAnsiTheme="minorBidi"/>
                <w:sz w:val="24"/>
                <w:szCs w:val="24"/>
              </w:rPr>
              <w:t>X4 – Professional Experience &gt; 10 years (Y=1, N=0)</w:t>
            </w:r>
          </w:p>
        </w:tc>
        <w:tc>
          <w:tcPr>
            <w:tcW w:w="3209" w:type="dxa"/>
          </w:tcPr>
          <w:p w14:paraId="0FB802B0" w14:textId="77777777" w:rsidR="00620F22" w:rsidRPr="00620F22" w:rsidRDefault="00620F22" w:rsidP="00FE676A">
            <w:pPr>
              <w:spacing w:line="480" w:lineRule="auto"/>
              <w:rPr>
                <w:rFonts w:asciiTheme="minorBidi" w:hAnsiTheme="minorBidi"/>
                <w:sz w:val="24"/>
                <w:szCs w:val="24"/>
              </w:rPr>
            </w:pPr>
            <w:r w:rsidRPr="00620F22">
              <w:rPr>
                <w:rFonts w:asciiTheme="minorBidi" w:hAnsiTheme="minorBidi"/>
                <w:sz w:val="24"/>
                <w:szCs w:val="24"/>
              </w:rPr>
              <w:t>N / 0</w:t>
            </w:r>
          </w:p>
        </w:tc>
      </w:tr>
    </w:tbl>
    <w:p w14:paraId="766CF226" w14:textId="77777777" w:rsidR="00620F22" w:rsidRDefault="00620F22" w:rsidP="00620F22">
      <w:pPr>
        <w:spacing w:line="480" w:lineRule="auto"/>
        <w:jc w:val="both"/>
        <w:rPr>
          <w:rFonts w:ascii="Arial" w:hAnsi="Arial" w:cs="Arial"/>
          <w:color w:val="000000" w:themeColor="text1"/>
        </w:rPr>
      </w:pPr>
    </w:p>
    <w:p w14:paraId="5E711749" w14:textId="77777777" w:rsidR="00532AD0" w:rsidRDefault="00532AD0" w:rsidP="00620F22">
      <w:pPr>
        <w:spacing w:line="480" w:lineRule="auto"/>
        <w:jc w:val="both"/>
        <w:rPr>
          <w:rFonts w:ascii="Arial" w:hAnsi="Arial" w:cs="Arial"/>
          <w:color w:val="000000" w:themeColor="text1"/>
        </w:rPr>
      </w:pPr>
    </w:p>
    <w:p w14:paraId="4D2436AF" w14:textId="77777777" w:rsidR="00532AD0" w:rsidRPr="00620F22" w:rsidRDefault="00532AD0" w:rsidP="00620F22">
      <w:pPr>
        <w:spacing w:line="480" w:lineRule="auto"/>
        <w:jc w:val="both"/>
        <w:rPr>
          <w:rFonts w:ascii="Arial" w:hAnsi="Arial" w:cs="Arial"/>
          <w:color w:val="000000" w:themeColor="text1"/>
        </w:rPr>
      </w:pPr>
    </w:p>
    <w:p w14:paraId="4C928A40" w14:textId="77777777" w:rsidR="00620F22" w:rsidRPr="00620F22" w:rsidRDefault="00620F22" w:rsidP="00620F22">
      <w:pPr>
        <w:pBdr>
          <w:top w:val="single" w:sz="4" w:space="1" w:color="auto"/>
          <w:left w:val="single" w:sz="4" w:space="4" w:color="auto"/>
          <w:bottom w:val="single" w:sz="4" w:space="1" w:color="auto"/>
          <w:right w:val="single" w:sz="4" w:space="4" w:color="auto"/>
        </w:pBdr>
        <w:spacing w:line="480" w:lineRule="auto"/>
        <w:jc w:val="center"/>
        <w:rPr>
          <w:rFonts w:ascii="Arial" w:hAnsi="Arial" w:cs="Arial"/>
          <w:b/>
          <w:bCs/>
          <w:color w:val="000000" w:themeColor="text1"/>
        </w:rPr>
      </w:pPr>
    </w:p>
    <w:p w14:paraId="2CCE8933" w14:textId="77777777" w:rsidR="00620F22" w:rsidRPr="00620F22" w:rsidRDefault="00620F22" w:rsidP="00620F22">
      <w:pPr>
        <w:pBdr>
          <w:top w:val="single" w:sz="4" w:space="1" w:color="auto"/>
          <w:left w:val="single" w:sz="4" w:space="4" w:color="auto"/>
          <w:bottom w:val="single" w:sz="4" w:space="1" w:color="auto"/>
          <w:right w:val="single" w:sz="4" w:space="4" w:color="auto"/>
        </w:pBdr>
        <w:spacing w:line="480" w:lineRule="auto"/>
        <w:jc w:val="center"/>
        <w:rPr>
          <w:rFonts w:ascii="Arial" w:hAnsi="Arial" w:cs="Arial"/>
          <w:b/>
          <w:bCs/>
          <w:color w:val="000000" w:themeColor="text1"/>
        </w:rPr>
      </w:pPr>
      <w:r w:rsidRPr="00620F22">
        <w:rPr>
          <w:rFonts w:ascii="Arial" w:hAnsi="Arial" w:cs="Arial"/>
          <w:b/>
          <w:bCs/>
          <w:color w:val="000000" w:themeColor="text1"/>
        </w:rPr>
        <w:t>Y = 59.1060 – 2.5840*3 + 0.0336*33 – 0.4386*1 - 7.9113*0</w:t>
      </w:r>
    </w:p>
    <w:p w14:paraId="0A723C1A" w14:textId="77777777" w:rsidR="00620F22" w:rsidRPr="00620F22" w:rsidRDefault="00620F22" w:rsidP="00620F22">
      <w:pPr>
        <w:pBdr>
          <w:top w:val="single" w:sz="4" w:space="1" w:color="auto"/>
          <w:left w:val="single" w:sz="4" w:space="4" w:color="auto"/>
          <w:bottom w:val="single" w:sz="4" w:space="1" w:color="auto"/>
          <w:right w:val="single" w:sz="4" w:space="4" w:color="auto"/>
        </w:pBdr>
        <w:spacing w:line="480" w:lineRule="auto"/>
        <w:jc w:val="center"/>
        <w:rPr>
          <w:rFonts w:ascii="Arial" w:hAnsi="Arial" w:cs="Arial"/>
          <w:b/>
          <w:bCs/>
          <w:color w:val="000000" w:themeColor="text1"/>
        </w:rPr>
      </w:pPr>
      <w:r w:rsidRPr="00620F22">
        <w:rPr>
          <w:rFonts w:ascii="Arial" w:hAnsi="Arial" w:cs="Arial"/>
          <w:b/>
          <w:bCs/>
          <w:color w:val="000000" w:themeColor="text1"/>
        </w:rPr>
        <w:t xml:space="preserve">Result = 52 </w:t>
      </w:r>
    </w:p>
    <w:p w14:paraId="5B786B5D" w14:textId="77777777" w:rsidR="00620F22" w:rsidRPr="00620F22" w:rsidRDefault="00620F22" w:rsidP="00620F22">
      <w:pPr>
        <w:pBdr>
          <w:top w:val="single" w:sz="4" w:space="1" w:color="auto"/>
          <w:left w:val="single" w:sz="4" w:space="4" w:color="auto"/>
          <w:bottom w:val="single" w:sz="4" w:space="1" w:color="auto"/>
          <w:right w:val="single" w:sz="4" w:space="4" w:color="auto"/>
        </w:pBdr>
        <w:spacing w:line="480" w:lineRule="auto"/>
        <w:jc w:val="center"/>
        <w:rPr>
          <w:rFonts w:ascii="Arial" w:hAnsi="Arial" w:cs="Arial"/>
          <w:b/>
          <w:bCs/>
          <w:color w:val="000000" w:themeColor="text1"/>
        </w:rPr>
      </w:pPr>
      <w:r w:rsidRPr="00620F22">
        <w:rPr>
          <w:rFonts w:ascii="Arial" w:hAnsi="Arial" w:cs="Arial"/>
          <w:b/>
          <w:bCs/>
          <w:color w:val="000000" w:themeColor="text1"/>
        </w:rPr>
        <w:t>(To the nearest whole number)</w:t>
      </w:r>
    </w:p>
    <w:p w14:paraId="7B8CDC0C" w14:textId="77777777" w:rsidR="005B7778" w:rsidRDefault="005B7778" w:rsidP="00620F22">
      <w:pPr>
        <w:spacing w:line="480" w:lineRule="auto"/>
        <w:jc w:val="both"/>
        <w:rPr>
          <w:rFonts w:ascii="Arial" w:hAnsi="Arial" w:cs="Arial"/>
          <w:color w:val="000000" w:themeColor="text1"/>
        </w:rPr>
      </w:pPr>
    </w:p>
    <w:p w14:paraId="7D9998C4" w14:textId="63ACE9A9"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 xml:space="preserve">Interestingly if the hypothetical accountant profile had experience of more than 10 years then the result would be 44 and this person would be in the non-psychopathic group, suggesting that experienced accountants with more than 10 years’ experience may have less psychopathic tendencies. </w:t>
      </w:r>
    </w:p>
    <w:p w14:paraId="088685A7" w14:textId="77777777"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The final step in multiple regression model is to ascertain the correlation between all the salient variables that occur in the multiple regression equation. This was achieved in the study by finding the correlation between each of the four pairs of variables and the “correlation matrix’’ was calculated using the Excel pack which also appears at the bottom of the summary output. This matrix encapsulates the correlations between all the variables in the model (It is common practice to show the results in two decimal places):</w:t>
      </w:r>
    </w:p>
    <w:tbl>
      <w:tblPr>
        <w:tblStyle w:val="TableGrid1"/>
        <w:tblW w:w="0" w:type="auto"/>
        <w:tblLook w:val="04A0" w:firstRow="1" w:lastRow="0" w:firstColumn="1" w:lastColumn="0" w:noHBand="0" w:noVBand="1"/>
      </w:tblPr>
      <w:tblGrid>
        <w:gridCol w:w="7933"/>
        <w:gridCol w:w="1083"/>
      </w:tblGrid>
      <w:tr w:rsidR="00620F22" w:rsidRPr="00620F22" w14:paraId="20B6045C" w14:textId="77777777" w:rsidTr="001D4222">
        <w:tc>
          <w:tcPr>
            <w:tcW w:w="7933" w:type="dxa"/>
          </w:tcPr>
          <w:p w14:paraId="2BC20141" w14:textId="77777777" w:rsidR="00620F22" w:rsidRPr="00620F22" w:rsidRDefault="00620F22" w:rsidP="001B4E9C">
            <w:pPr>
              <w:spacing w:line="480" w:lineRule="auto"/>
              <w:rPr>
                <w:rFonts w:asciiTheme="minorBidi" w:hAnsiTheme="minorBidi"/>
                <w:sz w:val="24"/>
                <w:szCs w:val="24"/>
              </w:rPr>
            </w:pPr>
            <w:bookmarkStart w:id="714" w:name="_Hlk146442074"/>
            <w:r w:rsidRPr="00620F22">
              <w:rPr>
                <w:rFonts w:asciiTheme="minorBidi" w:hAnsiTheme="minorBidi"/>
                <w:b/>
                <w:bCs/>
                <w:sz w:val="24"/>
                <w:szCs w:val="24"/>
              </w:rPr>
              <w:t>The correlation between PSYCOPATHY X1 – X4</w:t>
            </w:r>
          </w:p>
        </w:tc>
        <w:tc>
          <w:tcPr>
            <w:tcW w:w="1083" w:type="dxa"/>
          </w:tcPr>
          <w:p w14:paraId="4CB6ED2F" w14:textId="77777777" w:rsidR="00620F22" w:rsidRPr="00620F22" w:rsidRDefault="00620F22" w:rsidP="001B4E9C">
            <w:pPr>
              <w:spacing w:line="480" w:lineRule="auto"/>
              <w:rPr>
                <w:rFonts w:asciiTheme="minorBidi" w:hAnsiTheme="minorBidi"/>
                <w:b/>
                <w:bCs/>
                <w:sz w:val="24"/>
                <w:szCs w:val="24"/>
              </w:rPr>
            </w:pPr>
            <w:r w:rsidRPr="00620F22">
              <w:rPr>
                <w:rFonts w:asciiTheme="minorBidi" w:hAnsiTheme="minorBidi"/>
                <w:b/>
                <w:bCs/>
                <w:sz w:val="24"/>
                <w:szCs w:val="24"/>
              </w:rPr>
              <w:t>X1 – X4</w:t>
            </w:r>
          </w:p>
        </w:tc>
      </w:tr>
      <w:tr w:rsidR="00620F22" w:rsidRPr="00620F22" w14:paraId="039AF29D" w14:textId="77777777" w:rsidTr="001D4222">
        <w:tc>
          <w:tcPr>
            <w:tcW w:w="7933" w:type="dxa"/>
          </w:tcPr>
          <w:p w14:paraId="01D20090" w14:textId="77777777" w:rsidR="00620F22" w:rsidRPr="00620F22" w:rsidRDefault="00620F22" w:rsidP="001B4E9C">
            <w:pPr>
              <w:spacing w:line="480" w:lineRule="auto"/>
              <w:rPr>
                <w:rFonts w:asciiTheme="minorBidi" w:hAnsiTheme="minorBidi"/>
                <w:sz w:val="24"/>
                <w:szCs w:val="24"/>
              </w:rPr>
            </w:pPr>
            <w:r w:rsidRPr="00620F22">
              <w:rPr>
                <w:rFonts w:asciiTheme="minorBidi" w:hAnsiTheme="minorBidi"/>
                <w:sz w:val="24"/>
                <w:szCs w:val="24"/>
              </w:rPr>
              <w:t>The correlation between PSYCOPATHY and Mean Disapproval is:</w:t>
            </w:r>
          </w:p>
        </w:tc>
        <w:tc>
          <w:tcPr>
            <w:tcW w:w="1083" w:type="dxa"/>
          </w:tcPr>
          <w:p w14:paraId="706C3E32" w14:textId="77777777" w:rsidR="00620F22" w:rsidRPr="00620F22" w:rsidRDefault="00620F22" w:rsidP="001B4E9C">
            <w:pPr>
              <w:spacing w:line="480" w:lineRule="auto"/>
              <w:jc w:val="right"/>
              <w:rPr>
                <w:rFonts w:asciiTheme="minorBidi" w:hAnsiTheme="minorBidi"/>
                <w:sz w:val="24"/>
                <w:szCs w:val="24"/>
              </w:rPr>
            </w:pPr>
            <w:r w:rsidRPr="00620F22">
              <w:rPr>
                <w:rFonts w:asciiTheme="minorBidi" w:hAnsiTheme="minorBidi"/>
                <w:sz w:val="24"/>
                <w:szCs w:val="24"/>
              </w:rPr>
              <w:t>-0.17</w:t>
            </w:r>
          </w:p>
        </w:tc>
      </w:tr>
      <w:tr w:rsidR="00620F22" w:rsidRPr="00620F22" w14:paraId="2428E7B5" w14:textId="77777777" w:rsidTr="001D4222">
        <w:tc>
          <w:tcPr>
            <w:tcW w:w="7933" w:type="dxa"/>
          </w:tcPr>
          <w:p w14:paraId="6A5A318C" w14:textId="77777777" w:rsidR="00620F22" w:rsidRPr="00620F22" w:rsidRDefault="00620F22" w:rsidP="001B4E9C">
            <w:pPr>
              <w:spacing w:line="480" w:lineRule="auto"/>
              <w:rPr>
                <w:rFonts w:asciiTheme="minorBidi" w:hAnsiTheme="minorBidi"/>
                <w:sz w:val="24"/>
                <w:szCs w:val="24"/>
              </w:rPr>
            </w:pPr>
            <w:r w:rsidRPr="00620F22">
              <w:rPr>
                <w:rFonts w:asciiTheme="minorBidi" w:hAnsiTheme="minorBidi"/>
                <w:sz w:val="24"/>
                <w:szCs w:val="24"/>
              </w:rPr>
              <w:t>The correlation between PSYCOPATHY and Culture is:</w:t>
            </w:r>
          </w:p>
        </w:tc>
        <w:tc>
          <w:tcPr>
            <w:tcW w:w="1083" w:type="dxa"/>
          </w:tcPr>
          <w:p w14:paraId="212BB0C3" w14:textId="77777777" w:rsidR="00620F22" w:rsidRPr="00620F22" w:rsidRDefault="00620F22" w:rsidP="001B4E9C">
            <w:pPr>
              <w:spacing w:line="480" w:lineRule="auto"/>
              <w:jc w:val="right"/>
              <w:rPr>
                <w:rFonts w:asciiTheme="minorBidi" w:hAnsiTheme="minorBidi"/>
                <w:sz w:val="24"/>
                <w:szCs w:val="24"/>
              </w:rPr>
            </w:pPr>
            <w:r w:rsidRPr="00620F22">
              <w:rPr>
                <w:rFonts w:asciiTheme="minorBidi" w:hAnsiTheme="minorBidi"/>
                <w:sz w:val="24"/>
                <w:szCs w:val="24"/>
              </w:rPr>
              <w:t>0.13</w:t>
            </w:r>
          </w:p>
        </w:tc>
      </w:tr>
      <w:tr w:rsidR="00620F22" w:rsidRPr="00620F22" w14:paraId="4F2B7001" w14:textId="77777777" w:rsidTr="001D4222">
        <w:tc>
          <w:tcPr>
            <w:tcW w:w="7933" w:type="dxa"/>
          </w:tcPr>
          <w:p w14:paraId="504DCD70" w14:textId="77777777" w:rsidR="00620F22" w:rsidRPr="00620F22" w:rsidRDefault="00620F22" w:rsidP="001B4E9C">
            <w:pPr>
              <w:spacing w:line="480" w:lineRule="auto"/>
              <w:rPr>
                <w:rFonts w:asciiTheme="minorBidi" w:hAnsiTheme="minorBidi"/>
                <w:sz w:val="24"/>
                <w:szCs w:val="24"/>
              </w:rPr>
            </w:pPr>
            <w:r w:rsidRPr="00620F22">
              <w:rPr>
                <w:rFonts w:asciiTheme="minorBidi" w:hAnsiTheme="minorBidi"/>
                <w:sz w:val="24"/>
                <w:szCs w:val="24"/>
              </w:rPr>
              <w:t>The correlation between PSYCOPATHY and Gender is:</w:t>
            </w:r>
          </w:p>
        </w:tc>
        <w:tc>
          <w:tcPr>
            <w:tcW w:w="1083" w:type="dxa"/>
          </w:tcPr>
          <w:p w14:paraId="53CF34DA" w14:textId="77777777" w:rsidR="00620F22" w:rsidRPr="00620F22" w:rsidRDefault="00620F22" w:rsidP="001B4E9C">
            <w:pPr>
              <w:spacing w:line="480" w:lineRule="auto"/>
              <w:jc w:val="right"/>
              <w:rPr>
                <w:rFonts w:asciiTheme="minorBidi" w:hAnsiTheme="minorBidi"/>
                <w:sz w:val="24"/>
                <w:szCs w:val="24"/>
              </w:rPr>
            </w:pPr>
            <w:r w:rsidRPr="00620F22">
              <w:rPr>
                <w:rFonts w:asciiTheme="minorBidi" w:hAnsiTheme="minorBidi"/>
                <w:sz w:val="24"/>
                <w:szCs w:val="24"/>
              </w:rPr>
              <w:t>-0.01</w:t>
            </w:r>
          </w:p>
        </w:tc>
      </w:tr>
      <w:tr w:rsidR="00620F22" w:rsidRPr="00620F22" w14:paraId="7D3973A1" w14:textId="77777777" w:rsidTr="001D4222">
        <w:tc>
          <w:tcPr>
            <w:tcW w:w="7933" w:type="dxa"/>
          </w:tcPr>
          <w:p w14:paraId="5074A3EA" w14:textId="77777777" w:rsidR="00620F22" w:rsidRPr="00620F22" w:rsidRDefault="00620F22" w:rsidP="001B4E9C">
            <w:pPr>
              <w:spacing w:line="480" w:lineRule="auto"/>
              <w:rPr>
                <w:rFonts w:asciiTheme="minorBidi" w:hAnsiTheme="minorBidi"/>
                <w:sz w:val="24"/>
                <w:szCs w:val="24"/>
              </w:rPr>
            </w:pPr>
            <w:r w:rsidRPr="00620F22">
              <w:rPr>
                <w:rFonts w:asciiTheme="minorBidi" w:hAnsiTheme="minorBidi"/>
                <w:sz w:val="24"/>
                <w:szCs w:val="24"/>
              </w:rPr>
              <w:t>The correlation between PSYCOPATHY and Professional Experience is:</w:t>
            </w:r>
          </w:p>
        </w:tc>
        <w:tc>
          <w:tcPr>
            <w:tcW w:w="1083" w:type="dxa"/>
          </w:tcPr>
          <w:p w14:paraId="25C121C6" w14:textId="77777777" w:rsidR="00620F22" w:rsidRPr="00620F22" w:rsidRDefault="00620F22" w:rsidP="001B4E9C">
            <w:pPr>
              <w:spacing w:line="480" w:lineRule="auto"/>
              <w:jc w:val="right"/>
              <w:rPr>
                <w:rFonts w:asciiTheme="minorBidi" w:hAnsiTheme="minorBidi"/>
                <w:sz w:val="24"/>
                <w:szCs w:val="24"/>
              </w:rPr>
            </w:pPr>
            <w:r w:rsidRPr="00620F22">
              <w:rPr>
                <w:rFonts w:asciiTheme="minorBidi" w:hAnsiTheme="minorBidi"/>
                <w:sz w:val="24"/>
                <w:szCs w:val="24"/>
              </w:rPr>
              <w:t>-0.47</w:t>
            </w:r>
          </w:p>
        </w:tc>
      </w:tr>
    </w:tbl>
    <w:p w14:paraId="2015EB5D" w14:textId="77777777" w:rsidR="00620F22" w:rsidRPr="00620F22" w:rsidRDefault="00620F22" w:rsidP="001B4E9C">
      <w:pPr>
        <w:spacing w:line="480" w:lineRule="auto"/>
        <w:jc w:val="both"/>
        <w:rPr>
          <w:rFonts w:asciiTheme="minorBidi" w:hAnsiTheme="minorBidi"/>
          <w:color w:val="000000" w:themeColor="text1"/>
        </w:rPr>
      </w:pPr>
    </w:p>
    <w:p w14:paraId="03F31CA4" w14:textId="77777777" w:rsidR="00620F22" w:rsidRPr="00620F22" w:rsidRDefault="00620F22" w:rsidP="00620F22">
      <w:pPr>
        <w:spacing w:line="480" w:lineRule="auto"/>
        <w:jc w:val="both"/>
        <w:rPr>
          <w:rFonts w:ascii="Arial" w:hAnsi="Arial" w:cs="Arial"/>
          <w:color w:val="000000" w:themeColor="text1"/>
        </w:rPr>
      </w:pPr>
      <w:bookmarkStart w:id="715" w:name="_Hlk146442231"/>
      <w:bookmarkEnd w:id="714"/>
      <w:r w:rsidRPr="00620F22">
        <w:rPr>
          <w:rFonts w:ascii="Arial" w:hAnsi="Arial" w:cs="Arial"/>
          <w:color w:val="000000" w:themeColor="text1"/>
        </w:rPr>
        <w:lastRenderedPageBreak/>
        <w:t xml:space="preserve">The best predictor of psychopathy is professional experience of more than ten years, followed by culture, then mean disapproval and finally gender has a minor impact. Although this was a small study it was statistically significant as more than 30 participants took part, who were all professional accountants which has never been accomplished in the literature. </w:t>
      </w:r>
    </w:p>
    <w:p w14:paraId="209E687E" w14:textId="77777777" w:rsidR="00620F22" w:rsidRPr="00620F22" w:rsidRDefault="00620F22" w:rsidP="00620F22">
      <w:pPr>
        <w:spacing w:line="480" w:lineRule="auto"/>
        <w:jc w:val="both"/>
        <w:rPr>
          <w:rFonts w:ascii="Arial" w:eastAsia="Times New Roman" w:hAnsi="Arial" w:cs="Arial"/>
          <w:color w:val="000000" w:themeColor="text1"/>
          <w:lang w:eastAsia="en-GB"/>
        </w:rPr>
      </w:pPr>
      <w:bookmarkStart w:id="716" w:name="_Hlk146213286"/>
      <w:r w:rsidRPr="00620F22">
        <w:rPr>
          <w:rFonts w:ascii="Arial" w:hAnsi="Arial" w:cs="Arial"/>
          <w:color w:val="000000" w:themeColor="text1"/>
        </w:rPr>
        <w:t xml:space="preserve">Overall, the Multiple Regression for model is 0.51, </w:t>
      </w:r>
      <w:r w:rsidRPr="00620F22">
        <w:rPr>
          <w:rFonts w:ascii="Arial" w:hAnsi="Arial" w:cs="Arial"/>
          <w:b/>
          <w:bCs/>
          <w:color w:val="000000" w:themeColor="text1"/>
        </w:rPr>
        <w:t>see Appendix I,</w:t>
      </w:r>
      <w:r w:rsidRPr="00620F22">
        <w:rPr>
          <w:rFonts w:ascii="Arial" w:hAnsi="Arial" w:cs="Arial"/>
          <w:color w:val="000000" w:themeColor="text1"/>
        </w:rPr>
        <w:t xml:space="preserve"> which </w:t>
      </w:r>
      <w:r w:rsidRPr="00620F22">
        <w:rPr>
          <w:rFonts w:ascii="Arial" w:eastAsia="Times New Roman" w:hAnsi="Arial" w:cs="Arial"/>
          <w:color w:val="000000" w:themeColor="text1"/>
          <w:lang w:eastAsia="en-GB"/>
        </w:rPr>
        <w:t xml:space="preserve">indicates that 51% of the variability in the dependent variables (X1-X4) can be explained by the model and X4 or professional experience of more than 10 years is the best explanatory variable of psychopathy. </w:t>
      </w:r>
      <w:bookmarkStart w:id="717" w:name="_Hlk169772436"/>
      <w:bookmarkEnd w:id="715"/>
    </w:p>
    <w:bookmarkEnd w:id="716"/>
    <w:bookmarkEnd w:id="717"/>
    <w:p w14:paraId="4EEE3A3C" w14:textId="243CE478" w:rsidR="00532AD0" w:rsidRPr="00620F22" w:rsidRDefault="00620F22" w:rsidP="00532AD0">
      <w:pPr>
        <w:spacing w:line="480" w:lineRule="auto"/>
        <w:jc w:val="both"/>
        <w:rPr>
          <w:rFonts w:ascii="Arial" w:eastAsia="Times New Roman" w:hAnsi="Arial" w:cs="Arial"/>
          <w:color w:val="000000" w:themeColor="text1"/>
          <w:lang w:eastAsia="en-GB"/>
        </w:rPr>
      </w:pPr>
      <w:r w:rsidRPr="00620F22">
        <w:rPr>
          <w:rFonts w:ascii="Arial" w:eastAsia="Times New Roman" w:hAnsi="Arial" w:cs="Arial"/>
          <w:color w:val="000000" w:themeColor="text1"/>
          <w:lang w:eastAsia="en-GB"/>
        </w:rPr>
        <w:t xml:space="preserve">Now the </w:t>
      </w:r>
      <w:r w:rsidR="00642F4D">
        <w:rPr>
          <w:rFonts w:ascii="Arial" w:eastAsiaTheme="minorHAnsi" w:hAnsi="Arial" w:cs="Arial"/>
          <w:kern w:val="0"/>
          <w:lang w:eastAsia="en-US"/>
          <w14:ligatures w14:val="none"/>
        </w:rPr>
        <w:t>researcher</w:t>
      </w:r>
      <w:r w:rsidRPr="00620F22">
        <w:rPr>
          <w:rFonts w:ascii="Arial" w:eastAsia="Times New Roman" w:hAnsi="Arial" w:cs="Arial"/>
          <w:color w:val="000000" w:themeColor="text1"/>
          <w:lang w:eastAsia="en-GB"/>
        </w:rPr>
        <w:t xml:space="preserve"> will outline the results from a similar structured survey that was undertaken using final year accounting and finance students. </w:t>
      </w:r>
    </w:p>
    <w:bookmarkStart w:id="718" w:name="D96"/>
    <w:p w14:paraId="4DD7E648" w14:textId="73699EE6" w:rsidR="00620F22" w:rsidRPr="00620F22" w:rsidRDefault="00D255E3" w:rsidP="005B7778">
      <w:pPr>
        <w:pBdr>
          <w:top w:val="single" w:sz="4" w:space="1" w:color="auto"/>
          <w:left w:val="single" w:sz="4" w:space="4" w:color="auto"/>
          <w:bottom w:val="single" w:sz="4" w:space="1" w:color="auto"/>
          <w:right w:val="single" w:sz="4" w:space="4" w:color="auto"/>
        </w:pBdr>
        <w:spacing w:after="240" w:line="240" w:lineRule="auto"/>
        <w:jc w:val="both"/>
        <w:rPr>
          <w:rFonts w:ascii="Arial" w:hAnsi="Arial" w:cs="Arial"/>
          <w:b/>
          <w:bCs/>
        </w:rPr>
      </w:pPr>
      <w:r>
        <w:rPr>
          <w:rFonts w:asciiTheme="minorBidi" w:hAnsiTheme="minorBidi"/>
          <w:b/>
          <w:bCs/>
        </w:rPr>
        <w:fldChar w:fldCharType="begin"/>
      </w:r>
      <w:r>
        <w:rPr>
          <w:rFonts w:asciiTheme="minorBidi" w:hAnsiTheme="minorBidi"/>
          <w:b/>
          <w:bCs/>
        </w:rPr>
        <w:instrText>HYPERLINK  \l "C96"</w:instrText>
      </w:r>
      <w:r>
        <w:rPr>
          <w:rFonts w:asciiTheme="minorBidi" w:hAnsiTheme="minorBidi"/>
          <w:b/>
          <w:bCs/>
        </w:rPr>
      </w:r>
      <w:r>
        <w:rPr>
          <w:rFonts w:asciiTheme="minorBidi" w:hAnsiTheme="minorBidi"/>
          <w:b/>
          <w:bCs/>
        </w:rPr>
        <w:fldChar w:fldCharType="separate"/>
      </w:r>
      <w:r w:rsidR="00620F22" w:rsidRPr="00D255E3">
        <w:rPr>
          <w:rStyle w:val="Hyperlink"/>
          <w:rFonts w:asciiTheme="minorBidi" w:hAnsiTheme="minorBidi"/>
          <w:b/>
          <w:bCs/>
        </w:rPr>
        <w:t>4</w:t>
      </w:r>
      <w:bookmarkStart w:id="719" w:name="_Hlk172039747"/>
      <w:r w:rsidR="00620F22" w:rsidRPr="00D255E3">
        <w:rPr>
          <w:rStyle w:val="Hyperlink"/>
          <w:rFonts w:asciiTheme="minorBidi" w:hAnsiTheme="minorBidi"/>
          <w:b/>
          <w:bCs/>
        </w:rPr>
        <w:t xml:space="preserve">.2.2 </w:t>
      </w:r>
      <w:r w:rsidR="00620F22" w:rsidRPr="00D255E3">
        <w:rPr>
          <w:rStyle w:val="Hyperlink"/>
          <w:rFonts w:ascii="Arial" w:hAnsi="Arial" w:cs="Arial"/>
          <w:b/>
          <w:bCs/>
        </w:rPr>
        <w:t>The Sample of Final Year Accou</w:t>
      </w:r>
      <w:r w:rsidR="00620F22" w:rsidRPr="00D255E3">
        <w:rPr>
          <w:rStyle w:val="Hyperlink"/>
          <w:rFonts w:ascii="Arial" w:hAnsi="Arial" w:cs="Arial"/>
          <w:b/>
          <w:bCs/>
        </w:rPr>
        <w:t>nting &amp; Finance Students</w:t>
      </w:r>
      <w:r>
        <w:rPr>
          <w:rFonts w:asciiTheme="minorBidi" w:hAnsiTheme="minorBidi"/>
          <w:b/>
          <w:bCs/>
        </w:rPr>
        <w:fldChar w:fldCharType="end"/>
      </w:r>
    </w:p>
    <w:bookmarkEnd w:id="718"/>
    <w:bookmarkEnd w:id="719"/>
    <w:p w14:paraId="6EAA3E48" w14:textId="7F577E31"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The</w:t>
      </w:r>
      <w:r w:rsidR="00642F4D" w:rsidRPr="00642F4D">
        <w:rPr>
          <w:rFonts w:ascii="Arial" w:eastAsiaTheme="minorHAnsi" w:hAnsi="Arial" w:cs="Arial"/>
          <w:kern w:val="0"/>
          <w:lang w:eastAsia="en-US"/>
          <w14:ligatures w14:val="none"/>
        </w:rPr>
        <w:t xml:space="preserve"> </w:t>
      </w:r>
      <w:r w:rsidR="00075C6A">
        <w:rPr>
          <w:rFonts w:ascii="Arial" w:eastAsiaTheme="minorHAnsi" w:hAnsi="Arial" w:cs="Arial"/>
          <w:kern w:val="0"/>
          <w:lang w:eastAsia="en-US"/>
          <w14:ligatures w14:val="none"/>
        </w:rPr>
        <w:t>researcher</w:t>
      </w:r>
      <w:r w:rsidR="00075C6A" w:rsidRPr="00620F22">
        <w:rPr>
          <w:rFonts w:ascii="Arial" w:hAnsi="Arial" w:cs="Arial"/>
          <w:color w:val="000000" w:themeColor="text1"/>
        </w:rPr>
        <w:t xml:space="preserve"> conducted</w:t>
      </w:r>
      <w:r w:rsidRPr="00620F22">
        <w:rPr>
          <w:rFonts w:ascii="Arial" w:hAnsi="Arial" w:cs="Arial"/>
          <w:color w:val="000000" w:themeColor="text1"/>
        </w:rPr>
        <w:t xml:space="preserve"> a study using a questionnaire (</w:t>
      </w:r>
      <w:r w:rsidRPr="00620F22">
        <w:rPr>
          <w:rFonts w:ascii="Arial" w:hAnsi="Arial" w:cs="Arial"/>
          <w:b/>
          <w:bCs/>
          <w:color w:val="000000" w:themeColor="text1"/>
        </w:rPr>
        <w:t>See Appendix L</w:t>
      </w:r>
      <w:r w:rsidRPr="00620F22">
        <w:rPr>
          <w:rFonts w:ascii="Arial" w:hAnsi="Arial" w:cs="Arial"/>
          <w:color w:val="000000" w:themeColor="text1"/>
        </w:rPr>
        <w:t xml:space="preserve">), on a sample of L6 or final year Accounting &amp; Finance students at the University of Salford. </w:t>
      </w:r>
    </w:p>
    <w:p w14:paraId="1424401A" w14:textId="77777777"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 xml:space="preserve">The questionnaire comprised of three sections covering baseline questions, unethical accounting practices / Accounting Fraud which was the ‘disapproval variable’, psychopathy scores and finally deterrence of Accounting Fraud. </w:t>
      </w:r>
    </w:p>
    <w:p w14:paraId="4DBBE74F" w14:textId="29940180"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The</w:t>
      </w:r>
      <w:r w:rsidR="00642F4D" w:rsidRPr="00642F4D">
        <w:rPr>
          <w:rFonts w:ascii="Arial" w:eastAsiaTheme="minorHAnsi" w:hAnsi="Arial" w:cs="Arial"/>
          <w:kern w:val="0"/>
          <w:lang w:eastAsia="en-US"/>
          <w14:ligatures w14:val="none"/>
        </w:rPr>
        <w:t xml:space="preserve"> </w:t>
      </w:r>
      <w:r w:rsidR="00532AD0">
        <w:rPr>
          <w:rFonts w:ascii="Arial" w:eastAsiaTheme="minorHAnsi" w:hAnsi="Arial" w:cs="Arial"/>
          <w:kern w:val="0"/>
          <w:lang w:eastAsia="en-US"/>
          <w14:ligatures w14:val="none"/>
        </w:rPr>
        <w:t>researcher</w:t>
      </w:r>
      <w:r w:rsidR="00532AD0" w:rsidRPr="00620F22">
        <w:rPr>
          <w:rFonts w:ascii="Arial" w:hAnsi="Arial" w:cs="Arial"/>
          <w:color w:val="000000" w:themeColor="text1"/>
        </w:rPr>
        <w:t xml:space="preserve"> approached</w:t>
      </w:r>
      <w:r w:rsidRPr="00620F22">
        <w:rPr>
          <w:rFonts w:ascii="Arial" w:hAnsi="Arial" w:cs="Arial"/>
          <w:color w:val="000000" w:themeColor="text1"/>
        </w:rPr>
        <w:t xml:space="preserve"> L6 Module Leaders to publicise the questionnaire in advance and upload an electronic copy of the questionnaire, participation information sheet and consent forms. Beginning in March 2021 and ending in May 2021 </w:t>
      </w:r>
      <w:r w:rsidR="005E7A44" w:rsidRPr="00620F22">
        <w:rPr>
          <w:rFonts w:ascii="Arial" w:hAnsi="Arial" w:cs="Arial"/>
          <w:color w:val="000000" w:themeColor="text1"/>
        </w:rPr>
        <w:t>the researcher</w:t>
      </w:r>
      <w:r w:rsidR="00016CD0" w:rsidRPr="00891F5D">
        <w:rPr>
          <w:rFonts w:ascii="Arial" w:eastAsiaTheme="minorHAnsi" w:hAnsi="Arial" w:cs="Arial"/>
          <w:kern w:val="0"/>
          <w:lang w:eastAsia="en-US"/>
          <w14:ligatures w14:val="none"/>
        </w:rPr>
        <w:t xml:space="preserve"> </w:t>
      </w:r>
      <w:r w:rsidRPr="00620F22">
        <w:rPr>
          <w:rFonts w:ascii="Arial" w:hAnsi="Arial" w:cs="Arial"/>
          <w:color w:val="000000" w:themeColor="text1"/>
        </w:rPr>
        <w:t xml:space="preserve">would attend seminar sessions in person and request students to individually complete hard copies of the questionnaire. The </w:t>
      </w:r>
      <w:r w:rsidR="00016CD0">
        <w:rPr>
          <w:rFonts w:ascii="Arial" w:eastAsiaTheme="minorHAnsi" w:hAnsi="Arial" w:cs="Arial"/>
          <w:kern w:val="0"/>
          <w:lang w:eastAsia="en-US"/>
          <w14:ligatures w14:val="none"/>
        </w:rPr>
        <w:t>researcher</w:t>
      </w:r>
      <w:r w:rsidRPr="00620F22">
        <w:rPr>
          <w:rFonts w:ascii="Arial" w:hAnsi="Arial" w:cs="Arial"/>
          <w:color w:val="000000" w:themeColor="text1"/>
        </w:rPr>
        <w:t xml:space="preserve"> assured the students that participation was voluntary and strictly anonymous and managed to obtain 50 completed questionnaires.</w:t>
      </w:r>
    </w:p>
    <w:p w14:paraId="3CA58E94"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lastRenderedPageBreak/>
        <w:t>The baseline analysis of section A is that:</w:t>
      </w:r>
    </w:p>
    <w:p w14:paraId="365B852E" w14:textId="77777777" w:rsidR="00620F22" w:rsidRPr="00620F22" w:rsidRDefault="00620F22">
      <w:pPr>
        <w:numPr>
          <w:ilvl w:val="0"/>
          <w:numId w:val="19"/>
        </w:numPr>
        <w:spacing w:line="480" w:lineRule="auto"/>
        <w:contextualSpacing/>
        <w:jc w:val="both"/>
        <w:rPr>
          <w:rFonts w:ascii="Arial" w:hAnsi="Arial" w:cs="Arial"/>
          <w:color w:val="000000" w:themeColor="text1"/>
        </w:rPr>
      </w:pPr>
      <w:r w:rsidRPr="00620F22">
        <w:rPr>
          <w:rFonts w:ascii="Arial" w:hAnsi="Arial" w:cs="Arial"/>
          <w:color w:val="000000" w:themeColor="text1"/>
        </w:rPr>
        <w:t>The average age of the students was 22.1 years,</w:t>
      </w:r>
    </w:p>
    <w:p w14:paraId="7010FF23" w14:textId="77777777" w:rsidR="00620F22" w:rsidRPr="00620F22" w:rsidRDefault="00620F22">
      <w:pPr>
        <w:numPr>
          <w:ilvl w:val="0"/>
          <w:numId w:val="19"/>
        </w:numPr>
        <w:spacing w:line="480" w:lineRule="auto"/>
        <w:contextualSpacing/>
        <w:jc w:val="both"/>
        <w:rPr>
          <w:rFonts w:ascii="Arial" w:hAnsi="Arial" w:cs="Arial"/>
          <w:color w:val="000000" w:themeColor="text1"/>
        </w:rPr>
      </w:pPr>
      <w:r w:rsidRPr="00620F22">
        <w:rPr>
          <w:rFonts w:ascii="Arial" w:hAnsi="Arial" w:cs="Arial"/>
          <w:color w:val="000000" w:themeColor="text1"/>
        </w:rPr>
        <w:t>56% were male respondents and the balance, 44% were female,</w:t>
      </w:r>
    </w:p>
    <w:p w14:paraId="5718E237" w14:textId="77777777" w:rsidR="00620F22" w:rsidRPr="00620F22" w:rsidRDefault="00620F22">
      <w:pPr>
        <w:numPr>
          <w:ilvl w:val="0"/>
          <w:numId w:val="19"/>
        </w:numPr>
        <w:spacing w:line="480" w:lineRule="auto"/>
        <w:contextualSpacing/>
        <w:jc w:val="both"/>
        <w:rPr>
          <w:rFonts w:ascii="Arial" w:hAnsi="Arial" w:cs="Arial"/>
          <w:color w:val="000000" w:themeColor="text1"/>
        </w:rPr>
      </w:pPr>
      <w:r w:rsidRPr="00620F22">
        <w:rPr>
          <w:rFonts w:ascii="Arial" w:hAnsi="Arial" w:cs="Arial"/>
          <w:color w:val="000000" w:themeColor="text1"/>
        </w:rPr>
        <w:t>66% of participants considered themselves to be religious and the balance, 34% were not,</w:t>
      </w:r>
    </w:p>
    <w:p w14:paraId="70AB4599" w14:textId="77777777" w:rsidR="00620F22" w:rsidRPr="00620F22" w:rsidRDefault="00620F22">
      <w:pPr>
        <w:numPr>
          <w:ilvl w:val="0"/>
          <w:numId w:val="19"/>
        </w:numPr>
        <w:spacing w:line="480" w:lineRule="auto"/>
        <w:contextualSpacing/>
        <w:jc w:val="both"/>
        <w:rPr>
          <w:rFonts w:ascii="Arial" w:hAnsi="Arial" w:cs="Arial"/>
          <w:color w:val="000000" w:themeColor="text1"/>
        </w:rPr>
      </w:pPr>
      <w:r w:rsidRPr="00620F22">
        <w:rPr>
          <w:rFonts w:ascii="Arial" w:hAnsi="Arial" w:cs="Arial"/>
          <w:color w:val="000000" w:themeColor="text1"/>
        </w:rPr>
        <w:t>The next questions were designed to gauge family background including professional status of both parents and whether both parents had undergraduate or postgraduate educations:</w:t>
      </w:r>
    </w:p>
    <w:p w14:paraId="04E3BF1B" w14:textId="77777777" w:rsidR="00FA6D7A" w:rsidRPr="00620F22" w:rsidRDefault="00FA6D7A" w:rsidP="00620F22">
      <w:pPr>
        <w:spacing w:line="480" w:lineRule="auto"/>
        <w:contextualSpacing/>
        <w:jc w:val="both"/>
        <w:rPr>
          <w:rFonts w:ascii="Arial" w:hAnsi="Arial" w:cs="Arial"/>
          <w:color w:val="000000" w:themeColor="text1"/>
        </w:rPr>
      </w:pPr>
    </w:p>
    <w:tbl>
      <w:tblPr>
        <w:tblStyle w:val="TableGrid1"/>
        <w:tblW w:w="0" w:type="auto"/>
        <w:tblInd w:w="720" w:type="dxa"/>
        <w:tblLook w:val="04A0" w:firstRow="1" w:lastRow="0" w:firstColumn="1" w:lastColumn="0" w:noHBand="0" w:noVBand="1"/>
      </w:tblPr>
      <w:tblGrid>
        <w:gridCol w:w="2816"/>
        <w:gridCol w:w="2743"/>
        <w:gridCol w:w="2737"/>
      </w:tblGrid>
      <w:tr w:rsidR="00620F22" w:rsidRPr="00620F22" w14:paraId="317F5604" w14:textId="77777777" w:rsidTr="001D4222">
        <w:tc>
          <w:tcPr>
            <w:tcW w:w="3005" w:type="dxa"/>
          </w:tcPr>
          <w:p w14:paraId="2E51E80B"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 xml:space="preserve">Parent Professional </w:t>
            </w:r>
          </w:p>
        </w:tc>
        <w:tc>
          <w:tcPr>
            <w:tcW w:w="3005" w:type="dxa"/>
          </w:tcPr>
          <w:p w14:paraId="173FBA0D"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Mother</w:t>
            </w:r>
          </w:p>
        </w:tc>
        <w:tc>
          <w:tcPr>
            <w:tcW w:w="3006" w:type="dxa"/>
          </w:tcPr>
          <w:p w14:paraId="02D14637"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Father</w:t>
            </w:r>
          </w:p>
        </w:tc>
      </w:tr>
      <w:tr w:rsidR="00620F22" w:rsidRPr="00620F22" w14:paraId="65260BF9" w14:textId="77777777" w:rsidTr="001D4222">
        <w:tc>
          <w:tcPr>
            <w:tcW w:w="3005" w:type="dxa"/>
          </w:tcPr>
          <w:p w14:paraId="7D13AD78"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Yes</w:t>
            </w:r>
          </w:p>
        </w:tc>
        <w:tc>
          <w:tcPr>
            <w:tcW w:w="3005" w:type="dxa"/>
          </w:tcPr>
          <w:p w14:paraId="76F2D983"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 xml:space="preserve">26% </w:t>
            </w:r>
          </w:p>
        </w:tc>
        <w:tc>
          <w:tcPr>
            <w:tcW w:w="3006" w:type="dxa"/>
          </w:tcPr>
          <w:p w14:paraId="5D8F7FC8"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32%</w:t>
            </w:r>
          </w:p>
        </w:tc>
      </w:tr>
      <w:tr w:rsidR="00620F22" w:rsidRPr="00620F22" w14:paraId="15F716F4" w14:textId="77777777" w:rsidTr="001D4222">
        <w:tc>
          <w:tcPr>
            <w:tcW w:w="3005" w:type="dxa"/>
          </w:tcPr>
          <w:p w14:paraId="7FA63402"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No</w:t>
            </w:r>
          </w:p>
        </w:tc>
        <w:tc>
          <w:tcPr>
            <w:tcW w:w="3005" w:type="dxa"/>
          </w:tcPr>
          <w:p w14:paraId="262627CA"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74%</w:t>
            </w:r>
          </w:p>
        </w:tc>
        <w:tc>
          <w:tcPr>
            <w:tcW w:w="3006" w:type="dxa"/>
          </w:tcPr>
          <w:p w14:paraId="20D13BFD"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68%</w:t>
            </w:r>
          </w:p>
        </w:tc>
      </w:tr>
    </w:tbl>
    <w:p w14:paraId="43385167" w14:textId="77777777" w:rsidR="00620F22" w:rsidRPr="00620F22" w:rsidRDefault="00620F22" w:rsidP="00FA6D7A">
      <w:pPr>
        <w:spacing w:line="480" w:lineRule="auto"/>
        <w:ind w:left="720"/>
        <w:contextualSpacing/>
        <w:jc w:val="both"/>
        <w:rPr>
          <w:rFonts w:asciiTheme="minorBidi" w:hAnsiTheme="minorBidi"/>
          <w:color w:val="000000" w:themeColor="text1"/>
        </w:rPr>
      </w:pPr>
      <w:r w:rsidRPr="00620F22">
        <w:rPr>
          <w:rFonts w:asciiTheme="minorBidi" w:hAnsiTheme="minorBidi"/>
          <w:color w:val="000000" w:themeColor="text1"/>
        </w:rPr>
        <w:t xml:space="preserve"> </w:t>
      </w:r>
    </w:p>
    <w:tbl>
      <w:tblPr>
        <w:tblStyle w:val="TableGrid1"/>
        <w:tblW w:w="0" w:type="auto"/>
        <w:tblInd w:w="720" w:type="dxa"/>
        <w:tblLook w:val="04A0" w:firstRow="1" w:lastRow="0" w:firstColumn="1" w:lastColumn="0" w:noHBand="0" w:noVBand="1"/>
      </w:tblPr>
      <w:tblGrid>
        <w:gridCol w:w="2844"/>
        <w:gridCol w:w="2729"/>
        <w:gridCol w:w="2723"/>
      </w:tblGrid>
      <w:tr w:rsidR="00620F22" w:rsidRPr="00620F22" w14:paraId="0EC7FA78" w14:textId="77777777" w:rsidTr="001D4222">
        <w:tc>
          <w:tcPr>
            <w:tcW w:w="3005" w:type="dxa"/>
          </w:tcPr>
          <w:p w14:paraId="6297B030"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Parent Undergraduate</w:t>
            </w:r>
          </w:p>
        </w:tc>
        <w:tc>
          <w:tcPr>
            <w:tcW w:w="3005" w:type="dxa"/>
          </w:tcPr>
          <w:p w14:paraId="704EFE1F"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Mother</w:t>
            </w:r>
          </w:p>
        </w:tc>
        <w:tc>
          <w:tcPr>
            <w:tcW w:w="3006" w:type="dxa"/>
          </w:tcPr>
          <w:p w14:paraId="2177DF8D"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Father</w:t>
            </w:r>
          </w:p>
        </w:tc>
      </w:tr>
      <w:tr w:rsidR="00620F22" w:rsidRPr="00620F22" w14:paraId="34AAC80D" w14:textId="77777777" w:rsidTr="001D4222">
        <w:tc>
          <w:tcPr>
            <w:tcW w:w="3005" w:type="dxa"/>
          </w:tcPr>
          <w:p w14:paraId="28E083B2"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Yes</w:t>
            </w:r>
          </w:p>
        </w:tc>
        <w:tc>
          <w:tcPr>
            <w:tcW w:w="3005" w:type="dxa"/>
          </w:tcPr>
          <w:p w14:paraId="4828FCAF"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30%</w:t>
            </w:r>
          </w:p>
        </w:tc>
        <w:tc>
          <w:tcPr>
            <w:tcW w:w="3006" w:type="dxa"/>
          </w:tcPr>
          <w:p w14:paraId="6772A82E"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28%</w:t>
            </w:r>
          </w:p>
        </w:tc>
      </w:tr>
      <w:tr w:rsidR="00620F22" w:rsidRPr="00620F22" w14:paraId="2A53F631" w14:textId="77777777" w:rsidTr="001D4222">
        <w:tc>
          <w:tcPr>
            <w:tcW w:w="3005" w:type="dxa"/>
          </w:tcPr>
          <w:p w14:paraId="16C95E50"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No</w:t>
            </w:r>
          </w:p>
        </w:tc>
        <w:tc>
          <w:tcPr>
            <w:tcW w:w="3005" w:type="dxa"/>
          </w:tcPr>
          <w:p w14:paraId="4633D065"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70%</w:t>
            </w:r>
          </w:p>
        </w:tc>
        <w:tc>
          <w:tcPr>
            <w:tcW w:w="3006" w:type="dxa"/>
          </w:tcPr>
          <w:p w14:paraId="4CCE8869"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72%</w:t>
            </w:r>
          </w:p>
        </w:tc>
      </w:tr>
    </w:tbl>
    <w:p w14:paraId="72188BAA" w14:textId="77777777" w:rsidR="00620F22" w:rsidRPr="00620F22" w:rsidRDefault="00620F22" w:rsidP="00FA6D7A">
      <w:pPr>
        <w:spacing w:line="480" w:lineRule="auto"/>
        <w:ind w:left="720"/>
        <w:contextualSpacing/>
        <w:jc w:val="both"/>
        <w:rPr>
          <w:rFonts w:asciiTheme="minorBidi" w:hAnsiTheme="minorBidi"/>
          <w:color w:val="000000" w:themeColor="text1"/>
        </w:rPr>
      </w:pPr>
    </w:p>
    <w:tbl>
      <w:tblPr>
        <w:tblStyle w:val="TableGrid1"/>
        <w:tblW w:w="0" w:type="auto"/>
        <w:tblInd w:w="720" w:type="dxa"/>
        <w:tblLook w:val="04A0" w:firstRow="1" w:lastRow="0" w:firstColumn="1" w:lastColumn="0" w:noHBand="0" w:noVBand="1"/>
      </w:tblPr>
      <w:tblGrid>
        <w:gridCol w:w="2826"/>
        <w:gridCol w:w="2738"/>
        <w:gridCol w:w="2732"/>
      </w:tblGrid>
      <w:tr w:rsidR="00620F22" w:rsidRPr="00620F22" w14:paraId="5DA662EC" w14:textId="77777777" w:rsidTr="001D4222">
        <w:tc>
          <w:tcPr>
            <w:tcW w:w="3005" w:type="dxa"/>
          </w:tcPr>
          <w:p w14:paraId="32B2FF1B"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Parent Postgraduate</w:t>
            </w:r>
          </w:p>
        </w:tc>
        <w:tc>
          <w:tcPr>
            <w:tcW w:w="3005" w:type="dxa"/>
          </w:tcPr>
          <w:p w14:paraId="17F17C83"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Mother</w:t>
            </w:r>
          </w:p>
        </w:tc>
        <w:tc>
          <w:tcPr>
            <w:tcW w:w="3006" w:type="dxa"/>
          </w:tcPr>
          <w:p w14:paraId="26426EEE"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Father</w:t>
            </w:r>
          </w:p>
        </w:tc>
      </w:tr>
      <w:tr w:rsidR="00620F22" w:rsidRPr="00620F22" w14:paraId="248CA770" w14:textId="77777777" w:rsidTr="001D4222">
        <w:tc>
          <w:tcPr>
            <w:tcW w:w="3005" w:type="dxa"/>
          </w:tcPr>
          <w:p w14:paraId="532DD5FE"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Yes</w:t>
            </w:r>
          </w:p>
        </w:tc>
        <w:tc>
          <w:tcPr>
            <w:tcW w:w="3005" w:type="dxa"/>
          </w:tcPr>
          <w:p w14:paraId="20775E72"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12%</w:t>
            </w:r>
          </w:p>
        </w:tc>
        <w:tc>
          <w:tcPr>
            <w:tcW w:w="3006" w:type="dxa"/>
          </w:tcPr>
          <w:p w14:paraId="1E6F07D8"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12%</w:t>
            </w:r>
          </w:p>
        </w:tc>
      </w:tr>
      <w:tr w:rsidR="00620F22" w:rsidRPr="00620F22" w14:paraId="717B95ED" w14:textId="77777777" w:rsidTr="001D4222">
        <w:tc>
          <w:tcPr>
            <w:tcW w:w="3005" w:type="dxa"/>
          </w:tcPr>
          <w:p w14:paraId="43002F7B"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No</w:t>
            </w:r>
          </w:p>
        </w:tc>
        <w:tc>
          <w:tcPr>
            <w:tcW w:w="3005" w:type="dxa"/>
          </w:tcPr>
          <w:p w14:paraId="792A5992"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88%</w:t>
            </w:r>
          </w:p>
        </w:tc>
        <w:tc>
          <w:tcPr>
            <w:tcW w:w="3006" w:type="dxa"/>
          </w:tcPr>
          <w:p w14:paraId="68BB38B6" w14:textId="77777777" w:rsidR="00620F22" w:rsidRPr="00620F22" w:rsidRDefault="00620F22" w:rsidP="00FA6D7A">
            <w:pPr>
              <w:spacing w:line="480" w:lineRule="auto"/>
              <w:contextualSpacing/>
              <w:rPr>
                <w:rFonts w:asciiTheme="minorBidi" w:hAnsiTheme="minorBidi"/>
                <w:sz w:val="24"/>
                <w:szCs w:val="24"/>
              </w:rPr>
            </w:pPr>
            <w:r w:rsidRPr="00620F22">
              <w:rPr>
                <w:rFonts w:asciiTheme="minorBidi" w:hAnsiTheme="minorBidi"/>
                <w:sz w:val="24"/>
                <w:szCs w:val="24"/>
              </w:rPr>
              <w:t>88%</w:t>
            </w:r>
          </w:p>
        </w:tc>
      </w:tr>
    </w:tbl>
    <w:p w14:paraId="2D338FF2" w14:textId="77777777" w:rsidR="00620F22" w:rsidRPr="00620F22" w:rsidRDefault="00620F22" w:rsidP="00FA6D7A">
      <w:pPr>
        <w:spacing w:line="480" w:lineRule="auto"/>
        <w:ind w:left="720"/>
        <w:contextualSpacing/>
        <w:jc w:val="both"/>
        <w:rPr>
          <w:rFonts w:asciiTheme="minorBidi" w:hAnsiTheme="minorBidi"/>
          <w:color w:val="000000" w:themeColor="text1"/>
        </w:rPr>
      </w:pPr>
    </w:p>
    <w:p w14:paraId="2E2611A7" w14:textId="77777777" w:rsidR="00620F22" w:rsidRPr="00620F22" w:rsidRDefault="00620F22">
      <w:pPr>
        <w:numPr>
          <w:ilvl w:val="0"/>
          <w:numId w:val="23"/>
        </w:numPr>
        <w:spacing w:line="480" w:lineRule="auto"/>
        <w:contextualSpacing/>
        <w:jc w:val="both"/>
        <w:rPr>
          <w:rFonts w:ascii="Arial" w:hAnsi="Arial" w:cs="Arial"/>
          <w:color w:val="000000" w:themeColor="text1"/>
        </w:rPr>
      </w:pPr>
      <w:r w:rsidRPr="00620F22">
        <w:rPr>
          <w:rFonts w:ascii="Arial" w:hAnsi="Arial" w:cs="Arial"/>
          <w:color w:val="000000" w:themeColor="text1"/>
        </w:rPr>
        <w:t>64% of participants had many friends suggesting sociability and the balance, 36% had few friends,</w:t>
      </w:r>
    </w:p>
    <w:p w14:paraId="05800C3D" w14:textId="77777777" w:rsidR="00620F22" w:rsidRPr="00620F22" w:rsidRDefault="00620F22">
      <w:pPr>
        <w:numPr>
          <w:ilvl w:val="0"/>
          <w:numId w:val="23"/>
        </w:numPr>
        <w:spacing w:line="480" w:lineRule="auto"/>
        <w:contextualSpacing/>
        <w:jc w:val="both"/>
        <w:rPr>
          <w:rFonts w:ascii="Arial" w:hAnsi="Arial" w:cs="Arial"/>
          <w:color w:val="000000" w:themeColor="text1"/>
        </w:rPr>
      </w:pPr>
      <w:r w:rsidRPr="00620F22">
        <w:rPr>
          <w:rFonts w:ascii="Arial" w:hAnsi="Arial" w:cs="Arial"/>
          <w:color w:val="000000" w:themeColor="text1"/>
        </w:rPr>
        <w:t>70% of participants adhered to an ethical system and the balance, 30% did not,</w:t>
      </w:r>
    </w:p>
    <w:p w14:paraId="1C622819" w14:textId="77777777" w:rsidR="00620F22" w:rsidRPr="00620F22" w:rsidRDefault="00620F22">
      <w:pPr>
        <w:numPr>
          <w:ilvl w:val="0"/>
          <w:numId w:val="23"/>
        </w:numPr>
        <w:spacing w:line="480" w:lineRule="auto"/>
        <w:contextualSpacing/>
        <w:jc w:val="both"/>
        <w:rPr>
          <w:rFonts w:ascii="Arial" w:hAnsi="Arial" w:cs="Arial"/>
          <w:color w:val="000000" w:themeColor="text1"/>
        </w:rPr>
      </w:pPr>
      <w:r w:rsidRPr="00620F22">
        <w:rPr>
          <w:rFonts w:ascii="Arial" w:hAnsi="Arial" w:cs="Arial"/>
          <w:color w:val="000000" w:themeColor="text1"/>
        </w:rPr>
        <w:t>34% of students admitted that they were bullied, 66% had not,</w:t>
      </w:r>
    </w:p>
    <w:p w14:paraId="7CA919CD" w14:textId="77777777" w:rsidR="00620F22" w:rsidRDefault="00620F22">
      <w:pPr>
        <w:numPr>
          <w:ilvl w:val="0"/>
          <w:numId w:val="23"/>
        </w:numPr>
        <w:spacing w:line="480" w:lineRule="auto"/>
        <w:contextualSpacing/>
        <w:jc w:val="both"/>
        <w:rPr>
          <w:rFonts w:ascii="Arial" w:hAnsi="Arial" w:cs="Arial"/>
          <w:color w:val="000000" w:themeColor="text1"/>
        </w:rPr>
      </w:pPr>
      <w:r w:rsidRPr="00620F22">
        <w:rPr>
          <w:rFonts w:ascii="Arial" w:hAnsi="Arial" w:cs="Arial"/>
          <w:color w:val="000000" w:themeColor="text1"/>
        </w:rPr>
        <w:lastRenderedPageBreak/>
        <w:t>36% of participants were expecting a salary of more than £25,000 upon graduation and the balance, 64% did not.</w:t>
      </w:r>
    </w:p>
    <w:p w14:paraId="08C7CA67" w14:textId="77777777" w:rsidR="00532AD0" w:rsidRPr="00620F22" w:rsidRDefault="00532AD0" w:rsidP="00532AD0">
      <w:pPr>
        <w:spacing w:line="480" w:lineRule="auto"/>
        <w:ind w:left="720"/>
        <w:contextualSpacing/>
        <w:jc w:val="both"/>
        <w:rPr>
          <w:rFonts w:ascii="Arial" w:hAnsi="Arial" w:cs="Arial"/>
          <w:color w:val="000000" w:themeColor="text1"/>
        </w:rPr>
      </w:pPr>
    </w:p>
    <w:p w14:paraId="7E4FBBB0" w14:textId="77777777" w:rsidR="00620F22" w:rsidRPr="00620F22" w:rsidRDefault="00620F22" w:rsidP="00620F22">
      <w:pPr>
        <w:shd w:val="clear" w:color="auto" w:fill="FFFFFF"/>
        <w:spacing w:after="100" w:afterAutospacing="1" w:line="480" w:lineRule="auto"/>
        <w:jc w:val="both"/>
        <w:rPr>
          <w:rFonts w:ascii="Arial" w:eastAsia="Times New Roman" w:hAnsi="Arial" w:cs="Arial"/>
          <w:color w:val="000000" w:themeColor="text1"/>
          <w:spacing w:val="1"/>
          <w:lang w:eastAsia="en-GB"/>
        </w:rPr>
      </w:pPr>
      <w:r w:rsidRPr="00620F22">
        <w:rPr>
          <w:rFonts w:ascii="Arial" w:eastAsia="Times New Roman" w:hAnsi="Arial" w:cs="Arial"/>
          <w:b/>
          <w:bCs/>
          <w:color w:val="000000" w:themeColor="text1"/>
          <w:lang w:eastAsia="en-GB"/>
        </w:rPr>
        <w:t>Section B</w:t>
      </w:r>
      <w:r w:rsidRPr="00620F22">
        <w:rPr>
          <w:rFonts w:ascii="Arial" w:eastAsia="Times New Roman" w:hAnsi="Arial" w:cs="Arial"/>
          <w:color w:val="000000" w:themeColor="text1"/>
          <w:lang w:eastAsia="en-GB"/>
        </w:rPr>
        <w:t xml:space="preserve"> explored disapproval towards unethical actions, the first four statements comprised of basic Accounting Fraud and the remaining four were behavioural in nature. Like a</w:t>
      </w:r>
      <w:r w:rsidRPr="00620F22">
        <w:rPr>
          <w:rFonts w:ascii="Arial" w:eastAsia="Times New Roman" w:hAnsi="Arial" w:cs="Arial"/>
          <w:color w:val="000000" w:themeColor="text1"/>
          <w:spacing w:val="1"/>
          <w:lang w:eastAsia="en-GB"/>
        </w:rPr>
        <w:t xml:space="preserve"> Likert scale, 1 – 5, ranging from Completely Agree (Moderately Agree, Unclear) to (Moderately Disagree) Complete Disagree, just like with the professional accountants, </w:t>
      </w:r>
      <w:r w:rsidRPr="00620F22">
        <w:rPr>
          <w:rFonts w:ascii="Arial" w:eastAsia="Times New Roman" w:hAnsi="Arial" w:cs="Arial"/>
          <w:b/>
          <w:bCs/>
          <w:color w:val="000000" w:themeColor="text1"/>
          <w:spacing w:val="1"/>
          <w:lang w:eastAsia="en-GB"/>
        </w:rPr>
        <w:t>see Table 4.4.</w:t>
      </w:r>
    </w:p>
    <w:p w14:paraId="53E056A2" w14:textId="7E9E02CC" w:rsidR="00620F22" w:rsidRPr="00620F22" w:rsidRDefault="00620F22" w:rsidP="00620F22">
      <w:pPr>
        <w:spacing w:line="480" w:lineRule="auto"/>
        <w:contextualSpacing/>
        <w:jc w:val="both"/>
        <w:rPr>
          <w:rFonts w:ascii="Arial" w:hAnsi="Arial" w:cs="Arial"/>
          <w:color w:val="000000" w:themeColor="text1"/>
        </w:rPr>
      </w:pPr>
      <w:r w:rsidRPr="00620F22">
        <w:rPr>
          <w:rFonts w:ascii="Arial" w:hAnsi="Arial" w:cs="Arial"/>
          <w:color w:val="000000" w:themeColor="text1"/>
        </w:rPr>
        <w:t>Once the Cronbach Alpha, a measure internal consistency, for section B was established at an acceptable 0.79</w:t>
      </w:r>
      <w:r w:rsidRPr="00620F22">
        <w:rPr>
          <w:rFonts w:ascii="Arial" w:hAnsi="Arial" w:cs="Arial"/>
          <w:b/>
          <w:bCs/>
          <w:color w:val="000000" w:themeColor="text1"/>
        </w:rPr>
        <w:t>, see Appendix M.</w:t>
      </w:r>
      <w:r w:rsidRPr="00620F22">
        <w:rPr>
          <w:rFonts w:ascii="Arial" w:hAnsi="Arial" w:cs="Arial"/>
          <w:color w:val="000000" w:themeColor="text1"/>
        </w:rPr>
        <w:t xml:space="preserve"> The </w:t>
      </w:r>
      <w:r w:rsidR="00CE2B0F">
        <w:rPr>
          <w:rFonts w:ascii="Arial" w:eastAsiaTheme="minorHAnsi" w:hAnsi="Arial" w:cs="Arial"/>
          <w:kern w:val="0"/>
          <w:lang w:eastAsia="en-US"/>
          <w14:ligatures w14:val="none"/>
        </w:rPr>
        <w:t>researcher</w:t>
      </w:r>
      <w:r w:rsidRPr="00620F22">
        <w:rPr>
          <w:rFonts w:ascii="Arial" w:hAnsi="Arial" w:cs="Arial"/>
          <w:color w:val="000000" w:themeColor="text1"/>
        </w:rPr>
        <w:t xml:space="preserve"> subjected all eight questions to a null (where the population mean is equal to 3) and research hypothesis (where the population mean does not equal 3) underpinned by the Confidence Interval and One-t test statistical tests, </w:t>
      </w:r>
      <w:r w:rsidRPr="00620F22">
        <w:rPr>
          <w:rFonts w:ascii="Arial" w:hAnsi="Arial" w:cs="Arial"/>
          <w:b/>
          <w:bCs/>
          <w:color w:val="000000" w:themeColor="text1"/>
        </w:rPr>
        <w:t>see Appendix N</w:t>
      </w:r>
      <w:r w:rsidRPr="00620F22">
        <w:rPr>
          <w:rFonts w:ascii="Arial" w:hAnsi="Arial" w:cs="Arial"/>
          <w:color w:val="000000" w:themeColor="text1"/>
        </w:rPr>
        <w:t xml:space="preserve">. In brief the participants significantly disagreed to all eight statements suggesting, like the working accountants, that even if they were suffering from a lifestyle pressure, as per the pressure side of the Fraud Triangle, they would not undertake Accounting Fraud such as exaggerating expenses or falsifying sales. </w:t>
      </w:r>
    </w:p>
    <w:p w14:paraId="60685CE4" w14:textId="77777777" w:rsidR="00620F22" w:rsidRPr="00620F22" w:rsidRDefault="00620F22" w:rsidP="00620F22">
      <w:pPr>
        <w:spacing w:line="480" w:lineRule="auto"/>
        <w:contextualSpacing/>
        <w:jc w:val="both"/>
        <w:rPr>
          <w:rFonts w:ascii="Arial" w:hAnsi="Arial" w:cs="Arial"/>
          <w:color w:val="000000" w:themeColor="text1"/>
        </w:rPr>
      </w:pPr>
    </w:p>
    <w:p w14:paraId="1EC08114" w14:textId="77777777" w:rsidR="00620F22" w:rsidRPr="00620F22" w:rsidRDefault="00620F22" w:rsidP="00620F22">
      <w:pPr>
        <w:shd w:val="clear" w:color="auto" w:fill="FFFFFF"/>
        <w:spacing w:after="100" w:afterAutospacing="1" w:line="480" w:lineRule="auto"/>
        <w:jc w:val="both"/>
        <w:rPr>
          <w:rFonts w:ascii="Arial" w:eastAsia="Times New Roman" w:hAnsi="Arial" w:cs="Arial"/>
          <w:color w:val="000000" w:themeColor="text1"/>
          <w:spacing w:val="1"/>
          <w:lang w:eastAsia="en-GB"/>
        </w:rPr>
      </w:pPr>
      <w:r w:rsidRPr="00620F22">
        <w:rPr>
          <w:rFonts w:ascii="Arial" w:eastAsia="Times New Roman" w:hAnsi="Arial" w:cs="Arial"/>
          <w:b/>
          <w:bCs/>
          <w:color w:val="000000" w:themeColor="text1"/>
          <w:lang w:eastAsia="en-GB"/>
        </w:rPr>
        <w:t>Section C</w:t>
      </w:r>
      <w:r w:rsidRPr="00620F22">
        <w:rPr>
          <w:rFonts w:ascii="Arial" w:eastAsia="Times New Roman" w:hAnsi="Arial" w:cs="Arial"/>
          <w:color w:val="000000" w:themeColor="text1"/>
          <w:lang w:eastAsia="en-GB"/>
        </w:rPr>
        <w:t xml:space="preserve"> measured the Psychopathy of the participants using sixteen questions. Again, a</w:t>
      </w:r>
      <w:r w:rsidRPr="00620F22">
        <w:rPr>
          <w:rFonts w:ascii="Arial" w:eastAsia="Times New Roman" w:hAnsi="Arial" w:cs="Arial"/>
          <w:color w:val="000000" w:themeColor="text1"/>
          <w:spacing w:val="1"/>
          <w:lang w:eastAsia="en-GB"/>
        </w:rPr>
        <w:t xml:space="preserve"> Likert scale, 1 – 5, was used ranging from Disagree Strongly to Agree Strongly, just like with the professional accountants, see </w:t>
      </w:r>
      <w:r w:rsidRPr="00620F22">
        <w:rPr>
          <w:rFonts w:ascii="Arial" w:eastAsia="Times New Roman" w:hAnsi="Arial" w:cs="Arial"/>
          <w:b/>
          <w:bCs/>
          <w:color w:val="000000" w:themeColor="text1"/>
          <w:spacing w:val="1"/>
          <w:lang w:eastAsia="en-GB"/>
        </w:rPr>
        <w:t>Table 4.5</w:t>
      </w:r>
    </w:p>
    <w:p w14:paraId="5A24A578" w14:textId="77777777" w:rsidR="00620F22" w:rsidRDefault="00620F22" w:rsidP="00620F22">
      <w:pPr>
        <w:spacing w:line="480" w:lineRule="auto"/>
        <w:contextualSpacing/>
        <w:jc w:val="both"/>
        <w:rPr>
          <w:rFonts w:ascii="Arial" w:eastAsia="Times New Roman" w:hAnsi="Arial" w:cs="Arial"/>
          <w:color w:val="000000" w:themeColor="text1"/>
          <w:lang w:eastAsia="en-GB"/>
        </w:rPr>
      </w:pPr>
      <w:r w:rsidRPr="00620F22">
        <w:rPr>
          <w:rFonts w:ascii="Arial" w:eastAsia="Times New Roman" w:hAnsi="Arial" w:cs="Arial"/>
          <w:color w:val="000000" w:themeColor="text1"/>
          <w:lang w:eastAsia="en-GB"/>
        </w:rPr>
        <w:t>According to the primary study (Brinkley et. al, 2000) the following thresholds were recognised:</w:t>
      </w:r>
    </w:p>
    <w:p w14:paraId="2CDBDCDE" w14:textId="77777777" w:rsidR="00532AD0" w:rsidRPr="00620F22" w:rsidRDefault="00532AD0" w:rsidP="00620F22">
      <w:pPr>
        <w:spacing w:line="480" w:lineRule="auto"/>
        <w:contextualSpacing/>
        <w:jc w:val="both"/>
        <w:rPr>
          <w:rFonts w:ascii="Arial" w:hAnsi="Arial" w:cs="Arial"/>
          <w:color w:val="000000" w:themeColor="text1"/>
        </w:rPr>
      </w:pPr>
    </w:p>
    <w:p w14:paraId="4AECD831" w14:textId="77777777" w:rsidR="00620F22" w:rsidRPr="00620F22" w:rsidRDefault="00620F22">
      <w:pPr>
        <w:numPr>
          <w:ilvl w:val="0"/>
          <w:numId w:val="21"/>
        </w:numPr>
        <w:shd w:val="clear" w:color="auto" w:fill="FFFFFF"/>
        <w:spacing w:before="100" w:beforeAutospacing="1" w:after="24" w:line="480" w:lineRule="auto"/>
        <w:ind w:left="1104"/>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lastRenderedPageBreak/>
        <w:t>0-48: Non-Psychopathic group</w:t>
      </w:r>
    </w:p>
    <w:p w14:paraId="7B2EA358" w14:textId="77777777" w:rsidR="00620F22" w:rsidRPr="00620F22" w:rsidRDefault="00620F22">
      <w:pPr>
        <w:numPr>
          <w:ilvl w:val="0"/>
          <w:numId w:val="21"/>
        </w:numPr>
        <w:shd w:val="clear" w:color="auto" w:fill="FFFFFF"/>
        <w:spacing w:before="100" w:beforeAutospacing="1" w:after="24" w:line="480" w:lineRule="auto"/>
        <w:ind w:left="1104"/>
        <w:jc w:val="both"/>
        <w:rPr>
          <w:rFonts w:ascii="Arial" w:eastAsia="Times New Roman" w:hAnsi="Arial" w:cs="Arial"/>
          <w:b/>
          <w:bCs/>
          <w:color w:val="000000" w:themeColor="text1"/>
          <w:lang w:eastAsia="en-GB"/>
        </w:rPr>
      </w:pPr>
      <w:bookmarkStart w:id="720" w:name="_Hlk143352800"/>
      <w:r w:rsidRPr="00620F22">
        <w:rPr>
          <w:rFonts w:ascii="Arial" w:eastAsia="Times New Roman" w:hAnsi="Arial" w:cs="Arial"/>
          <w:b/>
          <w:bCs/>
          <w:color w:val="000000" w:themeColor="text1"/>
          <w:lang w:eastAsia="en-GB"/>
        </w:rPr>
        <w:t>49-57: Mixed group</w:t>
      </w:r>
    </w:p>
    <w:bookmarkEnd w:id="720"/>
    <w:p w14:paraId="48C39A53" w14:textId="538F8512" w:rsidR="00532AD0" w:rsidRPr="00532AD0" w:rsidRDefault="00620F22" w:rsidP="00532AD0">
      <w:pPr>
        <w:numPr>
          <w:ilvl w:val="0"/>
          <w:numId w:val="21"/>
        </w:numPr>
        <w:shd w:val="clear" w:color="auto" w:fill="FFFFFF"/>
        <w:spacing w:before="100" w:beforeAutospacing="1" w:after="24" w:line="480" w:lineRule="auto"/>
        <w:ind w:left="1104"/>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≥58: Psychopathic group</w:t>
      </w:r>
    </w:p>
    <w:p w14:paraId="16F713FA" w14:textId="77777777" w:rsidR="00620F22" w:rsidRPr="00620F22" w:rsidRDefault="00620F22" w:rsidP="00620F22">
      <w:pPr>
        <w:spacing w:line="480" w:lineRule="auto"/>
        <w:jc w:val="both"/>
        <w:rPr>
          <w:rFonts w:ascii="Arial" w:hAnsi="Arial" w:cs="Arial"/>
          <w:color w:val="000000" w:themeColor="text1"/>
        </w:rPr>
      </w:pPr>
      <w:bookmarkStart w:id="721" w:name="_Hlk146213670"/>
      <w:r w:rsidRPr="00620F22">
        <w:rPr>
          <w:rFonts w:ascii="Arial" w:hAnsi="Arial" w:cs="Arial"/>
          <w:color w:val="000000" w:themeColor="text1"/>
        </w:rPr>
        <w:t>The results of the sample of 50 L6 students were:</w:t>
      </w:r>
    </w:p>
    <w:tbl>
      <w:tblPr>
        <w:tblStyle w:val="TableGrid1"/>
        <w:tblW w:w="0" w:type="auto"/>
        <w:tblLook w:val="04A0" w:firstRow="1" w:lastRow="0" w:firstColumn="1" w:lastColumn="0" w:noHBand="0" w:noVBand="1"/>
      </w:tblPr>
      <w:tblGrid>
        <w:gridCol w:w="3093"/>
        <w:gridCol w:w="3273"/>
        <w:gridCol w:w="2650"/>
      </w:tblGrid>
      <w:tr w:rsidR="00620F22" w:rsidRPr="00620F22" w14:paraId="60C57C21" w14:textId="77777777" w:rsidTr="001D4222">
        <w:tc>
          <w:tcPr>
            <w:tcW w:w="3093" w:type="dxa"/>
          </w:tcPr>
          <w:p w14:paraId="1FC61A84" w14:textId="77777777" w:rsidR="00620F22" w:rsidRPr="00620F22" w:rsidRDefault="00620F22" w:rsidP="00620F22">
            <w:pPr>
              <w:rPr>
                <w:rFonts w:asciiTheme="minorBidi" w:hAnsiTheme="minorBidi"/>
                <w:b/>
                <w:bCs/>
                <w:sz w:val="24"/>
                <w:szCs w:val="24"/>
              </w:rPr>
            </w:pPr>
            <w:r w:rsidRPr="00620F22">
              <w:rPr>
                <w:rFonts w:asciiTheme="minorBidi" w:hAnsiTheme="minorBidi"/>
                <w:b/>
                <w:bCs/>
                <w:sz w:val="24"/>
                <w:szCs w:val="24"/>
              </w:rPr>
              <w:t>Psychopathy Score</w:t>
            </w:r>
          </w:p>
          <w:p w14:paraId="0DF3F261" w14:textId="77777777" w:rsidR="00620F22" w:rsidRPr="00620F22" w:rsidRDefault="00620F22" w:rsidP="00620F22">
            <w:pPr>
              <w:rPr>
                <w:rFonts w:asciiTheme="minorBidi" w:hAnsiTheme="minorBidi"/>
                <w:b/>
                <w:bCs/>
                <w:sz w:val="24"/>
                <w:szCs w:val="24"/>
              </w:rPr>
            </w:pPr>
          </w:p>
        </w:tc>
        <w:tc>
          <w:tcPr>
            <w:tcW w:w="3273" w:type="dxa"/>
          </w:tcPr>
          <w:p w14:paraId="62A61E18" w14:textId="77777777" w:rsidR="00620F22" w:rsidRPr="00620F22" w:rsidRDefault="00620F22" w:rsidP="00620F22">
            <w:pPr>
              <w:rPr>
                <w:rFonts w:asciiTheme="minorBidi" w:hAnsiTheme="minorBidi"/>
                <w:b/>
                <w:bCs/>
                <w:sz w:val="24"/>
                <w:szCs w:val="24"/>
              </w:rPr>
            </w:pPr>
            <w:r w:rsidRPr="00620F22">
              <w:rPr>
                <w:rFonts w:asciiTheme="minorBidi" w:hAnsiTheme="minorBidi"/>
                <w:b/>
                <w:bCs/>
                <w:sz w:val="24"/>
                <w:szCs w:val="24"/>
              </w:rPr>
              <w:t>Participants</w:t>
            </w:r>
          </w:p>
        </w:tc>
        <w:tc>
          <w:tcPr>
            <w:tcW w:w="2650" w:type="dxa"/>
          </w:tcPr>
          <w:p w14:paraId="19DD7B07" w14:textId="77777777" w:rsidR="00620F22" w:rsidRPr="00620F22" w:rsidRDefault="00620F22" w:rsidP="00620F22">
            <w:pPr>
              <w:rPr>
                <w:rFonts w:asciiTheme="minorBidi" w:hAnsiTheme="minorBidi"/>
                <w:b/>
                <w:bCs/>
                <w:sz w:val="24"/>
                <w:szCs w:val="24"/>
              </w:rPr>
            </w:pPr>
            <w:r w:rsidRPr="00620F22">
              <w:rPr>
                <w:rFonts w:asciiTheme="minorBidi" w:hAnsiTheme="minorBidi"/>
                <w:b/>
                <w:bCs/>
                <w:sz w:val="24"/>
                <w:szCs w:val="24"/>
              </w:rPr>
              <w:t>%</w:t>
            </w:r>
          </w:p>
        </w:tc>
      </w:tr>
      <w:tr w:rsidR="00620F22" w:rsidRPr="00620F22" w14:paraId="29F9256A" w14:textId="77777777" w:rsidTr="001D4222">
        <w:tc>
          <w:tcPr>
            <w:tcW w:w="3093" w:type="dxa"/>
          </w:tcPr>
          <w:p w14:paraId="1337EDDC" w14:textId="77777777" w:rsidR="00620F22" w:rsidRPr="00620F22" w:rsidRDefault="00620F22" w:rsidP="00620F22">
            <w:pPr>
              <w:rPr>
                <w:rFonts w:asciiTheme="minorBidi" w:eastAsia="Times New Roman" w:hAnsiTheme="minorBidi"/>
                <w:sz w:val="24"/>
                <w:szCs w:val="24"/>
                <w:lang w:eastAsia="en-GB"/>
              </w:rPr>
            </w:pPr>
            <w:r w:rsidRPr="00620F22">
              <w:rPr>
                <w:rFonts w:asciiTheme="minorBidi" w:eastAsia="Times New Roman" w:hAnsiTheme="minorBidi"/>
                <w:sz w:val="24"/>
                <w:szCs w:val="24"/>
                <w:lang w:eastAsia="en-GB"/>
              </w:rPr>
              <w:t>0-48</w:t>
            </w:r>
          </w:p>
          <w:p w14:paraId="63ACCBAA" w14:textId="77777777" w:rsidR="00620F22" w:rsidRPr="00620F22" w:rsidRDefault="00620F22" w:rsidP="00620F22">
            <w:pPr>
              <w:rPr>
                <w:rFonts w:asciiTheme="minorBidi" w:hAnsiTheme="minorBidi"/>
                <w:sz w:val="24"/>
                <w:szCs w:val="24"/>
              </w:rPr>
            </w:pPr>
          </w:p>
        </w:tc>
        <w:tc>
          <w:tcPr>
            <w:tcW w:w="3273" w:type="dxa"/>
          </w:tcPr>
          <w:p w14:paraId="770E222E"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29</w:t>
            </w:r>
          </w:p>
        </w:tc>
        <w:tc>
          <w:tcPr>
            <w:tcW w:w="2650" w:type="dxa"/>
          </w:tcPr>
          <w:p w14:paraId="74422E5A"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58</w:t>
            </w:r>
          </w:p>
        </w:tc>
      </w:tr>
      <w:tr w:rsidR="00620F22" w:rsidRPr="00620F22" w14:paraId="577EC825" w14:textId="77777777" w:rsidTr="001D4222">
        <w:tc>
          <w:tcPr>
            <w:tcW w:w="3093" w:type="dxa"/>
          </w:tcPr>
          <w:p w14:paraId="561D0A94" w14:textId="77777777" w:rsidR="00620F22" w:rsidRPr="00620F22" w:rsidRDefault="00620F22" w:rsidP="00620F22">
            <w:pPr>
              <w:rPr>
                <w:rFonts w:asciiTheme="minorBidi" w:eastAsia="Times New Roman" w:hAnsiTheme="minorBidi"/>
                <w:sz w:val="24"/>
                <w:szCs w:val="24"/>
                <w:lang w:eastAsia="en-GB"/>
              </w:rPr>
            </w:pPr>
            <w:r w:rsidRPr="00620F22">
              <w:rPr>
                <w:rFonts w:asciiTheme="minorBidi" w:eastAsia="Times New Roman" w:hAnsiTheme="minorBidi"/>
                <w:sz w:val="24"/>
                <w:szCs w:val="24"/>
                <w:lang w:eastAsia="en-GB"/>
              </w:rPr>
              <w:t>49-57</w:t>
            </w:r>
          </w:p>
          <w:p w14:paraId="332BBD03" w14:textId="77777777" w:rsidR="00620F22" w:rsidRPr="00620F22" w:rsidRDefault="00620F22" w:rsidP="00620F22">
            <w:pPr>
              <w:rPr>
                <w:rFonts w:asciiTheme="minorBidi" w:hAnsiTheme="minorBidi"/>
                <w:sz w:val="24"/>
                <w:szCs w:val="24"/>
              </w:rPr>
            </w:pPr>
          </w:p>
        </w:tc>
        <w:tc>
          <w:tcPr>
            <w:tcW w:w="3273" w:type="dxa"/>
          </w:tcPr>
          <w:p w14:paraId="2FFEEF7D"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14</w:t>
            </w:r>
          </w:p>
        </w:tc>
        <w:tc>
          <w:tcPr>
            <w:tcW w:w="2650" w:type="dxa"/>
          </w:tcPr>
          <w:p w14:paraId="62364841"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28</w:t>
            </w:r>
          </w:p>
        </w:tc>
      </w:tr>
      <w:tr w:rsidR="00620F22" w:rsidRPr="00620F22" w14:paraId="557AB48B" w14:textId="77777777" w:rsidTr="001D4222">
        <w:tc>
          <w:tcPr>
            <w:tcW w:w="3093" w:type="dxa"/>
          </w:tcPr>
          <w:p w14:paraId="35D107D0" w14:textId="77777777" w:rsidR="00620F22" w:rsidRPr="00620F22" w:rsidRDefault="00620F22" w:rsidP="00620F22">
            <w:pPr>
              <w:rPr>
                <w:rFonts w:asciiTheme="minorBidi" w:eastAsia="Times New Roman" w:hAnsiTheme="minorBidi"/>
                <w:sz w:val="24"/>
                <w:szCs w:val="24"/>
                <w:lang w:eastAsia="en-GB"/>
              </w:rPr>
            </w:pPr>
            <w:r w:rsidRPr="00620F22">
              <w:rPr>
                <w:rFonts w:asciiTheme="minorBidi" w:eastAsia="Times New Roman" w:hAnsiTheme="minorBidi"/>
                <w:sz w:val="24"/>
                <w:szCs w:val="24"/>
                <w:lang w:eastAsia="en-GB"/>
              </w:rPr>
              <w:t>≥58</w:t>
            </w:r>
          </w:p>
          <w:p w14:paraId="2F257E45" w14:textId="77777777" w:rsidR="00620F22" w:rsidRPr="00620F22" w:rsidRDefault="00620F22" w:rsidP="00620F22">
            <w:pPr>
              <w:rPr>
                <w:rFonts w:asciiTheme="minorBidi" w:hAnsiTheme="minorBidi"/>
                <w:sz w:val="24"/>
                <w:szCs w:val="24"/>
              </w:rPr>
            </w:pPr>
          </w:p>
        </w:tc>
        <w:tc>
          <w:tcPr>
            <w:tcW w:w="3273" w:type="dxa"/>
          </w:tcPr>
          <w:p w14:paraId="4C69F063"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7</w:t>
            </w:r>
          </w:p>
        </w:tc>
        <w:tc>
          <w:tcPr>
            <w:tcW w:w="2650" w:type="dxa"/>
          </w:tcPr>
          <w:p w14:paraId="1737DF35"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14</w:t>
            </w:r>
          </w:p>
        </w:tc>
      </w:tr>
      <w:tr w:rsidR="00620F22" w:rsidRPr="00620F22" w14:paraId="6B8221FF" w14:textId="77777777" w:rsidTr="001D4222">
        <w:tc>
          <w:tcPr>
            <w:tcW w:w="3093" w:type="dxa"/>
          </w:tcPr>
          <w:p w14:paraId="5F6D0C7D" w14:textId="77777777" w:rsidR="00620F22" w:rsidRPr="00620F22" w:rsidRDefault="00620F22" w:rsidP="00620F22">
            <w:pPr>
              <w:rPr>
                <w:rFonts w:asciiTheme="minorBidi" w:eastAsia="Times New Roman" w:hAnsiTheme="minorBidi"/>
                <w:sz w:val="24"/>
                <w:szCs w:val="24"/>
                <w:lang w:eastAsia="en-GB"/>
              </w:rPr>
            </w:pPr>
            <w:r w:rsidRPr="00620F22">
              <w:rPr>
                <w:rFonts w:asciiTheme="minorBidi" w:eastAsia="Times New Roman" w:hAnsiTheme="minorBidi"/>
                <w:sz w:val="24"/>
                <w:szCs w:val="24"/>
                <w:lang w:eastAsia="en-GB"/>
              </w:rPr>
              <w:t>Total</w:t>
            </w:r>
          </w:p>
          <w:p w14:paraId="75850900" w14:textId="77777777" w:rsidR="00620F22" w:rsidRPr="00620F22" w:rsidRDefault="00620F22" w:rsidP="00620F22">
            <w:pPr>
              <w:rPr>
                <w:rFonts w:asciiTheme="minorBidi" w:eastAsia="Times New Roman" w:hAnsiTheme="minorBidi"/>
                <w:sz w:val="24"/>
                <w:szCs w:val="24"/>
                <w:lang w:eastAsia="en-GB"/>
              </w:rPr>
            </w:pPr>
          </w:p>
        </w:tc>
        <w:tc>
          <w:tcPr>
            <w:tcW w:w="3273" w:type="dxa"/>
          </w:tcPr>
          <w:p w14:paraId="0BB72CEE"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50</w:t>
            </w:r>
          </w:p>
        </w:tc>
        <w:tc>
          <w:tcPr>
            <w:tcW w:w="2650" w:type="dxa"/>
          </w:tcPr>
          <w:p w14:paraId="0D43578B"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100</w:t>
            </w:r>
          </w:p>
        </w:tc>
      </w:tr>
      <w:bookmarkEnd w:id="721"/>
    </w:tbl>
    <w:p w14:paraId="7A5F1DCF" w14:textId="77777777" w:rsidR="00620F22" w:rsidRPr="00620F22" w:rsidRDefault="00620F22" w:rsidP="00620F22">
      <w:pPr>
        <w:spacing w:line="480" w:lineRule="auto"/>
        <w:jc w:val="both"/>
        <w:rPr>
          <w:rFonts w:asciiTheme="minorBidi" w:hAnsiTheme="minorBidi"/>
          <w:color w:val="000000" w:themeColor="text1"/>
        </w:rPr>
      </w:pPr>
    </w:p>
    <w:p w14:paraId="2E0776E0" w14:textId="77777777" w:rsidR="00620F22" w:rsidRPr="00620F22" w:rsidRDefault="00620F22" w:rsidP="00620F22">
      <w:pPr>
        <w:spacing w:line="480" w:lineRule="auto"/>
        <w:jc w:val="both"/>
        <w:rPr>
          <w:rFonts w:ascii="Arial" w:hAnsi="Arial" w:cs="Arial"/>
          <w:color w:val="000000" w:themeColor="text1"/>
          <w:shd w:val="clear" w:color="auto" w:fill="FFFFFF"/>
        </w:rPr>
      </w:pPr>
      <w:r w:rsidRPr="00620F22">
        <w:rPr>
          <w:rFonts w:ascii="Arial" w:hAnsi="Arial" w:cs="Arial"/>
          <w:color w:val="000000" w:themeColor="text1"/>
        </w:rPr>
        <w:t xml:space="preserve">It is interesting to note that the </w:t>
      </w:r>
      <w:r w:rsidRPr="00620F22">
        <w:rPr>
          <w:rFonts w:ascii="Arial" w:hAnsi="Arial" w:cs="Arial"/>
          <w:b/>
          <w:bCs/>
          <w:color w:val="000000" w:themeColor="text1"/>
        </w:rPr>
        <w:t>‘non-psychopathic group’ of 29</w:t>
      </w:r>
      <w:r w:rsidRPr="00620F22">
        <w:rPr>
          <w:rFonts w:ascii="Arial" w:hAnsi="Arial" w:cs="Arial"/>
          <w:color w:val="000000" w:themeColor="text1"/>
        </w:rPr>
        <w:t xml:space="preserve"> included </w:t>
      </w:r>
      <w:r w:rsidRPr="00620F22">
        <w:rPr>
          <w:rFonts w:ascii="Arial" w:hAnsi="Arial" w:cs="Arial"/>
          <w:b/>
          <w:bCs/>
          <w:color w:val="000000" w:themeColor="text1"/>
        </w:rPr>
        <w:t>five students who had a score of 48 and could be argued are borderline ‘Mixed group’</w:t>
      </w:r>
      <w:r w:rsidRPr="00620F22">
        <w:rPr>
          <w:rFonts w:ascii="Arial" w:hAnsi="Arial" w:cs="Arial"/>
          <w:color w:val="000000" w:themeColor="text1"/>
        </w:rPr>
        <w:t xml:space="preserve"> cases. There were </w:t>
      </w:r>
      <w:r w:rsidRPr="00620F22">
        <w:rPr>
          <w:rFonts w:ascii="Arial" w:hAnsi="Arial" w:cs="Arial"/>
          <w:b/>
          <w:bCs/>
          <w:color w:val="000000" w:themeColor="text1"/>
        </w:rPr>
        <w:t>13 clear cases in the ‘Mixed group</w:t>
      </w:r>
      <w:r w:rsidRPr="00620F22">
        <w:rPr>
          <w:rFonts w:ascii="Arial" w:hAnsi="Arial" w:cs="Arial"/>
          <w:color w:val="000000" w:themeColor="text1"/>
        </w:rPr>
        <w:t xml:space="preserve">’ including one borderline case of 57 and </w:t>
      </w:r>
      <w:r w:rsidRPr="00620F22">
        <w:rPr>
          <w:rFonts w:ascii="Arial" w:hAnsi="Arial" w:cs="Arial"/>
          <w:color w:val="000000" w:themeColor="text1"/>
          <w:shd w:val="clear" w:color="auto" w:fill="FFFFFF"/>
        </w:rPr>
        <w:t xml:space="preserve">the mean is, 47.34, and standard deviation, 9.44. </w:t>
      </w:r>
      <w:r w:rsidRPr="00620F22">
        <w:rPr>
          <w:rFonts w:ascii="Arial" w:hAnsi="Arial" w:cs="Arial"/>
          <w:color w:val="000000" w:themeColor="text1"/>
        </w:rPr>
        <w:t>The Cronbach Alpha, for section C was established at an acceptable 0.76.</w:t>
      </w:r>
    </w:p>
    <w:p w14:paraId="6F683FC5" w14:textId="77777777" w:rsidR="00620F22" w:rsidRPr="00620F22" w:rsidRDefault="00620F22" w:rsidP="00620F22">
      <w:pPr>
        <w:spacing w:line="480" w:lineRule="auto"/>
        <w:jc w:val="both"/>
        <w:rPr>
          <w:rFonts w:ascii="Arial" w:hAnsi="Arial" w:cs="Arial"/>
          <w:color w:val="000000" w:themeColor="text1"/>
          <w:shd w:val="clear" w:color="auto" w:fill="FFFFFF"/>
        </w:rPr>
      </w:pPr>
      <w:r w:rsidRPr="00620F22">
        <w:rPr>
          <w:rFonts w:ascii="Arial" w:hAnsi="Arial" w:cs="Arial"/>
          <w:color w:val="000000" w:themeColor="text1"/>
        </w:rPr>
        <w:t xml:space="preserve">As noted earlier Hare (1994) </w:t>
      </w:r>
      <w:r w:rsidRPr="00620F22">
        <w:rPr>
          <w:rFonts w:ascii="Arial" w:hAnsi="Arial" w:cs="Arial"/>
          <w:color w:val="000000" w:themeColor="text1"/>
          <w:shd w:val="clear" w:color="auto" w:fill="FFFFFF"/>
        </w:rPr>
        <w:t>reported that approximately 1 percent of the general population meet the clinical threshold for psychopath and later maintained (Babiak and Hare, 2019) that the incidence of psychopaths was higher in the business world. This student study of 50 highlighted that 14% have clear psychopathic tendencies, participants, 28% or 14 contributors, have borderline or mixed psychopathy which could become problematic in the future.</w:t>
      </w:r>
    </w:p>
    <w:p w14:paraId="0D6364F3" w14:textId="77777777" w:rsidR="00620F22" w:rsidRPr="00620F22" w:rsidRDefault="00620F22" w:rsidP="00620F22">
      <w:pPr>
        <w:spacing w:line="480" w:lineRule="auto"/>
        <w:jc w:val="both"/>
        <w:rPr>
          <w:rFonts w:ascii="Arial" w:hAnsi="Arial" w:cs="Arial"/>
          <w:color w:val="000000" w:themeColor="text1"/>
          <w:shd w:val="clear" w:color="auto" w:fill="FFFFFF"/>
        </w:rPr>
      </w:pPr>
      <w:r w:rsidRPr="00620F22">
        <w:rPr>
          <w:rFonts w:ascii="Arial" w:hAnsi="Arial" w:cs="Arial"/>
          <w:color w:val="000000" w:themeColor="text1"/>
          <w:shd w:val="clear" w:color="auto" w:fill="FFFFFF"/>
        </w:rPr>
        <w:t>When the students were asked regarding a deterrence, 94 % of them believed a fine and sentence should be imposed for Accounting Fraud.</w:t>
      </w:r>
    </w:p>
    <w:p w14:paraId="392485D6" w14:textId="423C850C"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lastRenderedPageBreak/>
        <w:t xml:space="preserve">Based on the results, the </w:t>
      </w:r>
      <w:r w:rsidR="005C07AC">
        <w:rPr>
          <w:rFonts w:ascii="Arial" w:hAnsi="Arial" w:cs="Arial"/>
          <w:color w:val="000000" w:themeColor="text1"/>
        </w:rPr>
        <w:t>researcher</w:t>
      </w:r>
      <w:r w:rsidRPr="00620F22">
        <w:rPr>
          <w:rFonts w:ascii="Arial" w:hAnsi="Arial" w:cs="Arial"/>
          <w:color w:val="000000" w:themeColor="text1"/>
        </w:rPr>
        <w:t xml:space="preserve"> created a multiple regression (Rxy) model that could predict Student Accountant Psychopathy, Y criterion, by using the following predictors:</w:t>
      </w:r>
    </w:p>
    <w:p w14:paraId="492F2820" w14:textId="77777777" w:rsidR="00620F22" w:rsidRPr="00620F22" w:rsidRDefault="00620F22" w:rsidP="00620F22">
      <w:pPr>
        <w:spacing w:line="480" w:lineRule="auto"/>
        <w:jc w:val="both"/>
        <w:rPr>
          <w:rFonts w:ascii="Arial" w:hAnsi="Arial" w:cs="Arial"/>
          <w:b/>
          <w:bCs/>
          <w:color w:val="000000" w:themeColor="text1"/>
        </w:rPr>
      </w:pPr>
      <w:bookmarkStart w:id="722" w:name="_Hlk146213882"/>
      <w:r w:rsidRPr="00620F22">
        <w:rPr>
          <w:rFonts w:ascii="Arial" w:hAnsi="Arial" w:cs="Arial"/>
          <w:b/>
          <w:bCs/>
          <w:color w:val="000000" w:themeColor="text1"/>
        </w:rPr>
        <w:t>X1 – Mean Disapproval of Unethical Actions</w:t>
      </w:r>
    </w:p>
    <w:p w14:paraId="3123351C"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t>X2 - Age</w:t>
      </w:r>
    </w:p>
    <w:p w14:paraId="2EB932B6"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t xml:space="preserve">X3 – Gender </w:t>
      </w:r>
    </w:p>
    <w:p w14:paraId="11DB4B29"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t>X4 – Many Friends</w:t>
      </w:r>
    </w:p>
    <w:p w14:paraId="24DF0B9C"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t xml:space="preserve">X5 – Adherence to an Ethical Framework </w:t>
      </w:r>
    </w:p>
    <w:p w14:paraId="1BCD1D7E"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t>X6 – Whether the participant was bullied.</w:t>
      </w:r>
    </w:p>
    <w:p w14:paraId="26F118A2"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t>X7 – Whether the participant is Religious.</w:t>
      </w:r>
    </w:p>
    <w:p w14:paraId="0A4AB8A0"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t>X8 – Whether student believes they are entitled to a starting salary of more than £25,000 upon graduation.</w:t>
      </w:r>
    </w:p>
    <w:p w14:paraId="6F998752"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t>X9 – Whether the mother of the participant is a post-graduate.</w:t>
      </w:r>
    </w:p>
    <w:p w14:paraId="6FE953A4"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t>X10 – Whether the father of the participant is a post-graduate.</w:t>
      </w:r>
    </w:p>
    <w:p w14:paraId="653AA859"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t xml:space="preserve">X11 – Whether the participant believes that a prison sentence and fine will deter Accounting Fraud. </w:t>
      </w:r>
    </w:p>
    <w:bookmarkEnd w:id="722"/>
    <w:p w14:paraId="16593C38" w14:textId="77777777"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 xml:space="preserve">Each predictor is ‘weighted’ different manner according to its discrete correlation with Y and its correlation with the other predictors. The objective of multiple correlation is to supply a regression equation that will weight each predictor variable in such a way that the combination of the X variables does a much better role of predicting Y or psychopathy than any single X variable in isolation. </w:t>
      </w:r>
    </w:p>
    <w:p w14:paraId="7867FAAB" w14:textId="77777777"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lastRenderedPageBreak/>
        <w:t xml:space="preserve">The reason for selecting X1 – X3 and X11 has been discussed earlier as they are underpinned by the sub research questions, X4 – X10 were chosen as it is being hypothesized that they may be an explanatory variable in predicting student psychopathy. </w:t>
      </w:r>
    </w:p>
    <w:p w14:paraId="48087984" w14:textId="77777777" w:rsidR="00620F22" w:rsidRPr="00620F22" w:rsidRDefault="00620F22" w:rsidP="00620F22">
      <w:pPr>
        <w:spacing w:line="480" w:lineRule="auto"/>
        <w:jc w:val="both"/>
        <w:rPr>
          <w:rFonts w:ascii="Arial" w:hAnsi="Arial" w:cs="Arial"/>
          <w:b/>
          <w:bCs/>
          <w:color w:val="000000" w:themeColor="text1"/>
        </w:rPr>
      </w:pPr>
      <w:bookmarkStart w:id="723" w:name="_Hlk146213916"/>
      <w:r w:rsidRPr="00620F22">
        <w:rPr>
          <w:rFonts w:ascii="Arial" w:hAnsi="Arial" w:cs="Arial"/>
          <w:color w:val="000000" w:themeColor="text1"/>
        </w:rPr>
        <w:t>According to the summary output (See Appendix M) the multiple regression model predicting criterion Y or psychopathy is (as per practice the figures are to 4 significant figures):</w:t>
      </w:r>
    </w:p>
    <w:p w14:paraId="082A9F7D" w14:textId="77777777" w:rsidR="00620F22" w:rsidRPr="00620F22" w:rsidRDefault="00620F22" w:rsidP="00620F22">
      <w:pPr>
        <w:spacing w:line="480" w:lineRule="auto"/>
        <w:jc w:val="center"/>
        <w:rPr>
          <w:rFonts w:ascii="Arial" w:hAnsi="Arial" w:cs="Arial"/>
          <w:b/>
          <w:bCs/>
          <w:color w:val="000000" w:themeColor="text1"/>
        </w:rPr>
      </w:pPr>
      <w:r w:rsidRPr="00620F22">
        <w:rPr>
          <w:rFonts w:ascii="Arial" w:hAnsi="Arial" w:cs="Arial"/>
          <w:b/>
          <w:bCs/>
          <w:color w:val="000000" w:themeColor="text1"/>
        </w:rPr>
        <w:t>Y = a + b1X1 + b2X2 + b3X3 + b4X4 + b5X5 + b6X6 + b7X7 + b8X8 + b9X9 + b10X10 + b11X11</w:t>
      </w:r>
    </w:p>
    <w:p w14:paraId="66352C6A" w14:textId="77777777" w:rsidR="00620F22" w:rsidRPr="00620F22" w:rsidRDefault="00620F22" w:rsidP="00620F22">
      <w:pPr>
        <w:pBdr>
          <w:top w:val="single" w:sz="4" w:space="1" w:color="auto"/>
          <w:left w:val="single" w:sz="4" w:space="4" w:color="auto"/>
          <w:bottom w:val="single" w:sz="4" w:space="0" w:color="auto"/>
          <w:right w:val="single" w:sz="4" w:space="4" w:color="auto"/>
        </w:pBdr>
        <w:spacing w:line="480" w:lineRule="auto"/>
        <w:jc w:val="center"/>
        <w:rPr>
          <w:rFonts w:ascii="Arial" w:hAnsi="Arial" w:cs="Arial"/>
          <w:b/>
          <w:bCs/>
          <w:color w:val="000000" w:themeColor="text1"/>
          <w:lang w:val="es-ES"/>
        </w:rPr>
      </w:pPr>
      <w:r w:rsidRPr="00620F22">
        <w:rPr>
          <w:rFonts w:ascii="Arial" w:hAnsi="Arial" w:cs="Arial"/>
          <w:b/>
          <w:bCs/>
          <w:color w:val="000000" w:themeColor="text1"/>
          <w:lang w:val="es-ES"/>
        </w:rPr>
        <w:t>Y = 51.2472 - 3.4608X1 + 0.1573X2 + 3.3712X3 - 3.7448X4 + 8.3055X5 – 1.0961X6 – 3.5673X7 – 3.0110X8 + 6.2902X9 – 8.6969X10 + 5.4504X11</w:t>
      </w:r>
      <w:bookmarkEnd w:id="723"/>
    </w:p>
    <w:p w14:paraId="20F5CC94" w14:textId="77777777" w:rsidR="00620F22" w:rsidRPr="00620F22" w:rsidRDefault="00620F22" w:rsidP="00620F22">
      <w:pPr>
        <w:spacing w:line="480" w:lineRule="auto"/>
        <w:jc w:val="both"/>
        <w:rPr>
          <w:rFonts w:ascii="Arial" w:hAnsi="Arial" w:cs="Arial"/>
          <w:color w:val="000000" w:themeColor="text1"/>
          <w:lang w:val="es-ES"/>
        </w:rPr>
      </w:pPr>
    </w:p>
    <w:p w14:paraId="10B61D17" w14:textId="77777777"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Consequently, if we have the following hypothetical L6 student accountant profile then the predicted score for student psychopathy would be:</w:t>
      </w:r>
    </w:p>
    <w:tbl>
      <w:tblPr>
        <w:tblStyle w:val="TableGrid1"/>
        <w:tblW w:w="0" w:type="auto"/>
        <w:tblLook w:val="04A0" w:firstRow="1" w:lastRow="0" w:firstColumn="1" w:lastColumn="0" w:noHBand="0" w:noVBand="1"/>
      </w:tblPr>
      <w:tblGrid>
        <w:gridCol w:w="5807"/>
        <w:gridCol w:w="3209"/>
      </w:tblGrid>
      <w:tr w:rsidR="00620F22" w:rsidRPr="00620F22" w14:paraId="735EC3FC" w14:textId="77777777" w:rsidTr="001D4222">
        <w:tc>
          <w:tcPr>
            <w:tcW w:w="5807" w:type="dxa"/>
          </w:tcPr>
          <w:p w14:paraId="3586AE3C" w14:textId="77777777" w:rsidR="00620F22" w:rsidRPr="00620F22" w:rsidRDefault="00620F22" w:rsidP="0099153B">
            <w:pPr>
              <w:spacing w:line="600" w:lineRule="auto"/>
              <w:rPr>
                <w:rFonts w:asciiTheme="minorBidi" w:hAnsiTheme="minorBidi"/>
                <w:b/>
                <w:bCs/>
                <w:sz w:val="24"/>
                <w:szCs w:val="24"/>
              </w:rPr>
            </w:pPr>
            <w:r w:rsidRPr="00620F22">
              <w:rPr>
                <w:rFonts w:asciiTheme="minorBidi" w:hAnsiTheme="minorBidi"/>
                <w:b/>
                <w:bCs/>
                <w:sz w:val="24"/>
                <w:szCs w:val="24"/>
              </w:rPr>
              <w:t>Predictor</w:t>
            </w:r>
          </w:p>
        </w:tc>
        <w:tc>
          <w:tcPr>
            <w:tcW w:w="3209" w:type="dxa"/>
          </w:tcPr>
          <w:p w14:paraId="0AD6F417" w14:textId="77777777" w:rsidR="00620F22" w:rsidRPr="00620F22" w:rsidRDefault="00620F22" w:rsidP="0099153B">
            <w:pPr>
              <w:spacing w:line="600" w:lineRule="auto"/>
              <w:rPr>
                <w:rFonts w:asciiTheme="minorBidi" w:hAnsiTheme="minorBidi"/>
                <w:b/>
                <w:bCs/>
                <w:sz w:val="24"/>
                <w:szCs w:val="24"/>
              </w:rPr>
            </w:pPr>
            <w:r w:rsidRPr="00620F22">
              <w:rPr>
                <w:rFonts w:asciiTheme="minorBidi" w:hAnsiTheme="minorBidi"/>
                <w:b/>
                <w:bCs/>
                <w:sz w:val="24"/>
                <w:szCs w:val="24"/>
              </w:rPr>
              <w:t xml:space="preserve">Score </w:t>
            </w:r>
          </w:p>
        </w:tc>
      </w:tr>
      <w:tr w:rsidR="00620F22" w:rsidRPr="00620F22" w14:paraId="7A0424F1" w14:textId="77777777" w:rsidTr="001D4222">
        <w:tc>
          <w:tcPr>
            <w:tcW w:w="5807" w:type="dxa"/>
          </w:tcPr>
          <w:p w14:paraId="15918C24" w14:textId="77777777" w:rsidR="00620F22" w:rsidRPr="00620F22" w:rsidRDefault="00620F22" w:rsidP="0099153B">
            <w:pPr>
              <w:spacing w:line="600" w:lineRule="auto"/>
              <w:rPr>
                <w:rFonts w:asciiTheme="minorBidi" w:hAnsiTheme="minorBidi"/>
                <w:b/>
                <w:bCs/>
                <w:sz w:val="24"/>
                <w:szCs w:val="24"/>
              </w:rPr>
            </w:pPr>
            <w:r w:rsidRPr="00620F22">
              <w:rPr>
                <w:rFonts w:asciiTheme="minorBidi" w:hAnsiTheme="minorBidi"/>
                <w:b/>
                <w:bCs/>
                <w:sz w:val="24"/>
                <w:szCs w:val="24"/>
              </w:rPr>
              <w:t>X1 – Mean Disapproval of Unethical Actions</w:t>
            </w:r>
          </w:p>
        </w:tc>
        <w:tc>
          <w:tcPr>
            <w:tcW w:w="3209" w:type="dxa"/>
          </w:tcPr>
          <w:p w14:paraId="0BBA02A5" w14:textId="77777777" w:rsidR="00620F22" w:rsidRPr="00620F22" w:rsidRDefault="00620F22" w:rsidP="0099153B">
            <w:pPr>
              <w:spacing w:line="600" w:lineRule="auto"/>
              <w:rPr>
                <w:rFonts w:asciiTheme="minorBidi" w:hAnsiTheme="minorBidi"/>
                <w:sz w:val="24"/>
                <w:szCs w:val="24"/>
              </w:rPr>
            </w:pPr>
            <w:r w:rsidRPr="00620F22">
              <w:rPr>
                <w:rFonts w:asciiTheme="minorBidi" w:hAnsiTheme="minorBidi"/>
                <w:sz w:val="24"/>
                <w:szCs w:val="24"/>
              </w:rPr>
              <w:t>3</w:t>
            </w:r>
          </w:p>
        </w:tc>
      </w:tr>
      <w:tr w:rsidR="00620F22" w:rsidRPr="00620F22" w14:paraId="0B6B21DF" w14:textId="77777777" w:rsidTr="001D4222">
        <w:tc>
          <w:tcPr>
            <w:tcW w:w="5807" w:type="dxa"/>
          </w:tcPr>
          <w:p w14:paraId="0C0A29D0" w14:textId="77777777" w:rsidR="00620F22" w:rsidRPr="00620F22" w:rsidRDefault="00620F22" w:rsidP="0099153B">
            <w:pPr>
              <w:spacing w:line="600" w:lineRule="auto"/>
              <w:rPr>
                <w:rFonts w:asciiTheme="minorBidi" w:hAnsiTheme="minorBidi"/>
                <w:b/>
                <w:bCs/>
                <w:sz w:val="24"/>
                <w:szCs w:val="24"/>
              </w:rPr>
            </w:pPr>
            <w:r w:rsidRPr="00620F22">
              <w:rPr>
                <w:rFonts w:asciiTheme="minorBidi" w:hAnsiTheme="minorBidi"/>
                <w:b/>
                <w:bCs/>
                <w:sz w:val="24"/>
                <w:szCs w:val="24"/>
              </w:rPr>
              <w:t>X2 - Age</w:t>
            </w:r>
          </w:p>
        </w:tc>
        <w:tc>
          <w:tcPr>
            <w:tcW w:w="3209" w:type="dxa"/>
          </w:tcPr>
          <w:p w14:paraId="7CF2D891" w14:textId="77777777" w:rsidR="00620F22" w:rsidRPr="00620F22" w:rsidRDefault="00620F22" w:rsidP="0099153B">
            <w:pPr>
              <w:spacing w:line="600" w:lineRule="auto"/>
              <w:rPr>
                <w:rFonts w:asciiTheme="minorBidi" w:hAnsiTheme="minorBidi"/>
                <w:sz w:val="24"/>
                <w:szCs w:val="24"/>
              </w:rPr>
            </w:pPr>
            <w:r w:rsidRPr="00620F22">
              <w:rPr>
                <w:rFonts w:asciiTheme="minorBidi" w:hAnsiTheme="minorBidi"/>
                <w:sz w:val="24"/>
                <w:szCs w:val="24"/>
              </w:rPr>
              <w:t>21</w:t>
            </w:r>
          </w:p>
        </w:tc>
      </w:tr>
      <w:tr w:rsidR="00620F22" w:rsidRPr="00620F22" w14:paraId="5DCCE3F7" w14:textId="77777777" w:rsidTr="001D4222">
        <w:tc>
          <w:tcPr>
            <w:tcW w:w="5807" w:type="dxa"/>
          </w:tcPr>
          <w:p w14:paraId="27FF30C5" w14:textId="77777777" w:rsidR="00620F22" w:rsidRPr="00620F22" w:rsidRDefault="00620F22" w:rsidP="0099153B">
            <w:pPr>
              <w:spacing w:line="600" w:lineRule="auto"/>
              <w:rPr>
                <w:rFonts w:asciiTheme="minorBidi" w:hAnsiTheme="minorBidi"/>
                <w:b/>
                <w:bCs/>
                <w:sz w:val="24"/>
                <w:szCs w:val="24"/>
              </w:rPr>
            </w:pPr>
            <w:r w:rsidRPr="00620F22">
              <w:rPr>
                <w:rFonts w:asciiTheme="minorBidi" w:hAnsiTheme="minorBidi"/>
                <w:b/>
                <w:bCs/>
                <w:sz w:val="24"/>
                <w:szCs w:val="24"/>
              </w:rPr>
              <w:t>X3 – Gender (M = 1, F = 0)</w:t>
            </w:r>
          </w:p>
        </w:tc>
        <w:tc>
          <w:tcPr>
            <w:tcW w:w="3209" w:type="dxa"/>
          </w:tcPr>
          <w:p w14:paraId="03FEB75C" w14:textId="77777777" w:rsidR="00620F22" w:rsidRPr="00620F22" w:rsidRDefault="00620F22" w:rsidP="0099153B">
            <w:pPr>
              <w:spacing w:line="600" w:lineRule="auto"/>
              <w:rPr>
                <w:rFonts w:asciiTheme="minorBidi" w:hAnsiTheme="minorBidi"/>
                <w:sz w:val="24"/>
                <w:szCs w:val="24"/>
              </w:rPr>
            </w:pPr>
            <w:r w:rsidRPr="00620F22">
              <w:rPr>
                <w:rFonts w:asciiTheme="minorBidi" w:hAnsiTheme="minorBidi"/>
                <w:sz w:val="24"/>
                <w:szCs w:val="24"/>
              </w:rPr>
              <w:t>F</w:t>
            </w:r>
          </w:p>
        </w:tc>
      </w:tr>
      <w:tr w:rsidR="00620F22" w:rsidRPr="00620F22" w14:paraId="7A206D27" w14:textId="77777777" w:rsidTr="001D4222">
        <w:tc>
          <w:tcPr>
            <w:tcW w:w="5807" w:type="dxa"/>
          </w:tcPr>
          <w:p w14:paraId="185266A1" w14:textId="77777777" w:rsidR="00620F22" w:rsidRPr="00620F22" w:rsidRDefault="00620F22" w:rsidP="0099153B">
            <w:pPr>
              <w:spacing w:line="600" w:lineRule="auto"/>
              <w:rPr>
                <w:rFonts w:asciiTheme="minorBidi" w:hAnsiTheme="minorBidi"/>
                <w:b/>
                <w:bCs/>
                <w:sz w:val="24"/>
                <w:szCs w:val="24"/>
              </w:rPr>
            </w:pPr>
            <w:r w:rsidRPr="00620F22">
              <w:rPr>
                <w:rFonts w:asciiTheme="minorBidi" w:hAnsiTheme="minorBidi"/>
                <w:b/>
                <w:bCs/>
                <w:sz w:val="24"/>
                <w:szCs w:val="24"/>
              </w:rPr>
              <w:t>X4 – Many Friends (Y = 1, N = 0)</w:t>
            </w:r>
          </w:p>
        </w:tc>
        <w:tc>
          <w:tcPr>
            <w:tcW w:w="3209" w:type="dxa"/>
          </w:tcPr>
          <w:p w14:paraId="2C37F78B" w14:textId="77777777" w:rsidR="00620F22" w:rsidRPr="00620F22" w:rsidRDefault="00620F22" w:rsidP="0099153B">
            <w:pPr>
              <w:spacing w:line="600" w:lineRule="auto"/>
              <w:rPr>
                <w:rFonts w:asciiTheme="minorBidi" w:hAnsiTheme="minorBidi"/>
                <w:sz w:val="24"/>
                <w:szCs w:val="24"/>
              </w:rPr>
            </w:pPr>
            <w:r w:rsidRPr="00620F22">
              <w:rPr>
                <w:rFonts w:asciiTheme="minorBidi" w:hAnsiTheme="minorBidi"/>
                <w:sz w:val="24"/>
                <w:szCs w:val="24"/>
              </w:rPr>
              <w:t>Y</w:t>
            </w:r>
          </w:p>
        </w:tc>
      </w:tr>
      <w:tr w:rsidR="00620F22" w:rsidRPr="00620F22" w14:paraId="053D399F" w14:textId="77777777" w:rsidTr="001D4222">
        <w:tc>
          <w:tcPr>
            <w:tcW w:w="5807" w:type="dxa"/>
          </w:tcPr>
          <w:p w14:paraId="49087351" w14:textId="77777777" w:rsidR="00620F22" w:rsidRPr="00620F22" w:rsidRDefault="00620F22" w:rsidP="0099153B">
            <w:pPr>
              <w:spacing w:line="600" w:lineRule="auto"/>
              <w:rPr>
                <w:rFonts w:asciiTheme="minorBidi" w:hAnsiTheme="minorBidi"/>
                <w:b/>
                <w:bCs/>
                <w:sz w:val="24"/>
                <w:szCs w:val="24"/>
              </w:rPr>
            </w:pPr>
            <w:r w:rsidRPr="00620F22">
              <w:rPr>
                <w:rFonts w:asciiTheme="minorBidi" w:hAnsiTheme="minorBidi"/>
                <w:b/>
                <w:bCs/>
                <w:sz w:val="24"/>
                <w:szCs w:val="24"/>
              </w:rPr>
              <w:t xml:space="preserve">X5 – Adherence to an Ethical Framework </w:t>
            </w:r>
          </w:p>
          <w:p w14:paraId="643CD7E5" w14:textId="77777777" w:rsidR="00620F22" w:rsidRPr="00620F22" w:rsidRDefault="00620F22" w:rsidP="0099153B">
            <w:pPr>
              <w:spacing w:line="600" w:lineRule="auto"/>
              <w:rPr>
                <w:rFonts w:asciiTheme="minorBidi" w:hAnsiTheme="minorBidi"/>
                <w:b/>
                <w:bCs/>
                <w:sz w:val="24"/>
                <w:szCs w:val="24"/>
              </w:rPr>
            </w:pPr>
            <w:r w:rsidRPr="00620F22">
              <w:rPr>
                <w:rFonts w:asciiTheme="minorBidi" w:hAnsiTheme="minorBidi"/>
                <w:b/>
                <w:bCs/>
                <w:sz w:val="24"/>
                <w:szCs w:val="24"/>
              </w:rPr>
              <w:t>(Y = 1, N = 0)</w:t>
            </w:r>
          </w:p>
        </w:tc>
        <w:tc>
          <w:tcPr>
            <w:tcW w:w="3209" w:type="dxa"/>
          </w:tcPr>
          <w:p w14:paraId="0D33547F" w14:textId="77777777" w:rsidR="00620F22" w:rsidRPr="00620F22" w:rsidRDefault="00620F22" w:rsidP="0099153B">
            <w:pPr>
              <w:spacing w:line="600" w:lineRule="auto"/>
              <w:rPr>
                <w:rFonts w:asciiTheme="minorBidi" w:hAnsiTheme="minorBidi"/>
                <w:sz w:val="24"/>
                <w:szCs w:val="24"/>
              </w:rPr>
            </w:pPr>
            <w:r w:rsidRPr="00620F22">
              <w:rPr>
                <w:rFonts w:asciiTheme="minorBidi" w:hAnsiTheme="minorBidi"/>
                <w:sz w:val="24"/>
                <w:szCs w:val="24"/>
              </w:rPr>
              <w:t>Y</w:t>
            </w:r>
          </w:p>
        </w:tc>
      </w:tr>
      <w:tr w:rsidR="00620F22" w:rsidRPr="00620F22" w14:paraId="73CA1B5A" w14:textId="77777777" w:rsidTr="001D4222">
        <w:tc>
          <w:tcPr>
            <w:tcW w:w="5807" w:type="dxa"/>
          </w:tcPr>
          <w:p w14:paraId="18D8460E" w14:textId="77777777" w:rsidR="00620F22" w:rsidRPr="00620F22" w:rsidRDefault="00620F22" w:rsidP="0099153B">
            <w:pPr>
              <w:spacing w:line="600" w:lineRule="auto"/>
              <w:rPr>
                <w:rFonts w:asciiTheme="minorBidi" w:hAnsiTheme="minorBidi"/>
                <w:b/>
                <w:bCs/>
                <w:sz w:val="24"/>
                <w:szCs w:val="24"/>
              </w:rPr>
            </w:pPr>
            <w:r w:rsidRPr="00620F22">
              <w:rPr>
                <w:rFonts w:asciiTheme="minorBidi" w:hAnsiTheme="minorBidi"/>
                <w:b/>
                <w:bCs/>
                <w:sz w:val="24"/>
                <w:szCs w:val="24"/>
              </w:rPr>
              <w:lastRenderedPageBreak/>
              <w:t>X6 – Whether the participant was bullied.</w:t>
            </w:r>
          </w:p>
          <w:p w14:paraId="3C0450E4" w14:textId="77777777" w:rsidR="00620F22" w:rsidRPr="00620F22" w:rsidRDefault="00620F22" w:rsidP="0099153B">
            <w:pPr>
              <w:spacing w:line="600" w:lineRule="auto"/>
              <w:rPr>
                <w:rFonts w:asciiTheme="minorBidi" w:hAnsiTheme="minorBidi"/>
                <w:b/>
                <w:bCs/>
                <w:sz w:val="24"/>
                <w:szCs w:val="24"/>
              </w:rPr>
            </w:pPr>
            <w:r w:rsidRPr="00620F22">
              <w:rPr>
                <w:rFonts w:asciiTheme="minorBidi" w:hAnsiTheme="minorBidi"/>
                <w:b/>
                <w:bCs/>
                <w:sz w:val="24"/>
                <w:szCs w:val="24"/>
              </w:rPr>
              <w:t>(Y = 1, N = 0)</w:t>
            </w:r>
          </w:p>
        </w:tc>
        <w:tc>
          <w:tcPr>
            <w:tcW w:w="3209" w:type="dxa"/>
          </w:tcPr>
          <w:p w14:paraId="0CA01173" w14:textId="77777777" w:rsidR="00620F22" w:rsidRPr="00620F22" w:rsidRDefault="00620F22" w:rsidP="0099153B">
            <w:pPr>
              <w:spacing w:line="600" w:lineRule="auto"/>
              <w:rPr>
                <w:rFonts w:asciiTheme="minorBidi" w:hAnsiTheme="minorBidi"/>
                <w:sz w:val="24"/>
                <w:szCs w:val="24"/>
              </w:rPr>
            </w:pPr>
            <w:r w:rsidRPr="00620F22">
              <w:rPr>
                <w:rFonts w:asciiTheme="minorBidi" w:hAnsiTheme="minorBidi"/>
                <w:sz w:val="24"/>
                <w:szCs w:val="24"/>
              </w:rPr>
              <w:t>N</w:t>
            </w:r>
          </w:p>
        </w:tc>
      </w:tr>
      <w:tr w:rsidR="00620F22" w:rsidRPr="00620F22" w14:paraId="4756421E" w14:textId="77777777" w:rsidTr="001D4222">
        <w:tc>
          <w:tcPr>
            <w:tcW w:w="5807" w:type="dxa"/>
          </w:tcPr>
          <w:p w14:paraId="2B883CD7" w14:textId="77777777" w:rsidR="00620F22" w:rsidRPr="00620F22" w:rsidRDefault="00620F22" w:rsidP="0099153B">
            <w:pPr>
              <w:spacing w:line="600" w:lineRule="auto"/>
              <w:rPr>
                <w:rFonts w:asciiTheme="minorBidi" w:hAnsiTheme="minorBidi"/>
                <w:b/>
                <w:bCs/>
                <w:sz w:val="24"/>
                <w:szCs w:val="24"/>
              </w:rPr>
            </w:pPr>
            <w:r w:rsidRPr="00620F22">
              <w:rPr>
                <w:rFonts w:asciiTheme="minorBidi" w:hAnsiTheme="minorBidi"/>
                <w:b/>
                <w:bCs/>
                <w:sz w:val="24"/>
                <w:szCs w:val="24"/>
              </w:rPr>
              <w:t>X7 – Whether the participant is Religious</w:t>
            </w:r>
          </w:p>
          <w:p w14:paraId="2492C25F" w14:textId="77777777" w:rsidR="00620F22" w:rsidRPr="00620F22" w:rsidRDefault="00620F22" w:rsidP="0099153B">
            <w:pPr>
              <w:spacing w:line="600" w:lineRule="auto"/>
              <w:rPr>
                <w:rFonts w:asciiTheme="minorBidi" w:hAnsiTheme="minorBidi"/>
                <w:b/>
                <w:bCs/>
                <w:sz w:val="24"/>
                <w:szCs w:val="24"/>
              </w:rPr>
            </w:pPr>
            <w:r w:rsidRPr="00620F22">
              <w:rPr>
                <w:rFonts w:asciiTheme="minorBidi" w:hAnsiTheme="minorBidi"/>
                <w:b/>
                <w:bCs/>
                <w:sz w:val="24"/>
                <w:szCs w:val="24"/>
              </w:rPr>
              <w:t>(Y = 1, N = 0)</w:t>
            </w:r>
          </w:p>
        </w:tc>
        <w:tc>
          <w:tcPr>
            <w:tcW w:w="3209" w:type="dxa"/>
          </w:tcPr>
          <w:p w14:paraId="2D378E2E" w14:textId="77777777" w:rsidR="00620F22" w:rsidRPr="00620F22" w:rsidRDefault="00620F22" w:rsidP="0099153B">
            <w:pPr>
              <w:spacing w:line="600" w:lineRule="auto"/>
              <w:rPr>
                <w:rFonts w:asciiTheme="minorBidi" w:hAnsiTheme="minorBidi"/>
                <w:sz w:val="24"/>
                <w:szCs w:val="24"/>
              </w:rPr>
            </w:pPr>
            <w:r w:rsidRPr="00620F22">
              <w:rPr>
                <w:rFonts w:asciiTheme="minorBidi" w:hAnsiTheme="minorBidi"/>
                <w:sz w:val="24"/>
                <w:szCs w:val="24"/>
              </w:rPr>
              <w:t>Y</w:t>
            </w:r>
          </w:p>
        </w:tc>
      </w:tr>
      <w:tr w:rsidR="00620F22" w:rsidRPr="00620F22" w14:paraId="4DCCF879" w14:textId="77777777" w:rsidTr="001D4222">
        <w:tc>
          <w:tcPr>
            <w:tcW w:w="5807" w:type="dxa"/>
          </w:tcPr>
          <w:p w14:paraId="533356B5" w14:textId="77777777" w:rsidR="00620F22" w:rsidRPr="00620F22" w:rsidRDefault="00620F22" w:rsidP="0099153B">
            <w:pPr>
              <w:spacing w:line="600" w:lineRule="auto"/>
              <w:rPr>
                <w:rFonts w:asciiTheme="minorBidi" w:hAnsiTheme="minorBidi"/>
                <w:b/>
                <w:bCs/>
                <w:sz w:val="24"/>
                <w:szCs w:val="24"/>
              </w:rPr>
            </w:pPr>
            <w:r w:rsidRPr="00620F22">
              <w:rPr>
                <w:rFonts w:asciiTheme="minorBidi" w:hAnsiTheme="minorBidi"/>
                <w:b/>
                <w:bCs/>
                <w:sz w:val="24"/>
                <w:szCs w:val="24"/>
              </w:rPr>
              <w:t>X8 – Whether student believes they are entitled to a starting salary of more than £25,000 upon graduation. (Y = 1, N = 0)</w:t>
            </w:r>
          </w:p>
        </w:tc>
        <w:tc>
          <w:tcPr>
            <w:tcW w:w="3209" w:type="dxa"/>
          </w:tcPr>
          <w:p w14:paraId="7392477A" w14:textId="77777777" w:rsidR="00620F22" w:rsidRPr="00620F22" w:rsidRDefault="00620F22" w:rsidP="0099153B">
            <w:pPr>
              <w:spacing w:line="600" w:lineRule="auto"/>
              <w:rPr>
                <w:rFonts w:asciiTheme="minorBidi" w:hAnsiTheme="minorBidi"/>
                <w:sz w:val="24"/>
                <w:szCs w:val="24"/>
              </w:rPr>
            </w:pPr>
            <w:r w:rsidRPr="00620F22">
              <w:rPr>
                <w:rFonts w:asciiTheme="minorBidi" w:hAnsiTheme="minorBidi"/>
                <w:sz w:val="24"/>
                <w:szCs w:val="24"/>
              </w:rPr>
              <w:t>N</w:t>
            </w:r>
          </w:p>
        </w:tc>
      </w:tr>
      <w:tr w:rsidR="00620F22" w:rsidRPr="00620F22" w14:paraId="27D107CD" w14:textId="77777777" w:rsidTr="001D4222">
        <w:tc>
          <w:tcPr>
            <w:tcW w:w="5807" w:type="dxa"/>
          </w:tcPr>
          <w:p w14:paraId="4B651C30" w14:textId="77777777" w:rsidR="00620F22" w:rsidRPr="00620F22" w:rsidRDefault="00620F22" w:rsidP="0099153B">
            <w:pPr>
              <w:spacing w:line="600" w:lineRule="auto"/>
              <w:rPr>
                <w:rFonts w:asciiTheme="minorBidi" w:hAnsiTheme="minorBidi"/>
                <w:b/>
                <w:bCs/>
                <w:sz w:val="24"/>
                <w:szCs w:val="24"/>
              </w:rPr>
            </w:pPr>
            <w:r w:rsidRPr="00620F22">
              <w:rPr>
                <w:rFonts w:asciiTheme="minorBidi" w:hAnsiTheme="minorBidi"/>
                <w:b/>
                <w:bCs/>
                <w:sz w:val="24"/>
                <w:szCs w:val="24"/>
              </w:rPr>
              <w:t>X9 – Whether the mother of the participant is a post-graduate. (Y = 1, N = 0)</w:t>
            </w:r>
          </w:p>
        </w:tc>
        <w:tc>
          <w:tcPr>
            <w:tcW w:w="3209" w:type="dxa"/>
          </w:tcPr>
          <w:p w14:paraId="00F73C4D" w14:textId="77777777" w:rsidR="00620F22" w:rsidRPr="00620F22" w:rsidRDefault="00620F22" w:rsidP="0099153B">
            <w:pPr>
              <w:spacing w:line="600" w:lineRule="auto"/>
              <w:rPr>
                <w:rFonts w:asciiTheme="minorBidi" w:hAnsiTheme="minorBidi"/>
                <w:sz w:val="24"/>
                <w:szCs w:val="24"/>
              </w:rPr>
            </w:pPr>
            <w:r w:rsidRPr="00620F22">
              <w:rPr>
                <w:rFonts w:asciiTheme="minorBidi" w:hAnsiTheme="minorBidi"/>
                <w:sz w:val="24"/>
                <w:szCs w:val="24"/>
              </w:rPr>
              <w:t>Y</w:t>
            </w:r>
          </w:p>
        </w:tc>
      </w:tr>
      <w:tr w:rsidR="00620F22" w:rsidRPr="00620F22" w14:paraId="53979A88" w14:textId="77777777" w:rsidTr="001D4222">
        <w:tc>
          <w:tcPr>
            <w:tcW w:w="5807" w:type="dxa"/>
          </w:tcPr>
          <w:p w14:paraId="1925154C" w14:textId="77777777" w:rsidR="00620F22" w:rsidRPr="00620F22" w:rsidRDefault="00620F22" w:rsidP="0099153B">
            <w:pPr>
              <w:spacing w:line="600" w:lineRule="auto"/>
              <w:rPr>
                <w:rFonts w:asciiTheme="minorBidi" w:hAnsiTheme="minorBidi"/>
                <w:b/>
                <w:bCs/>
                <w:sz w:val="24"/>
                <w:szCs w:val="24"/>
              </w:rPr>
            </w:pPr>
            <w:r w:rsidRPr="00620F22">
              <w:rPr>
                <w:rFonts w:asciiTheme="minorBidi" w:hAnsiTheme="minorBidi"/>
                <w:b/>
                <w:bCs/>
                <w:sz w:val="24"/>
                <w:szCs w:val="24"/>
              </w:rPr>
              <w:t>X10 – Whether the father of the participant is a post-graduate. (Y = 1, N = 0)</w:t>
            </w:r>
          </w:p>
        </w:tc>
        <w:tc>
          <w:tcPr>
            <w:tcW w:w="3209" w:type="dxa"/>
          </w:tcPr>
          <w:p w14:paraId="3EAED113" w14:textId="77777777" w:rsidR="00620F22" w:rsidRPr="00620F22" w:rsidRDefault="00620F22" w:rsidP="0099153B">
            <w:pPr>
              <w:spacing w:line="600" w:lineRule="auto"/>
              <w:rPr>
                <w:rFonts w:asciiTheme="minorBidi" w:hAnsiTheme="minorBidi"/>
                <w:sz w:val="24"/>
                <w:szCs w:val="24"/>
              </w:rPr>
            </w:pPr>
            <w:r w:rsidRPr="00620F22">
              <w:rPr>
                <w:rFonts w:asciiTheme="minorBidi" w:hAnsiTheme="minorBidi"/>
                <w:sz w:val="24"/>
                <w:szCs w:val="24"/>
              </w:rPr>
              <w:t>Y</w:t>
            </w:r>
          </w:p>
        </w:tc>
      </w:tr>
      <w:tr w:rsidR="00620F22" w:rsidRPr="00620F22" w14:paraId="222ECF5A" w14:textId="77777777" w:rsidTr="001D4222">
        <w:tc>
          <w:tcPr>
            <w:tcW w:w="5807" w:type="dxa"/>
          </w:tcPr>
          <w:p w14:paraId="7A1046A5" w14:textId="77777777" w:rsidR="00620F22" w:rsidRPr="00620F22" w:rsidRDefault="00620F22" w:rsidP="0099153B">
            <w:pPr>
              <w:spacing w:line="600" w:lineRule="auto"/>
              <w:rPr>
                <w:rFonts w:asciiTheme="minorBidi" w:hAnsiTheme="minorBidi"/>
                <w:b/>
                <w:bCs/>
                <w:sz w:val="24"/>
                <w:szCs w:val="24"/>
              </w:rPr>
            </w:pPr>
            <w:r w:rsidRPr="00620F22">
              <w:rPr>
                <w:rFonts w:asciiTheme="minorBidi" w:hAnsiTheme="minorBidi"/>
                <w:b/>
                <w:bCs/>
                <w:sz w:val="24"/>
                <w:szCs w:val="24"/>
              </w:rPr>
              <w:t>X11 – Whether the participant believes that a Prison Sentence and Fine will deter Accounting Fraud. (Y = 1, N = 0)</w:t>
            </w:r>
          </w:p>
        </w:tc>
        <w:tc>
          <w:tcPr>
            <w:tcW w:w="3209" w:type="dxa"/>
          </w:tcPr>
          <w:p w14:paraId="5D730FB7" w14:textId="77777777" w:rsidR="00620F22" w:rsidRPr="00620F22" w:rsidRDefault="00620F22" w:rsidP="0099153B">
            <w:pPr>
              <w:spacing w:line="600" w:lineRule="auto"/>
              <w:rPr>
                <w:rFonts w:asciiTheme="minorBidi" w:hAnsiTheme="minorBidi"/>
                <w:sz w:val="24"/>
                <w:szCs w:val="24"/>
              </w:rPr>
            </w:pPr>
            <w:r w:rsidRPr="00620F22">
              <w:rPr>
                <w:rFonts w:asciiTheme="minorBidi" w:hAnsiTheme="minorBidi"/>
                <w:sz w:val="24"/>
                <w:szCs w:val="24"/>
              </w:rPr>
              <w:t>Y</w:t>
            </w:r>
          </w:p>
        </w:tc>
      </w:tr>
    </w:tbl>
    <w:p w14:paraId="78D56A70" w14:textId="77777777" w:rsidR="00620F22" w:rsidRPr="00620F22" w:rsidRDefault="00620F22" w:rsidP="00620F22">
      <w:pPr>
        <w:spacing w:line="480" w:lineRule="auto"/>
        <w:jc w:val="both"/>
        <w:rPr>
          <w:rFonts w:ascii="Arial" w:hAnsi="Arial" w:cs="Arial"/>
          <w:color w:val="000000" w:themeColor="text1"/>
        </w:rPr>
      </w:pPr>
    </w:p>
    <w:p w14:paraId="2E61341D" w14:textId="77777777" w:rsidR="00620F22" w:rsidRPr="00620F22" w:rsidRDefault="00620F22" w:rsidP="00620F22">
      <w:pPr>
        <w:pBdr>
          <w:top w:val="single" w:sz="4" w:space="1" w:color="auto"/>
          <w:left w:val="single" w:sz="4" w:space="4" w:color="auto"/>
          <w:bottom w:val="single" w:sz="4" w:space="0" w:color="auto"/>
          <w:right w:val="single" w:sz="4" w:space="4" w:color="auto"/>
        </w:pBdr>
        <w:spacing w:line="480" w:lineRule="auto"/>
        <w:jc w:val="center"/>
        <w:rPr>
          <w:rFonts w:ascii="Arial" w:hAnsi="Arial" w:cs="Arial"/>
          <w:b/>
          <w:bCs/>
          <w:color w:val="000000" w:themeColor="text1"/>
        </w:rPr>
      </w:pPr>
      <w:r w:rsidRPr="00620F22">
        <w:rPr>
          <w:rFonts w:ascii="Arial" w:hAnsi="Arial" w:cs="Arial"/>
          <w:b/>
          <w:bCs/>
          <w:color w:val="000000" w:themeColor="text1"/>
        </w:rPr>
        <w:t>Y = 51.2472 - 3.4608*3 + 0.1573*21 + 3.3712*0 - 3.7448*1 + 8.3055*1 – 1.0961*0 – 3.5673*1 – 3.0110*0 + 6.2902*1 – 8.6969*1 + 5.4504*1</w:t>
      </w:r>
    </w:p>
    <w:p w14:paraId="621905E3" w14:textId="77777777" w:rsidR="00620F22" w:rsidRPr="00620F22" w:rsidRDefault="00620F22" w:rsidP="00620F22">
      <w:pPr>
        <w:pBdr>
          <w:top w:val="single" w:sz="4" w:space="1" w:color="auto"/>
          <w:left w:val="single" w:sz="4" w:space="4" w:color="auto"/>
          <w:bottom w:val="single" w:sz="4" w:space="0" w:color="auto"/>
          <w:right w:val="single" w:sz="4" w:space="4" w:color="auto"/>
        </w:pBdr>
        <w:spacing w:line="480" w:lineRule="auto"/>
        <w:jc w:val="center"/>
        <w:rPr>
          <w:rFonts w:ascii="Arial" w:hAnsi="Arial" w:cs="Arial"/>
          <w:b/>
          <w:bCs/>
          <w:color w:val="000000" w:themeColor="text1"/>
        </w:rPr>
      </w:pPr>
      <w:r w:rsidRPr="00620F22">
        <w:rPr>
          <w:rFonts w:ascii="Arial" w:hAnsi="Arial" w:cs="Arial"/>
          <w:b/>
          <w:bCs/>
          <w:color w:val="000000" w:themeColor="text1"/>
        </w:rPr>
        <w:t>Score = 48.21</w:t>
      </w:r>
    </w:p>
    <w:p w14:paraId="7503CEFF" w14:textId="77777777" w:rsidR="00620F22" w:rsidRPr="00620F22" w:rsidRDefault="00620F22" w:rsidP="00620F22">
      <w:pPr>
        <w:spacing w:line="480" w:lineRule="auto"/>
        <w:jc w:val="both"/>
        <w:rPr>
          <w:rFonts w:ascii="Arial" w:hAnsi="Arial" w:cs="Arial"/>
          <w:color w:val="000000" w:themeColor="text1"/>
        </w:rPr>
      </w:pPr>
    </w:p>
    <w:p w14:paraId="2E28FE4E" w14:textId="77777777"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lastRenderedPageBreak/>
        <w:t>Interestingly if the hypothetical student accountant profile had been male the result would have been 51.58.</w:t>
      </w:r>
    </w:p>
    <w:p w14:paraId="75B0BEF0" w14:textId="77777777"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 xml:space="preserve">The final step in multiple regression model is to ascertain the </w:t>
      </w:r>
      <w:bookmarkStart w:id="724" w:name="_Hlk146441035"/>
      <w:r w:rsidRPr="00620F22">
        <w:rPr>
          <w:rFonts w:ascii="Arial" w:hAnsi="Arial" w:cs="Arial"/>
          <w:color w:val="000000" w:themeColor="text1"/>
        </w:rPr>
        <w:t>correlation between all the salient variables that occur in the multiple regression equation. This was achieved in the study by finding the correlation between each of the 11 pairs of variables and the “correlation matrix’’ was calculated using the Excel pack which also appears at the bottom of the summary output</w:t>
      </w:r>
      <w:bookmarkEnd w:id="724"/>
      <w:r w:rsidRPr="00620F22">
        <w:rPr>
          <w:rFonts w:ascii="Arial" w:hAnsi="Arial" w:cs="Arial"/>
          <w:color w:val="000000" w:themeColor="text1"/>
        </w:rPr>
        <w:t>. This matrix encapsulates the correlations between all the variables in the model (It is common practice to show the results in two decimal places):</w:t>
      </w:r>
    </w:p>
    <w:tbl>
      <w:tblPr>
        <w:tblStyle w:val="TableGrid1"/>
        <w:tblW w:w="0" w:type="auto"/>
        <w:tblLook w:val="04A0" w:firstRow="1" w:lastRow="0" w:firstColumn="1" w:lastColumn="0" w:noHBand="0" w:noVBand="1"/>
      </w:tblPr>
      <w:tblGrid>
        <w:gridCol w:w="7933"/>
        <w:gridCol w:w="1083"/>
      </w:tblGrid>
      <w:tr w:rsidR="00620F22" w:rsidRPr="00620F22" w14:paraId="7FCB65D7" w14:textId="77777777" w:rsidTr="001D4222">
        <w:tc>
          <w:tcPr>
            <w:tcW w:w="7933" w:type="dxa"/>
          </w:tcPr>
          <w:p w14:paraId="1899FDC4" w14:textId="77777777" w:rsidR="00620F22" w:rsidRPr="00620F22" w:rsidRDefault="00620F22" w:rsidP="0099153B">
            <w:pPr>
              <w:spacing w:line="480" w:lineRule="auto"/>
              <w:rPr>
                <w:rFonts w:asciiTheme="minorBidi" w:hAnsiTheme="minorBidi"/>
                <w:sz w:val="24"/>
                <w:szCs w:val="24"/>
              </w:rPr>
            </w:pPr>
            <w:bookmarkStart w:id="725" w:name="_Hlk146441144"/>
            <w:r w:rsidRPr="00620F22">
              <w:rPr>
                <w:rFonts w:asciiTheme="minorBidi" w:hAnsiTheme="minorBidi"/>
                <w:b/>
                <w:bCs/>
                <w:sz w:val="24"/>
                <w:szCs w:val="24"/>
              </w:rPr>
              <w:t>The correlation between PSYCOPATHY X1 – X11</w:t>
            </w:r>
          </w:p>
        </w:tc>
        <w:tc>
          <w:tcPr>
            <w:tcW w:w="1083" w:type="dxa"/>
          </w:tcPr>
          <w:p w14:paraId="66A9165A" w14:textId="77777777" w:rsidR="00620F22" w:rsidRPr="00620F22" w:rsidRDefault="00620F22" w:rsidP="0099153B">
            <w:pPr>
              <w:spacing w:line="480" w:lineRule="auto"/>
              <w:rPr>
                <w:rFonts w:asciiTheme="minorBidi" w:hAnsiTheme="minorBidi"/>
                <w:b/>
                <w:bCs/>
                <w:sz w:val="24"/>
                <w:szCs w:val="24"/>
              </w:rPr>
            </w:pPr>
            <w:r w:rsidRPr="00620F22">
              <w:rPr>
                <w:rFonts w:asciiTheme="minorBidi" w:hAnsiTheme="minorBidi"/>
                <w:b/>
                <w:bCs/>
                <w:sz w:val="24"/>
                <w:szCs w:val="24"/>
              </w:rPr>
              <w:t>X1 – X11</w:t>
            </w:r>
          </w:p>
        </w:tc>
      </w:tr>
      <w:tr w:rsidR="00620F22" w:rsidRPr="00620F22" w14:paraId="41FB28FC" w14:textId="77777777" w:rsidTr="001D4222">
        <w:tc>
          <w:tcPr>
            <w:tcW w:w="7933" w:type="dxa"/>
          </w:tcPr>
          <w:p w14:paraId="390EDF91" w14:textId="77777777" w:rsidR="00620F22" w:rsidRPr="00620F22" w:rsidRDefault="00620F22" w:rsidP="0099153B">
            <w:pPr>
              <w:spacing w:line="480" w:lineRule="auto"/>
              <w:rPr>
                <w:rFonts w:asciiTheme="minorBidi" w:hAnsiTheme="minorBidi"/>
                <w:sz w:val="24"/>
                <w:szCs w:val="24"/>
              </w:rPr>
            </w:pPr>
            <w:r w:rsidRPr="00620F22">
              <w:rPr>
                <w:rFonts w:asciiTheme="minorBidi" w:hAnsiTheme="minorBidi"/>
                <w:sz w:val="24"/>
                <w:szCs w:val="24"/>
              </w:rPr>
              <w:t>The correlation between PSYCOPATHY and Mean Disapproval is:</w:t>
            </w:r>
          </w:p>
        </w:tc>
        <w:tc>
          <w:tcPr>
            <w:tcW w:w="1083" w:type="dxa"/>
          </w:tcPr>
          <w:p w14:paraId="0AA39E43" w14:textId="77777777" w:rsidR="00620F22" w:rsidRPr="00620F22" w:rsidRDefault="00620F22" w:rsidP="0099153B">
            <w:pPr>
              <w:spacing w:line="480" w:lineRule="auto"/>
              <w:jc w:val="right"/>
              <w:rPr>
                <w:rFonts w:asciiTheme="minorBidi" w:hAnsiTheme="minorBidi"/>
                <w:sz w:val="24"/>
                <w:szCs w:val="24"/>
              </w:rPr>
            </w:pPr>
            <w:r w:rsidRPr="00620F22">
              <w:rPr>
                <w:rFonts w:asciiTheme="minorBidi" w:hAnsiTheme="minorBidi"/>
                <w:sz w:val="24"/>
                <w:szCs w:val="24"/>
              </w:rPr>
              <w:t>-0.219</w:t>
            </w:r>
          </w:p>
        </w:tc>
      </w:tr>
      <w:tr w:rsidR="00620F22" w:rsidRPr="00620F22" w14:paraId="08E4D4AD" w14:textId="77777777" w:rsidTr="001D4222">
        <w:tc>
          <w:tcPr>
            <w:tcW w:w="7933" w:type="dxa"/>
          </w:tcPr>
          <w:p w14:paraId="5B6031AC" w14:textId="77777777" w:rsidR="00620F22" w:rsidRPr="00620F22" w:rsidRDefault="00620F22" w:rsidP="0099153B">
            <w:pPr>
              <w:spacing w:line="480" w:lineRule="auto"/>
              <w:rPr>
                <w:rFonts w:asciiTheme="minorBidi" w:hAnsiTheme="minorBidi"/>
                <w:sz w:val="24"/>
                <w:szCs w:val="24"/>
              </w:rPr>
            </w:pPr>
            <w:r w:rsidRPr="00620F22">
              <w:rPr>
                <w:rFonts w:asciiTheme="minorBidi" w:hAnsiTheme="minorBidi"/>
                <w:sz w:val="24"/>
                <w:szCs w:val="24"/>
              </w:rPr>
              <w:t>The correlation between PSYCOPATHY and Age is:</w:t>
            </w:r>
          </w:p>
        </w:tc>
        <w:tc>
          <w:tcPr>
            <w:tcW w:w="1083" w:type="dxa"/>
          </w:tcPr>
          <w:p w14:paraId="145E836E" w14:textId="77777777" w:rsidR="00620F22" w:rsidRPr="00620F22" w:rsidRDefault="00620F22" w:rsidP="0099153B">
            <w:pPr>
              <w:spacing w:line="480" w:lineRule="auto"/>
              <w:jc w:val="right"/>
              <w:rPr>
                <w:rFonts w:asciiTheme="minorBidi" w:hAnsiTheme="minorBidi"/>
                <w:sz w:val="24"/>
                <w:szCs w:val="24"/>
              </w:rPr>
            </w:pPr>
            <w:r w:rsidRPr="00620F22">
              <w:rPr>
                <w:rFonts w:asciiTheme="minorBidi" w:hAnsiTheme="minorBidi"/>
                <w:sz w:val="24"/>
                <w:szCs w:val="24"/>
              </w:rPr>
              <w:t>0.050</w:t>
            </w:r>
          </w:p>
        </w:tc>
      </w:tr>
      <w:tr w:rsidR="00620F22" w:rsidRPr="00620F22" w14:paraId="7EA0224F" w14:textId="77777777" w:rsidTr="001D4222">
        <w:tc>
          <w:tcPr>
            <w:tcW w:w="7933" w:type="dxa"/>
          </w:tcPr>
          <w:p w14:paraId="4DBFAFC9" w14:textId="77777777" w:rsidR="00620F22" w:rsidRPr="00620F22" w:rsidRDefault="00620F22" w:rsidP="0099153B">
            <w:pPr>
              <w:spacing w:line="480" w:lineRule="auto"/>
              <w:rPr>
                <w:rFonts w:asciiTheme="minorBidi" w:hAnsiTheme="minorBidi"/>
                <w:sz w:val="24"/>
                <w:szCs w:val="24"/>
              </w:rPr>
            </w:pPr>
            <w:r w:rsidRPr="00620F22">
              <w:rPr>
                <w:rFonts w:asciiTheme="minorBidi" w:hAnsiTheme="minorBidi"/>
                <w:sz w:val="24"/>
                <w:szCs w:val="24"/>
              </w:rPr>
              <w:t>The correlation between PSYCOPATHY and Gender is:</w:t>
            </w:r>
          </w:p>
        </w:tc>
        <w:tc>
          <w:tcPr>
            <w:tcW w:w="1083" w:type="dxa"/>
          </w:tcPr>
          <w:p w14:paraId="4DC7A209" w14:textId="77777777" w:rsidR="00620F22" w:rsidRPr="00620F22" w:rsidRDefault="00620F22" w:rsidP="0099153B">
            <w:pPr>
              <w:spacing w:line="480" w:lineRule="auto"/>
              <w:jc w:val="right"/>
              <w:rPr>
                <w:rFonts w:asciiTheme="minorBidi" w:hAnsiTheme="minorBidi"/>
                <w:sz w:val="24"/>
                <w:szCs w:val="24"/>
              </w:rPr>
            </w:pPr>
            <w:r w:rsidRPr="00620F22">
              <w:rPr>
                <w:rFonts w:asciiTheme="minorBidi" w:hAnsiTheme="minorBidi"/>
                <w:sz w:val="24"/>
                <w:szCs w:val="24"/>
              </w:rPr>
              <w:t>0.196</w:t>
            </w:r>
          </w:p>
        </w:tc>
      </w:tr>
      <w:tr w:rsidR="00620F22" w:rsidRPr="00620F22" w14:paraId="1CFEE667" w14:textId="77777777" w:rsidTr="001D4222">
        <w:tc>
          <w:tcPr>
            <w:tcW w:w="7933" w:type="dxa"/>
          </w:tcPr>
          <w:p w14:paraId="6051383E" w14:textId="77777777" w:rsidR="00620F22" w:rsidRPr="00620F22" w:rsidRDefault="00620F22" w:rsidP="0099153B">
            <w:pPr>
              <w:spacing w:line="480" w:lineRule="auto"/>
              <w:rPr>
                <w:rFonts w:asciiTheme="minorBidi" w:hAnsiTheme="minorBidi"/>
                <w:sz w:val="24"/>
                <w:szCs w:val="24"/>
              </w:rPr>
            </w:pPr>
            <w:r w:rsidRPr="00620F22">
              <w:rPr>
                <w:rFonts w:asciiTheme="minorBidi" w:hAnsiTheme="minorBidi"/>
                <w:sz w:val="24"/>
                <w:szCs w:val="24"/>
              </w:rPr>
              <w:t>The correlation between PSYCOPATHY and Many Friends is:</w:t>
            </w:r>
          </w:p>
        </w:tc>
        <w:tc>
          <w:tcPr>
            <w:tcW w:w="1083" w:type="dxa"/>
          </w:tcPr>
          <w:p w14:paraId="26E792FE" w14:textId="77777777" w:rsidR="00620F22" w:rsidRPr="00620F22" w:rsidRDefault="00620F22" w:rsidP="0099153B">
            <w:pPr>
              <w:spacing w:line="480" w:lineRule="auto"/>
              <w:jc w:val="right"/>
              <w:rPr>
                <w:rFonts w:asciiTheme="minorBidi" w:hAnsiTheme="minorBidi"/>
                <w:sz w:val="24"/>
                <w:szCs w:val="24"/>
              </w:rPr>
            </w:pPr>
            <w:r w:rsidRPr="00620F22">
              <w:rPr>
                <w:rFonts w:asciiTheme="minorBidi" w:hAnsiTheme="minorBidi"/>
                <w:sz w:val="24"/>
                <w:szCs w:val="24"/>
              </w:rPr>
              <w:t>-0.060</w:t>
            </w:r>
          </w:p>
        </w:tc>
      </w:tr>
      <w:tr w:rsidR="00620F22" w:rsidRPr="00620F22" w14:paraId="4A385336" w14:textId="77777777" w:rsidTr="001D4222">
        <w:tc>
          <w:tcPr>
            <w:tcW w:w="7933" w:type="dxa"/>
          </w:tcPr>
          <w:p w14:paraId="79D9C5DF" w14:textId="77777777" w:rsidR="00620F22" w:rsidRPr="00620F22" w:rsidRDefault="00620F22" w:rsidP="0099153B">
            <w:pPr>
              <w:spacing w:line="480" w:lineRule="auto"/>
              <w:rPr>
                <w:rFonts w:asciiTheme="minorBidi" w:hAnsiTheme="minorBidi"/>
                <w:sz w:val="24"/>
                <w:szCs w:val="24"/>
              </w:rPr>
            </w:pPr>
            <w:r w:rsidRPr="00620F22">
              <w:rPr>
                <w:rFonts w:asciiTheme="minorBidi" w:hAnsiTheme="minorBidi"/>
                <w:sz w:val="24"/>
                <w:szCs w:val="24"/>
              </w:rPr>
              <w:t>The correlation between PSYCOPATHY and Adherence to an Ethical Framework is:</w:t>
            </w:r>
          </w:p>
        </w:tc>
        <w:tc>
          <w:tcPr>
            <w:tcW w:w="1083" w:type="dxa"/>
          </w:tcPr>
          <w:p w14:paraId="3288EEA7" w14:textId="77777777" w:rsidR="00620F22" w:rsidRPr="00620F22" w:rsidRDefault="00620F22" w:rsidP="0099153B">
            <w:pPr>
              <w:spacing w:line="480" w:lineRule="auto"/>
              <w:jc w:val="right"/>
              <w:rPr>
                <w:rFonts w:asciiTheme="minorBidi" w:hAnsiTheme="minorBidi"/>
                <w:sz w:val="24"/>
                <w:szCs w:val="24"/>
              </w:rPr>
            </w:pPr>
            <w:r w:rsidRPr="00620F22">
              <w:rPr>
                <w:rFonts w:asciiTheme="minorBidi" w:hAnsiTheme="minorBidi"/>
                <w:sz w:val="24"/>
                <w:szCs w:val="24"/>
              </w:rPr>
              <w:t>0.147</w:t>
            </w:r>
          </w:p>
        </w:tc>
      </w:tr>
      <w:tr w:rsidR="00620F22" w:rsidRPr="00620F22" w14:paraId="20E4B34B" w14:textId="77777777" w:rsidTr="001D4222">
        <w:tc>
          <w:tcPr>
            <w:tcW w:w="7933" w:type="dxa"/>
          </w:tcPr>
          <w:p w14:paraId="6DDD1096" w14:textId="77777777" w:rsidR="00620F22" w:rsidRPr="00620F22" w:rsidRDefault="00620F22" w:rsidP="0099153B">
            <w:pPr>
              <w:spacing w:line="480" w:lineRule="auto"/>
              <w:rPr>
                <w:rFonts w:asciiTheme="minorBidi" w:hAnsiTheme="minorBidi"/>
                <w:sz w:val="24"/>
                <w:szCs w:val="24"/>
              </w:rPr>
            </w:pPr>
            <w:r w:rsidRPr="00620F22">
              <w:rPr>
                <w:rFonts w:asciiTheme="minorBidi" w:hAnsiTheme="minorBidi"/>
                <w:sz w:val="24"/>
                <w:szCs w:val="24"/>
              </w:rPr>
              <w:t>The correlation between PSYCOPATHY and whether the participant was Bullied is:</w:t>
            </w:r>
          </w:p>
        </w:tc>
        <w:tc>
          <w:tcPr>
            <w:tcW w:w="1083" w:type="dxa"/>
          </w:tcPr>
          <w:p w14:paraId="54D23FC1" w14:textId="77777777" w:rsidR="00620F22" w:rsidRPr="00620F22" w:rsidRDefault="00620F22" w:rsidP="0099153B">
            <w:pPr>
              <w:spacing w:line="480" w:lineRule="auto"/>
              <w:jc w:val="right"/>
              <w:rPr>
                <w:rFonts w:asciiTheme="minorBidi" w:hAnsiTheme="minorBidi"/>
                <w:sz w:val="24"/>
                <w:szCs w:val="24"/>
              </w:rPr>
            </w:pPr>
            <w:r w:rsidRPr="00620F22">
              <w:rPr>
                <w:rFonts w:asciiTheme="minorBidi" w:hAnsiTheme="minorBidi"/>
                <w:sz w:val="24"/>
                <w:szCs w:val="24"/>
              </w:rPr>
              <w:t>0.069</w:t>
            </w:r>
          </w:p>
        </w:tc>
      </w:tr>
      <w:tr w:rsidR="00620F22" w:rsidRPr="00620F22" w14:paraId="16E2645A" w14:textId="77777777" w:rsidTr="001D4222">
        <w:tc>
          <w:tcPr>
            <w:tcW w:w="7933" w:type="dxa"/>
          </w:tcPr>
          <w:p w14:paraId="00BF1878" w14:textId="77777777" w:rsidR="00620F22" w:rsidRPr="00620F22" w:rsidRDefault="00620F22" w:rsidP="0099153B">
            <w:pPr>
              <w:spacing w:line="480" w:lineRule="auto"/>
              <w:rPr>
                <w:rFonts w:asciiTheme="minorBidi" w:hAnsiTheme="minorBidi"/>
                <w:sz w:val="24"/>
                <w:szCs w:val="24"/>
              </w:rPr>
            </w:pPr>
            <w:r w:rsidRPr="00620F22">
              <w:rPr>
                <w:rFonts w:asciiTheme="minorBidi" w:hAnsiTheme="minorBidi"/>
                <w:sz w:val="24"/>
                <w:szCs w:val="24"/>
              </w:rPr>
              <w:t xml:space="preserve">The correlation between PSYCOPATHY and whether the participant is Religious is: </w:t>
            </w:r>
          </w:p>
        </w:tc>
        <w:tc>
          <w:tcPr>
            <w:tcW w:w="1083" w:type="dxa"/>
          </w:tcPr>
          <w:p w14:paraId="3E1A6D5D" w14:textId="77777777" w:rsidR="00620F22" w:rsidRPr="00620F22" w:rsidRDefault="00620F22" w:rsidP="0099153B">
            <w:pPr>
              <w:spacing w:line="480" w:lineRule="auto"/>
              <w:jc w:val="right"/>
              <w:rPr>
                <w:rFonts w:asciiTheme="minorBidi" w:hAnsiTheme="minorBidi"/>
                <w:sz w:val="24"/>
                <w:szCs w:val="24"/>
              </w:rPr>
            </w:pPr>
            <w:r w:rsidRPr="00620F22">
              <w:rPr>
                <w:rFonts w:asciiTheme="minorBidi" w:hAnsiTheme="minorBidi"/>
                <w:sz w:val="24"/>
                <w:szCs w:val="24"/>
              </w:rPr>
              <w:t>0.098</w:t>
            </w:r>
          </w:p>
        </w:tc>
      </w:tr>
      <w:tr w:rsidR="00620F22" w:rsidRPr="00620F22" w14:paraId="2376A6AA" w14:textId="77777777" w:rsidTr="001D4222">
        <w:tc>
          <w:tcPr>
            <w:tcW w:w="7933" w:type="dxa"/>
          </w:tcPr>
          <w:p w14:paraId="06308E4A" w14:textId="77777777" w:rsidR="00620F22" w:rsidRPr="00620F22" w:rsidRDefault="00620F22" w:rsidP="007C2B70">
            <w:pPr>
              <w:spacing w:line="480" w:lineRule="auto"/>
              <w:rPr>
                <w:rFonts w:asciiTheme="minorBidi" w:hAnsiTheme="minorBidi"/>
                <w:sz w:val="24"/>
                <w:szCs w:val="24"/>
              </w:rPr>
            </w:pPr>
            <w:r w:rsidRPr="00620F22">
              <w:rPr>
                <w:rFonts w:asciiTheme="minorBidi" w:hAnsiTheme="minorBidi"/>
                <w:sz w:val="24"/>
                <w:szCs w:val="24"/>
              </w:rPr>
              <w:t>The correlation between PSYCOPATHY and whether the participant expects a starting salary of more than £25,000 upon graduation is:</w:t>
            </w:r>
          </w:p>
        </w:tc>
        <w:tc>
          <w:tcPr>
            <w:tcW w:w="1083" w:type="dxa"/>
          </w:tcPr>
          <w:p w14:paraId="0FCF6C33" w14:textId="77777777" w:rsidR="00620F22" w:rsidRPr="00620F22" w:rsidRDefault="00620F22" w:rsidP="007C2B70">
            <w:pPr>
              <w:spacing w:line="480" w:lineRule="auto"/>
              <w:jc w:val="right"/>
              <w:rPr>
                <w:rFonts w:asciiTheme="minorBidi" w:hAnsiTheme="minorBidi"/>
                <w:sz w:val="24"/>
                <w:szCs w:val="24"/>
              </w:rPr>
            </w:pPr>
            <w:r w:rsidRPr="00620F22">
              <w:rPr>
                <w:rFonts w:asciiTheme="minorBidi" w:hAnsiTheme="minorBidi"/>
                <w:sz w:val="24"/>
                <w:szCs w:val="24"/>
              </w:rPr>
              <w:t>-0.143</w:t>
            </w:r>
          </w:p>
        </w:tc>
      </w:tr>
      <w:tr w:rsidR="00620F22" w:rsidRPr="00620F22" w14:paraId="692BEA1B" w14:textId="77777777" w:rsidTr="001D4222">
        <w:tc>
          <w:tcPr>
            <w:tcW w:w="7933" w:type="dxa"/>
          </w:tcPr>
          <w:p w14:paraId="19E47BD6" w14:textId="77777777" w:rsidR="00620F22" w:rsidRPr="00620F22" w:rsidRDefault="00620F22" w:rsidP="007C2B70">
            <w:pPr>
              <w:spacing w:line="480" w:lineRule="auto"/>
              <w:rPr>
                <w:rFonts w:asciiTheme="minorBidi" w:hAnsiTheme="minorBidi"/>
                <w:sz w:val="24"/>
                <w:szCs w:val="24"/>
              </w:rPr>
            </w:pPr>
            <w:r w:rsidRPr="00620F22">
              <w:rPr>
                <w:rFonts w:asciiTheme="minorBidi" w:hAnsiTheme="minorBidi"/>
                <w:sz w:val="24"/>
                <w:szCs w:val="24"/>
              </w:rPr>
              <w:lastRenderedPageBreak/>
              <w:t>The correlation between PSYCOPATHY and whether the mother of the participant is a post-graduate.</w:t>
            </w:r>
          </w:p>
        </w:tc>
        <w:tc>
          <w:tcPr>
            <w:tcW w:w="1083" w:type="dxa"/>
          </w:tcPr>
          <w:p w14:paraId="6D6F7D6F" w14:textId="77777777" w:rsidR="00620F22" w:rsidRPr="00620F22" w:rsidRDefault="00620F22" w:rsidP="007C2B70">
            <w:pPr>
              <w:spacing w:line="480" w:lineRule="auto"/>
              <w:jc w:val="right"/>
              <w:rPr>
                <w:rFonts w:asciiTheme="minorBidi" w:hAnsiTheme="minorBidi"/>
                <w:sz w:val="24"/>
                <w:szCs w:val="24"/>
              </w:rPr>
            </w:pPr>
            <w:r w:rsidRPr="00620F22">
              <w:rPr>
                <w:rFonts w:asciiTheme="minorBidi" w:hAnsiTheme="minorBidi"/>
                <w:sz w:val="24"/>
                <w:szCs w:val="24"/>
              </w:rPr>
              <w:t>0.158</w:t>
            </w:r>
          </w:p>
        </w:tc>
      </w:tr>
      <w:tr w:rsidR="00620F22" w:rsidRPr="00620F22" w14:paraId="50A29CB1" w14:textId="77777777" w:rsidTr="001D4222">
        <w:tc>
          <w:tcPr>
            <w:tcW w:w="7933" w:type="dxa"/>
          </w:tcPr>
          <w:p w14:paraId="54C10578" w14:textId="77777777" w:rsidR="00620F22" w:rsidRPr="00620F22" w:rsidRDefault="00620F22" w:rsidP="007C2B70">
            <w:pPr>
              <w:spacing w:line="480" w:lineRule="auto"/>
              <w:rPr>
                <w:rFonts w:asciiTheme="minorBidi" w:hAnsiTheme="minorBidi"/>
                <w:sz w:val="24"/>
                <w:szCs w:val="24"/>
              </w:rPr>
            </w:pPr>
            <w:r w:rsidRPr="00620F22">
              <w:rPr>
                <w:rFonts w:asciiTheme="minorBidi" w:hAnsiTheme="minorBidi"/>
                <w:sz w:val="24"/>
                <w:szCs w:val="24"/>
              </w:rPr>
              <w:t>The correlation between PSYCOPATHY and whether the father of the participant is a post-graduate.</w:t>
            </w:r>
          </w:p>
        </w:tc>
        <w:tc>
          <w:tcPr>
            <w:tcW w:w="1083" w:type="dxa"/>
          </w:tcPr>
          <w:p w14:paraId="0BFBA982" w14:textId="77777777" w:rsidR="00620F22" w:rsidRPr="00620F22" w:rsidRDefault="00620F22" w:rsidP="007C2B70">
            <w:pPr>
              <w:spacing w:line="480" w:lineRule="auto"/>
              <w:jc w:val="right"/>
              <w:rPr>
                <w:rFonts w:asciiTheme="minorBidi" w:hAnsiTheme="minorBidi"/>
                <w:sz w:val="24"/>
                <w:szCs w:val="24"/>
              </w:rPr>
            </w:pPr>
            <w:r w:rsidRPr="00620F22">
              <w:rPr>
                <w:rFonts w:asciiTheme="minorBidi" w:hAnsiTheme="minorBidi"/>
                <w:sz w:val="24"/>
                <w:szCs w:val="24"/>
              </w:rPr>
              <w:t>-0.027</w:t>
            </w:r>
          </w:p>
        </w:tc>
      </w:tr>
      <w:tr w:rsidR="00620F22" w:rsidRPr="00620F22" w14:paraId="25E05673" w14:textId="77777777" w:rsidTr="001D4222">
        <w:tc>
          <w:tcPr>
            <w:tcW w:w="7933" w:type="dxa"/>
          </w:tcPr>
          <w:p w14:paraId="0962228C" w14:textId="77777777" w:rsidR="00620F22" w:rsidRPr="00620F22" w:rsidRDefault="00620F22" w:rsidP="007C2B70">
            <w:pPr>
              <w:spacing w:line="480" w:lineRule="auto"/>
              <w:rPr>
                <w:rFonts w:asciiTheme="minorBidi" w:hAnsiTheme="minorBidi"/>
                <w:sz w:val="24"/>
                <w:szCs w:val="24"/>
              </w:rPr>
            </w:pPr>
            <w:r w:rsidRPr="00620F22">
              <w:rPr>
                <w:rFonts w:asciiTheme="minorBidi" w:hAnsiTheme="minorBidi"/>
                <w:sz w:val="24"/>
                <w:szCs w:val="24"/>
              </w:rPr>
              <w:t>The correlation between PSYCOPATHY and whether the participant believes that a Prison Sentence will deter Accounting Fraud</w:t>
            </w:r>
          </w:p>
        </w:tc>
        <w:tc>
          <w:tcPr>
            <w:tcW w:w="1083" w:type="dxa"/>
          </w:tcPr>
          <w:p w14:paraId="14D40C16" w14:textId="77777777" w:rsidR="00620F22" w:rsidRPr="00620F22" w:rsidRDefault="00620F22" w:rsidP="007C2B70">
            <w:pPr>
              <w:spacing w:line="480" w:lineRule="auto"/>
              <w:jc w:val="right"/>
              <w:rPr>
                <w:rFonts w:asciiTheme="minorBidi" w:hAnsiTheme="minorBidi"/>
                <w:sz w:val="24"/>
                <w:szCs w:val="24"/>
              </w:rPr>
            </w:pPr>
            <w:r w:rsidRPr="00620F22">
              <w:rPr>
                <w:rFonts w:asciiTheme="minorBidi" w:hAnsiTheme="minorBidi"/>
                <w:sz w:val="24"/>
                <w:szCs w:val="24"/>
              </w:rPr>
              <w:t>0.153</w:t>
            </w:r>
          </w:p>
        </w:tc>
      </w:tr>
    </w:tbl>
    <w:p w14:paraId="2A6144EF" w14:textId="77777777" w:rsidR="00620F22" w:rsidRPr="00620F22" w:rsidRDefault="00620F22" w:rsidP="00620F22">
      <w:pPr>
        <w:spacing w:line="480" w:lineRule="auto"/>
        <w:jc w:val="both"/>
        <w:rPr>
          <w:rFonts w:ascii="Arial" w:hAnsi="Arial" w:cs="Arial"/>
          <w:color w:val="000000" w:themeColor="text1"/>
        </w:rPr>
      </w:pPr>
    </w:p>
    <w:p w14:paraId="709E3F6A" w14:textId="77777777"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The best predictor of psychopathy is mean disapproval and then based on absolute value the following:</w:t>
      </w:r>
    </w:p>
    <w:p w14:paraId="01F3C75D" w14:textId="77777777" w:rsidR="00620F22" w:rsidRPr="00620F22" w:rsidRDefault="00620F22">
      <w:pPr>
        <w:numPr>
          <w:ilvl w:val="0"/>
          <w:numId w:val="24"/>
        </w:numPr>
        <w:spacing w:line="480" w:lineRule="auto"/>
        <w:contextualSpacing/>
        <w:jc w:val="both"/>
        <w:rPr>
          <w:rFonts w:ascii="Arial" w:hAnsi="Arial" w:cs="Arial"/>
          <w:color w:val="000000" w:themeColor="text1"/>
        </w:rPr>
      </w:pPr>
      <w:r w:rsidRPr="00620F22">
        <w:rPr>
          <w:rFonts w:ascii="Arial" w:hAnsi="Arial" w:cs="Arial"/>
          <w:color w:val="000000" w:themeColor="text1"/>
        </w:rPr>
        <w:t>Gender,</w:t>
      </w:r>
    </w:p>
    <w:p w14:paraId="0033E606" w14:textId="77777777" w:rsidR="00620F22" w:rsidRPr="00620F22" w:rsidRDefault="00620F22">
      <w:pPr>
        <w:numPr>
          <w:ilvl w:val="0"/>
          <w:numId w:val="24"/>
        </w:numPr>
        <w:spacing w:line="480" w:lineRule="auto"/>
        <w:contextualSpacing/>
        <w:jc w:val="both"/>
        <w:rPr>
          <w:rFonts w:ascii="Arial" w:hAnsi="Arial" w:cs="Arial"/>
          <w:color w:val="000000" w:themeColor="text1"/>
        </w:rPr>
      </w:pPr>
      <w:r w:rsidRPr="00620F22">
        <w:rPr>
          <w:rFonts w:ascii="Arial" w:hAnsi="Arial" w:cs="Arial"/>
          <w:color w:val="000000" w:themeColor="text1"/>
        </w:rPr>
        <w:t>Whether the mother is a post-graduate,</w:t>
      </w:r>
    </w:p>
    <w:p w14:paraId="620C203D" w14:textId="77777777" w:rsidR="00620F22" w:rsidRPr="00620F22" w:rsidRDefault="00620F22">
      <w:pPr>
        <w:numPr>
          <w:ilvl w:val="0"/>
          <w:numId w:val="24"/>
        </w:numPr>
        <w:spacing w:line="480" w:lineRule="auto"/>
        <w:contextualSpacing/>
        <w:jc w:val="both"/>
        <w:rPr>
          <w:rFonts w:ascii="Arial" w:hAnsi="Arial" w:cs="Arial"/>
          <w:color w:val="000000" w:themeColor="text1"/>
        </w:rPr>
      </w:pPr>
      <w:r w:rsidRPr="00620F22">
        <w:rPr>
          <w:rFonts w:ascii="Arial" w:hAnsi="Arial" w:cs="Arial"/>
          <w:color w:val="000000" w:themeColor="text1"/>
        </w:rPr>
        <w:t>Whether a prison sentence and fine should be imposed,</w:t>
      </w:r>
    </w:p>
    <w:p w14:paraId="063DAD82" w14:textId="77777777" w:rsidR="00620F22" w:rsidRPr="00620F22" w:rsidRDefault="00620F22">
      <w:pPr>
        <w:numPr>
          <w:ilvl w:val="0"/>
          <w:numId w:val="24"/>
        </w:numPr>
        <w:spacing w:line="480" w:lineRule="auto"/>
        <w:contextualSpacing/>
        <w:jc w:val="both"/>
        <w:rPr>
          <w:rFonts w:ascii="Arial" w:hAnsi="Arial" w:cs="Arial"/>
          <w:color w:val="000000" w:themeColor="text1"/>
        </w:rPr>
      </w:pPr>
      <w:r w:rsidRPr="00620F22">
        <w:rPr>
          <w:rFonts w:ascii="Arial" w:hAnsi="Arial" w:cs="Arial"/>
          <w:color w:val="000000" w:themeColor="text1"/>
        </w:rPr>
        <w:t>Adherence to an ethical framework,</w:t>
      </w:r>
    </w:p>
    <w:p w14:paraId="07360648" w14:textId="77777777" w:rsidR="00620F22" w:rsidRPr="00620F22" w:rsidRDefault="00620F22">
      <w:pPr>
        <w:numPr>
          <w:ilvl w:val="0"/>
          <w:numId w:val="24"/>
        </w:numPr>
        <w:spacing w:line="480" w:lineRule="auto"/>
        <w:contextualSpacing/>
        <w:jc w:val="both"/>
        <w:rPr>
          <w:rFonts w:ascii="Arial" w:hAnsi="Arial" w:cs="Arial"/>
          <w:color w:val="000000" w:themeColor="text1"/>
        </w:rPr>
      </w:pPr>
      <w:r w:rsidRPr="00620F22">
        <w:rPr>
          <w:rFonts w:ascii="Arial" w:hAnsi="Arial" w:cs="Arial"/>
          <w:color w:val="000000" w:themeColor="text1"/>
        </w:rPr>
        <w:t>Upon graduation whether there is an expectation of a starting salary of more than £25,000</w:t>
      </w:r>
    </w:p>
    <w:p w14:paraId="3E9BB885" w14:textId="77777777" w:rsidR="00620F22" w:rsidRPr="00620F22" w:rsidRDefault="00620F22" w:rsidP="00620F22">
      <w:pPr>
        <w:spacing w:line="480" w:lineRule="auto"/>
        <w:jc w:val="both"/>
        <w:rPr>
          <w:rFonts w:ascii="Arial" w:hAnsi="Arial" w:cs="Arial"/>
          <w:color w:val="000000" w:themeColor="text1"/>
        </w:rPr>
      </w:pPr>
      <w:bookmarkStart w:id="726" w:name="_Hlk146213992"/>
      <w:r w:rsidRPr="00620F22">
        <w:rPr>
          <w:rFonts w:ascii="Arial" w:hAnsi="Arial" w:cs="Arial"/>
          <w:color w:val="000000" w:themeColor="text1"/>
        </w:rPr>
        <w:t xml:space="preserve">The study consisted of 50 students which is statistically significant as it is has a sample of more than a sample size of 30 participants took part and builds on the work of Bailey (2017) by hypothesizing other explanatory variables. </w:t>
      </w:r>
    </w:p>
    <w:p w14:paraId="7702A147" w14:textId="77777777" w:rsidR="00620F22" w:rsidRPr="00620F22" w:rsidRDefault="00620F22" w:rsidP="00620F22">
      <w:pPr>
        <w:shd w:val="clear" w:color="auto" w:fill="FFFFFF"/>
        <w:spacing w:before="100" w:beforeAutospacing="1" w:after="24" w:line="480" w:lineRule="auto"/>
        <w:jc w:val="both"/>
        <w:rPr>
          <w:rFonts w:ascii="Arial" w:eastAsia="Times New Roman" w:hAnsi="Arial" w:cs="Arial"/>
          <w:color w:val="000000" w:themeColor="text1"/>
          <w:lang w:eastAsia="en-GB"/>
        </w:rPr>
      </w:pPr>
      <w:r w:rsidRPr="00620F22">
        <w:rPr>
          <w:rFonts w:ascii="Arial" w:hAnsi="Arial" w:cs="Arial"/>
          <w:color w:val="000000" w:themeColor="text1"/>
        </w:rPr>
        <w:t xml:space="preserve">Overall, the Multiple Regression for model is 0.49, see Appendix M, which </w:t>
      </w:r>
      <w:r w:rsidRPr="00620F22">
        <w:rPr>
          <w:rFonts w:ascii="Arial" w:eastAsia="Times New Roman" w:hAnsi="Arial" w:cs="Arial"/>
          <w:color w:val="000000" w:themeColor="text1"/>
          <w:lang w:eastAsia="en-GB"/>
        </w:rPr>
        <w:t xml:space="preserve">indicates that 48% of the variability in the dependent variables (X1-X11) can be explained by the model and X1 or mean disapproval is the best explanatory variable of psychopathy. If we had the following situation where a student was 21 years old, male, and had an average Mean Disapproval of 1 and responded 0 to the other variables the potential psychopathic score would be 54.46 or towards the top of the Mixed Group which is </w:t>
      </w:r>
      <w:r w:rsidRPr="00620F22">
        <w:rPr>
          <w:rFonts w:ascii="Arial" w:eastAsia="Times New Roman" w:hAnsi="Arial" w:cs="Arial"/>
          <w:color w:val="000000" w:themeColor="text1"/>
          <w:lang w:eastAsia="en-GB"/>
        </w:rPr>
        <w:lastRenderedPageBreak/>
        <w:t>concerning (and we presently have seven male students who have scores in the psychopathic range of more than 57).</w:t>
      </w:r>
      <w:bookmarkEnd w:id="725"/>
      <w:bookmarkEnd w:id="726"/>
      <w:r w:rsidRPr="00620F22">
        <w:rPr>
          <w:rFonts w:ascii="Arial" w:eastAsia="Times New Roman" w:hAnsi="Arial" w:cs="Arial"/>
          <w:color w:val="000000" w:themeColor="text1"/>
          <w:lang w:eastAsia="en-GB"/>
        </w:rPr>
        <w:t xml:space="preserve"> </w:t>
      </w:r>
    </w:p>
    <w:p w14:paraId="179B369F" w14:textId="43F0D4B0" w:rsidR="00457232" w:rsidRDefault="00620F22" w:rsidP="00532AD0">
      <w:pPr>
        <w:shd w:val="clear" w:color="auto" w:fill="FFFFFF"/>
        <w:spacing w:before="100" w:beforeAutospacing="1" w:after="24" w:line="480" w:lineRule="auto"/>
        <w:jc w:val="both"/>
        <w:rPr>
          <w:rFonts w:ascii="Arial" w:eastAsia="Times New Roman" w:hAnsi="Arial" w:cs="Arial"/>
          <w:color w:val="000000" w:themeColor="text1"/>
          <w:lang w:eastAsia="en-GB"/>
        </w:rPr>
      </w:pPr>
      <w:r w:rsidRPr="00620F22">
        <w:rPr>
          <w:rFonts w:ascii="Arial" w:eastAsia="Times New Roman" w:hAnsi="Arial" w:cs="Arial"/>
          <w:color w:val="000000" w:themeColor="text1"/>
          <w:lang w:eastAsia="en-GB"/>
        </w:rPr>
        <w:t xml:space="preserve">The next part of this chapter will explore the experiences of auditors and subject matter experts; through a qualitative study utilising semi-structured interviews, with potentially psychopathic clients or Corporate Psychopath Accountants and their perceptions of Blockchain Technology as a potential antidote for Accounting Fraud and the Corporate Psychopath Accountant. </w:t>
      </w:r>
    </w:p>
    <w:p w14:paraId="19D9FFB8" w14:textId="77777777" w:rsidR="00532AD0" w:rsidRPr="00620F22" w:rsidRDefault="00532AD0" w:rsidP="00532AD0">
      <w:pPr>
        <w:shd w:val="clear" w:color="auto" w:fill="FFFFFF"/>
        <w:spacing w:before="100" w:beforeAutospacing="1" w:after="24" w:line="480" w:lineRule="auto"/>
        <w:jc w:val="both"/>
        <w:rPr>
          <w:rFonts w:ascii="Arial" w:eastAsia="Times New Roman" w:hAnsi="Arial" w:cs="Arial"/>
          <w:color w:val="000000" w:themeColor="text1"/>
          <w:lang w:eastAsia="en-GB"/>
        </w:rPr>
      </w:pPr>
    </w:p>
    <w:bookmarkStart w:id="727" w:name="_Hlk167883634"/>
    <w:bookmarkStart w:id="728" w:name="D97"/>
    <w:p w14:paraId="48CD2F4B" w14:textId="2611C6C6" w:rsidR="00620F22" w:rsidRPr="00620F22" w:rsidRDefault="00BE596A" w:rsidP="00FC07D9">
      <w:pPr>
        <w:pBdr>
          <w:top w:val="single" w:sz="4" w:space="1" w:color="auto"/>
          <w:left w:val="single" w:sz="4" w:space="4" w:color="auto"/>
          <w:bottom w:val="single" w:sz="4" w:space="1" w:color="auto"/>
          <w:right w:val="single" w:sz="4" w:space="4" w:color="auto"/>
        </w:pBdr>
        <w:spacing w:after="240" w:line="240" w:lineRule="auto"/>
        <w:jc w:val="both"/>
        <w:rPr>
          <w:rFonts w:asciiTheme="minorBidi" w:hAnsiTheme="minorBidi"/>
          <w:b/>
          <w:bCs/>
        </w:rPr>
      </w:pPr>
      <w:r>
        <w:rPr>
          <w:rFonts w:asciiTheme="minorBidi" w:hAnsiTheme="minorBidi"/>
          <w:b/>
          <w:bCs/>
        </w:rPr>
        <w:fldChar w:fldCharType="begin"/>
      </w:r>
      <w:r>
        <w:rPr>
          <w:rFonts w:asciiTheme="minorBidi" w:hAnsiTheme="minorBidi"/>
          <w:b/>
          <w:bCs/>
        </w:rPr>
        <w:instrText>HYPERLINK  \l "C97"</w:instrText>
      </w:r>
      <w:r>
        <w:rPr>
          <w:rFonts w:asciiTheme="minorBidi" w:hAnsiTheme="minorBidi"/>
          <w:b/>
          <w:bCs/>
        </w:rPr>
      </w:r>
      <w:r>
        <w:rPr>
          <w:rFonts w:asciiTheme="minorBidi" w:hAnsiTheme="minorBidi"/>
          <w:b/>
          <w:bCs/>
        </w:rPr>
        <w:fldChar w:fldCharType="separate"/>
      </w:r>
      <w:r w:rsidR="00620F22" w:rsidRPr="00BE596A">
        <w:rPr>
          <w:rStyle w:val="Hyperlink"/>
          <w:rFonts w:asciiTheme="minorBidi" w:hAnsiTheme="minorBidi"/>
          <w:b/>
          <w:bCs/>
        </w:rPr>
        <w:t>4.3 Part Two: Results from Qualitative Study: Semi-Structured Interviews</w:t>
      </w:r>
      <w:r>
        <w:rPr>
          <w:rFonts w:asciiTheme="minorBidi" w:hAnsiTheme="minorBidi"/>
          <w:b/>
          <w:bCs/>
        </w:rPr>
        <w:fldChar w:fldCharType="end"/>
      </w:r>
    </w:p>
    <w:bookmarkEnd w:id="727"/>
    <w:bookmarkEnd w:id="728"/>
    <w:p w14:paraId="029C2FC9" w14:textId="6EB4F8E6" w:rsid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 xml:space="preserve">The </w:t>
      </w:r>
      <w:r w:rsidR="00E015FF">
        <w:rPr>
          <w:rFonts w:ascii="Arial" w:hAnsi="Arial" w:cs="Arial"/>
          <w:color w:val="000000" w:themeColor="text1"/>
        </w:rPr>
        <w:t>researcher</w:t>
      </w:r>
      <w:r w:rsidRPr="00620F22">
        <w:rPr>
          <w:rFonts w:ascii="Arial" w:hAnsi="Arial" w:cs="Arial"/>
          <w:color w:val="000000" w:themeColor="text1"/>
        </w:rPr>
        <w:t xml:space="preserve"> conducted six semi-structured interviews over a 12-month period starting in September 2022. This was achieved by initially sending out a mass email to around 40 contacts including a </w:t>
      </w:r>
      <w:r w:rsidRPr="00620F22">
        <w:rPr>
          <w:rFonts w:ascii="Arial" w:hAnsi="Arial" w:cs="Arial"/>
          <w:b/>
          <w:bCs/>
          <w:color w:val="000000" w:themeColor="text1"/>
        </w:rPr>
        <w:t>participation information sheet (see Appendix D), introductory letter (see Appendix E), the questions (see Appendix H) and consent form (see Appendix F)</w:t>
      </w:r>
      <w:r w:rsidRPr="00620F22">
        <w:rPr>
          <w:rFonts w:ascii="Arial" w:hAnsi="Arial" w:cs="Arial"/>
          <w:color w:val="000000" w:themeColor="text1"/>
        </w:rPr>
        <w:t xml:space="preserve">. Once a contact agreed to be interviewed a mutually convenient time was arranged via Microsoft Teams or if possible or face to face, the meeting was recorded and afterwards the </w:t>
      </w:r>
      <w:r w:rsidR="00E015FF">
        <w:rPr>
          <w:rFonts w:ascii="Arial" w:hAnsi="Arial" w:cs="Arial"/>
          <w:color w:val="000000" w:themeColor="text1"/>
        </w:rPr>
        <w:t>researcher</w:t>
      </w:r>
      <w:r w:rsidRPr="00620F22">
        <w:rPr>
          <w:rFonts w:ascii="Arial" w:hAnsi="Arial" w:cs="Arial"/>
          <w:color w:val="000000" w:themeColor="text1"/>
        </w:rPr>
        <w:t xml:space="preserve"> meticulously transcribed the recordings. The interviewee was assured that the interview would be anonymised and if they were uncomfortable, they were welcome to suspend participation at any moment. The interview was made up of three sections including base line questions, exploration of Corporate Accountant Psychopathy and Blockchain Technology as an antidote to Corporate Accountant Psychopathy and Accounting Fraud. The following is an exploration and thematic analysis of each section.  </w:t>
      </w:r>
    </w:p>
    <w:p w14:paraId="726187FB" w14:textId="77777777" w:rsidR="00FC07D9" w:rsidRDefault="00FC07D9" w:rsidP="00620F22">
      <w:pPr>
        <w:spacing w:line="480" w:lineRule="auto"/>
        <w:jc w:val="both"/>
        <w:rPr>
          <w:rFonts w:ascii="Arial" w:hAnsi="Arial" w:cs="Arial"/>
          <w:color w:val="000000" w:themeColor="text1"/>
        </w:rPr>
      </w:pPr>
    </w:p>
    <w:p w14:paraId="604D7022" w14:textId="77777777" w:rsidR="00FC07D9" w:rsidRPr="00620F22" w:rsidRDefault="00FC07D9" w:rsidP="00620F22">
      <w:pPr>
        <w:spacing w:line="480" w:lineRule="auto"/>
        <w:jc w:val="both"/>
        <w:rPr>
          <w:rFonts w:ascii="Arial" w:hAnsi="Arial" w:cs="Arial"/>
          <w:color w:val="000000" w:themeColor="text1"/>
        </w:rPr>
      </w:pPr>
    </w:p>
    <w:bookmarkStart w:id="729" w:name="D98"/>
    <w:p w14:paraId="3CE1D5D6" w14:textId="42879234" w:rsidR="00620F22" w:rsidRPr="00620F22" w:rsidRDefault="00D77608" w:rsidP="00FC07D9">
      <w:pPr>
        <w:pBdr>
          <w:top w:val="single" w:sz="4" w:space="1" w:color="auto"/>
          <w:left w:val="single" w:sz="4" w:space="4" w:color="auto"/>
          <w:bottom w:val="single" w:sz="4" w:space="1" w:color="auto"/>
          <w:right w:val="single" w:sz="4" w:space="4" w:color="auto"/>
        </w:pBdr>
        <w:spacing w:line="240" w:lineRule="auto"/>
        <w:jc w:val="both"/>
        <w:rPr>
          <w:rFonts w:ascii="Arial" w:eastAsia="Times New Roman" w:hAnsi="Arial" w:cs="Arial"/>
          <w:b/>
          <w:bCs/>
          <w:lang w:eastAsia="en-GB"/>
        </w:rPr>
      </w:pPr>
      <w:r>
        <w:rPr>
          <w:rFonts w:ascii="Arial" w:eastAsia="Times New Roman" w:hAnsi="Arial" w:cs="Arial"/>
          <w:b/>
          <w:bCs/>
          <w:lang w:eastAsia="en-GB"/>
        </w:rPr>
        <w:lastRenderedPageBreak/>
        <w:fldChar w:fldCharType="begin"/>
      </w:r>
      <w:r>
        <w:rPr>
          <w:rFonts w:ascii="Arial" w:eastAsia="Times New Roman" w:hAnsi="Arial" w:cs="Arial"/>
          <w:b/>
          <w:bCs/>
          <w:lang w:eastAsia="en-GB"/>
        </w:rPr>
        <w:instrText>HYPERLINK  \l "C98"</w:instrText>
      </w:r>
      <w:r>
        <w:rPr>
          <w:rFonts w:ascii="Arial" w:eastAsia="Times New Roman" w:hAnsi="Arial" w:cs="Arial"/>
          <w:b/>
          <w:bCs/>
          <w:lang w:eastAsia="en-GB"/>
        </w:rPr>
      </w:r>
      <w:r>
        <w:rPr>
          <w:rFonts w:ascii="Arial" w:eastAsia="Times New Roman" w:hAnsi="Arial" w:cs="Arial"/>
          <w:b/>
          <w:bCs/>
          <w:lang w:eastAsia="en-GB"/>
        </w:rPr>
        <w:fldChar w:fldCharType="separate"/>
      </w:r>
      <w:r w:rsidR="00620F22" w:rsidRPr="00D77608">
        <w:rPr>
          <w:rStyle w:val="Hyperlink"/>
          <w:rFonts w:ascii="Arial" w:eastAsia="Times New Roman" w:hAnsi="Arial" w:cs="Arial"/>
          <w:b/>
          <w:bCs/>
          <w:lang w:eastAsia="en-GB"/>
        </w:rPr>
        <w:t>4.3.1 Baseline Questions</w:t>
      </w:r>
      <w:r>
        <w:rPr>
          <w:rFonts w:ascii="Arial" w:eastAsia="Times New Roman" w:hAnsi="Arial" w:cs="Arial"/>
          <w:b/>
          <w:bCs/>
          <w:lang w:eastAsia="en-GB"/>
        </w:rPr>
        <w:fldChar w:fldCharType="end"/>
      </w:r>
    </w:p>
    <w:bookmarkEnd w:id="729"/>
    <w:p w14:paraId="3ED545D7" w14:textId="77777777" w:rsidR="00620F22" w:rsidRPr="00620F22" w:rsidRDefault="00620F22" w:rsidP="00620F22">
      <w:pPr>
        <w:spacing w:before="240" w:line="480" w:lineRule="auto"/>
        <w:jc w:val="both"/>
        <w:rPr>
          <w:rFonts w:ascii="Arial" w:hAnsi="Arial" w:cs="Arial"/>
          <w:color w:val="000000" w:themeColor="text1"/>
        </w:rPr>
      </w:pPr>
      <w:r w:rsidRPr="00620F22">
        <w:rPr>
          <w:rFonts w:ascii="Arial" w:hAnsi="Arial" w:cs="Arial"/>
          <w:color w:val="000000" w:themeColor="text1"/>
        </w:rPr>
        <w:t>The following baseline questions were asked:</w:t>
      </w:r>
    </w:p>
    <w:p w14:paraId="16E52472" w14:textId="77777777" w:rsidR="00620F22" w:rsidRPr="00620F22" w:rsidRDefault="00620F22">
      <w:pPr>
        <w:numPr>
          <w:ilvl w:val="0"/>
          <w:numId w:val="25"/>
        </w:numPr>
        <w:autoSpaceDE w:val="0"/>
        <w:autoSpaceDN w:val="0"/>
        <w:adjustRightInd w:val="0"/>
        <w:spacing w:after="0" w:line="480" w:lineRule="auto"/>
        <w:jc w:val="both"/>
        <w:rPr>
          <w:rFonts w:ascii="Arial" w:hAnsi="Arial" w:cs="Arial"/>
          <w:b/>
          <w:bCs/>
          <w:color w:val="000000" w:themeColor="text1"/>
        </w:rPr>
      </w:pPr>
      <w:r w:rsidRPr="00620F22">
        <w:rPr>
          <w:rFonts w:ascii="Arial" w:hAnsi="Arial" w:cs="Arial"/>
          <w:b/>
          <w:bCs/>
          <w:color w:val="000000" w:themeColor="text1"/>
        </w:rPr>
        <w:t>What is your name:</w:t>
      </w:r>
    </w:p>
    <w:p w14:paraId="6FB3ECFF" w14:textId="77777777" w:rsidR="00620F22" w:rsidRPr="00620F22" w:rsidRDefault="00620F22">
      <w:pPr>
        <w:numPr>
          <w:ilvl w:val="0"/>
          <w:numId w:val="25"/>
        </w:numPr>
        <w:autoSpaceDE w:val="0"/>
        <w:autoSpaceDN w:val="0"/>
        <w:adjustRightInd w:val="0"/>
        <w:spacing w:after="0" w:line="480" w:lineRule="auto"/>
        <w:jc w:val="both"/>
        <w:rPr>
          <w:rFonts w:ascii="Arial" w:hAnsi="Arial" w:cs="Arial"/>
          <w:b/>
          <w:bCs/>
          <w:color w:val="000000" w:themeColor="text1"/>
        </w:rPr>
      </w:pPr>
      <w:r w:rsidRPr="00620F22">
        <w:rPr>
          <w:rFonts w:ascii="Arial" w:hAnsi="Arial" w:cs="Arial"/>
          <w:b/>
          <w:bCs/>
          <w:color w:val="000000" w:themeColor="text1"/>
        </w:rPr>
        <w:t>Age:</w:t>
      </w:r>
    </w:p>
    <w:p w14:paraId="6497ECB1" w14:textId="77777777" w:rsidR="00620F22" w:rsidRPr="00620F22" w:rsidRDefault="00620F22">
      <w:pPr>
        <w:numPr>
          <w:ilvl w:val="0"/>
          <w:numId w:val="25"/>
        </w:numPr>
        <w:autoSpaceDE w:val="0"/>
        <w:autoSpaceDN w:val="0"/>
        <w:adjustRightInd w:val="0"/>
        <w:spacing w:after="0" w:line="480" w:lineRule="auto"/>
        <w:jc w:val="both"/>
        <w:rPr>
          <w:rFonts w:ascii="Arial" w:hAnsi="Arial" w:cs="Arial"/>
          <w:b/>
          <w:bCs/>
          <w:color w:val="000000" w:themeColor="text1"/>
        </w:rPr>
      </w:pPr>
      <w:r w:rsidRPr="00620F22">
        <w:rPr>
          <w:rFonts w:ascii="Arial" w:hAnsi="Arial" w:cs="Arial"/>
          <w:b/>
          <w:bCs/>
          <w:color w:val="000000" w:themeColor="text1"/>
        </w:rPr>
        <w:t>Gender:</w:t>
      </w:r>
    </w:p>
    <w:p w14:paraId="33603E75"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Male</w:t>
      </w:r>
    </w:p>
    <w:p w14:paraId="0E48E786"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Female</w:t>
      </w:r>
    </w:p>
    <w:p w14:paraId="0F5F1317" w14:textId="3460346C" w:rsidR="00620F22" w:rsidRPr="00620F22" w:rsidRDefault="00620F22" w:rsidP="002734C3">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 xml:space="preserve">Other: </w:t>
      </w:r>
    </w:p>
    <w:p w14:paraId="4D6C257B" w14:textId="77777777" w:rsidR="00620F22" w:rsidRPr="00620F22" w:rsidRDefault="00620F22" w:rsidP="00620F22">
      <w:pPr>
        <w:autoSpaceDE w:val="0"/>
        <w:autoSpaceDN w:val="0"/>
        <w:adjustRightInd w:val="0"/>
        <w:spacing w:after="0" w:line="480" w:lineRule="auto"/>
        <w:jc w:val="both"/>
        <w:rPr>
          <w:rFonts w:ascii="Arial" w:hAnsi="Arial" w:cs="Arial"/>
          <w:b/>
          <w:bCs/>
          <w:color w:val="000000" w:themeColor="text1"/>
        </w:rPr>
      </w:pPr>
      <w:r w:rsidRPr="00620F22">
        <w:rPr>
          <w:rFonts w:ascii="Arial" w:hAnsi="Arial" w:cs="Arial"/>
          <w:b/>
          <w:bCs/>
          <w:color w:val="000000" w:themeColor="text1"/>
        </w:rPr>
        <w:t xml:space="preserve">4. </w:t>
      </w:r>
      <w:r w:rsidRPr="00620F22">
        <w:rPr>
          <w:rFonts w:ascii="Arial" w:hAnsi="Arial" w:cs="Arial"/>
          <w:b/>
          <w:bCs/>
          <w:color w:val="000000" w:themeColor="text1"/>
        </w:rPr>
        <w:tab/>
        <w:t>Membership of Professional Body:</w:t>
      </w:r>
    </w:p>
    <w:p w14:paraId="48E6CE81"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ACCA</w:t>
      </w:r>
    </w:p>
    <w:p w14:paraId="598CF724"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ICAEW</w:t>
      </w:r>
    </w:p>
    <w:p w14:paraId="0FF1F679"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ICAS</w:t>
      </w:r>
    </w:p>
    <w:p w14:paraId="508943FE"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ICAI</w:t>
      </w:r>
    </w:p>
    <w:p w14:paraId="3D023E6A"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AIA</w:t>
      </w:r>
    </w:p>
    <w:p w14:paraId="1A214BDE"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Other</w:t>
      </w:r>
    </w:p>
    <w:p w14:paraId="36491ECA" w14:textId="77777777" w:rsidR="002734C3" w:rsidRPr="00620F22" w:rsidRDefault="002734C3" w:rsidP="00620F22">
      <w:pPr>
        <w:autoSpaceDE w:val="0"/>
        <w:autoSpaceDN w:val="0"/>
        <w:adjustRightInd w:val="0"/>
        <w:spacing w:after="0" w:line="480" w:lineRule="auto"/>
        <w:jc w:val="both"/>
        <w:rPr>
          <w:rFonts w:ascii="Arial" w:hAnsi="Arial" w:cs="Arial"/>
          <w:color w:val="000000" w:themeColor="text1"/>
        </w:rPr>
      </w:pPr>
    </w:p>
    <w:p w14:paraId="5A42E1DE" w14:textId="77777777" w:rsidR="00620F22" w:rsidRPr="00620F22" w:rsidRDefault="00620F22">
      <w:pPr>
        <w:numPr>
          <w:ilvl w:val="0"/>
          <w:numId w:val="27"/>
        </w:numPr>
        <w:autoSpaceDE w:val="0"/>
        <w:autoSpaceDN w:val="0"/>
        <w:adjustRightInd w:val="0"/>
        <w:spacing w:after="0" w:line="480" w:lineRule="auto"/>
        <w:ind w:hanging="720"/>
        <w:jc w:val="both"/>
        <w:rPr>
          <w:rFonts w:ascii="Arial" w:hAnsi="Arial" w:cs="Arial"/>
          <w:b/>
          <w:bCs/>
          <w:color w:val="000000" w:themeColor="text1"/>
        </w:rPr>
      </w:pPr>
      <w:r w:rsidRPr="00620F22">
        <w:rPr>
          <w:rFonts w:ascii="Arial" w:hAnsi="Arial" w:cs="Arial"/>
          <w:b/>
          <w:bCs/>
          <w:color w:val="000000" w:themeColor="text1"/>
        </w:rPr>
        <w:t>Status with Professional Body:</w:t>
      </w:r>
    </w:p>
    <w:p w14:paraId="52DFD917"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Associate</w:t>
      </w:r>
    </w:p>
    <w:p w14:paraId="70982038"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Fellow</w:t>
      </w:r>
    </w:p>
    <w:p w14:paraId="1718EE85"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 xml:space="preserve">Lapsed </w:t>
      </w:r>
    </w:p>
    <w:p w14:paraId="328326A1"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Other</w:t>
      </w:r>
    </w:p>
    <w:p w14:paraId="6C6DBECF"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p>
    <w:p w14:paraId="493E009D" w14:textId="77777777" w:rsidR="00620F22" w:rsidRPr="00620F22" w:rsidRDefault="00620F22">
      <w:pPr>
        <w:numPr>
          <w:ilvl w:val="0"/>
          <w:numId w:val="27"/>
        </w:numPr>
        <w:autoSpaceDE w:val="0"/>
        <w:autoSpaceDN w:val="0"/>
        <w:adjustRightInd w:val="0"/>
        <w:spacing w:after="0" w:line="480" w:lineRule="auto"/>
        <w:ind w:hanging="720"/>
        <w:contextualSpacing/>
        <w:jc w:val="both"/>
        <w:rPr>
          <w:rFonts w:ascii="Arial" w:hAnsi="Arial" w:cs="Arial"/>
          <w:b/>
          <w:bCs/>
          <w:color w:val="000000" w:themeColor="text1"/>
        </w:rPr>
      </w:pPr>
      <w:r w:rsidRPr="00620F22">
        <w:rPr>
          <w:rFonts w:ascii="Arial" w:hAnsi="Arial" w:cs="Arial"/>
          <w:b/>
          <w:bCs/>
          <w:color w:val="000000" w:themeColor="text1"/>
        </w:rPr>
        <w:t>What is your current role?</w:t>
      </w:r>
    </w:p>
    <w:p w14:paraId="6AAA52C9"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p>
    <w:p w14:paraId="2336DB5D" w14:textId="77777777" w:rsidR="00620F22" w:rsidRPr="00620F22" w:rsidRDefault="00620F22">
      <w:pPr>
        <w:numPr>
          <w:ilvl w:val="0"/>
          <w:numId w:val="27"/>
        </w:numPr>
        <w:autoSpaceDE w:val="0"/>
        <w:autoSpaceDN w:val="0"/>
        <w:adjustRightInd w:val="0"/>
        <w:spacing w:after="0" w:line="480" w:lineRule="auto"/>
        <w:ind w:left="709" w:hanging="709"/>
        <w:jc w:val="both"/>
        <w:rPr>
          <w:rFonts w:ascii="Arial" w:hAnsi="Arial" w:cs="Arial"/>
          <w:b/>
          <w:bCs/>
          <w:color w:val="000000" w:themeColor="text1"/>
        </w:rPr>
      </w:pPr>
      <w:r w:rsidRPr="00620F22">
        <w:rPr>
          <w:rFonts w:ascii="Arial" w:hAnsi="Arial" w:cs="Arial"/>
          <w:b/>
          <w:bCs/>
          <w:color w:val="000000" w:themeColor="text1"/>
        </w:rPr>
        <w:lastRenderedPageBreak/>
        <w:t>If you are subject matter specialist, for how long were you a practising external auditor?</w:t>
      </w:r>
    </w:p>
    <w:p w14:paraId="70495C33" w14:textId="77777777" w:rsidR="00620F22" w:rsidRPr="00620F22" w:rsidRDefault="00620F22" w:rsidP="00620F22">
      <w:pPr>
        <w:autoSpaceDE w:val="0"/>
        <w:autoSpaceDN w:val="0"/>
        <w:adjustRightInd w:val="0"/>
        <w:spacing w:after="0" w:line="480" w:lineRule="auto"/>
        <w:jc w:val="both"/>
        <w:rPr>
          <w:rFonts w:ascii="Arial" w:hAnsi="Arial" w:cs="Arial"/>
          <w:b/>
          <w:bCs/>
          <w:color w:val="000000" w:themeColor="text1"/>
        </w:rPr>
      </w:pPr>
    </w:p>
    <w:p w14:paraId="4963020B"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The following is summary of the baseline section:</w:t>
      </w:r>
    </w:p>
    <w:p w14:paraId="76524106"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p>
    <w:tbl>
      <w:tblPr>
        <w:tblStyle w:val="TableGrid1"/>
        <w:tblW w:w="0" w:type="auto"/>
        <w:tblLook w:val="04A0" w:firstRow="1" w:lastRow="0" w:firstColumn="1" w:lastColumn="0" w:noHBand="0" w:noVBand="1"/>
      </w:tblPr>
      <w:tblGrid>
        <w:gridCol w:w="1080"/>
        <w:gridCol w:w="977"/>
        <w:gridCol w:w="670"/>
        <w:gridCol w:w="1057"/>
        <w:gridCol w:w="1657"/>
        <w:gridCol w:w="1079"/>
        <w:gridCol w:w="2496"/>
      </w:tblGrid>
      <w:tr w:rsidR="00620F22" w:rsidRPr="00620F22" w14:paraId="56F360E9" w14:textId="77777777" w:rsidTr="001D4222">
        <w:tc>
          <w:tcPr>
            <w:tcW w:w="1080" w:type="dxa"/>
          </w:tcPr>
          <w:p w14:paraId="4C958C00" w14:textId="77777777" w:rsidR="00620F22" w:rsidRPr="00620F22" w:rsidRDefault="00620F22" w:rsidP="002734C3">
            <w:pPr>
              <w:autoSpaceDE w:val="0"/>
              <w:autoSpaceDN w:val="0"/>
              <w:adjustRightInd w:val="0"/>
              <w:spacing w:line="480" w:lineRule="auto"/>
              <w:rPr>
                <w:rFonts w:asciiTheme="minorBidi" w:hAnsiTheme="minorBidi"/>
                <w:b/>
                <w:bCs/>
                <w:sz w:val="24"/>
                <w:szCs w:val="24"/>
              </w:rPr>
            </w:pPr>
            <w:r w:rsidRPr="00620F22">
              <w:rPr>
                <w:rFonts w:asciiTheme="minorBidi" w:hAnsiTheme="minorBidi"/>
                <w:b/>
                <w:bCs/>
                <w:sz w:val="24"/>
                <w:szCs w:val="24"/>
              </w:rPr>
              <w:t>No</w:t>
            </w:r>
          </w:p>
        </w:tc>
        <w:tc>
          <w:tcPr>
            <w:tcW w:w="977" w:type="dxa"/>
          </w:tcPr>
          <w:p w14:paraId="2028A98E" w14:textId="77777777" w:rsidR="00620F22" w:rsidRPr="00620F22" w:rsidRDefault="00620F22" w:rsidP="002734C3">
            <w:pPr>
              <w:autoSpaceDE w:val="0"/>
              <w:autoSpaceDN w:val="0"/>
              <w:adjustRightInd w:val="0"/>
              <w:spacing w:line="480" w:lineRule="auto"/>
              <w:rPr>
                <w:rFonts w:asciiTheme="minorBidi" w:hAnsiTheme="minorBidi"/>
                <w:b/>
                <w:bCs/>
                <w:sz w:val="24"/>
                <w:szCs w:val="24"/>
              </w:rPr>
            </w:pPr>
            <w:r w:rsidRPr="00620F22">
              <w:rPr>
                <w:rFonts w:asciiTheme="minorBidi" w:hAnsiTheme="minorBidi"/>
                <w:b/>
                <w:bCs/>
                <w:sz w:val="24"/>
                <w:szCs w:val="24"/>
              </w:rPr>
              <w:t>Initials</w:t>
            </w:r>
          </w:p>
        </w:tc>
        <w:tc>
          <w:tcPr>
            <w:tcW w:w="670" w:type="dxa"/>
          </w:tcPr>
          <w:p w14:paraId="52FD5FFC" w14:textId="77777777" w:rsidR="00620F22" w:rsidRPr="00620F22" w:rsidRDefault="00620F22" w:rsidP="002734C3">
            <w:pPr>
              <w:autoSpaceDE w:val="0"/>
              <w:autoSpaceDN w:val="0"/>
              <w:adjustRightInd w:val="0"/>
              <w:spacing w:line="480" w:lineRule="auto"/>
              <w:rPr>
                <w:rFonts w:asciiTheme="minorBidi" w:hAnsiTheme="minorBidi"/>
                <w:b/>
                <w:bCs/>
                <w:sz w:val="24"/>
                <w:szCs w:val="24"/>
              </w:rPr>
            </w:pPr>
            <w:r w:rsidRPr="00620F22">
              <w:rPr>
                <w:rFonts w:asciiTheme="minorBidi" w:hAnsiTheme="minorBidi"/>
                <w:b/>
                <w:bCs/>
                <w:sz w:val="24"/>
                <w:szCs w:val="24"/>
              </w:rPr>
              <w:t>Age</w:t>
            </w:r>
          </w:p>
        </w:tc>
        <w:tc>
          <w:tcPr>
            <w:tcW w:w="1057" w:type="dxa"/>
          </w:tcPr>
          <w:p w14:paraId="5D58379D" w14:textId="77777777" w:rsidR="00620F22" w:rsidRPr="00620F22" w:rsidRDefault="00620F22" w:rsidP="002734C3">
            <w:pPr>
              <w:autoSpaceDE w:val="0"/>
              <w:autoSpaceDN w:val="0"/>
              <w:adjustRightInd w:val="0"/>
              <w:spacing w:line="480" w:lineRule="auto"/>
              <w:rPr>
                <w:rFonts w:asciiTheme="minorBidi" w:hAnsiTheme="minorBidi"/>
                <w:b/>
                <w:bCs/>
                <w:sz w:val="24"/>
                <w:szCs w:val="24"/>
              </w:rPr>
            </w:pPr>
            <w:r w:rsidRPr="00620F22">
              <w:rPr>
                <w:rFonts w:asciiTheme="minorBidi" w:hAnsiTheme="minorBidi"/>
                <w:b/>
                <w:bCs/>
                <w:sz w:val="24"/>
                <w:szCs w:val="24"/>
              </w:rPr>
              <w:t>Gender</w:t>
            </w:r>
          </w:p>
        </w:tc>
        <w:tc>
          <w:tcPr>
            <w:tcW w:w="1657" w:type="dxa"/>
          </w:tcPr>
          <w:p w14:paraId="1C5A5F8C" w14:textId="77777777" w:rsidR="00620F22" w:rsidRPr="00620F22" w:rsidRDefault="00620F22" w:rsidP="002734C3">
            <w:pPr>
              <w:autoSpaceDE w:val="0"/>
              <w:autoSpaceDN w:val="0"/>
              <w:adjustRightInd w:val="0"/>
              <w:spacing w:line="480" w:lineRule="auto"/>
              <w:rPr>
                <w:rFonts w:asciiTheme="minorBidi" w:hAnsiTheme="minorBidi"/>
                <w:b/>
                <w:bCs/>
                <w:sz w:val="24"/>
                <w:szCs w:val="24"/>
              </w:rPr>
            </w:pPr>
            <w:r w:rsidRPr="00620F22">
              <w:rPr>
                <w:rFonts w:asciiTheme="minorBidi" w:hAnsiTheme="minorBidi"/>
                <w:b/>
                <w:bCs/>
                <w:sz w:val="24"/>
                <w:szCs w:val="24"/>
              </w:rPr>
              <w:t>Professional Body</w:t>
            </w:r>
          </w:p>
        </w:tc>
        <w:tc>
          <w:tcPr>
            <w:tcW w:w="1079" w:type="dxa"/>
          </w:tcPr>
          <w:p w14:paraId="52104BB6" w14:textId="77777777" w:rsidR="00620F22" w:rsidRPr="00620F22" w:rsidRDefault="00620F22" w:rsidP="002734C3">
            <w:pPr>
              <w:autoSpaceDE w:val="0"/>
              <w:autoSpaceDN w:val="0"/>
              <w:adjustRightInd w:val="0"/>
              <w:spacing w:line="480" w:lineRule="auto"/>
              <w:rPr>
                <w:rFonts w:asciiTheme="minorBidi" w:hAnsiTheme="minorBidi"/>
                <w:b/>
                <w:bCs/>
                <w:sz w:val="24"/>
                <w:szCs w:val="24"/>
              </w:rPr>
            </w:pPr>
            <w:r w:rsidRPr="00620F22">
              <w:rPr>
                <w:rFonts w:asciiTheme="minorBidi" w:hAnsiTheme="minorBidi"/>
                <w:b/>
                <w:bCs/>
                <w:sz w:val="24"/>
                <w:szCs w:val="24"/>
              </w:rPr>
              <w:t xml:space="preserve">Status </w:t>
            </w:r>
          </w:p>
        </w:tc>
        <w:tc>
          <w:tcPr>
            <w:tcW w:w="2496" w:type="dxa"/>
          </w:tcPr>
          <w:p w14:paraId="56355464" w14:textId="77777777" w:rsidR="00620F22" w:rsidRPr="00620F22" w:rsidRDefault="00620F22" w:rsidP="002734C3">
            <w:pPr>
              <w:autoSpaceDE w:val="0"/>
              <w:autoSpaceDN w:val="0"/>
              <w:adjustRightInd w:val="0"/>
              <w:spacing w:line="480" w:lineRule="auto"/>
              <w:rPr>
                <w:rFonts w:asciiTheme="minorBidi" w:hAnsiTheme="minorBidi"/>
                <w:b/>
                <w:bCs/>
                <w:sz w:val="24"/>
                <w:szCs w:val="24"/>
              </w:rPr>
            </w:pPr>
            <w:r w:rsidRPr="00620F22">
              <w:rPr>
                <w:rFonts w:asciiTheme="minorBidi" w:hAnsiTheme="minorBidi"/>
                <w:b/>
                <w:bCs/>
                <w:sz w:val="24"/>
                <w:szCs w:val="24"/>
              </w:rPr>
              <w:t>Current Role</w:t>
            </w:r>
          </w:p>
        </w:tc>
      </w:tr>
      <w:tr w:rsidR="00620F22" w:rsidRPr="00620F22" w14:paraId="0FC68B46" w14:textId="77777777" w:rsidTr="001D4222">
        <w:tc>
          <w:tcPr>
            <w:tcW w:w="1080" w:type="dxa"/>
          </w:tcPr>
          <w:p w14:paraId="51D9A9A7"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1</w:t>
            </w:r>
          </w:p>
        </w:tc>
        <w:tc>
          <w:tcPr>
            <w:tcW w:w="977" w:type="dxa"/>
          </w:tcPr>
          <w:p w14:paraId="264E51CC"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RW</w:t>
            </w:r>
          </w:p>
        </w:tc>
        <w:tc>
          <w:tcPr>
            <w:tcW w:w="670" w:type="dxa"/>
          </w:tcPr>
          <w:p w14:paraId="25A4C8B1"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53</w:t>
            </w:r>
          </w:p>
        </w:tc>
        <w:tc>
          <w:tcPr>
            <w:tcW w:w="1057" w:type="dxa"/>
          </w:tcPr>
          <w:p w14:paraId="3DB3F003"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M</w:t>
            </w:r>
          </w:p>
        </w:tc>
        <w:tc>
          <w:tcPr>
            <w:tcW w:w="1657" w:type="dxa"/>
          </w:tcPr>
          <w:p w14:paraId="3B0B8865"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ICAEW</w:t>
            </w:r>
          </w:p>
        </w:tc>
        <w:tc>
          <w:tcPr>
            <w:tcW w:w="1079" w:type="dxa"/>
          </w:tcPr>
          <w:p w14:paraId="447C5459"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Fellow</w:t>
            </w:r>
          </w:p>
        </w:tc>
        <w:tc>
          <w:tcPr>
            <w:tcW w:w="2496" w:type="dxa"/>
          </w:tcPr>
          <w:p w14:paraId="70BCA303"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Audit Partner</w:t>
            </w:r>
          </w:p>
        </w:tc>
      </w:tr>
      <w:tr w:rsidR="00620F22" w:rsidRPr="00620F22" w14:paraId="27923237" w14:textId="77777777" w:rsidTr="001D4222">
        <w:tc>
          <w:tcPr>
            <w:tcW w:w="1080" w:type="dxa"/>
          </w:tcPr>
          <w:p w14:paraId="4ED9C688"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2</w:t>
            </w:r>
          </w:p>
        </w:tc>
        <w:tc>
          <w:tcPr>
            <w:tcW w:w="977" w:type="dxa"/>
          </w:tcPr>
          <w:p w14:paraId="13A241E6"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NP</w:t>
            </w:r>
          </w:p>
        </w:tc>
        <w:tc>
          <w:tcPr>
            <w:tcW w:w="670" w:type="dxa"/>
          </w:tcPr>
          <w:p w14:paraId="52C6DD02"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50</w:t>
            </w:r>
          </w:p>
        </w:tc>
        <w:tc>
          <w:tcPr>
            <w:tcW w:w="1057" w:type="dxa"/>
          </w:tcPr>
          <w:p w14:paraId="3219885E"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M</w:t>
            </w:r>
          </w:p>
        </w:tc>
        <w:tc>
          <w:tcPr>
            <w:tcW w:w="1657" w:type="dxa"/>
          </w:tcPr>
          <w:p w14:paraId="1891548B"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ACCA</w:t>
            </w:r>
          </w:p>
        </w:tc>
        <w:tc>
          <w:tcPr>
            <w:tcW w:w="1079" w:type="dxa"/>
          </w:tcPr>
          <w:p w14:paraId="1A651C89"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Fellow</w:t>
            </w:r>
          </w:p>
        </w:tc>
        <w:tc>
          <w:tcPr>
            <w:tcW w:w="2496" w:type="dxa"/>
          </w:tcPr>
          <w:p w14:paraId="3404648D"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Audit Director</w:t>
            </w:r>
          </w:p>
        </w:tc>
      </w:tr>
      <w:tr w:rsidR="00620F22" w:rsidRPr="00620F22" w14:paraId="0C9E6554" w14:textId="77777777" w:rsidTr="001D4222">
        <w:tc>
          <w:tcPr>
            <w:tcW w:w="1080" w:type="dxa"/>
          </w:tcPr>
          <w:p w14:paraId="2E9D3C47"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3</w:t>
            </w:r>
          </w:p>
        </w:tc>
        <w:tc>
          <w:tcPr>
            <w:tcW w:w="977" w:type="dxa"/>
          </w:tcPr>
          <w:p w14:paraId="611E3088"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MB</w:t>
            </w:r>
          </w:p>
        </w:tc>
        <w:tc>
          <w:tcPr>
            <w:tcW w:w="670" w:type="dxa"/>
          </w:tcPr>
          <w:p w14:paraId="5E38A8D9"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44</w:t>
            </w:r>
          </w:p>
        </w:tc>
        <w:tc>
          <w:tcPr>
            <w:tcW w:w="1057" w:type="dxa"/>
          </w:tcPr>
          <w:p w14:paraId="3EB265B3"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M</w:t>
            </w:r>
          </w:p>
        </w:tc>
        <w:tc>
          <w:tcPr>
            <w:tcW w:w="1657" w:type="dxa"/>
          </w:tcPr>
          <w:p w14:paraId="5CF447D6"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ACCA</w:t>
            </w:r>
          </w:p>
        </w:tc>
        <w:tc>
          <w:tcPr>
            <w:tcW w:w="1079" w:type="dxa"/>
          </w:tcPr>
          <w:p w14:paraId="2274C558"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Fellow</w:t>
            </w:r>
          </w:p>
        </w:tc>
        <w:tc>
          <w:tcPr>
            <w:tcW w:w="2496" w:type="dxa"/>
          </w:tcPr>
          <w:p w14:paraId="74C38A52"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Audit Partner</w:t>
            </w:r>
          </w:p>
        </w:tc>
      </w:tr>
      <w:tr w:rsidR="00620F22" w:rsidRPr="00620F22" w14:paraId="73EC7501" w14:textId="77777777" w:rsidTr="001D4222">
        <w:tc>
          <w:tcPr>
            <w:tcW w:w="1080" w:type="dxa"/>
          </w:tcPr>
          <w:p w14:paraId="33A1EC9B"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4</w:t>
            </w:r>
          </w:p>
        </w:tc>
        <w:tc>
          <w:tcPr>
            <w:tcW w:w="977" w:type="dxa"/>
          </w:tcPr>
          <w:p w14:paraId="65FECCC6"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BL</w:t>
            </w:r>
          </w:p>
        </w:tc>
        <w:tc>
          <w:tcPr>
            <w:tcW w:w="670" w:type="dxa"/>
          </w:tcPr>
          <w:p w14:paraId="7B02B94B"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67</w:t>
            </w:r>
          </w:p>
        </w:tc>
        <w:tc>
          <w:tcPr>
            <w:tcW w:w="1057" w:type="dxa"/>
          </w:tcPr>
          <w:p w14:paraId="328B6BA2"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M</w:t>
            </w:r>
          </w:p>
        </w:tc>
        <w:tc>
          <w:tcPr>
            <w:tcW w:w="1657" w:type="dxa"/>
          </w:tcPr>
          <w:p w14:paraId="29ACE338"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ACCA</w:t>
            </w:r>
          </w:p>
        </w:tc>
        <w:tc>
          <w:tcPr>
            <w:tcW w:w="1079" w:type="dxa"/>
          </w:tcPr>
          <w:p w14:paraId="6895AC1D"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Fellow</w:t>
            </w:r>
          </w:p>
        </w:tc>
        <w:tc>
          <w:tcPr>
            <w:tcW w:w="2496" w:type="dxa"/>
          </w:tcPr>
          <w:p w14:paraId="50F8CD65"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Subject Matter Expert</w:t>
            </w:r>
          </w:p>
        </w:tc>
      </w:tr>
      <w:tr w:rsidR="00620F22" w:rsidRPr="00620F22" w14:paraId="010A36BB" w14:textId="77777777" w:rsidTr="001D4222">
        <w:tc>
          <w:tcPr>
            <w:tcW w:w="1080" w:type="dxa"/>
          </w:tcPr>
          <w:p w14:paraId="515194FC"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5</w:t>
            </w:r>
          </w:p>
        </w:tc>
        <w:tc>
          <w:tcPr>
            <w:tcW w:w="977" w:type="dxa"/>
          </w:tcPr>
          <w:p w14:paraId="41CD577F"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EE</w:t>
            </w:r>
          </w:p>
        </w:tc>
        <w:tc>
          <w:tcPr>
            <w:tcW w:w="670" w:type="dxa"/>
          </w:tcPr>
          <w:p w14:paraId="7DA275B4"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73</w:t>
            </w:r>
          </w:p>
        </w:tc>
        <w:tc>
          <w:tcPr>
            <w:tcW w:w="1057" w:type="dxa"/>
          </w:tcPr>
          <w:p w14:paraId="5C8A8109"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M</w:t>
            </w:r>
          </w:p>
        </w:tc>
        <w:tc>
          <w:tcPr>
            <w:tcW w:w="1657" w:type="dxa"/>
          </w:tcPr>
          <w:p w14:paraId="48851FD8"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ICAEW</w:t>
            </w:r>
          </w:p>
        </w:tc>
        <w:tc>
          <w:tcPr>
            <w:tcW w:w="1079" w:type="dxa"/>
          </w:tcPr>
          <w:p w14:paraId="362378B0"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Fellow</w:t>
            </w:r>
          </w:p>
        </w:tc>
        <w:tc>
          <w:tcPr>
            <w:tcW w:w="2496" w:type="dxa"/>
          </w:tcPr>
          <w:p w14:paraId="09D9BBE7"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Partner</w:t>
            </w:r>
          </w:p>
        </w:tc>
      </w:tr>
      <w:tr w:rsidR="00620F22" w:rsidRPr="00620F22" w14:paraId="0EEA5983" w14:textId="77777777" w:rsidTr="001D4222">
        <w:tc>
          <w:tcPr>
            <w:tcW w:w="1080" w:type="dxa"/>
          </w:tcPr>
          <w:p w14:paraId="7FE2650B"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6</w:t>
            </w:r>
          </w:p>
        </w:tc>
        <w:tc>
          <w:tcPr>
            <w:tcW w:w="977" w:type="dxa"/>
          </w:tcPr>
          <w:p w14:paraId="2B4B5148"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SW</w:t>
            </w:r>
          </w:p>
        </w:tc>
        <w:tc>
          <w:tcPr>
            <w:tcW w:w="670" w:type="dxa"/>
          </w:tcPr>
          <w:p w14:paraId="037A06F5"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64</w:t>
            </w:r>
          </w:p>
        </w:tc>
        <w:tc>
          <w:tcPr>
            <w:tcW w:w="1057" w:type="dxa"/>
          </w:tcPr>
          <w:p w14:paraId="7B69A9A3"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M</w:t>
            </w:r>
          </w:p>
        </w:tc>
        <w:tc>
          <w:tcPr>
            <w:tcW w:w="1657" w:type="dxa"/>
          </w:tcPr>
          <w:p w14:paraId="1F9DBABE"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 xml:space="preserve">ACCA </w:t>
            </w:r>
          </w:p>
        </w:tc>
        <w:tc>
          <w:tcPr>
            <w:tcW w:w="1079" w:type="dxa"/>
          </w:tcPr>
          <w:p w14:paraId="0111CD7D"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Fellow</w:t>
            </w:r>
          </w:p>
        </w:tc>
        <w:tc>
          <w:tcPr>
            <w:tcW w:w="2496" w:type="dxa"/>
          </w:tcPr>
          <w:p w14:paraId="2304EC4F"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Partner</w:t>
            </w:r>
          </w:p>
        </w:tc>
      </w:tr>
    </w:tbl>
    <w:p w14:paraId="4F78A827" w14:textId="77777777" w:rsidR="00620F22" w:rsidRPr="00620F22" w:rsidRDefault="00620F22" w:rsidP="002734C3">
      <w:pPr>
        <w:spacing w:before="240" w:line="480" w:lineRule="auto"/>
        <w:jc w:val="both"/>
        <w:rPr>
          <w:rFonts w:asciiTheme="minorBidi" w:hAnsiTheme="minorBidi"/>
          <w:color w:val="000000" w:themeColor="text1"/>
        </w:rPr>
      </w:pPr>
    </w:p>
    <w:p w14:paraId="62D7D325" w14:textId="38499652" w:rsidR="00620F22" w:rsidRPr="00620F22" w:rsidRDefault="00620F22" w:rsidP="00620F22">
      <w:pPr>
        <w:spacing w:before="240" w:line="480" w:lineRule="auto"/>
        <w:jc w:val="both"/>
        <w:rPr>
          <w:rFonts w:ascii="Arial" w:hAnsi="Arial" w:cs="Arial"/>
          <w:color w:val="000000" w:themeColor="text1"/>
        </w:rPr>
      </w:pPr>
      <w:r w:rsidRPr="00620F22">
        <w:rPr>
          <w:rFonts w:ascii="Arial" w:hAnsi="Arial" w:cs="Arial"/>
          <w:color w:val="000000" w:themeColor="text1"/>
        </w:rPr>
        <w:t xml:space="preserve">All the sample are professionally qualified, at the upper echelons of the profession and even the Subject Matter Expert was an Audit Manager before they transitioned to academia. The average age of the sample is 59 which suggests that they are highly experienced and remain actively involved in the coal face of the profession, consequently, the </w:t>
      </w:r>
      <w:r w:rsidR="003A1E86">
        <w:rPr>
          <w:rFonts w:ascii="Arial" w:hAnsi="Arial" w:cs="Arial"/>
          <w:color w:val="000000" w:themeColor="text1"/>
        </w:rPr>
        <w:t>researcher</w:t>
      </w:r>
      <w:r w:rsidRPr="00620F22">
        <w:rPr>
          <w:rFonts w:ascii="Arial" w:hAnsi="Arial" w:cs="Arial"/>
          <w:color w:val="000000" w:themeColor="text1"/>
        </w:rPr>
        <w:t xml:space="preserve"> believes this is a robust and reflective sample of external auditors. </w:t>
      </w:r>
    </w:p>
    <w:p w14:paraId="6EE048C7" w14:textId="44FBE926" w:rsidR="002734C3" w:rsidRPr="00620F22" w:rsidRDefault="00620F22" w:rsidP="00DE3122">
      <w:pPr>
        <w:spacing w:before="240" w:line="480" w:lineRule="auto"/>
        <w:jc w:val="both"/>
        <w:rPr>
          <w:rFonts w:ascii="Arial" w:hAnsi="Arial" w:cs="Arial"/>
          <w:color w:val="000000" w:themeColor="text1"/>
        </w:rPr>
      </w:pPr>
      <w:r w:rsidRPr="00620F22">
        <w:rPr>
          <w:rFonts w:ascii="Arial" w:hAnsi="Arial" w:cs="Arial"/>
          <w:color w:val="000000" w:themeColor="text1"/>
        </w:rPr>
        <w:t xml:space="preserve">In the next section the </w:t>
      </w:r>
      <w:bookmarkStart w:id="730" w:name="_Hlk173599737"/>
      <w:r w:rsidR="003A1E86">
        <w:rPr>
          <w:rFonts w:ascii="Arial" w:hAnsi="Arial" w:cs="Arial"/>
          <w:color w:val="000000" w:themeColor="text1"/>
        </w:rPr>
        <w:t>researcher</w:t>
      </w:r>
      <w:bookmarkEnd w:id="730"/>
      <w:r w:rsidRPr="00620F22">
        <w:rPr>
          <w:rFonts w:ascii="Arial" w:hAnsi="Arial" w:cs="Arial"/>
          <w:color w:val="000000" w:themeColor="text1"/>
        </w:rPr>
        <w:t xml:space="preserve"> will attempt to highlight the major themes and findings in the Corporate Psychopath Accountant section.</w:t>
      </w:r>
    </w:p>
    <w:bookmarkStart w:id="731" w:name="D99"/>
    <w:p w14:paraId="00FA60BC" w14:textId="10D7574D" w:rsidR="00620F22" w:rsidRPr="00AB31CC" w:rsidRDefault="00481229" w:rsidP="00AB31CC">
      <w:pPr>
        <w:pBdr>
          <w:top w:val="single" w:sz="4" w:space="1" w:color="auto"/>
          <w:left w:val="single" w:sz="4" w:space="4" w:color="auto"/>
          <w:bottom w:val="single" w:sz="4" w:space="1" w:color="auto"/>
          <w:right w:val="single" w:sz="4" w:space="4" w:color="auto"/>
        </w:pBdr>
        <w:spacing w:line="240" w:lineRule="auto"/>
        <w:jc w:val="both"/>
        <w:rPr>
          <w:rFonts w:ascii="Arial" w:eastAsia="Times New Roman" w:hAnsi="Arial" w:cs="Arial"/>
          <w:b/>
          <w:bCs/>
          <w:color w:val="467886" w:themeColor="hyperlink"/>
          <w:u w:val="single"/>
          <w:lang w:eastAsia="en-GB"/>
        </w:rPr>
      </w:pPr>
      <w:r>
        <w:rPr>
          <w:rFonts w:ascii="Arial" w:eastAsia="Times New Roman" w:hAnsi="Arial" w:cs="Arial"/>
          <w:b/>
          <w:bCs/>
          <w:lang w:eastAsia="en-GB"/>
        </w:rPr>
        <w:lastRenderedPageBreak/>
        <w:fldChar w:fldCharType="begin"/>
      </w:r>
      <w:r>
        <w:rPr>
          <w:rFonts w:ascii="Arial" w:eastAsia="Times New Roman" w:hAnsi="Arial" w:cs="Arial"/>
          <w:b/>
          <w:bCs/>
          <w:lang w:eastAsia="en-GB"/>
        </w:rPr>
        <w:instrText>HYPERLINK  \l "C99"</w:instrText>
      </w:r>
      <w:r>
        <w:rPr>
          <w:rFonts w:ascii="Arial" w:eastAsia="Times New Roman" w:hAnsi="Arial" w:cs="Arial"/>
          <w:b/>
          <w:bCs/>
          <w:lang w:eastAsia="en-GB"/>
        </w:rPr>
      </w:r>
      <w:r>
        <w:rPr>
          <w:rFonts w:ascii="Arial" w:eastAsia="Times New Roman" w:hAnsi="Arial" w:cs="Arial"/>
          <w:b/>
          <w:bCs/>
          <w:lang w:eastAsia="en-GB"/>
        </w:rPr>
        <w:fldChar w:fldCharType="separate"/>
      </w:r>
      <w:r w:rsidR="00620F22" w:rsidRPr="00481229">
        <w:rPr>
          <w:rStyle w:val="Hyperlink"/>
          <w:rFonts w:ascii="Arial" w:eastAsia="Times New Roman" w:hAnsi="Arial" w:cs="Arial"/>
          <w:b/>
          <w:bCs/>
          <w:lang w:eastAsia="en-GB"/>
        </w:rPr>
        <w:t>4.3.2 Corporate Psychopath Accountant</w:t>
      </w:r>
      <w:r>
        <w:rPr>
          <w:rFonts w:ascii="Arial" w:eastAsia="Times New Roman" w:hAnsi="Arial" w:cs="Arial"/>
          <w:b/>
          <w:bCs/>
          <w:lang w:eastAsia="en-GB"/>
        </w:rPr>
        <w:fldChar w:fldCharType="end"/>
      </w:r>
    </w:p>
    <w:bookmarkEnd w:id="731"/>
    <w:p w14:paraId="205DBBBB" w14:textId="77777777" w:rsidR="00620F22" w:rsidRPr="00620F22" w:rsidRDefault="00620F22" w:rsidP="00620F22">
      <w:pPr>
        <w:spacing w:before="240" w:line="480" w:lineRule="auto"/>
        <w:jc w:val="both"/>
        <w:rPr>
          <w:rFonts w:ascii="Arial" w:hAnsi="Arial" w:cs="Arial"/>
          <w:color w:val="000000" w:themeColor="text1"/>
        </w:rPr>
      </w:pPr>
      <w:r w:rsidRPr="00620F22">
        <w:rPr>
          <w:rFonts w:ascii="Arial" w:hAnsi="Arial" w:cs="Arial"/>
          <w:color w:val="000000" w:themeColor="text1"/>
        </w:rPr>
        <w:t>The following questions were asked including a summary of key findings:</w:t>
      </w:r>
    </w:p>
    <w:p w14:paraId="46F7A796" w14:textId="77777777" w:rsidR="00620F22" w:rsidRPr="00620F22" w:rsidRDefault="00620F22">
      <w:pPr>
        <w:numPr>
          <w:ilvl w:val="0"/>
          <w:numId w:val="26"/>
        </w:numPr>
        <w:autoSpaceDE w:val="0"/>
        <w:autoSpaceDN w:val="0"/>
        <w:adjustRightInd w:val="0"/>
        <w:spacing w:after="0" w:line="480" w:lineRule="auto"/>
        <w:ind w:hanging="720"/>
        <w:jc w:val="both"/>
        <w:rPr>
          <w:rFonts w:ascii="Arial" w:hAnsi="Arial" w:cs="Arial"/>
          <w:b/>
          <w:bCs/>
          <w:color w:val="000000" w:themeColor="text1"/>
        </w:rPr>
      </w:pPr>
      <w:r w:rsidRPr="00620F22">
        <w:rPr>
          <w:rFonts w:ascii="Arial" w:hAnsi="Arial" w:cs="Arial"/>
          <w:b/>
          <w:bCs/>
          <w:color w:val="000000" w:themeColor="text1"/>
        </w:rPr>
        <w:t xml:space="preserve">In your career as an auditor, have you ever worked with clients where senior finance / accounting managers displayed psychopathic qualities or traits? If yes, do you recall how many cases? </w:t>
      </w:r>
    </w:p>
    <w:p w14:paraId="25E502BE"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p>
    <w:tbl>
      <w:tblPr>
        <w:tblStyle w:val="TableGrid1"/>
        <w:tblW w:w="9214" w:type="dxa"/>
        <w:tblInd w:w="-5" w:type="dxa"/>
        <w:tblLook w:val="04A0" w:firstRow="1" w:lastRow="0" w:firstColumn="1" w:lastColumn="0" w:noHBand="0" w:noVBand="1"/>
      </w:tblPr>
      <w:tblGrid>
        <w:gridCol w:w="4240"/>
        <w:gridCol w:w="4974"/>
      </w:tblGrid>
      <w:tr w:rsidR="00620F22" w:rsidRPr="00620F22" w14:paraId="7763166E" w14:textId="77777777" w:rsidTr="0011227D">
        <w:tc>
          <w:tcPr>
            <w:tcW w:w="4240" w:type="dxa"/>
          </w:tcPr>
          <w:p w14:paraId="5DA6FBB4" w14:textId="77777777" w:rsidR="00620F22" w:rsidRPr="00620F22" w:rsidRDefault="00620F22" w:rsidP="002734C3">
            <w:pPr>
              <w:autoSpaceDE w:val="0"/>
              <w:autoSpaceDN w:val="0"/>
              <w:adjustRightInd w:val="0"/>
              <w:spacing w:line="480" w:lineRule="auto"/>
              <w:rPr>
                <w:rFonts w:asciiTheme="minorBidi" w:hAnsiTheme="minorBidi"/>
                <w:b/>
                <w:bCs/>
                <w:sz w:val="24"/>
                <w:szCs w:val="24"/>
              </w:rPr>
            </w:pPr>
            <w:r w:rsidRPr="00620F22">
              <w:rPr>
                <w:rFonts w:asciiTheme="minorBidi" w:hAnsiTheme="minorBidi"/>
                <w:b/>
                <w:bCs/>
                <w:sz w:val="24"/>
                <w:szCs w:val="24"/>
              </w:rPr>
              <w:t>PARTICIPANT</w:t>
            </w:r>
          </w:p>
        </w:tc>
        <w:tc>
          <w:tcPr>
            <w:tcW w:w="4974" w:type="dxa"/>
          </w:tcPr>
          <w:p w14:paraId="6A130992" w14:textId="77777777" w:rsidR="00620F22" w:rsidRPr="00620F22" w:rsidRDefault="00620F22" w:rsidP="002734C3">
            <w:pPr>
              <w:autoSpaceDE w:val="0"/>
              <w:autoSpaceDN w:val="0"/>
              <w:adjustRightInd w:val="0"/>
              <w:spacing w:line="480" w:lineRule="auto"/>
              <w:rPr>
                <w:rFonts w:asciiTheme="minorBidi" w:hAnsiTheme="minorBidi"/>
                <w:b/>
                <w:bCs/>
                <w:sz w:val="24"/>
                <w:szCs w:val="24"/>
              </w:rPr>
            </w:pPr>
            <w:r w:rsidRPr="00620F22">
              <w:rPr>
                <w:rFonts w:asciiTheme="minorBidi" w:hAnsiTheme="minorBidi"/>
                <w:b/>
                <w:bCs/>
                <w:sz w:val="24"/>
                <w:szCs w:val="24"/>
              </w:rPr>
              <w:t>Themes</w:t>
            </w:r>
          </w:p>
        </w:tc>
      </w:tr>
      <w:tr w:rsidR="00620F22" w:rsidRPr="00620F22" w14:paraId="56342FE6" w14:textId="77777777" w:rsidTr="0011227D">
        <w:tc>
          <w:tcPr>
            <w:tcW w:w="4240" w:type="dxa"/>
          </w:tcPr>
          <w:p w14:paraId="2F60657C"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1</w:t>
            </w:r>
          </w:p>
        </w:tc>
        <w:tc>
          <w:tcPr>
            <w:tcW w:w="4974" w:type="dxa"/>
          </w:tcPr>
          <w:p w14:paraId="202212B3"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Yes, 6</w:t>
            </w:r>
          </w:p>
        </w:tc>
      </w:tr>
      <w:tr w:rsidR="00620F22" w:rsidRPr="00620F22" w14:paraId="3E509B14" w14:textId="77777777" w:rsidTr="0011227D">
        <w:tc>
          <w:tcPr>
            <w:tcW w:w="4240" w:type="dxa"/>
          </w:tcPr>
          <w:p w14:paraId="2B1E6059"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2</w:t>
            </w:r>
          </w:p>
        </w:tc>
        <w:tc>
          <w:tcPr>
            <w:tcW w:w="4974" w:type="dxa"/>
          </w:tcPr>
          <w:p w14:paraId="47630F59"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Yes, 3</w:t>
            </w:r>
          </w:p>
        </w:tc>
      </w:tr>
      <w:tr w:rsidR="00620F22" w:rsidRPr="00620F22" w14:paraId="364CF590" w14:textId="77777777" w:rsidTr="0011227D">
        <w:tc>
          <w:tcPr>
            <w:tcW w:w="4240" w:type="dxa"/>
          </w:tcPr>
          <w:p w14:paraId="355A2EA0"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3</w:t>
            </w:r>
          </w:p>
        </w:tc>
        <w:tc>
          <w:tcPr>
            <w:tcW w:w="4974" w:type="dxa"/>
          </w:tcPr>
          <w:p w14:paraId="5FBB7A3A"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Yes, 3</w:t>
            </w:r>
          </w:p>
        </w:tc>
      </w:tr>
      <w:tr w:rsidR="00620F22" w:rsidRPr="00620F22" w14:paraId="2F61A6DD" w14:textId="77777777" w:rsidTr="0011227D">
        <w:tc>
          <w:tcPr>
            <w:tcW w:w="4240" w:type="dxa"/>
          </w:tcPr>
          <w:p w14:paraId="41755DC5"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4</w:t>
            </w:r>
          </w:p>
        </w:tc>
        <w:tc>
          <w:tcPr>
            <w:tcW w:w="4974" w:type="dxa"/>
          </w:tcPr>
          <w:p w14:paraId="4E9B1AD8"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Yes, 3</w:t>
            </w:r>
          </w:p>
        </w:tc>
      </w:tr>
      <w:tr w:rsidR="00620F22" w:rsidRPr="00620F22" w14:paraId="0B89DDD2" w14:textId="77777777" w:rsidTr="0011227D">
        <w:tc>
          <w:tcPr>
            <w:tcW w:w="4240" w:type="dxa"/>
          </w:tcPr>
          <w:p w14:paraId="504B3052"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5</w:t>
            </w:r>
          </w:p>
        </w:tc>
        <w:tc>
          <w:tcPr>
            <w:tcW w:w="4974" w:type="dxa"/>
          </w:tcPr>
          <w:p w14:paraId="6F8990EE"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No, 0</w:t>
            </w:r>
          </w:p>
        </w:tc>
      </w:tr>
      <w:tr w:rsidR="00620F22" w:rsidRPr="00620F22" w14:paraId="549A26A3" w14:textId="77777777" w:rsidTr="0011227D">
        <w:tc>
          <w:tcPr>
            <w:tcW w:w="4240" w:type="dxa"/>
          </w:tcPr>
          <w:p w14:paraId="430F6F5F"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6</w:t>
            </w:r>
          </w:p>
        </w:tc>
        <w:tc>
          <w:tcPr>
            <w:tcW w:w="4974" w:type="dxa"/>
          </w:tcPr>
          <w:p w14:paraId="42305E30" w14:textId="77777777" w:rsidR="00620F22" w:rsidRPr="00620F22" w:rsidRDefault="00620F22" w:rsidP="002734C3">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Yes, 2</w:t>
            </w:r>
          </w:p>
        </w:tc>
      </w:tr>
    </w:tbl>
    <w:p w14:paraId="38C914D4"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p>
    <w:p w14:paraId="1530EC26"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 xml:space="preserve">All the participants except for one interviewee, number five, </w:t>
      </w:r>
      <w:r w:rsidRPr="00620F22">
        <w:rPr>
          <w:rFonts w:ascii="Arial" w:hAnsi="Arial" w:cs="Arial"/>
          <w:b/>
          <w:bCs/>
          <w:color w:val="000000" w:themeColor="text1"/>
        </w:rPr>
        <w:t xml:space="preserve">could clearly recollect cases, on average 2.8 or 3 per participant, during their careers where senior finance / accounting managers displayed psychopathic qualities or traits. </w:t>
      </w:r>
      <w:r w:rsidRPr="00620F22">
        <w:rPr>
          <w:rFonts w:ascii="Arial" w:hAnsi="Arial" w:cs="Arial"/>
          <w:color w:val="000000" w:themeColor="text1"/>
        </w:rPr>
        <w:t xml:space="preserve">All five went into depth and perhaps participant five was reluctant to share such information which could fall into public domain and damage his reputation and livelihood although all interviewees were assured of complete anonymity. </w:t>
      </w:r>
    </w:p>
    <w:p w14:paraId="48D49B05" w14:textId="77777777" w:rsidR="00620F22" w:rsidRPr="00620F22" w:rsidRDefault="00620F22" w:rsidP="00620F22">
      <w:pPr>
        <w:autoSpaceDE w:val="0"/>
        <w:autoSpaceDN w:val="0"/>
        <w:adjustRightInd w:val="0"/>
        <w:spacing w:after="0" w:line="480" w:lineRule="auto"/>
        <w:jc w:val="both"/>
        <w:rPr>
          <w:rFonts w:ascii="Arial" w:hAnsi="Arial" w:cs="Arial"/>
          <w:b/>
          <w:bCs/>
          <w:color w:val="000000" w:themeColor="text1"/>
        </w:rPr>
      </w:pPr>
    </w:p>
    <w:p w14:paraId="1F4BF240" w14:textId="77777777" w:rsidR="00620F22" w:rsidRPr="00620F22" w:rsidRDefault="00620F22">
      <w:pPr>
        <w:numPr>
          <w:ilvl w:val="0"/>
          <w:numId w:val="26"/>
        </w:numPr>
        <w:autoSpaceDE w:val="0"/>
        <w:autoSpaceDN w:val="0"/>
        <w:adjustRightInd w:val="0"/>
        <w:spacing w:after="0" w:line="480" w:lineRule="auto"/>
        <w:ind w:hanging="720"/>
        <w:jc w:val="both"/>
        <w:rPr>
          <w:rFonts w:ascii="Arial" w:hAnsi="Arial" w:cs="Arial"/>
          <w:b/>
          <w:bCs/>
          <w:color w:val="000000" w:themeColor="text1"/>
        </w:rPr>
      </w:pPr>
      <w:r w:rsidRPr="00620F22">
        <w:rPr>
          <w:rFonts w:ascii="Arial" w:hAnsi="Arial" w:cs="Arial"/>
          <w:b/>
          <w:bCs/>
          <w:color w:val="000000" w:themeColor="text1"/>
        </w:rPr>
        <w:t xml:space="preserve">What was the age range / age, gender, position, and industry profiles of the corporate psychopaths that you encountered?  </w:t>
      </w:r>
    </w:p>
    <w:p w14:paraId="3F994D27" w14:textId="77777777" w:rsidR="00620F22" w:rsidRPr="00620F22" w:rsidRDefault="00620F22" w:rsidP="00620F22">
      <w:pPr>
        <w:autoSpaceDE w:val="0"/>
        <w:autoSpaceDN w:val="0"/>
        <w:adjustRightInd w:val="0"/>
        <w:spacing w:after="0" w:line="480" w:lineRule="auto"/>
        <w:ind w:left="720"/>
        <w:jc w:val="both"/>
        <w:rPr>
          <w:rFonts w:ascii="Arial" w:hAnsi="Arial" w:cs="Arial"/>
          <w:color w:val="000000" w:themeColor="text1"/>
        </w:rPr>
      </w:pPr>
    </w:p>
    <w:tbl>
      <w:tblPr>
        <w:tblStyle w:val="TableGrid1"/>
        <w:tblW w:w="9072" w:type="dxa"/>
        <w:tblInd w:w="-5" w:type="dxa"/>
        <w:tblLook w:val="04A0" w:firstRow="1" w:lastRow="0" w:firstColumn="1" w:lastColumn="0" w:noHBand="0" w:noVBand="1"/>
      </w:tblPr>
      <w:tblGrid>
        <w:gridCol w:w="4230"/>
        <w:gridCol w:w="4842"/>
      </w:tblGrid>
      <w:tr w:rsidR="00620F22" w:rsidRPr="00620F22" w14:paraId="25D8B569" w14:textId="77777777" w:rsidTr="0011227D">
        <w:tc>
          <w:tcPr>
            <w:tcW w:w="4230" w:type="dxa"/>
          </w:tcPr>
          <w:p w14:paraId="7731AB14" w14:textId="77777777" w:rsidR="00620F22" w:rsidRPr="00620F22" w:rsidRDefault="00620F22" w:rsidP="002C2B04">
            <w:pPr>
              <w:autoSpaceDE w:val="0"/>
              <w:autoSpaceDN w:val="0"/>
              <w:adjustRightInd w:val="0"/>
              <w:spacing w:line="480" w:lineRule="auto"/>
              <w:rPr>
                <w:rFonts w:asciiTheme="minorBidi" w:hAnsiTheme="minorBidi"/>
                <w:b/>
                <w:bCs/>
                <w:sz w:val="24"/>
                <w:szCs w:val="24"/>
              </w:rPr>
            </w:pPr>
            <w:r w:rsidRPr="00620F22">
              <w:rPr>
                <w:rFonts w:asciiTheme="minorBidi" w:hAnsiTheme="minorBidi"/>
                <w:b/>
                <w:bCs/>
                <w:sz w:val="24"/>
                <w:szCs w:val="24"/>
              </w:rPr>
              <w:lastRenderedPageBreak/>
              <w:t>PARTICIPANT</w:t>
            </w:r>
          </w:p>
        </w:tc>
        <w:tc>
          <w:tcPr>
            <w:tcW w:w="4842" w:type="dxa"/>
          </w:tcPr>
          <w:p w14:paraId="477D1D45" w14:textId="77777777" w:rsidR="00620F22" w:rsidRPr="00620F22" w:rsidRDefault="00620F22" w:rsidP="002C2B04">
            <w:pPr>
              <w:autoSpaceDE w:val="0"/>
              <w:autoSpaceDN w:val="0"/>
              <w:adjustRightInd w:val="0"/>
              <w:spacing w:line="480" w:lineRule="auto"/>
              <w:rPr>
                <w:rFonts w:asciiTheme="minorBidi" w:hAnsiTheme="minorBidi"/>
                <w:b/>
                <w:bCs/>
                <w:sz w:val="24"/>
                <w:szCs w:val="24"/>
              </w:rPr>
            </w:pPr>
            <w:r w:rsidRPr="00620F22">
              <w:rPr>
                <w:rFonts w:asciiTheme="minorBidi" w:hAnsiTheme="minorBidi"/>
                <w:b/>
                <w:bCs/>
                <w:sz w:val="24"/>
                <w:szCs w:val="24"/>
              </w:rPr>
              <w:t>Themes</w:t>
            </w:r>
          </w:p>
        </w:tc>
      </w:tr>
      <w:tr w:rsidR="00620F22" w:rsidRPr="00620F22" w14:paraId="38FB50F7" w14:textId="77777777" w:rsidTr="0011227D">
        <w:tc>
          <w:tcPr>
            <w:tcW w:w="4230" w:type="dxa"/>
          </w:tcPr>
          <w:p w14:paraId="05B452B7" w14:textId="77777777" w:rsidR="00620F22" w:rsidRPr="00620F22" w:rsidRDefault="00620F22" w:rsidP="002C2B04">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1</w:t>
            </w:r>
          </w:p>
        </w:tc>
        <w:tc>
          <w:tcPr>
            <w:tcW w:w="4842" w:type="dxa"/>
          </w:tcPr>
          <w:p w14:paraId="71D5FA96" w14:textId="77777777" w:rsidR="00620F22" w:rsidRPr="00620F22" w:rsidRDefault="00620F22" w:rsidP="002C2B04">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White / Male / 50-60 years, Senior Manager / Finance Director, Shipping, OMB, Listed (AIM)</w:t>
            </w:r>
          </w:p>
        </w:tc>
      </w:tr>
      <w:tr w:rsidR="00620F22" w:rsidRPr="00620F22" w14:paraId="11B4A6A3" w14:textId="77777777" w:rsidTr="0011227D">
        <w:tc>
          <w:tcPr>
            <w:tcW w:w="4230" w:type="dxa"/>
          </w:tcPr>
          <w:p w14:paraId="1C5DF2F8" w14:textId="77777777" w:rsidR="00620F22" w:rsidRPr="00620F22" w:rsidRDefault="00620F22" w:rsidP="002C2B04">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2</w:t>
            </w:r>
          </w:p>
        </w:tc>
        <w:tc>
          <w:tcPr>
            <w:tcW w:w="4842" w:type="dxa"/>
          </w:tcPr>
          <w:p w14:paraId="5B3EC266" w14:textId="77777777" w:rsidR="00620F22" w:rsidRPr="00620F22" w:rsidRDefault="00620F22" w:rsidP="002C2B04">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White / Male / 35-50 years, Senior Manager / FD, FMCG, OMB, Listed (AIM)</w:t>
            </w:r>
          </w:p>
        </w:tc>
      </w:tr>
      <w:tr w:rsidR="00620F22" w:rsidRPr="00620F22" w14:paraId="02C6EE70" w14:textId="77777777" w:rsidTr="0011227D">
        <w:tc>
          <w:tcPr>
            <w:tcW w:w="4230" w:type="dxa"/>
          </w:tcPr>
          <w:p w14:paraId="5A697E0D" w14:textId="77777777" w:rsidR="00620F22" w:rsidRPr="00620F22" w:rsidRDefault="00620F22" w:rsidP="002C2B04">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3</w:t>
            </w:r>
          </w:p>
        </w:tc>
        <w:tc>
          <w:tcPr>
            <w:tcW w:w="4842" w:type="dxa"/>
          </w:tcPr>
          <w:p w14:paraId="1C159377" w14:textId="77777777" w:rsidR="00620F22" w:rsidRPr="00620F22" w:rsidRDefault="00620F22" w:rsidP="002C2B04">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 xml:space="preserve">White / Male / 40-50 years, OMB, Not for Profit </w:t>
            </w:r>
          </w:p>
        </w:tc>
      </w:tr>
      <w:tr w:rsidR="00620F22" w:rsidRPr="00620F22" w14:paraId="257315B1" w14:textId="77777777" w:rsidTr="0011227D">
        <w:tc>
          <w:tcPr>
            <w:tcW w:w="4230" w:type="dxa"/>
          </w:tcPr>
          <w:p w14:paraId="24B5E6A0" w14:textId="77777777" w:rsidR="00620F22" w:rsidRPr="00620F22" w:rsidRDefault="00620F22" w:rsidP="002C2B04">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4</w:t>
            </w:r>
          </w:p>
        </w:tc>
        <w:tc>
          <w:tcPr>
            <w:tcW w:w="4842" w:type="dxa"/>
          </w:tcPr>
          <w:p w14:paraId="715D5AD8" w14:textId="77777777" w:rsidR="00620F22" w:rsidRPr="00620F22" w:rsidRDefault="00620F22" w:rsidP="002C2B04">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White / Male / Female / 40-50 years, Senior Manager / FD, Listed, OMB</w:t>
            </w:r>
          </w:p>
        </w:tc>
      </w:tr>
      <w:tr w:rsidR="00620F22" w:rsidRPr="00620F22" w14:paraId="7DBCC053" w14:textId="77777777" w:rsidTr="0011227D">
        <w:tc>
          <w:tcPr>
            <w:tcW w:w="4230" w:type="dxa"/>
          </w:tcPr>
          <w:p w14:paraId="4B13FFA4" w14:textId="77777777" w:rsidR="00620F22" w:rsidRPr="00620F22" w:rsidRDefault="00620F22" w:rsidP="002C2B04">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5</w:t>
            </w:r>
          </w:p>
        </w:tc>
        <w:tc>
          <w:tcPr>
            <w:tcW w:w="4842" w:type="dxa"/>
          </w:tcPr>
          <w:p w14:paraId="59431656" w14:textId="77777777" w:rsidR="00620F22" w:rsidRPr="00620F22" w:rsidRDefault="00620F22" w:rsidP="002C2B04">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N/A</w:t>
            </w:r>
          </w:p>
        </w:tc>
      </w:tr>
      <w:tr w:rsidR="00620F22" w:rsidRPr="00620F22" w14:paraId="52323934" w14:textId="77777777" w:rsidTr="0011227D">
        <w:tc>
          <w:tcPr>
            <w:tcW w:w="4230" w:type="dxa"/>
          </w:tcPr>
          <w:p w14:paraId="4D2B1D3F" w14:textId="77777777" w:rsidR="00620F22" w:rsidRPr="00620F22" w:rsidRDefault="00620F22" w:rsidP="002C2B04">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6</w:t>
            </w:r>
          </w:p>
        </w:tc>
        <w:tc>
          <w:tcPr>
            <w:tcW w:w="4842" w:type="dxa"/>
          </w:tcPr>
          <w:p w14:paraId="0A0DE5B6" w14:textId="77777777" w:rsidR="00620F22" w:rsidRPr="00620F22" w:rsidRDefault="00620F22" w:rsidP="002C2B04">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White / Male / 50-60 years, Senior Manager / FD, NHS, Large</w:t>
            </w:r>
          </w:p>
        </w:tc>
      </w:tr>
    </w:tbl>
    <w:p w14:paraId="6BC961AB" w14:textId="77777777" w:rsidR="00620F22" w:rsidRPr="00620F22" w:rsidRDefault="00620F22" w:rsidP="002C2B04">
      <w:pPr>
        <w:autoSpaceDE w:val="0"/>
        <w:autoSpaceDN w:val="0"/>
        <w:adjustRightInd w:val="0"/>
        <w:spacing w:after="0" w:line="480" w:lineRule="auto"/>
        <w:jc w:val="both"/>
        <w:rPr>
          <w:rFonts w:asciiTheme="minorBidi" w:hAnsiTheme="minorBidi"/>
          <w:color w:val="000000" w:themeColor="text1"/>
        </w:rPr>
      </w:pPr>
    </w:p>
    <w:p w14:paraId="27B4DEE6" w14:textId="2361AE53"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Corporate psychopathy appears to be a white, middle-age phenomenon ranging from 35 – 60 years, predominantly male with one female example that was experienced by the participants. The full range of industries ranging from the public, private including Owner Managed Businesses (OMB), listed on the Alternative Investment Market (AIM), maritime and third sector suffer from this phenomenon. Although the</w:t>
      </w:r>
      <w:r w:rsidR="003A1E86">
        <w:rPr>
          <w:rFonts w:ascii="Arial" w:hAnsi="Arial" w:cs="Arial"/>
          <w:color w:val="000000" w:themeColor="text1"/>
        </w:rPr>
        <w:t xml:space="preserve"> researcher</w:t>
      </w:r>
      <w:r w:rsidR="003A1E86" w:rsidRPr="00620F22">
        <w:rPr>
          <w:rFonts w:ascii="Arial" w:hAnsi="Arial" w:cs="Arial"/>
          <w:color w:val="000000" w:themeColor="text1"/>
        </w:rPr>
        <w:t xml:space="preserve"> </w:t>
      </w:r>
      <w:r w:rsidRPr="00620F22">
        <w:rPr>
          <w:rFonts w:ascii="Arial" w:hAnsi="Arial" w:cs="Arial"/>
          <w:color w:val="000000" w:themeColor="text1"/>
        </w:rPr>
        <w:t xml:space="preserve">did not manage to interview an auditor from the BIG 4 however, based on the feedback from this sample we can hypothesise that Corporate Psychopaths or Corporate Psychopath Accountants will undoubtedly present in large multinationals and Public Listed Companies such as on the FTSE 100. </w:t>
      </w:r>
    </w:p>
    <w:p w14:paraId="60D7E81B" w14:textId="77777777" w:rsidR="00620F22" w:rsidRDefault="00620F22" w:rsidP="00620F22">
      <w:pPr>
        <w:autoSpaceDE w:val="0"/>
        <w:autoSpaceDN w:val="0"/>
        <w:adjustRightInd w:val="0"/>
        <w:spacing w:after="0" w:line="480" w:lineRule="auto"/>
        <w:jc w:val="both"/>
        <w:rPr>
          <w:rFonts w:ascii="Arial" w:hAnsi="Arial" w:cs="Arial"/>
          <w:color w:val="000000" w:themeColor="text1"/>
        </w:rPr>
      </w:pPr>
    </w:p>
    <w:p w14:paraId="09ADD943" w14:textId="77777777" w:rsidR="0011227D" w:rsidRPr="00620F22" w:rsidRDefault="0011227D" w:rsidP="00620F22">
      <w:pPr>
        <w:autoSpaceDE w:val="0"/>
        <w:autoSpaceDN w:val="0"/>
        <w:adjustRightInd w:val="0"/>
        <w:spacing w:after="0" w:line="480" w:lineRule="auto"/>
        <w:jc w:val="both"/>
        <w:rPr>
          <w:rFonts w:ascii="Arial" w:hAnsi="Arial" w:cs="Arial"/>
          <w:color w:val="000000" w:themeColor="text1"/>
        </w:rPr>
      </w:pPr>
    </w:p>
    <w:p w14:paraId="55F049BF" w14:textId="77777777" w:rsidR="00620F22" w:rsidRPr="00620F22" w:rsidRDefault="00620F22">
      <w:pPr>
        <w:numPr>
          <w:ilvl w:val="0"/>
          <w:numId w:val="26"/>
        </w:numPr>
        <w:autoSpaceDE w:val="0"/>
        <w:autoSpaceDN w:val="0"/>
        <w:adjustRightInd w:val="0"/>
        <w:spacing w:after="0" w:line="480" w:lineRule="auto"/>
        <w:ind w:hanging="720"/>
        <w:jc w:val="both"/>
        <w:rPr>
          <w:rFonts w:ascii="Arial" w:hAnsi="Arial" w:cs="Arial"/>
          <w:b/>
          <w:bCs/>
          <w:color w:val="000000" w:themeColor="text1"/>
        </w:rPr>
      </w:pPr>
      <w:r w:rsidRPr="00620F22">
        <w:rPr>
          <w:rFonts w:ascii="Arial" w:hAnsi="Arial" w:cs="Arial"/>
          <w:b/>
          <w:bCs/>
          <w:color w:val="000000" w:themeColor="text1"/>
        </w:rPr>
        <w:lastRenderedPageBreak/>
        <w:t>Do you recall which psychopathic personality traits the person exhibited?</w:t>
      </w:r>
    </w:p>
    <w:p w14:paraId="7E49FA7A" w14:textId="77777777" w:rsidR="00620F22" w:rsidRPr="00620F22" w:rsidRDefault="00620F22" w:rsidP="00620F22">
      <w:pPr>
        <w:autoSpaceDE w:val="0"/>
        <w:autoSpaceDN w:val="0"/>
        <w:adjustRightInd w:val="0"/>
        <w:spacing w:after="0" w:line="480" w:lineRule="auto"/>
        <w:ind w:left="720"/>
        <w:jc w:val="both"/>
        <w:rPr>
          <w:rFonts w:ascii="Arial" w:hAnsi="Arial" w:cs="Arial"/>
          <w:color w:val="000000" w:themeColor="text1"/>
        </w:rPr>
      </w:pPr>
    </w:p>
    <w:tbl>
      <w:tblPr>
        <w:tblStyle w:val="TableGrid1"/>
        <w:tblW w:w="9072" w:type="dxa"/>
        <w:tblInd w:w="-5" w:type="dxa"/>
        <w:tblLook w:val="04A0" w:firstRow="1" w:lastRow="0" w:firstColumn="1" w:lastColumn="0" w:noHBand="0" w:noVBand="1"/>
      </w:tblPr>
      <w:tblGrid>
        <w:gridCol w:w="4192"/>
        <w:gridCol w:w="4880"/>
      </w:tblGrid>
      <w:tr w:rsidR="00620F22" w:rsidRPr="00620F22" w14:paraId="3922D8AC" w14:textId="77777777" w:rsidTr="0011227D">
        <w:tc>
          <w:tcPr>
            <w:tcW w:w="4192" w:type="dxa"/>
          </w:tcPr>
          <w:p w14:paraId="771B0F35" w14:textId="77777777" w:rsidR="00620F22" w:rsidRPr="00620F22" w:rsidRDefault="00620F22" w:rsidP="00E113BA">
            <w:pPr>
              <w:autoSpaceDE w:val="0"/>
              <w:autoSpaceDN w:val="0"/>
              <w:adjustRightInd w:val="0"/>
              <w:spacing w:line="480" w:lineRule="auto"/>
              <w:rPr>
                <w:rFonts w:asciiTheme="minorBidi" w:hAnsiTheme="minorBidi"/>
                <w:b/>
                <w:bCs/>
                <w:sz w:val="24"/>
                <w:szCs w:val="24"/>
              </w:rPr>
            </w:pPr>
            <w:r w:rsidRPr="00620F22">
              <w:rPr>
                <w:rFonts w:asciiTheme="minorBidi" w:hAnsiTheme="minorBidi"/>
                <w:b/>
                <w:bCs/>
                <w:sz w:val="24"/>
                <w:szCs w:val="24"/>
              </w:rPr>
              <w:t>PARTICIPANT</w:t>
            </w:r>
          </w:p>
        </w:tc>
        <w:tc>
          <w:tcPr>
            <w:tcW w:w="4880" w:type="dxa"/>
          </w:tcPr>
          <w:p w14:paraId="64234BE1" w14:textId="77777777" w:rsidR="00620F22" w:rsidRPr="00620F22" w:rsidRDefault="00620F22" w:rsidP="00E113BA">
            <w:pPr>
              <w:autoSpaceDE w:val="0"/>
              <w:autoSpaceDN w:val="0"/>
              <w:adjustRightInd w:val="0"/>
              <w:spacing w:line="480" w:lineRule="auto"/>
              <w:rPr>
                <w:rFonts w:asciiTheme="minorBidi" w:hAnsiTheme="minorBidi"/>
                <w:b/>
                <w:bCs/>
                <w:sz w:val="24"/>
                <w:szCs w:val="24"/>
              </w:rPr>
            </w:pPr>
            <w:r w:rsidRPr="00620F22">
              <w:rPr>
                <w:rFonts w:asciiTheme="minorBidi" w:hAnsiTheme="minorBidi"/>
                <w:b/>
                <w:bCs/>
                <w:sz w:val="24"/>
                <w:szCs w:val="24"/>
              </w:rPr>
              <w:t>Basic Themes</w:t>
            </w:r>
          </w:p>
        </w:tc>
      </w:tr>
      <w:tr w:rsidR="00620F22" w:rsidRPr="00620F22" w14:paraId="64FCC463" w14:textId="77777777" w:rsidTr="0011227D">
        <w:tc>
          <w:tcPr>
            <w:tcW w:w="4192" w:type="dxa"/>
          </w:tcPr>
          <w:p w14:paraId="08DF0179" w14:textId="77777777" w:rsidR="00620F22" w:rsidRPr="00620F22" w:rsidRDefault="00620F22" w:rsidP="00E113BA">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1</w:t>
            </w:r>
          </w:p>
        </w:tc>
        <w:tc>
          <w:tcPr>
            <w:tcW w:w="4880" w:type="dxa"/>
          </w:tcPr>
          <w:p w14:paraId="6E484144" w14:textId="77777777" w:rsidR="00620F22" w:rsidRPr="00620F22" w:rsidRDefault="00620F22" w:rsidP="00E113BA">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 xml:space="preserve">‘Dominant personality’ </w:t>
            </w:r>
          </w:p>
        </w:tc>
      </w:tr>
      <w:tr w:rsidR="00620F22" w:rsidRPr="00620F22" w14:paraId="4356B761" w14:textId="77777777" w:rsidTr="0011227D">
        <w:tc>
          <w:tcPr>
            <w:tcW w:w="4192" w:type="dxa"/>
          </w:tcPr>
          <w:p w14:paraId="5006FF60" w14:textId="77777777" w:rsidR="00620F22" w:rsidRPr="00620F22" w:rsidRDefault="00620F22" w:rsidP="00E113BA">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2</w:t>
            </w:r>
          </w:p>
        </w:tc>
        <w:tc>
          <w:tcPr>
            <w:tcW w:w="4880" w:type="dxa"/>
          </w:tcPr>
          <w:p w14:paraId="377FF7EB" w14:textId="77777777" w:rsidR="00620F22" w:rsidRPr="00620F22" w:rsidRDefault="00620F22" w:rsidP="00E113BA">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‘Mood swings’, ‘Defensive ring of steel’, ‘Push and shove your way to the top’</w:t>
            </w:r>
          </w:p>
        </w:tc>
      </w:tr>
      <w:tr w:rsidR="00620F22" w:rsidRPr="00620F22" w14:paraId="3A0C505D" w14:textId="77777777" w:rsidTr="0011227D">
        <w:tc>
          <w:tcPr>
            <w:tcW w:w="4192" w:type="dxa"/>
          </w:tcPr>
          <w:p w14:paraId="70C5E93D" w14:textId="77777777" w:rsidR="00620F22" w:rsidRPr="00620F22" w:rsidRDefault="00620F22" w:rsidP="00E113BA">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3</w:t>
            </w:r>
          </w:p>
        </w:tc>
        <w:tc>
          <w:tcPr>
            <w:tcW w:w="4880" w:type="dxa"/>
          </w:tcPr>
          <w:p w14:paraId="7391C3AA" w14:textId="77777777" w:rsidR="00620F22" w:rsidRPr="00620F22" w:rsidRDefault="00620F22" w:rsidP="00E113BA">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Lack of empathy, Answer what you want to hear</w:t>
            </w:r>
          </w:p>
        </w:tc>
      </w:tr>
      <w:tr w:rsidR="00620F22" w:rsidRPr="00620F22" w14:paraId="2E50E8AD" w14:textId="77777777" w:rsidTr="0011227D">
        <w:tc>
          <w:tcPr>
            <w:tcW w:w="4192" w:type="dxa"/>
          </w:tcPr>
          <w:p w14:paraId="0573C027" w14:textId="77777777" w:rsidR="00620F22" w:rsidRPr="00620F22" w:rsidRDefault="00620F22" w:rsidP="00E113BA">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4</w:t>
            </w:r>
          </w:p>
        </w:tc>
        <w:tc>
          <w:tcPr>
            <w:tcW w:w="4880" w:type="dxa"/>
          </w:tcPr>
          <w:p w14:paraId="449F4CC5" w14:textId="77777777" w:rsidR="00620F22" w:rsidRPr="00620F22" w:rsidRDefault="00620F22" w:rsidP="00E113BA">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 xml:space="preserve">Very polite, Bullying </w:t>
            </w:r>
          </w:p>
        </w:tc>
      </w:tr>
      <w:tr w:rsidR="00620F22" w:rsidRPr="00620F22" w14:paraId="605D1203" w14:textId="77777777" w:rsidTr="0011227D">
        <w:tc>
          <w:tcPr>
            <w:tcW w:w="4192" w:type="dxa"/>
          </w:tcPr>
          <w:p w14:paraId="70FAF6C8" w14:textId="77777777" w:rsidR="00620F22" w:rsidRPr="00620F22" w:rsidRDefault="00620F22" w:rsidP="00E113BA">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5</w:t>
            </w:r>
          </w:p>
        </w:tc>
        <w:tc>
          <w:tcPr>
            <w:tcW w:w="4880" w:type="dxa"/>
          </w:tcPr>
          <w:p w14:paraId="66DA50DD" w14:textId="77777777" w:rsidR="00620F22" w:rsidRPr="00620F22" w:rsidRDefault="00620F22" w:rsidP="00E113BA">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 xml:space="preserve">My professional scepticism will help me spot them </w:t>
            </w:r>
          </w:p>
        </w:tc>
      </w:tr>
      <w:tr w:rsidR="00620F22" w:rsidRPr="00620F22" w14:paraId="4C10BF11" w14:textId="77777777" w:rsidTr="0011227D">
        <w:tc>
          <w:tcPr>
            <w:tcW w:w="4192" w:type="dxa"/>
          </w:tcPr>
          <w:p w14:paraId="6D88F439" w14:textId="77777777" w:rsidR="00620F22" w:rsidRPr="00620F22" w:rsidRDefault="00620F22" w:rsidP="00E113BA">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6</w:t>
            </w:r>
          </w:p>
        </w:tc>
        <w:tc>
          <w:tcPr>
            <w:tcW w:w="4880" w:type="dxa"/>
          </w:tcPr>
          <w:p w14:paraId="3A0E2791" w14:textId="77777777" w:rsidR="00620F22" w:rsidRPr="00620F22" w:rsidRDefault="00620F22" w:rsidP="00E113BA">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Greed, confidence, lies and technically weak</w:t>
            </w:r>
          </w:p>
        </w:tc>
      </w:tr>
    </w:tbl>
    <w:p w14:paraId="397EBD67" w14:textId="77777777" w:rsidR="00620F22" w:rsidRPr="00620F22" w:rsidRDefault="00620F22" w:rsidP="00620F22">
      <w:pPr>
        <w:autoSpaceDE w:val="0"/>
        <w:autoSpaceDN w:val="0"/>
        <w:adjustRightInd w:val="0"/>
        <w:spacing w:after="0" w:line="480" w:lineRule="auto"/>
        <w:ind w:left="720"/>
        <w:jc w:val="both"/>
        <w:rPr>
          <w:rFonts w:ascii="Arial" w:hAnsi="Arial" w:cs="Arial"/>
          <w:color w:val="000000" w:themeColor="text1"/>
        </w:rPr>
      </w:pPr>
    </w:p>
    <w:p w14:paraId="7A6725AE" w14:textId="06BBAD52" w:rsidR="00AB31CC" w:rsidRPr="00620F22" w:rsidRDefault="00620F22" w:rsidP="00B72DC9">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 xml:space="preserve">It is interesting to note that the first participant mentioned the term ‘Dominant Personality’ which he argued was analogous to a psychopath and in the 1980’s (and early 1990’s) the most appropriate example was Robert Maxwell who wreaked financial havoc. </w:t>
      </w:r>
    </w:p>
    <w:p w14:paraId="5E2237F6"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‘’I think it's widely accepted that Robert Maxwell was a psychopath.</w:t>
      </w:r>
    </w:p>
    <w:p w14:paraId="61C9B93F"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And after what he did in the 80s, lots of lots of things changed in what you were able to do, particularly around funding companies by taking money from pension schemes.’’ (Participant 1)</w:t>
      </w:r>
    </w:p>
    <w:p w14:paraId="02287B37" w14:textId="1E528064" w:rsidR="00620F22" w:rsidRPr="00620F22" w:rsidRDefault="00620F22" w:rsidP="0027303F">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 xml:space="preserve">As per the literature it was noted that a lack of empathy and feigning sincerity such as politeness was observed but there was still overt bullying. </w:t>
      </w:r>
    </w:p>
    <w:p w14:paraId="660B91B1"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lastRenderedPageBreak/>
        <w:t>‘’Participant Six: Strangely he was caring and helped where he could. Like A Jekyll and Hide. ‘’</w:t>
      </w:r>
    </w:p>
    <w:p w14:paraId="64E133A7" w14:textId="77777777" w:rsidR="00620F22" w:rsidRPr="00620F22" w:rsidRDefault="00620F22" w:rsidP="00620F22">
      <w:pPr>
        <w:shd w:val="clear" w:color="auto" w:fill="FAF9F8"/>
        <w:spacing w:after="0" w:line="480" w:lineRule="auto"/>
        <w:jc w:val="both"/>
        <w:rPr>
          <w:rFonts w:ascii="Arial" w:hAnsi="Arial" w:cs="Arial"/>
          <w:b/>
          <w:bCs/>
          <w:color w:val="000000" w:themeColor="text1"/>
        </w:rPr>
      </w:pPr>
    </w:p>
    <w:p w14:paraId="2E878448" w14:textId="77777777" w:rsidR="00620F22" w:rsidRPr="00620F22" w:rsidRDefault="00620F22" w:rsidP="00620F22">
      <w:pPr>
        <w:shd w:val="clear" w:color="auto" w:fill="FAF9F8"/>
        <w:spacing w:after="0"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‘’And my guess there was an element psychopathy as he was very polite on one level but may be just a crazy individual.’’ (Participant 4)</w:t>
      </w:r>
    </w:p>
    <w:p w14:paraId="1FEA863D" w14:textId="77777777" w:rsidR="00620F22" w:rsidRPr="00620F22" w:rsidRDefault="00620F22" w:rsidP="00620F22">
      <w:pPr>
        <w:shd w:val="clear" w:color="auto" w:fill="FAF9F8"/>
        <w:spacing w:after="0" w:line="480" w:lineRule="auto"/>
        <w:jc w:val="both"/>
        <w:rPr>
          <w:rFonts w:ascii="Arial" w:eastAsia="Times New Roman" w:hAnsi="Arial" w:cs="Arial"/>
          <w:b/>
          <w:bCs/>
          <w:color w:val="000000" w:themeColor="text1"/>
          <w:lang w:eastAsia="en-GB"/>
        </w:rPr>
      </w:pPr>
    </w:p>
    <w:p w14:paraId="032CA1F6" w14:textId="77777777" w:rsidR="00620F22" w:rsidRPr="00620F22" w:rsidRDefault="00620F22" w:rsidP="00620F22">
      <w:pPr>
        <w:autoSpaceDE w:val="0"/>
        <w:autoSpaceDN w:val="0"/>
        <w:adjustRightInd w:val="0"/>
        <w:spacing w:after="0" w:line="480" w:lineRule="auto"/>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‘’Severe lack of empathy, severe lack of what you'd say.</w:t>
      </w:r>
    </w:p>
    <w:p w14:paraId="624E1F00" w14:textId="77777777" w:rsidR="00620F22" w:rsidRPr="00620F22" w:rsidRDefault="00620F22" w:rsidP="00620F22">
      <w:pPr>
        <w:autoSpaceDE w:val="0"/>
        <w:autoSpaceDN w:val="0"/>
        <w:adjustRightInd w:val="0"/>
        <w:spacing w:after="0" w:line="480" w:lineRule="auto"/>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Personal awareness, you know. Umm.’’ (Participant 2)</w:t>
      </w:r>
    </w:p>
    <w:p w14:paraId="6A082B86"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 xml:space="preserve">‘’Faisal Sheikh10:42: What's this? It's almost like bullying. </w:t>
      </w:r>
    </w:p>
    <w:p w14:paraId="567AB36E"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 xml:space="preserve">Participant 2: 10:42: It was in effect. Yeah, but it it's like both of the examples was people who just, like, put some sort of shield around themselves.’’ </w:t>
      </w:r>
    </w:p>
    <w:p w14:paraId="3C42778D"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One participant stated that the corporate psychopath was prone to mood swings, and they would put a defensive ring around themselves.</w:t>
      </w:r>
    </w:p>
    <w:p w14:paraId="5CF127F9" w14:textId="47A6C3DC"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 xml:space="preserve">‘’Nobody was allowed to contact him or speak to him during the entire audit process, and he would like, put a </w:t>
      </w:r>
      <w:r w:rsidRPr="00620F22">
        <w:rPr>
          <w:rFonts w:ascii="Arial" w:eastAsia="Times New Roman" w:hAnsi="Arial" w:cs="Arial"/>
          <w:b/>
          <w:bCs/>
          <w:i/>
          <w:iCs/>
          <w:color w:val="000000" w:themeColor="text1"/>
          <w:u w:val="single"/>
          <w:lang w:eastAsia="en-GB"/>
        </w:rPr>
        <w:t>ring of steel around himself</w:t>
      </w:r>
      <w:r w:rsidRPr="00620F22">
        <w:rPr>
          <w:rFonts w:ascii="Arial" w:eastAsia="Times New Roman" w:hAnsi="Arial" w:cs="Arial"/>
          <w:b/>
          <w:bCs/>
          <w:color w:val="000000" w:themeColor="text1"/>
          <w:lang w:eastAsia="en-GB"/>
        </w:rPr>
        <w:t xml:space="preserve"> </w:t>
      </w:r>
      <w:r w:rsidRPr="00620F22">
        <w:rPr>
          <w:rFonts w:ascii="Arial" w:eastAsia="Times New Roman" w:hAnsi="Arial" w:cs="Arial"/>
          <w:color w:val="000000" w:themeColor="text1"/>
          <w:lang w:eastAsia="en-GB"/>
        </w:rPr>
        <w:t xml:space="preserve">(emphasis by </w:t>
      </w:r>
      <w:r w:rsidR="007313F4">
        <w:rPr>
          <w:rFonts w:ascii="Arial" w:hAnsi="Arial" w:cs="Arial"/>
          <w:color w:val="000000" w:themeColor="text1"/>
        </w:rPr>
        <w:t>researcher</w:t>
      </w:r>
      <w:r w:rsidRPr="00620F22">
        <w:rPr>
          <w:rFonts w:ascii="Arial" w:eastAsia="Times New Roman" w:hAnsi="Arial" w:cs="Arial"/>
          <w:color w:val="000000" w:themeColor="text1"/>
          <w:lang w:eastAsia="en-GB"/>
        </w:rPr>
        <w:t>)</w:t>
      </w:r>
      <w:r w:rsidRPr="00620F22">
        <w:rPr>
          <w:rFonts w:ascii="Arial" w:eastAsia="Times New Roman" w:hAnsi="Arial" w:cs="Arial"/>
          <w:b/>
          <w:bCs/>
          <w:color w:val="000000" w:themeColor="text1"/>
          <w:lang w:eastAsia="en-GB"/>
        </w:rPr>
        <w:t xml:space="preserve"> and use his PA, etc, as a line of defence and things like that. Whenever you would see him, and he just sort of blatantly rude.’’ (Participant 2)</w:t>
      </w:r>
    </w:p>
    <w:p w14:paraId="2A976DCD"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 xml:space="preserve">The usual greed, confidence and lies was also highlighted but in one case the senior manager was noted to be technically weak i.e., Poor accounting knowledge. </w:t>
      </w:r>
    </w:p>
    <w:p w14:paraId="0E5C0BFF"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p>
    <w:p w14:paraId="7C44E3CA"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lastRenderedPageBreak/>
        <w:t xml:space="preserve">‘’Participant Six: </w:t>
      </w:r>
      <w:proofErr w:type="gramStart"/>
      <w:r w:rsidRPr="00620F22">
        <w:rPr>
          <w:rFonts w:ascii="Arial" w:hAnsi="Arial" w:cs="Arial"/>
          <w:b/>
          <w:bCs/>
          <w:color w:val="000000" w:themeColor="text1"/>
        </w:rPr>
        <w:t>No</w:t>
      </w:r>
      <w:proofErr w:type="gramEnd"/>
      <w:r w:rsidRPr="00620F22">
        <w:rPr>
          <w:rFonts w:ascii="Arial" w:hAnsi="Arial" w:cs="Arial"/>
          <w:b/>
          <w:bCs/>
          <w:color w:val="000000" w:themeColor="text1"/>
        </w:rPr>
        <w:t xml:space="preserve"> he did not have the skills to do that. He went round saying that the was a Chartered </w:t>
      </w:r>
      <w:proofErr w:type="gramStart"/>
      <w:r w:rsidRPr="00620F22">
        <w:rPr>
          <w:rFonts w:ascii="Arial" w:hAnsi="Arial" w:cs="Arial"/>
          <w:b/>
          <w:bCs/>
          <w:color w:val="000000" w:themeColor="text1"/>
        </w:rPr>
        <w:t>Accountant</w:t>
      </w:r>
      <w:proofErr w:type="gramEnd"/>
      <w:r w:rsidRPr="00620F22">
        <w:rPr>
          <w:rFonts w:ascii="Arial" w:hAnsi="Arial" w:cs="Arial"/>
          <w:b/>
          <w:bCs/>
          <w:color w:val="000000" w:themeColor="text1"/>
        </w:rPr>
        <w:t xml:space="preserve"> but he was a CIPFA! He was technically weak.’’</w:t>
      </w:r>
    </w:p>
    <w:p w14:paraId="79E3B863"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 xml:space="preserve">Perhaps the positive traits such as politeness was a mechanism to conceal deficiencies, thus forcing them to give answers that they perceived to be correct. </w:t>
      </w:r>
    </w:p>
    <w:p w14:paraId="30259F7C"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p>
    <w:p w14:paraId="2E6412B8" w14:textId="77777777" w:rsidR="00620F22" w:rsidRPr="00620F22" w:rsidRDefault="00620F22" w:rsidP="00620F22">
      <w:pPr>
        <w:spacing w:line="480" w:lineRule="auto"/>
        <w:rPr>
          <w:rFonts w:ascii="Arial" w:hAnsi="Arial" w:cs="Arial"/>
          <w:b/>
          <w:bCs/>
          <w:color w:val="000000" w:themeColor="text1"/>
        </w:rPr>
      </w:pPr>
      <w:r w:rsidRPr="00620F22">
        <w:rPr>
          <w:rFonts w:ascii="Arial" w:hAnsi="Arial" w:cs="Arial"/>
          <w:b/>
          <w:bCs/>
          <w:color w:val="000000" w:themeColor="text1"/>
        </w:rPr>
        <w:t>‘’Faisal Sheikh: Looking back at the key actors. Do you believe that the main perpetrator was a psychopath or psychopathic tendencies?</w:t>
      </w:r>
    </w:p>
    <w:p w14:paraId="502ED8F0" w14:textId="77777777" w:rsidR="00620F22" w:rsidRPr="00620F22" w:rsidRDefault="00620F22" w:rsidP="00620F22">
      <w:pPr>
        <w:spacing w:line="480" w:lineRule="auto"/>
        <w:rPr>
          <w:rFonts w:ascii="Arial" w:hAnsi="Arial" w:cs="Arial"/>
          <w:b/>
          <w:bCs/>
          <w:color w:val="000000" w:themeColor="text1"/>
        </w:rPr>
      </w:pPr>
    </w:p>
    <w:p w14:paraId="7C3ED611" w14:textId="68F4DA15" w:rsidR="00AB31CC" w:rsidRDefault="00620F22" w:rsidP="00B72DC9">
      <w:pPr>
        <w:spacing w:line="480" w:lineRule="auto"/>
        <w:rPr>
          <w:rFonts w:ascii="Arial" w:hAnsi="Arial" w:cs="Arial"/>
          <w:b/>
          <w:bCs/>
          <w:color w:val="000000" w:themeColor="text1"/>
        </w:rPr>
      </w:pPr>
      <w:r w:rsidRPr="00620F22">
        <w:rPr>
          <w:rFonts w:ascii="Arial" w:hAnsi="Arial" w:cs="Arial"/>
          <w:b/>
          <w:bCs/>
          <w:color w:val="000000" w:themeColor="text1"/>
        </w:rPr>
        <w:t xml:space="preserve">Participant 6: Oh yes. He was full of himself. Very self-confident and treated us with disdain in the meeting. And his line was ‘prove it’ and denied everything.’’ </w:t>
      </w:r>
    </w:p>
    <w:p w14:paraId="290414B1" w14:textId="77777777" w:rsidR="00B72DC9" w:rsidRPr="00B72DC9" w:rsidRDefault="00B72DC9" w:rsidP="00B72DC9">
      <w:pPr>
        <w:spacing w:line="480" w:lineRule="auto"/>
        <w:rPr>
          <w:rFonts w:ascii="Arial" w:hAnsi="Arial" w:cs="Arial"/>
          <w:b/>
          <w:bCs/>
          <w:color w:val="000000" w:themeColor="text1"/>
        </w:rPr>
      </w:pPr>
    </w:p>
    <w:p w14:paraId="00B56486" w14:textId="77777777" w:rsidR="00620F22" w:rsidRPr="00620F22" w:rsidRDefault="00620F22">
      <w:pPr>
        <w:numPr>
          <w:ilvl w:val="0"/>
          <w:numId w:val="26"/>
        </w:numPr>
        <w:autoSpaceDE w:val="0"/>
        <w:autoSpaceDN w:val="0"/>
        <w:adjustRightInd w:val="0"/>
        <w:spacing w:after="0" w:line="480" w:lineRule="auto"/>
        <w:ind w:hanging="720"/>
        <w:jc w:val="both"/>
        <w:rPr>
          <w:rFonts w:ascii="Arial" w:hAnsi="Arial" w:cs="Arial"/>
          <w:b/>
          <w:bCs/>
          <w:color w:val="000000" w:themeColor="text1"/>
        </w:rPr>
      </w:pPr>
      <w:r w:rsidRPr="00620F22">
        <w:rPr>
          <w:rFonts w:ascii="Arial" w:hAnsi="Arial" w:cs="Arial"/>
          <w:b/>
          <w:bCs/>
          <w:color w:val="000000" w:themeColor="text1"/>
        </w:rPr>
        <w:t>Did the identified Corporate Psychopath Accountant affect the audit? If yes, how?</w:t>
      </w:r>
    </w:p>
    <w:tbl>
      <w:tblPr>
        <w:tblStyle w:val="TableGrid1"/>
        <w:tblW w:w="0" w:type="auto"/>
        <w:tblInd w:w="-5" w:type="dxa"/>
        <w:tblLook w:val="04A0" w:firstRow="1" w:lastRow="0" w:firstColumn="1" w:lastColumn="0" w:noHBand="0" w:noVBand="1"/>
      </w:tblPr>
      <w:tblGrid>
        <w:gridCol w:w="4917"/>
        <w:gridCol w:w="4104"/>
      </w:tblGrid>
      <w:tr w:rsidR="00620F22" w:rsidRPr="00620F22" w14:paraId="54DAC75F" w14:textId="77777777" w:rsidTr="0027303F">
        <w:tc>
          <w:tcPr>
            <w:tcW w:w="4917" w:type="dxa"/>
          </w:tcPr>
          <w:p w14:paraId="49DE1F27" w14:textId="77777777" w:rsidR="00620F22" w:rsidRPr="00620F22" w:rsidRDefault="00620F22" w:rsidP="00E113BA">
            <w:pPr>
              <w:autoSpaceDE w:val="0"/>
              <w:autoSpaceDN w:val="0"/>
              <w:adjustRightInd w:val="0"/>
              <w:spacing w:line="480" w:lineRule="auto"/>
              <w:rPr>
                <w:rFonts w:asciiTheme="minorBidi" w:hAnsiTheme="minorBidi"/>
              </w:rPr>
            </w:pPr>
            <w:r w:rsidRPr="00620F22">
              <w:rPr>
                <w:rFonts w:asciiTheme="minorBidi" w:hAnsiTheme="minorBidi"/>
              </w:rPr>
              <w:t>PARTICIPANT</w:t>
            </w:r>
          </w:p>
        </w:tc>
        <w:tc>
          <w:tcPr>
            <w:tcW w:w="4104" w:type="dxa"/>
          </w:tcPr>
          <w:p w14:paraId="695DF707" w14:textId="77777777" w:rsidR="00620F22" w:rsidRPr="00620F22" w:rsidRDefault="00620F22" w:rsidP="00E113BA">
            <w:pPr>
              <w:autoSpaceDE w:val="0"/>
              <w:autoSpaceDN w:val="0"/>
              <w:adjustRightInd w:val="0"/>
              <w:spacing w:line="480" w:lineRule="auto"/>
              <w:rPr>
                <w:rFonts w:asciiTheme="minorBidi" w:hAnsiTheme="minorBidi"/>
              </w:rPr>
            </w:pPr>
            <w:r w:rsidRPr="00620F22">
              <w:rPr>
                <w:rFonts w:asciiTheme="minorBidi" w:hAnsiTheme="minorBidi"/>
              </w:rPr>
              <w:t>Themes</w:t>
            </w:r>
          </w:p>
        </w:tc>
      </w:tr>
      <w:tr w:rsidR="00620F22" w:rsidRPr="00620F22" w14:paraId="706FC950" w14:textId="77777777" w:rsidTr="0027303F">
        <w:tc>
          <w:tcPr>
            <w:tcW w:w="4917" w:type="dxa"/>
          </w:tcPr>
          <w:p w14:paraId="681F5CB4" w14:textId="77777777" w:rsidR="00620F22" w:rsidRPr="00620F22" w:rsidRDefault="00620F22" w:rsidP="00E113BA">
            <w:pPr>
              <w:autoSpaceDE w:val="0"/>
              <w:autoSpaceDN w:val="0"/>
              <w:adjustRightInd w:val="0"/>
              <w:spacing w:line="480" w:lineRule="auto"/>
              <w:rPr>
                <w:rFonts w:asciiTheme="minorBidi" w:hAnsiTheme="minorBidi"/>
              </w:rPr>
            </w:pPr>
            <w:r w:rsidRPr="00620F22">
              <w:rPr>
                <w:rFonts w:asciiTheme="minorBidi" w:hAnsiTheme="minorBidi"/>
              </w:rPr>
              <w:t>1</w:t>
            </w:r>
          </w:p>
        </w:tc>
        <w:tc>
          <w:tcPr>
            <w:tcW w:w="4104" w:type="dxa"/>
          </w:tcPr>
          <w:p w14:paraId="16345363" w14:textId="77777777" w:rsidR="00620F22" w:rsidRPr="00620F22" w:rsidRDefault="00620F22" w:rsidP="00E113BA">
            <w:pPr>
              <w:autoSpaceDE w:val="0"/>
              <w:autoSpaceDN w:val="0"/>
              <w:adjustRightInd w:val="0"/>
              <w:spacing w:line="480" w:lineRule="auto"/>
              <w:rPr>
                <w:rFonts w:asciiTheme="minorBidi" w:hAnsiTheme="minorBidi"/>
              </w:rPr>
            </w:pPr>
            <w:r w:rsidRPr="00620F22">
              <w:rPr>
                <w:rFonts w:asciiTheme="minorBidi" w:hAnsiTheme="minorBidi"/>
              </w:rPr>
              <w:t>Y</w:t>
            </w:r>
          </w:p>
        </w:tc>
      </w:tr>
      <w:tr w:rsidR="00620F22" w:rsidRPr="00620F22" w14:paraId="4A54B8DE" w14:textId="77777777" w:rsidTr="0027303F">
        <w:tc>
          <w:tcPr>
            <w:tcW w:w="4917" w:type="dxa"/>
          </w:tcPr>
          <w:p w14:paraId="0B8B05CA" w14:textId="77777777" w:rsidR="00620F22" w:rsidRPr="00620F22" w:rsidRDefault="00620F22" w:rsidP="00E113BA">
            <w:pPr>
              <w:autoSpaceDE w:val="0"/>
              <w:autoSpaceDN w:val="0"/>
              <w:adjustRightInd w:val="0"/>
              <w:spacing w:line="480" w:lineRule="auto"/>
              <w:rPr>
                <w:rFonts w:asciiTheme="minorBidi" w:hAnsiTheme="minorBidi"/>
              </w:rPr>
            </w:pPr>
            <w:r w:rsidRPr="00620F22">
              <w:rPr>
                <w:rFonts w:asciiTheme="minorBidi" w:hAnsiTheme="minorBidi"/>
              </w:rPr>
              <w:t>2</w:t>
            </w:r>
          </w:p>
        </w:tc>
        <w:tc>
          <w:tcPr>
            <w:tcW w:w="4104" w:type="dxa"/>
          </w:tcPr>
          <w:p w14:paraId="6F69D672" w14:textId="77777777" w:rsidR="00620F22" w:rsidRPr="00620F22" w:rsidRDefault="00620F22" w:rsidP="00E113BA">
            <w:pPr>
              <w:autoSpaceDE w:val="0"/>
              <w:autoSpaceDN w:val="0"/>
              <w:adjustRightInd w:val="0"/>
              <w:spacing w:line="480" w:lineRule="auto"/>
              <w:rPr>
                <w:rFonts w:asciiTheme="minorBidi" w:hAnsiTheme="minorBidi"/>
              </w:rPr>
            </w:pPr>
            <w:r w:rsidRPr="00620F22">
              <w:rPr>
                <w:rFonts w:asciiTheme="minorBidi" w:hAnsiTheme="minorBidi"/>
              </w:rPr>
              <w:t xml:space="preserve">Y, Complications </w:t>
            </w:r>
          </w:p>
        </w:tc>
      </w:tr>
      <w:tr w:rsidR="00620F22" w:rsidRPr="00620F22" w14:paraId="2583C915" w14:textId="77777777" w:rsidTr="0027303F">
        <w:tc>
          <w:tcPr>
            <w:tcW w:w="4917" w:type="dxa"/>
          </w:tcPr>
          <w:p w14:paraId="2F44F464" w14:textId="77777777" w:rsidR="00620F22" w:rsidRPr="00620F22" w:rsidRDefault="00620F22" w:rsidP="00E113BA">
            <w:pPr>
              <w:autoSpaceDE w:val="0"/>
              <w:autoSpaceDN w:val="0"/>
              <w:adjustRightInd w:val="0"/>
              <w:spacing w:line="480" w:lineRule="auto"/>
              <w:rPr>
                <w:rFonts w:asciiTheme="minorBidi" w:hAnsiTheme="minorBidi"/>
              </w:rPr>
            </w:pPr>
            <w:r w:rsidRPr="00620F22">
              <w:rPr>
                <w:rFonts w:asciiTheme="minorBidi" w:hAnsiTheme="minorBidi"/>
              </w:rPr>
              <w:t>3</w:t>
            </w:r>
          </w:p>
        </w:tc>
        <w:tc>
          <w:tcPr>
            <w:tcW w:w="4104" w:type="dxa"/>
          </w:tcPr>
          <w:p w14:paraId="03606EB5" w14:textId="77777777" w:rsidR="00620F22" w:rsidRPr="00620F22" w:rsidRDefault="00620F22" w:rsidP="00E113BA">
            <w:pPr>
              <w:autoSpaceDE w:val="0"/>
              <w:autoSpaceDN w:val="0"/>
              <w:adjustRightInd w:val="0"/>
              <w:spacing w:line="480" w:lineRule="auto"/>
              <w:rPr>
                <w:rFonts w:asciiTheme="minorBidi" w:hAnsiTheme="minorBidi"/>
              </w:rPr>
            </w:pPr>
            <w:r w:rsidRPr="00620F22">
              <w:rPr>
                <w:rFonts w:asciiTheme="minorBidi" w:hAnsiTheme="minorBidi"/>
              </w:rPr>
              <w:t>Y, Obstruction</w:t>
            </w:r>
          </w:p>
        </w:tc>
      </w:tr>
      <w:tr w:rsidR="00620F22" w:rsidRPr="00620F22" w14:paraId="1FFEA159" w14:textId="77777777" w:rsidTr="0027303F">
        <w:tc>
          <w:tcPr>
            <w:tcW w:w="4917" w:type="dxa"/>
          </w:tcPr>
          <w:p w14:paraId="4BC5EE5D" w14:textId="77777777" w:rsidR="00620F22" w:rsidRPr="00620F22" w:rsidRDefault="00620F22" w:rsidP="00E113BA">
            <w:pPr>
              <w:autoSpaceDE w:val="0"/>
              <w:autoSpaceDN w:val="0"/>
              <w:adjustRightInd w:val="0"/>
              <w:spacing w:line="480" w:lineRule="auto"/>
              <w:rPr>
                <w:rFonts w:asciiTheme="minorBidi" w:hAnsiTheme="minorBidi"/>
              </w:rPr>
            </w:pPr>
            <w:r w:rsidRPr="00620F22">
              <w:rPr>
                <w:rFonts w:asciiTheme="minorBidi" w:hAnsiTheme="minorBidi"/>
              </w:rPr>
              <w:t>4</w:t>
            </w:r>
          </w:p>
        </w:tc>
        <w:tc>
          <w:tcPr>
            <w:tcW w:w="4104" w:type="dxa"/>
          </w:tcPr>
          <w:p w14:paraId="0356476C" w14:textId="77777777" w:rsidR="00620F22" w:rsidRPr="00620F22" w:rsidRDefault="00620F22" w:rsidP="00E113BA">
            <w:pPr>
              <w:autoSpaceDE w:val="0"/>
              <w:autoSpaceDN w:val="0"/>
              <w:adjustRightInd w:val="0"/>
              <w:spacing w:line="480" w:lineRule="auto"/>
              <w:rPr>
                <w:rFonts w:asciiTheme="minorBidi" w:hAnsiTheme="minorBidi"/>
              </w:rPr>
            </w:pPr>
            <w:r w:rsidRPr="00620F22">
              <w:rPr>
                <w:rFonts w:asciiTheme="minorBidi" w:hAnsiTheme="minorBidi"/>
              </w:rPr>
              <w:t>Y</w:t>
            </w:r>
          </w:p>
        </w:tc>
      </w:tr>
      <w:tr w:rsidR="00620F22" w:rsidRPr="00620F22" w14:paraId="02AF1EB4" w14:textId="77777777" w:rsidTr="0027303F">
        <w:tc>
          <w:tcPr>
            <w:tcW w:w="4917" w:type="dxa"/>
          </w:tcPr>
          <w:p w14:paraId="0680A622" w14:textId="77777777" w:rsidR="00620F22" w:rsidRPr="00620F22" w:rsidRDefault="00620F22" w:rsidP="00E113BA">
            <w:pPr>
              <w:autoSpaceDE w:val="0"/>
              <w:autoSpaceDN w:val="0"/>
              <w:adjustRightInd w:val="0"/>
              <w:spacing w:line="480" w:lineRule="auto"/>
              <w:rPr>
                <w:rFonts w:asciiTheme="minorBidi" w:hAnsiTheme="minorBidi"/>
              </w:rPr>
            </w:pPr>
            <w:r w:rsidRPr="00620F22">
              <w:rPr>
                <w:rFonts w:asciiTheme="minorBidi" w:hAnsiTheme="minorBidi"/>
              </w:rPr>
              <w:t>5</w:t>
            </w:r>
          </w:p>
        </w:tc>
        <w:tc>
          <w:tcPr>
            <w:tcW w:w="4104" w:type="dxa"/>
          </w:tcPr>
          <w:p w14:paraId="10720ED1" w14:textId="77777777" w:rsidR="00620F22" w:rsidRPr="00620F22" w:rsidRDefault="00620F22" w:rsidP="00E113BA">
            <w:pPr>
              <w:autoSpaceDE w:val="0"/>
              <w:autoSpaceDN w:val="0"/>
              <w:adjustRightInd w:val="0"/>
              <w:spacing w:line="480" w:lineRule="auto"/>
              <w:rPr>
                <w:rFonts w:asciiTheme="minorBidi" w:hAnsiTheme="minorBidi"/>
              </w:rPr>
            </w:pPr>
            <w:r w:rsidRPr="00620F22">
              <w:rPr>
                <w:rFonts w:asciiTheme="minorBidi" w:hAnsiTheme="minorBidi"/>
              </w:rPr>
              <w:t>N/A</w:t>
            </w:r>
          </w:p>
        </w:tc>
      </w:tr>
      <w:tr w:rsidR="00620F22" w:rsidRPr="00620F22" w14:paraId="2C041C8A" w14:textId="77777777" w:rsidTr="0027303F">
        <w:tc>
          <w:tcPr>
            <w:tcW w:w="4917" w:type="dxa"/>
          </w:tcPr>
          <w:p w14:paraId="13398A67" w14:textId="77777777" w:rsidR="00620F22" w:rsidRPr="00620F22" w:rsidRDefault="00620F22" w:rsidP="00E113BA">
            <w:pPr>
              <w:autoSpaceDE w:val="0"/>
              <w:autoSpaceDN w:val="0"/>
              <w:adjustRightInd w:val="0"/>
              <w:spacing w:line="480" w:lineRule="auto"/>
              <w:rPr>
                <w:rFonts w:asciiTheme="minorBidi" w:hAnsiTheme="minorBidi"/>
              </w:rPr>
            </w:pPr>
            <w:r w:rsidRPr="00620F22">
              <w:rPr>
                <w:rFonts w:asciiTheme="minorBidi" w:hAnsiTheme="minorBidi"/>
              </w:rPr>
              <w:t>6</w:t>
            </w:r>
          </w:p>
        </w:tc>
        <w:tc>
          <w:tcPr>
            <w:tcW w:w="4104" w:type="dxa"/>
          </w:tcPr>
          <w:p w14:paraId="217F4EF0" w14:textId="77777777" w:rsidR="00620F22" w:rsidRPr="00620F22" w:rsidRDefault="00620F22" w:rsidP="00E113BA">
            <w:pPr>
              <w:autoSpaceDE w:val="0"/>
              <w:autoSpaceDN w:val="0"/>
              <w:adjustRightInd w:val="0"/>
              <w:spacing w:line="480" w:lineRule="auto"/>
              <w:rPr>
                <w:rFonts w:asciiTheme="minorBidi" w:hAnsiTheme="minorBidi"/>
              </w:rPr>
            </w:pPr>
            <w:r w:rsidRPr="00620F22">
              <w:rPr>
                <w:rFonts w:asciiTheme="minorBidi" w:hAnsiTheme="minorBidi"/>
              </w:rPr>
              <w:t xml:space="preserve">Y, concealment </w:t>
            </w:r>
          </w:p>
        </w:tc>
      </w:tr>
    </w:tbl>
    <w:p w14:paraId="34C79B52" w14:textId="77777777" w:rsidR="00620F22" w:rsidRPr="00620F22" w:rsidRDefault="00620F22" w:rsidP="00E113BA">
      <w:pPr>
        <w:spacing w:line="480" w:lineRule="auto"/>
        <w:contextualSpacing/>
        <w:jc w:val="both"/>
        <w:rPr>
          <w:rFonts w:asciiTheme="minorBidi" w:hAnsiTheme="minorBidi"/>
          <w:color w:val="000000" w:themeColor="text1"/>
        </w:rPr>
      </w:pPr>
    </w:p>
    <w:p w14:paraId="689E73AD" w14:textId="77777777" w:rsidR="00620F22" w:rsidRPr="00620F22" w:rsidRDefault="00620F22" w:rsidP="00620F22">
      <w:pPr>
        <w:spacing w:line="480" w:lineRule="auto"/>
        <w:contextualSpacing/>
        <w:jc w:val="both"/>
        <w:rPr>
          <w:rFonts w:ascii="Arial" w:hAnsi="Arial" w:cs="Arial"/>
          <w:color w:val="000000" w:themeColor="text1"/>
        </w:rPr>
      </w:pPr>
      <w:r w:rsidRPr="00620F22">
        <w:rPr>
          <w:rFonts w:ascii="Arial" w:hAnsi="Arial" w:cs="Arial"/>
          <w:color w:val="000000" w:themeColor="text1"/>
        </w:rPr>
        <w:lastRenderedPageBreak/>
        <w:t>Most of the participants agreed that the corporate psychopaths affected the audit by being difficult and impeding the audit process and complicating the whole process as essentially audit is information gathering exercise.</w:t>
      </w:r>
    </w:p>
    <w:p w14:paraId="21C89A5A"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 xml:space="preserve">‘’Well during the audit, they would be obstructive and purposely not respond to questions or queries. </w:t>
      </w:r>
    </w:p>
    <w:p w14:paraId="27D634C1"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Or they would respond with the answer you would want to hear.</w:t>
      </w:r>
    </w:p>
    <w:p w14:paraId="5FB2A395"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Not necessarily based on what is the actual evidence that they could present.’’ (Participant 3)</w:t>
      </w:r>
    </w:p>
    <w:p w14:paraId="633A724E"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‘’But from my perspective we always said like you know you came away sometimes from these places and more questions than answers.’’ (Participant 2)</w:t>
      </w:r>
    </w:p>
    <w:p w14:paraId="543FF8BF"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Participant five was adamant that this professional scepticism would help him identify and contain the corporate psychopath.</w:t>
      </w:r>
    </w:p>
    <w:p w14:paraId="35368C22"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p>
    <w:p w14:paraId="08AAB88A"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t>‘’F: Did anyone try and make your life difficult during the audit.</w:t>
      </w:r>
    </w:p>
    <w:p w14:paraId="187644DA" w14:textId="77777777" w:rsidR="00620F22" w:rsidRPr="00620F22" w:rsidRDefault="00620F22" w:rsidP="00620F22">
      <w:pPr>
        <w:spacing w:line="480" w:lineRule="auto"/>
        <w:jc w:val="both"/>
        <w:rPr>
          <w:b/>
          <w:bCs/>
          <w:color w:val="000000" w:themeColor="text1"/>
        </w:rPr>
      </w:pPr>
      <w:r w:rsidRPr="00620F22">
        <w:rPr>
          <w:rFonts w:ascii="Arial" w:hAnsi="Arial" w:cs="Arial"/>
          <w:b/>
          <w:bCs/>
          <w:color w:val="000000" w:themeColor="text1"/>
        </w:rPr>
        <w:t>Participant Five: I will notice by using professional scepticism about people. Obviously when it comes to fraud. I will notice if the entrepreneur is trying to manipulate the figures, he is trying to save tax or because he is intending to sell the company for a good price</w:t>
      </w:r>
      <w:r w:rsidRPr="00620F22">
        <w:rPr>
          <w:b/>
          <w:bCs/>
          <w:color w:val="000000" w:themeColor="text1"/>
        </w:rPr>
        <w:t>.’’</w:t>
      </w:r>
    </w:p>
    <w:p w14:paraId="0C3C13F3" w14:textId="77777777" w:rsidR="00620F22" w:rsidRPr="00620F22" w:rsidRDefault="00620F22">
      <w:pPr>
        <w:numPr>
          <w:ilvl w:val="0"/>
          <w:numId w:val="26"/>
        </w:numPr>
        <w:autoSpaceDE w:val="0"/>
        <w:autoSpaceDN w:val="0"/>
        <w:adjustRightInd w:val="0"/>
        <w:spacing w:after="0" w:line="480" w:lineRule="auto"/>
        <w:ind w:hanging="720"/>
        <w:jc w:val="both"/>
        <w:rPr>
          <w:rFonts w:ascii="Arial" w:hAnsi="Arial" w:cs="Arial"/>
          <w:b/>
          <w:bCs/>
          <w:color w:val="000000" w:themeColor="text1"/>
        </w:rPr>
      </w:pPr>
      <w:r w:rsidRPr="00620F22">
        <w:rPr>
          <w:rFonts w:ascii="Arial" w:hAnsi="Arial" w:cs="Arial"/>
          <w:b/>
          <w:bCs/>
          <w:color w:val="000000" w:themeColor="text1"/>
        </w:rPr>
        <w:t>Did you change the audit plan the following year if it became apparent that the identified corporate accountant psychopath(s) was still in post?</w:t>
      </w:r>
    </w:p>
    <w:p w14:paraId="77D5FFF4"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p>
    <w:tbl>
      <w:tblPr>
        <w:tblStyle w:val="TableGrid1"/>
        <w:tblW w:w="9072" w:type="dxa"/>
        <w:tblInd w:w="-5" w:type="dxa"/>
        <w:tblLook w:val="04A0" w:firstRow="1" w:lastRow="0" w:firstColumn="1" w:lastColumn="0" w:noHBand="0" w:noVBand="1"/>
      </w:tblPr>
      <w:tblGrid>
        <w:gridCol w:w="4213"/>
        <w:gridCol w:w="4859"/>
      </w:tblGrid>
      <w:tr w:rsidR="00620F22" w:rsidRPr="00620F22" w14:paraId="56EED36E" w14:textId="77777777" w:rsidTr="003B3502">
        <w:tc>
          <w:tcPr>
            <w:tcW w:w="4213" w:type="dxa"/>
          </w:tcPr>
          <w:p w14:paraId="67C93A0F" w14:textId="77777777" w:rsidR="00620F22" w:rsidRPr="00620F22" w:rsidRDefault="00620F22" w:rsidP="00E113BA">
            <w:pPr>
              <w:autoSpaceDE w:val="0"/>
              <w:autoSpaceDN w:val="0"/>
              <w:adjustRightInd w:val="0"/>
              <w:spacing w:line="480" w:lineRule="auto"/>
              <w:rPr>
                <w:rFonts w:asciiTheme="minorBidi" w:hAnsiTheme="minorBidi"/>
                <w:b/>
                <w:bCs/>
                <w:sz w:val="24"/>
                <w:szCs w:val="24"/>
              </w:rPr>
            </w:pPr>
            <w:r w:rsidRPr="00620F22">
              <w:rPr>
                <w:rFonts w:asciiTheme="minorBidi" w:hAnsiTheme="minorBidi"/>
                <w:b/>
                <w:bCs/>
                <w:sz w:val="24"/>
                <w:szCs w:val="24"/>
              </w:rPr>
              <w:lastRenderedPageBreak/>
              <w:t>PARTICIPANT</w:t>
            </w:r>
          </w:p>
          <w:p w14:paraId="2DC54C8F" w14:textId="77777777" w:rsidR="00620F22" w:rsidRPr="00620F22" w:rsidRDefault="00620F22" w:rsidP="00E113BA">
            <w:pPr>
              <w:autoSpaceDE w:val="0"/>
              <w:autoSpaceDN w:val="0"/>
              <w:adjustRightInd w:val="0"/>
              <w:spacing w:line="480" w:lineRule="auto"/>
              <w:rPr>
                <w:rFonts w:asciiTheme="minorBidi" w:hAnsiTheme="minorBidi"/>
                <w:b/>
                <w:bCs/>
                <w:sz w:val="24"/>
                <w:szCs w:val="24"/>
              </w:rPr>
            </w:pPr>
          </w:p>
        </w:tc>
        <w:tc>
          <w:tcPr>
            <w:tcW w:w="4859" w:type="dxa"/>
          </w:tcPr>
          <w:p w14:paraId="0516CE23" w14:textId="77777777" w:rsidR="00620F22" w:rsidRPr="00620F22" w:rsidRDefault="00620F22" w:rsidP="00E113BA">
            <w:pPr>
              <w:autoSpaceDE w:val="0"/>
              <w:autoSpaceDN w:val="0"/>
              <w:adjustRightInd w:val="0"/>
              <w:spacing w:line="480" w:lineRule="auto"/>
              <w:rPr>
                <w:rFonts w:asciiTheme="minorBidi" w:hAnsiTheme="minorBidi"/>
                <w:b/>
                <w:bCs/>
                <w:sz w:val="24"/>
                <w:szCs w:val="24"/>
              </w:rPr>
            </w:pPr>
            <w:r w:rsidRPr="00620F22">
              <w:rPr>
                <w:rFonts w:asciiTheme="minorBidi" w:hAnsiTheme="minorBidi"/>
                <w:b/>
                <w:bCs/>
                <w:sz w:val="24"/>
                <w:szCs w:val="24"/>
              </w:rPr>
              <w:t>Themes</w:t>
            </w:r>
          </w:p>
        </w:tc>
      </w:tr>
      <w:tr w:rsidR="00620F22" w:rsidRPr="00620F22" w14:paraId="50576AF9" w14:textId="77777777" w:rsidTr="003B3502">
        <w:tc>
          <w:tcPr>
            <w:tcW w:w="4213" w:type="dxa"/>
          </w:tcPr>
          <w:p w14:paraId="2331FE13" w14:textId="77777777" w:rsidR="00620F22" w:rsidRPr="00620F22" w:rsidRDefault="00620F22" w:rsidP="00E113BA">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1</w:t>
            </w:r>
          </w:p>
        </w:tc>
        <w:tc>
          <w:tcPr>
            <w:tcW w:w="4859" w:type="dxa"/>
          </w:tcPr>
          <w:p w14:paraId="4FECF3F2" w14:textId="77777777" w:rsidR="00620F22" w:rsidRPr="00620F22" w:rsidRDefault="00620F22" w:rsidP="00E113BA">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w:t>
            </w:r>
          </w:p>
        </w:tc>
      </w:tr>
      <w:tr w:rsidR="00620F22" w:rsidRPr="00620F22" w14:paraId="5769FC33" w14:textId="77777777" w:rsidTr="003B3502">
        <w:tc>
          <w:tcPr>
            <w:tcW w:w="4213" w:type="dxa"/>
          </w:tcPr>
          <w:p w14:paraId="44AFA70D" w14:textId="77777777" w:rsidR="00620F22" w:rsidRPr="00620F22" w:rsidRDefault="00620F22" w:rsidP="00E113BA">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2</w:t>
            </w:r>
          </w:p>
        </w:tc>
        <w:tc>
          <w:tcPr>
            <w:tcW w:w="4859" w:type="dxa"/>
          </w:tcPr>
          <w:p w14:paraId="21A87A56" w14:textId="77777777" w:rsidR="00620F22" w:rsidRPr="00620F22" w:rsidRDefault="00620F22" w:rsidP="00E113BA">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w:t>
            </w:r>
          </w:p>
        </w:tc>
      </w:tr>
      <w:tr w:rsidR="00620F22" w:rsidRPr="00620F22" w14:paraId="1237FBEB" w14:textId="77777777" w:rsidTr="003B3502">
        <w:tc>
          <w:tcPr>
            <w:tcW w:w="4213" w:type="dxa"/>
          </w:tcPr>
          <w:p w14:paraId="17FD0AE5" w14:textId="77777777" w:rsidR="00620F22" w:rsidRPr="00620F22" w:rsidRDefault="00620F22" w:rsidP="00E113BA">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3</w:t>
            </w:r>
          </w:p>
        </w:tc>
        <w:tc>
          <w:tcPr>
            <w:tcW w:w="4859" w:type="dxa"/>
          </w:tcPr>
          <w:p w14:paraId="6197A8EA" w14:textId="77777777" w:rsidR="00620F22" w:rsidRPr="00620F22" w:rsidRDefault="00620F22" w:rsidP="00E113BA">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w:t>
            </w:r>
          </w:p>
        </w:tc>
      </w:tr>
      <w:tr w:rsidR="00620F22" w:rsidRPr="00620F22" w14:paraId="4AEB6A5F" w14:textId="77777777" w:rsidTr="003B3502">
        <w:tc>
          <w:tcPr>
            <w:tcW w:w="4213" w:type="dxa"/>
          </w:tcPr>
          <w:p w14:paraId="08C810DC" w14:textId="77777777" w:rsidR="00620F22" w:rsidRPr="00620F22" w:rsidRDefault="00620F22" w:rsidP="00E113BA">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4</w:t>
            </w:r>
          </w:p>
        </w:tc>
        <w:tc>
          <w:tcPr>
            <w:tcW w:w="4859" w:type="dxa"/>
          </w:tcPr>
          <w:p w14:paraId="7E3B7B05" w14:textId="77777777" w:rsidR="00620F22" w:rsidRPr="00620F22" w:rsidRDefault="00620F22" w:rsidP="00E113BA">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Not considered as assumed all clients on the ‘fiddle’</w:t>
            </w:r>
          </w:p>
        </w:tc>
      </w:tr>
      <w:tr w:rsidR="00620F22" w:rsidRPr="00620F22" w14:paraId="1A6C4C05" w14:textId="77777777" w:rsidTr="003B3502">
        <w:tc>
          <w:tcPr>
            <w:tcW w:w="4213" w:type="dxa"/>
          </w:tcPr>
          <w:p w14:paraId="445CAC95" w14:textId="77777777" w:rsidR="00620F22" w:rsidRPr="00620F22" w:rsidRDefault="00620F22" w:rsidP="00E113BA">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5</w:t>
            </w:r>
          </w:p>
        </w:tc>
        <w:tc>
          <w:tcPr>
            <w:tcW w:w="4859" w:type="dxa"/>
          </w:tcPr>
          <w:p w14:paraId="3255A373" w14:textId="77777777" w:rsidR="00620F22" w:rsidRPr="00620F22" w:rsidRDefault="00620F22" w:rsidP="00E113BA">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Professional scepticism</w:t>
            </w:r>
          </w:p>
        </w:tc>
      </w:tr>
      <w:tr w:rsidR="00620F22" w:rsidRPr="00620F22" w14:paraId="69FDA910" w14:textId="77777777" w:rsidTr="003B3502">
        <w:tc>
          <w:tcPr>
            <w:tcW w:w="4213" w:type="dxa"/>
          </w:tcPr>
          <w:p w14:paraId="47AD1C1B" w14:textId="77777777" w:rsidR="00620F22" w:rsidRPr="00620F22" w:rsidRDefault="00620F22" w:rsidP="00E113BA">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6</w:t>
            </w:r>
          </w:p>
        </w:tc>
        <w:tc>
          <w:tcPr>
            <w:tcW w:w="4859" w:type="dxa"/>
          </w:tcPr>
          <w:p w14:paraId="571C0BCD" w14:textId="77777777" w:rsidR="00620F22" w:rsidRPr="00620F22" w:rsidRDefault="00620F22" w:rsidP="00E113BA">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Not considered</w:t>
            </w:r>
          </w:p>
        </w:tc>
      </w:tr>
    </w:tbl>
    <w:p w14:paraId="434BB2BD" w14:textId="77777777" w:rsidR="00620F22" w:rsidRPr="00620F22" w:rsidRDefault="00620F22" w:rsidP="00620F22">
      <w:pPr>
        <w:spacing w:line="480" w:lineRule="auto"/>
        <w:contextualSpacing/>
        <w:jc w:val="both"/>
        <w:rPr>
          <w:rFonts w:ascii="Arial" w:hAnsi="Arial" w:cs="Arial"/>
          <w:color w:val="000000" w:themeColor="text1"/>
        </w:rPr>
      </w:pPr>
    </w:p>
    <w:p w14:paraId="4A14D407" w14:textId="77777777" w:rsidR="00620F22" w:rsidRPr="00620F22" w:rsidRDefault="00620F22" w:rsidP="00620F22">
      <w:pPr>
        <w:spacing w:line="480" w:lineRule="auto"/>
        <w:contextualSpacing/>
        <w:jc w:val="both"/>
        <w:rPr>
          <w:rFonts w:ascii="Arial" w:hAnsi="Arial" w:cs="Arial"/>
          <w:color w:val="000000" w:themeColor="text1"/>
        </w:rPr>
      </w:pPr>
      <w:r w:rsidRPr="00620F22">
        <w:rPr>
          <w:rFonts w:ascii="Arial" w:hAnsi="Arial" w:cs="Arial"/>
          <w:color w:val="000000" w:themeColor="text1"/>
        </w:rPr>
        <w:t>Three participants stated that the audit plan was changed by changing personnel and increasing the scale and scope of audit tests and increasing professional scepticism.</w:t>
      </w:r>
    </w:p>
    <w:p w14:paraId="1C16E271"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‘’Yes. We did change the approach and usually put in a different person in charge of that audit. We would change the personnel so that they could exert less influence and pressure on that individual. ‘’ (Participant 3)</w:t>
      </w:r>
    </w:p>
    <w:p w14:paraId="34F9D0FC" w14:textId="77777777" w:rsidR="00620F22" w:rsidRPr="00620F22" w:rsidRDefault="00620F22" w:rsidP="00620F22">
      <w:pPr>
        <w:spacing w:line="480" w:lineRule="auto"/>
        <w:contextualSpacing/>
        <w:jc w:val="both"/>
        <w:rPr>
          <w:rFonts w:ascii="Arial" w:hAnsi="Arial" w:cs="Arial"/>
          <w:color w:val="000000" w:themeColor="text1"/>
        </w:rPr>
      </w:pPr>
      <w:r w:rsidRPr="00620F22">
        <w:rPr>
          <w:rFonts w:ascii="Arial" w:hAnsi="Arial" w:cs="Arial"/>
          <w:color w:val="000000" w:themeColor="text1"/>
        </w:rPr>
        <w:t>Participant four made a stark comment that in general psychopathy would not be considered as it was assumed that client would be on the ‘fiddle’, which will explained further in the next question. The sixth interviewee did not consider updating the audit plan as his firm had few audit clients. Again, participant five believed that their professional scepticism was sufficient to deal with any issues.</w:t>
      </w:r>
    </w:p>
    <w:p w14:paraId="6ED31568" w14:textId="77777777" w:rsidR="00620F22" w:rsidRPr="00620F22" w:rsidRDefault="00620F22" w:rsidP="00620F22">
      <w:pPr>
        <w:spacing w:line="480" w:lineRule="auto"/>
        <w:contextualSpacing/>
        <w:jc w:val="both"/>
        <w:rPr>
          <w:rFonts w:ascii="Arial" w:hAnsi="Arial" w:cs="Arial"/>
          <w:color w:val="000000" w:themeColor="text1"/>
        </w:rPr>
      </w:pPr>
    </w:p>
    <w:p w14:paraId="32E92A06" w14:textId="77777777" w:rsidR="00620F22" w:rsidRPr="00620F22" w:rsidRDefault="00620F22">
      <w:pPr>
        <w:numPr>
          <w:ilvl w:val="0"/>
          <w:numId w:val="26"/>
        </w:numPr>
        <w:autoSpaceDE w:val="0"/>
        <w:autoSpaceDN w:val="0"/>
        <w:adjustRightInd w:val="0"/>
        <w:spacing w:after="0" w:line="480" w:lineRule="auto"/>
        <w:ind w:hanging="720"/>
        <w:jc w:val="both"/>
        <w:rPr>
          <w:rFonts w:ascii="Arial" w:hAnsi="Arial" w:cs="Arial"/>
          <w:b/>
          <w:bCs/>
          <w:color w:val="000000" w:themeColor="text1"/>
        </w:rPr>
      </w:pPr>
      <w:r w:rsidRPr="00620F22">
        <w:rPr>
          <w:rFonts w:ascii="Arial" w:hAnsi="Arial" w:cs="Arial"/>
          <w:b/>
          <w:bCs/>
          <w:color w:val="000000" w:themeColor="text1"/>
        </w:rPr>
        <w:t>In general, does your firm consider corporate accountant psychopathy when planning and undertaking an external audit assignment?</w:t>
      </w:r>
    </w:p>
    <w:p w14:paraId="35FDE9BE" w14:textId="77777777" w:rsidR="00620F22" w:rsidRPr="00620F22" w:rsidRDefault="00620F22" w:rsidP="00620F22">
      <w:pPr>
        <w:autoSpaceDE w:val="0"/>
        <w:autoSpaceDN w:val="0"/>
        <w:adjustRightInd w:val="0"/>
        <w:spacing w:after="0" w:line="480" w:lineRule="auto"/>
        <w:ind w:left="720"/>
        <w:jc w:val="both"/>
        <w:rPr>
          <w:rFonts w:ascii="Arial" w:hAnsi="Arial" w:cs="Arial"/>
          <w:color w:val="000000" w:themeColor="text1"/>
        </w:rPr>
      </w:pPr>
    </w:p>
    <w:tbl>
      <w:tblPr>
        <w:tblStyle w:val="TableGrid1"/>
        <w:tblW w:w="0" w:type="auto"/>
        <w:tblInd w:w="-5" w:type="dxa"/>
        <w:tblLook w:val="04A0" w:firstRow="1" w:lastRow="0" w:firstColumn="1" w:lastColumn="0" w:noHBand="0" w:noVBand="1"/>
      </w:tblPr>
      <w:tblGrid>
        <w:gridCol w:w="4935"/>
        <w:gridCol w:w="4086"/>
      </w:tblGrid>
      <w:tr w:rsidR="00620F22" w:rsidRPr="00620F22" w14:paraId="0F40AC01" w14:textId="77777777" w:rsidTr="00715CDF">
        <w:tc>
          <w:tcPr>
            <w:tcW w:w="4935" w:type="dxa"/>
          </w:tcPr>
          <w:p w14:paraId="68FCF563" w14:textId="77777777" w:rsidR="00620F22" w:rsidRPr="00620F22" w:rsidRDefault="00620F22" w:rsidP="00380C98">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lastRenderedPageBreak/>
              <w:t>PARTICIPANT</w:t>
            </w:r>
          </w:p>
        </w:tc>
        <w:tc>
          <w:tcPr>
            <w:tcW w:w="4086" w:type="dxa"/>
          </w:tcPr>
          <w:p w14:paraId="4B5ECF39" w14:textId="77777777" w:rsidR="00620F22" w:rsidRPr="00620F22" w:rsidRDefault="00620F22" w:rsidP="00380C98">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 xml:space="preserve">Themes </w:t>
            </w:r>
          </w:p>
        </w:tc>
      </w:tr>
      <w:tr w:rsidR="00620F22" w:rsidRPr="00620F22" w14:paraId="159B18B1" w14:textId="77777777" w:rsidTr="00715CDF">
        <w:tc>
          <w:tcPr>
            <w:tcW w:w="4935" w:type="dxa"/>
          </w:tcPr>
          <w:p w14:paraId="3F13643A" w14:textId="77777777" w:rsidR="00620F22" w:rsidRPr="00620F22" w:rsidRDefault="00620F22" w:rsidP="00380C98">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1</w:t>
            </w:r>
          </w:p>
        </w:tc>
        <w:tc>
          <w:tcPr>
            <w:tcW w:w="4086" w:type="dxa"/>
          </w:tcPr>
          <w:p w14:paraId="65F8D1F2" w14:textId="77777777" w:rsidR="00620F22" w:rsidRPr="00620F22" w:rsidRDefault="00620F22" w:rsidP="00380C98">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 xml:space="preserve">Y - Dominant personality </w:t>
            </w:r>
          </w:p>
        </w:tc>
      </w:tr>
      <w:tr w:rsidR="00620F22" w:rsidRPr="00620F22" w14:paraId="31207F29" w14:textId="77777777" w:rsidTr="00715CDF">
        <w:tc>
          <w:tcPr>
            <w:tcW w:w="4935" w:type="dxa"/>
          </w:tcPr>
          <w:p w14:paraId="7A0F07BA" w14:textId="77777777" w:rsidR="00620F22" w:rsidRPr="00620F22" w:rsidRDefault="00620F22" w:rsidP="00380C98">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2</w:t>
            </w:r>
          </w:p>
        </w:tc>
        <w:tc>
          <w:tcPr>
            <w:tcW w:w="4086" w:type="dxa"/>
          </w:tcPr>
          <w:p w14:paraId="2DA86B13" w14:textId="77777777" w:rsidR="00620F22" w:rsidRPr="00620F22" w:rsidRDefault="00620F22" w:rsidP="00380C98">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 – Tick box exercise but easier to leave an assignment</w:t>
            </w:r>
          </w:p>
        </w:tc>
      </w:tr>
      <w:tr w:rsidR="00620F22" w:rsidRPr="00620F22" w14:paraId="1358D207" w14:textId="77777777" w:rsidTr="00715CDF">
        <w:tc>
          <w:tcPr>
            <w:tcW w:w="4935" w:type="dxa"/>
          </w:tcPr>
          <w:p w14:paraId="46BB17C5" w14:textId="77777777" w:rsidR="00620F22" w:rsidRPr="00620F22" w:rsidRDefault="00620F22" w:rsidP="00380C98">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3</w:t>
            </w:r>
          </w:p>
        </w:tc>
        <w:tc>
          <w:tcPr>
            <w:tcW w:w="4086" w:type="dxa"/>
          </w:tcPr>
          <w:p w14:paraId="128BAC2C" w14:textId="77777777" w:rsidR="00620F22" w:rsidRPr="00620F22" w:rsidRDefault="00620F22" w:rsidP="00380C98">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 xml:space="preserve">Y -Change planning, </w:t>
            </w:r>
          </w:p>
        </w:tc>
      </w:tr>
      <w:tr w:rsidR="00620F22" w:rsidRPr="00620F22" w14:paraId="52077D7E" w14:textId="77777777" w:rsidTr="00715CDF">
        <w:tc>
          <w:tcPr>
            <w:tcW w:w="4935" w:type="dxa"/>
          </w:tcPr>
          <w:p w14:paraId="517E194E" w14:textId="77777777" w:rsidR="00620F22" w:rsidRPr="00620F22" w:rsidRDefault="00620F22" w:rsidP="00380C98">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4</w:t>
            </w:r>
          </w:p>
        </w:tc>
        <w:tc>
          <w:tcPr>
            <w:tcW w:w="4086" w:type="dxa"/>
          </w:tcPr>
          <w:p w14:paraId="6D9D991A" w14:textId="77777777" w:rsidR="00620F22" w:rsidRPr="00620F22" w:rsidRDefault="00620F22" w:rsidP="00380C98">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 – Tension and tolerable limits</w:t>
            </w:r>
          </w:p>
        </w:tc>
      </w:tr>
      <w:tr w:rsidR="00620F22" w:rsidRPr="00620F22" w14:paraId="1290A271" w14:textId="77777777" w:rsidTr="00715CDF">
        <w:tc>
          <w:tcPr>
            <w:tcW w:w="4935" w:type="dxa"/>
          </w:tcPr>
          <w:p w14:paraId="04663F24" w14:textId="77777777" w:rsidR="00620F22" w:rsidRPr="00620F22" w:rsidRDefault="00620F22" w:rsidP="00380C98">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5</w:t>
            </w:r>
          </w:p>
        </w:tc>
        <w:tc>
          <w:tcPr>
            <w:tcW w:w="4086" w:type="dxa"/>
          </w:tcPr>
          <w:p w14:paraId="6190FEED" w14:textId="77777777" w:rsidR="00620F22" w:rsidRPr="00620F22" w:rsidRDefault="00620F22" w:rsidP="00380C98">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 xml:space="preserve">Blood Hounds v Watch Dogs  </w:t>
            </w:r>
          </w:p>
        </w:tc>
      </w:tr>
      <w:tr w:rsidR="00620F22" w:rsidRPr="00620F22" w14:paraId="4FEDAB3B" w14:textId="77777777" w:rsidTr="00715CDF">
        <w:tc>
          <w:tcPr>
            <w:tcW w:w="4935" w:type="dxa"/>
          </w:tcPr>
          <w:p w14:paraId="51B48272" w14:textId="77777777" w:rsidR="00620F22" w:rsidRPr="00620F22" w:rsidRDefault="00620F22" w:rsidP="00AD569C">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6</w:t>
            </w:r>
          </w:p>
        </w:tc>
        <w:tc>
          <w:tcPr>
            <w:tcW w:w="4086" w:type="dxa"/>
          </w:tcPr>
          <w:p w14:paraId="14FD2E80" w14:textId="77777777" w:rsidR="00620F22" w:rsidRPr="00620F22" w:rsidRDefault="00620F22" w:rsidP="00AD569C">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N/A</w:t>
            </w:r>
          </w:p>
        </w:tc>
      </w:tr>
    </w:tbl>
    <w:p w14:paraId="6BCEE241" w14:textId="1C9A8546" w:rsidR="00620F22" w:rsidRPr="00620F22" w:rsidRDefault="00620F22" w:rsidP="00620F22">
      <w:pPr>
        <w:spacing w:before="100" w:beforeAutospacing="1" w:after="100" w:afterAutospacing="1" w:line="480" w:lineRule="auto"/>
        <w:jc w:val="both"/>
        <w:rPr>
          <w:rFonts w:ascii="Arial" w:eastAsia="Times New Roman" w:hAnsi="Arial" w:cs="Arial"/>
          <w:color w:val="000000" w:themeColor="text1"/>
          <w:lang w:eastAsia="en-GB"/>
        </w:rPr>
      </w:pPr>
      <w:r w:rsidRPr="00620F22">
        <w:rPr>
          <w:rFonts w:ascii="Arial" w:eastAsia="Times New Roman" w:hAnsi="Arial" w:cs="Arial"/>
          <w:color w:val="000000" w:themeColor="text1"/>
          <w:lang w:eastAsia="en-GB"/>
        </w:rPr>
        <w:t xml:space="preserve">The first three participants actively consider the Corporate Accountant Psychopathy when planning and undertaking an external audit assignment. However, the phenomenon is not actively referred to as Corporate Accountant Psychopathy or corporate psychopathy and it can be just a ‘tick box exercise’. </w:t>
      </w:r>
    </w:p>
    <w:p w14:paraId="7ACAC00F"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 xml:space="preserve">‘’Well, in the planning of the audit, we would be aware of this particular </w:t>
      </w:r>
      <w:proofErr w:type="gramStart"/>
      <w:r w:rsidRPr="00620F22">
        <w:rPr>
          <w:rFonts w:ascii="Arial" w:eastAsia="Times New Roman" w:hAnsi="Arial" w:cs="Arial"/>
          <w:b/>
          <w:bCs/>
          <w:color w:val="000000" w:themeColor="text1"/>
          <w:lang w:eastAsia="en-GB"/>
        </w:rPr>
        <w:t>FD</w:t>
      </w:r>
      <w:proofErr w:type="gramEnd"/>
      <w:r w:rsidRPr="00620F22">
        <w:rPr>
          <w:rFonts w:ascii="Arial" w:eastAsia="Times New Roman" w:hAnsi="Arial" w:cs="Arial"/>
          <w:b/>
          <w:bCs/>
          <w:color w:val="000000" w:themeColor="text1"/>
          <w:lang w:eastAsia="en-GB"/>
        </w:rPr>
        <w:t xml:space="preserve"> but the audit methodology or documentation doesn't get into referring to them as psychopaths but just this dominant personality</w:t>
      </w:r>
    </w:p>
    <w:p w14:paraId="4F3707BE"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 xml:space="preserve">If there's this tendency for somebody with a dominant personality so our response in order is just increase the scepticism and just be careful with not accepting their answers which are convenient for them, and maybe not so much true and making sure that everything's substantiated.’’ (Participant 1) </w:t>
      </w:r>
    </w:p>
    <w:p w14:paraId="0D30ED73" w14:textId="77777777" w:rsidR="00620F22" w:rsidRPr="00620F22" w:rsidRDefault="00620F22" w:rsidP="00620F22">
      <w:pPr>
        <w:spacing w:before="100" w:beforeAutospacing="1" w:after="100" w:afterAutospacing="1" w:line="480" w:lineRule="auto"/>
        <w:jc w:val="both"/>
        <w:rPr>
          <w:rFonts w:ascii="Arial" w:eastAsia="Times New Roman" w:hAnsi="Arial" w:cs="Arial"/>
          <w:color w:val="000000" w:themeColor="text1"/>
          <w:lang w:eastAsia="en-GB"/>
        </w:rPr>
      </w:pPr>
      <w:r w:rsidRPr="00620F22">
        <w:rPr>
          <w:rFonts w:ascii="Arial" w:eastAsia="Times New Roman" w:hAnsi="Arial" w:cs="Arial"/>
          <w:color w:val="000000" w:themeColor="text1"/>
          <w:lang w:eastAsia="en-GB"/>
        </w:rPr>
        <w:t>On the other hand, it is now easier to resign from an audit if it considered to be problematic as the publicity around an adverse audit such Carillion which collapsed within 12 months of a clean statutory audit opinion.</w:t>
      </w:r>
    </w:p>
    <w:p w14:paraId="29121E0F"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lastRenderedPageBreak/>
        <w:t>‘’So, if you did have a client these days, it wasn't giving you information or stuff like that. I think given the amount of cases that have happened over the years and things like that, the auditor would be more prepared to actually sign up. OK, then we're going to suspend the audit.’’ (Participant 2)</w:t>
      </w:r>
    </w:p>
    <w:p w14:paraId="3717F1A7"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‘’Yes. And given the current audit climate we would probably rethink what is going on. (Participant 3)’’</w:t>
      </w:r>
    </w:p>
    <w:p w14:paraId="2C9E6318" w14:textId="77777777" w:rsidR="00620F22" w:rsidRPr="00620F22" w:rsidRDefault="00620F22" w:rsidP="00620F22">
      <w:pPr>
        <w:spacing w:before="240" w:line="480" w:lineRule="auto"/>
        <w:jc w:val="both"/>
        <w:rPr>
          <w:rFonts w:ascii="Arial" w:hAnsi="Arial" w:cs="Arial"/>
          <w:color w:val="000000" w:themeColor="text1"/>
        </w:rPr>
      </w:pPr>
      <w:r w:rsidRPr="00620F22">
        <w:rPr>
          <w:rFonts w:ascii="Arial" w:hAnsi="Arial" w:cs="Arial"/>
          <w:color w:val="000000" w:themeColor="text1"/>
        </w:rPr>
        <w:t xml:space="preserve">Participant four noted a tension in audit practice, at the lower end of the market where it was assumed that all clients were dishonest and psychopathy would not be considered, because if the partner was too stringent their livelihood would be jeopardised. The solution was to ensure that financial statements or their ratios stay within tolerable limits which would prevent any further external checking. </w:t>
      </w:r>
    </w:p>
    <w:p w14:paraId="534C57E0" w14:textId="77777777" w:rsidR="00620F22" w:rsidRPr="00620F22" w:rsidRDefault="00620F22" w:rsidP="00620F22">
      <w:pPr>
        <w:shd w:val="clear" w:color="auto" w:fill="FAF9F8"/>
        <w:spacing w:after="0"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 xml:space="preserve">‘’Back then corporate psychopathy was never considered or part of the audit planning. </w:t>
      </w:r>
    </w:p>
    <w:p w14:paraId="32D40325" w14:textId="77777777" w:rsidR="00620F22" w:rsidRPr="00620F22" w:rsidRDefault="00620F22" w:rsidP="00620F22">
      <w:pPr>
        <w:shd w:val="clear" w:color="auto" w:fill="FAF9F8"/>
        <w:spacing w:after="0"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I think the assumption back then used to be that every client would fiddle something.</w:t>
      </w:r>
    </w:p>
    <w:p w14:paraId="0A8962F5" w14:textId="77777777" w:rsidR="00620F22" w:rsidRPr="00620F22" w:rsidRDefault="00620F22" w:rsidP="00620F22">
      <w:pPr>
        <w:spacing w:before="240" w:line="480" w:lineRule="auto"/>
        <w:jc w:val="both"/>
        <w:rPr>
          <w:rFonts w:ascii="Arial" w:hAnsi="Arial" w:cs="Arial"/>
          <w:b/>
          <w:bCs/>
          <w:color w:val="000000" w:themeColor="text1"/>
        </w:rPr>
      </w:pPr>
      <w:r w:rsidRPr="00620F22">
        <w:rPr>
          <w:rFonts w:ascii="Arial" w:hAnsi="Arial" w:cs="Arial"/>
          <w:b/>
          <w:bCs/>
          <w:color w:val="000000" w:themeColor="text1"/>
        </w:rPr>
        <w:t>You start having a go at every client about for example putting teabags through the petty cash, in the end, you’ll have no clients.</w:t>
      </w:r>
    </w:p>
    <w:p w14:paraId="53A6138A" w14:textId="77777777" w:rsidR="00620F22" w:rsidRPr="00620F22" w:rsidRDefault="00620F22" w:rsidP="00620F22">
      <w:pPr>
        <w:spacing w:before="240" w:line="480" w:lineRule="auto"/>
        <w:jc w:val="both"/>
        <w:rPr>
          <w:rFonts w:ascii="Arial" w:hAnsi="Arial" w:cs="Arial"/>
          <w:b/>
          <w:bCs/>
          <w:color w:val="000000" w:themeColor="text1"/>
        </w:rPr>
      </w:pPr>
      <w:r w:rsidRPr="00620F22">
        <w:rPr>
          <w:rFonts w:ascii="Arial" w:hAnsi="Arial" w:cs="Arial"/>
          <w:b/>
          <w:bCs/>
          <w:color w:val="000000" w:themeColor="text1"/>
        </w:rPr>
        <w:t xml:space="preserve">Yep, so there’s the reality of running a practice and not losing clients and making sure that clients don’t set themselves so far away from the norm that they’re just going to be investigated.’’ </w:t>
      </w:r>
    </w:p>
    <w:p w14:paraId="25487A5D" w14:textId="77777777" w:rsidR="00620F22" w:rsidRPr="00620F22" w:rsidRDefault="00620F22" w:rsidP="00620F22">
      <w:pPr>
        <w:spacing w:before="240" w:line="480" w:lineRule="auto"/>
        <w:jc w:val="both"/>
        <w:rPr>
          <w:rFonts w:ascii="Arial" w:hAnsi="Arial" w:cs="Arial"/>
          <w:color w:val="000000" w:themeColor="text1"/>
        </w:rPr>
      </w:pPr>
      <w:r w:rsidRPr="00620F22">
        <w:rPr>
          <w:rFonts w:ascii="Arial" w:hAnsi="Arial" w:cs="Arial"/>
          <w:color w:val="000000" w:themeColor="text1"/>
        </w:rPr>
        <w:t xml:space="preserve">Interviewee five stated that he asked his team to actively look for Accounting Fraud and in effect be more proactive, blood hounds, rather than sit on the fence and remain passive observers or watch dogs. </w:t>
      </w:r>
    </w:p>
    <w:p w14:paraId="688B0478"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lastRenderedPageBreak/>
        <w:t xml:space="preserve">Normally when I start an audit I will ask the team how </w:t>
      </w:r>
      <w:proofErr w:type="gramStart"/>
      <w:r w:rsidRPr="00620F22">
        <w:rPr>
          <w:rFonts w:ascii="Arial" w:hAnsi="Arial" w:cs="Arial"/>
          <w:b/>
          <w:bCs/>
          <w:color w:val="000000" w:themeColor="text1"/>
        </w:rPr>
        <w:t>would you</w:t>
      </w:r>
      <w:proofErr w:type="gramEnd"/>
      <w:r w:rsidRPr="00620F22">
        <w:rPr>
          <w:rFonts w:ascii="Arial" w:hAnsi="Arial" w:cs="Arial"/>
          <w:b/>
          <w:bCs/>
          <w:color w:val="000000" w:themeColor="text1"/>
        </w:rPr>
        <w:t xml:space="preserve"> yourself do a fraud on those areas and look for vulnerable areas where there is potential for fraud and weaknesses in the system. We adjust the audit and put that into our tests.</w:t>
      </w:r>
    </w:p>
    <w:p w14:paraId="27015A1D" w14:textId="47AB5F76" w:rsidR="00DE3122" w:rsidRPr="00620F22" w:rsidRDefault="00620F22" w:rsidP="0011227D">
      <w:pPr>
        <w:spacing w:before="240" w:line="480" w:lineRule="auto"/>
        <w:jc w:val="both"/>
        <w:rPr>
          <w:rFonts w:ascii="Arial" w:hAnsi="Arial" w:cs="Arial"/>
          <w:color w:val="000000" w:themeColor="text1"/>
        </w:rPr>
      </w:pPr>
      <w:r w:rsidRPr="00620F22">
        <w:rPr>
          <w:rFonts w:ascii="Arial" w:hAnsi="Arial" w:cs="Arial"/>
          <w:color w:val="000000" w:themeColor="text1"/>
        </w:rPr>
        <w:t>In the next section the</w:t>
      </w:r>
      <w:r w:rsidR="00105294">
        <w:rPr>
          <w:rFonts w:ascii="Arial" w:hAnsi="Arial" w:cs="Arial"/>
          <w:color w:val="000000" w:themeColor="text1"/>
        </w:rPr>
        <w:t xml:space="preserve"> researcher</w:t>
      </w:r>
      <w:r w:rsidRPr="00620F22">
        <w:rPr>
          <w:rFonts w:ascii="Arial" w:hAnsi="Arial" w:cs="Arial"/>
          <w:color w:val="000000" w:themeColor="text1"/>
        </w:rPr>
        <w:t xml:space="preserve"> will attempt to indicate the principal themes and findings in the remainder or Blockchain Technology part of the interview.</w:t>
      </w:r>
    </w:p>
    <w:bookmarkStart w:id="732" w:name="D100"/>
    <w:p w14:paraId="3FD48D49" w14:textId="27298FCE" w:rsidR="00620F22" w:rsidRPr="00620F22" w:rsidRDefault="00D255E3" w:rsidP="00AB31CC">
      <w:pPr>
        <w:pBdr>
          <w:top w:val="single" w:sz="4" w:space="1" w:color="auto"/>
          <w:left w:val="single" w:sz="4" w:space="4" w:color="auto"/>
          <w:bottom w:val="single" w:sz="4" w:space="1" w:color="auto"/>
          <w:right w:val="single" w:sz="4" w:space="4" w:color="auto"/>
        </w:pBdr>
        <w:spacing w:line="240" w:lineRule="auto"/>
        <w:jc w:val="both"/>
        <w:rPr>
          <w:rFonts w:ascii="Arial" w:eastAsia="Times New Roman" w:hAnsi="Arial" w:cs="Arial"/>
          <w:b/>
          <w:bCs/>
          <w:lang w:eastAsia="en-GB"/>
        </w:rPr>
      </w:pPr>
      <w:r>
        <w:rPr>
          <w:rFonts w:ascii="Arial" w:eastAsia="Times New Roman" w:hAnsi="Arial" w:cs="Arial"/>
          <w:b/>
          <w:bCs/>
          <w:lang w:eastAsia="en-GB"/>
        </w:rPr>
        <w:fldChar w:fldCharType="begin"/>
      </w:r>
      <w:r>
        <w:rPr>
          <w:rFonts w:ascii="Arial" w:eastAsia="Times New Roman" w:hAnsi="Arial" w:cs="Arial"/>
          <w:b/>
          <w:bCs/>
          <w:lang w:eastAsia="en-GB"/>
        </w:rPr>
        <w:instrText>HYPERLINK  \l "C100"</w:instrText>
      </w:r>
      <w:r>
        <w:rPr>
          <w:rFonts w:ascii="Arial" w:eastAsia="Times New Roman" w:hAnsi="Arial" w:cs="Arial"/>
          <w:b/>
          <w:bCs/>
          <w:lang w:eastAsia="en-GB"/>
        </w:rPr>
      </w:r>
      <w:r>
        <w:rPr>
          <w:rFonts w:ascii="Arial" w:eastAsia="Times New Roman" w:hAnsi="Arial" w:cs="Arial"/>
          <w:b/>
          <w:bCs/>
          <w:lang w:eastAsia="en-GB"/>
        </w:rPr>
        <w:fldChar w:fldCharType="separate"/>
      </w:r>
      <w:r w:rsidR="00620F22" w:rsidRPr="00D255E3">
        <w:rPr>
          <w:rStyle w:val="Hyperlink"/>
          <w:rFonts w:ascii="Arial" w:eastAsia="Times New Roman" w:hAnsi="Arial" w:cs="Arial"/>
          <w:b/>
          <w:bCs/>
          <w:lang w:eastAsia="en-GB"/>
        </w:rPr>
        <w:t>4.3.3 Blockchain Technology</w:t>
      </w:r>
      <w:r>
        <w:rPr>
          <w:rFonts w:ascii="Arial" w:eastAsia="Times New Roman" w:hAnsi="Arial" w:cs="Arial"/>
          <w:b/>
          <w:bCs/>
          <w:lang w:eastAsia="en-GB"/>
        </w:rPr>
        <w:fldChar w:fldCharType="end"/>
      </w:r>
    </w:p>
    <w:bookmarkEnd w:id="732"/>
    <w:p w14:paraId="583CF712" w14:textId="77777777" w:rsidR="00620F22" w:rsidRPr="00620F22" w:rsidRDefault="00620F22" w:rsidP="00620F22">
      <w:pPr>
        <w:spacing w:before="240" w:line="480" w:lineRule="auto"/>
        <w:jc w:val="both"/>
        <w:rPr>
          <w:rFonts w:ascii="Arial" w:hAnsi="Arial" w:cs="Arial"/>
          <w:color w:val="000000" w:themeColor="text1"/>
        </w:rPr>
      </w:pPr>
      <w:r w:rsidRPr="00620F22">
        <w:rPr>
          <w:rFonts w:ascii="Arial" w:hAnsi="Arial" w:cs="Arial"/>
          <w:color w:val="000000" w:themeColor="text1"/>
        </w:rPr>
        <w:t>The following questions were asked including a summary of key findings:</w:t>
      </w:r>
    </w:p>
    <w:p w14:paraId="35DF474E" w14:textId="77777777" w:rsidR="00620F22" w:rsidRPr="00620F22" w:rsidRDefault="00620F22">
      <w:pPr>
        <w:numPr>
          <w:ilvl w:val="0"/>
          <w:numId w:val="29"/>
        </w:numPr>
        <w:autoSpaceDE w:val="0"/>
        <w:autoSpaceDN w:val="0"/>
        <w:adjustRightInd w:val="0"/>
        <w:spacing w:after="0" w:line="480" w:lineRule="auto"/>
        <w:ind w:hanging="720"/>
        <w:contextualSpacing/>
        <w:jc w:val="both"/>
        <w:rPr>
          <w:rFonts w:ascii="Arial" w:hAnsi="Arial" w:cs="Arial"/>
          <w:b/>
          <w:bCs/>
          <w:color w:val="000000" w:themeColor="text1"/>
        </w:rPr>
      </w:pPr>
      <w:r w:rsidRPr="00620F22">
        <w:rPr>
          <w:rFonts w:ascii="Arial" w:hAnsi="Arial" w:cs="Arial"/>
          <w:b/>
          <w:bCs/>
          <w:color w:val="000000" w:themeColor="text1"/>
        </w:rPr>
        <w:t>Do you believe the BC features of distributed ledger, immutability and permissioned rights will reduce accounting fraud? Yes or No – Why?</w:t>
      </w:r>
    </w:p>
    <w:p w14:paraId="51BF460A" w14:textId="77777777" w:rsidR="00620F22" w:rsidRPr="00620F22" w:rsidRDefault="00620F22" w:rsidP="00620F22">
      <w:pPr>
        <w:autoSpaceDE w:val="0"/>
        <w:autoSpaceDN w:val="0"/>
        <w:adjustRightInd w:val="0"/>
        <w:spacing w:after="0" w:line="480" w:lineRule="auto"/>
        <w:ind w:left="709"/>
        <w:contextualSpacing/>
        <w:jc w:val="both"/>
        <w:rPr>
          <w:rFonts w:ascii="Arial" w:hAnsi="Arial" w:cs="Arial"/>
          <w:color w:val="000000" w:themeColor="text1"/>
        </w:rPr>
      </w:pPr>
    </w:p>
    <w:tbl>
      <w:tblPr>
        <w:tblStyle w:val="TableGrid1"/>
        <w:tblW w:w="0" w:type="auto"/>
        <w:tblInd w:w="137" w:type="dxa"/>
        <w:tblLook w:val="04A0" w:firstRow="1" w:lastRow="0" w:firstColumn="1" w:lastColumn="0" w:noHBand="0" w:noVBand="1"/>
      </w:tblPr>
      <w:tblGrid>
        <w:gridCol w:w="4782"/>
        <w:gridCol w:w="4097"/>
      </w:tblGrid>
      <w:tr w:rsidR="00620F22" w:rsidRPr="00620F22" w14:paraId="1F54C486" w14:textId="77777777" w:rsidTr="00715CDF">
        <w:tc>
          <w:tcPr>
            <w:tcW w:w="4782" w:type="dxa"/>
          </w:tcPr>
          <w:p w14:paraId="31EECB25" w14:textId="77777777" w:rsidR="00620F22" w:rsidRPr="00620F22" w:rsidRDefault="00620F22" w:rsidP="00234049">
            <w:pPr>
              <w:autoSpaceDE w:val="0"/>
              <w:autoSpaceDN w:val="0"/>
              <w:adjustRightInd w:val="0"/>
              <w:spacing w:line="480" w:lineRule="auto"/>
              <w:rPr>
                <w:rFonts w:ascii="Arial" w:hAnsi="Arial" w:cs="Arial"/>
                <w:sz w:val="24"/>
                <w:szCs w:val="24"/>
              </w:rPr>
            </w:pPr>
            <w:r w:rsidRPr="00620F22">
              <w:rPr>
                <w:rFonts w:ascii="Arial" w:hAnsi="Arial" w:cs="Arial"/>
                <w:sz w:val="24"/>
                <w:szCs w:val="24"/>
              </w:rPr>
              <w:t>PARTICIPANT</w:t>
            </w:r>
          </w:p>
        </w:tc>
        <w:tc>
          <w:tcPr>
            <w:tcW w:w="4097" w:type="dxa"/>
          </w:tcPr>
          <w:p w14:paraId="30F4184B" w14:textId="77777777" w:rsidR="00620F22" w:rsidRPr="00620F22" w:rsidRDefault="00620F22" w:rsidP="00234049">
            <w:pPr>
              <w:autoSpaceDE w:val="0"/>
              <w:autoSpaceDN w:val="0"/>
              <w:adjustRightInd w:val="0"/>
              <w:spacing w:line="480" w:lineRule="auto"/>
              <w:rPr>
                <w:rFonts w:ascii="Arial" w:hAnsi="Arial" w:cs="Arial"/>
                <w:sz w:val="24"/>
                <w:szCs w:val="24"/>
              </w:rPr>
            </w:pPr>
            <w:r w:rsidRPr="00620F22">
              <w:rPr>
                <w:rFonts w:ascii="Arial" w:hAnsi="Arial" w:cs="Arial"/>
                <w:sz w:val="24"/>
                <w:szCs w:val="24"/>
              </w:rPr>
              <w:t>Themes</w:t>
            </w:r>
          </w:p>
        </w:tc>
      </w:tr>
      <w:tr w:rsidR="00620F22" w:rsidRPr="00620F22" w14:paraId="1AB84A71" w14:textId="77777777" w:rsidTr="00715CDF">
        <w:tc>
          <w:tcPr>
            <w:tcW w:w="4782" w:type="dxa"/>
          </w:tcPr>
          <w:p w14:paraId="120402E7" w14:textId="77777777" w:rsidR="00620F22" w:rsidRPr="00620F22" w:rsidRDefault="00620F22" w:rsidP="00234049">
            <w:pPr>
              <w:autoSpaceDE w:val="0"/>
              <w:autoSpaceDN w:val="0"/>
              <w:adjustRightInd w:val="0"/>
              <w:spacing w:line="480" w:lineRule="auto"/>
              <w:rPr>
                <w:rFonts w:ascii="Arial" w:hAnsi="Arial" w:cs="Arial"/>
                <w:sz w:val="24"/>
                <w:szCs w:val="24"/>
              </w:rPr>
            </w:pPr>
            <w:r w:rsidRPr="00620F22">
              <w:rPr>
                <w:rFonts w:ascii="Arial" w:hAnsi="Arial" w:cs="Arial"/>
                <w:sz w:val="24"/>
                <w:szCs w:val="24"/>
              </w:rPr>
              <w:t>1</w:t>
            </w:r>
          </w:p>
        </w:tc>
        <w:tc>
          <w:tcPr>
            <w:tcW w:w="4097" w:type="dxa"/>
          </w:tcPr>
          <w:p w14:paraId="3EF01090" w14:textId="77777777" w:rsidR="00620F22" w:rsidRPr="00620F22" w:rsidRDefault="00620F22" w:rsidP="00234049">
            <w:pPr>
              <w:autoSpaceDE w:val="0"/>
              <w:autoSpaceDN w:val="0"/>
              <w:adjustRightInd w:val="0"/>
              <w:spacing w:line="480" w:lineRule="auto"/>
              <w:rPr>
                <w:rFonts w:ascii="Arial" w:hAnsi="Arial" w:cs="Arial"/>
                <w:sz w:val="24"/>
                <w:szCs w:val="24"/>
              </w:rPr>
            </w:pPr>
            <w:r w:rsidRPr="00620F22">
              <w:rPr>
                <w:rFonts w:ascii="Arial" w:hAnsi="Arial" w:cs="Arial"/>
                <w:sz w:val="24"/>
                <w:szCs w:val="24"/>
              </w:rPr>
              <w:t>Y – only at Transactional level. Not in areas where judgement is required</w:t>
            </w:r>
          </w:p>
        </w:tc>
      </w:tr>
      <w:tr w:rsidR="00620F22" w:rsidRPr="00620F22" w14:paraId="775D4B9D" w14:textId="77777777" w:rsidTr="00715CDF">
        <w:tc>
          <w:tcPr>
            <w:tcW w:w="4782" w:type="dxa"/>
          </w:tcPr>
          <w:p w14:paraId="2B0C9AA2" w14:textId="77777777" w:rsidR="00620F22" w:rsidRPr="00620F22" w:rsidRDefault="00620F22" w:rsidP="00234049">
            <w:pPr>
              <w:autoSpaceDE w:val="0"/>
              <w:autoSpaceDN w:val="0"/>
              <w:adjustRightInd w:val="0"/>
              <w:spacing w:line="480" w:lineRule="auto"/>
              <w:rPr>
                <w:rFonts w:ascii="Arial" w:hAnsi="Arial" w:cs="Arial"/>
                <w:sz w:val="24"/>
                <w:szCs w:val="24"/>
              </w:rPr>
            </w:pPr>
            <w:r w:rsidRPr="00620F22">
              <w:rPr>
                <w:rFonts w:ascii="Arial" w:hAnsi="Arial" w:cs="Arial"/>
                <w:sz w:val="24"/>
                <w:szCs w:val="24"/>
              </w:rPr>
              <w:t>2</w:t>
            </w:r>
          </w:p>
        </w:tc>
        <w:tc>
          <w:tcPr>
            <w:tcW w:w="4097" w:type="dxa"/>
          </w:tcPr>
          <w:p w14:paraId="1D94FA91" w14:textId="77777777" w:rsidR="00620F22" w:rsidRPr="00620F22" w:rsidRDefault="00620F22" w:rsidP="00234049">
            <w:pPr>
              <w:autoSpaceDE w:val="0"/>
              <w:autoSpaceDN w:val="0"/>
              <w:adjustRightInd w:val="0"/>
              <w:spacing w:line="480" w:lineRule="auto"/>
              <w:rPr>
                <w:rFonts w:ascii="Arial" w:hAnsi="Arial" w:cs="Arial"/>
                <w:sz w:val="24"/>
                <w:szCs w:val="24"/>
              </w:rPr>
            </w:pPr>
            <w:r w:rsidRPr="00620F22">
              <w:rPr>
                <w:rFonts w:ascii="Arial" w:hAnsi="Arial" w:cs="Arial"/>
                <w:sz w:val="24"/>
                <w:szCs w:val="24"/>
              </w:rPr>
              <w:t>Y – only at transactional level. There will be more collusion</w:t>
            </w:r>
          </w:p>
        </w:tc>
      </w:tr>
      <w:tr w:rsidR="00620F22" w:rsidRPr="00620F22" w14:paraId="31E1C342" w14:textId="77777777" w:rsidTr="00715CDF">
        <w:tc>
          <w:tcPr>
            <w:tcW w:w="4782" w:type="dxa"/>
          </w:tcPr>
          <w:p w14:paraId="512AB60D" w14:textId="77777777" w:rsidR="00620F22" w:rsidRPr="00620F22" w:rsidRDefault="00620F22" w:rsidP="00234049">
            <w:pPr>
              <w:autoSpaceDE w:val="0"/>
              <w:autoSpaceDN w:val="0"/>
              <w:adjustRightInd w:val="0"/>
              <w:spacing w:line="480" w:lineRule="auto"/>
              <w:rPr>
                <w:rFonts w:ascii="Arial" w:hAnsi="Arial" w:cs="Arial"/>
                <w:sz w:val="24"/>
                <w:szCs w:val="24"/>
              </w:rPr>
            </w:pPr>
            <w:r w:rsidRPr="00620F22">
              <w:rPr>
                <w:rFonts w:ascii="Arial" w:hAnsi="Arial" w:cs="Arial"/>
                <w:sz w:val="24"/>
                <w:szCs w:val="24"/>
              </w:rPr>
              <w:t>3</w:t>
            </w:r>
          </w:p>
        </w:tc>
        <w:tc>
          <w:tcPr>
            <w:tcW w:w="4097" w:type="dxa"/>
          </w:tcPr>
          <w:p w14:paraId="6E96FFD7" w14:textId="77777777" w:rsidR="00620F22" w:rsidRPr="00620F22" w:rsidRDefault="00620F22" w:rsidP="00234049">
            <w:pPr>
              <w:autoSpaceDE w:val="0"/>
              <w:autoSpaceDN w:val="0"/>
              <w:adjustRightInd w:val="0"/>
              <w:spacing w:line="480" w:lineRule="auto"/>
              <w:rPr>
                <w:rFonts w:ascii="Arial" w:hAnsi="Arial" w:cs="Arial"/>
                <w:sz w:val="24"/>
                <w:szCs w:val="24"/>
              </w:rPr>
            </w:pPr>
            <w:r w:rsidRPr="00620F22">
              <w:rPr>
                <w:rFonts w:ascii="Arial" w:hAnsi="Arial" w:cs="Arial"/>
                <w:sz w:val="24"/>
                <w:szCs w:val="24"/>
              </w:rPr>
              <w:t>Y - only at Transactional level. Not in areas where judgement is required</w:t>
            </w:r>
          </w:p>
        </w:tc>
      </w:tr>
      <w:tr w:rsidR="00620F22" w:rsidRPr="00620F22" w14:paraId="72E57ED5" w14:textId="77777777" w:rsidTr="00715CDF">
        <w:tc>
          <w:tcPr>
            <w:tcW w:w="4782" w:type="dxa"/>
          </w:tcPr>
          <w:p w14:paraId="3D0C8109" w14:textId="77777777" w:rsidR="00620F22" w:rsidRPr="00620F22" w:rsidRDefault="00620F22" w:rsidP="00234049">
            <w:pPr>
              <w:autoSpaceDE w:val="0"/>
              <w:autoSpaceDN w:val="0"/>
              <w:adjustRightInd w:val="0"/>
              <w:spacing w:line="480" w:lineRule="auto"/>
              <w:rPr>
                <w:rFonts w:ascii="Arial" w:hAnsi="Arial" w:cs="Arial"/>
                <w:sz w:val="24"/>
                <w:szCs w:val="24"/>
              </w:rPr>
            </w:pPr>
            <w:r w:rsidRPr="00620F22">
              <w:rPr>
                <w:rFonts w:ascii="Arial" w:hAnsi="Arial" w:cs="Arial"/>
                <w:sz w:val="24"/>
                <w:szCs w:val="24"/>
              </w:rPr>
              <w:t>4</w:t>
            </w:r>
          </w:p>
        </w:tc>
        <w:tc>
          <w:tcPr>
            <w:tcW w:w="4097" w:type="dxa"/>
          </w:tcPr>
          <w:p w14:paraId="23BF09BE" w14:textId="77777777" w:rsidR="00620F22" w:rsidRPr="00620F22" w:rsidRDefault="00620F22" w:rsidP="00234049">
            <w:pPr>
              <w:autoSpaceDE w:val="0"/>
              <w:autoSpaceDN w:val="0"/>
              <w:adjustRightInd w:val="0"/>
              <w:spacing w:line="480" w:lineRule="auto"/>
              <w:rPr>
                <w:rFonts w:ascii="Arial" w:hAnsi="Arial" w:cs="Arial"/>
                <w:sz w:val="24"/>
                <w:szCs w:val="24"/>
              </w:rPr>
            </w:pPr>
            <w:r w:rsidRPr="00620F22">
              <w:rPr>
                <w:rFonts w:ascii="Arial" w:hAnsi="Arial" w:cs="Arial"/>
                <w:sz w:val="24"/>
                <w:szCs w:val="24"/>
              </w:rPr>
              <w:t>Maybe but it will be cracked</w:t>
            </w:r>
          </w:p>
        </w:tc>
      </w:tr>
      <w:tr w:rsidR="00620F22" w:rsidRPr="00620F22" w14:paraId="2CE43732" w14:textId="77777777" w:rsidTr="00715CDF">
        <w:tc>
          <w:tcPr>
            <w:tcW w:w="4782" w:type="dxa"/>
          </w:tcPr>
          <w:p w14:paraId="693FB626" w14:textId="77777777" w:rsidR="00620F22" w:rsidRPr="00620F22" w:rsidRDefault="00620F22" w:rsidP="00234049">
            <w:pPr>
              <w:autoSpaceDE w:val="0"/>
              <w:autoSpaceDN w:val="0"/>
              <w:adjustRightInd w:val="0"/>
              <w:spacing w:line="480" w:lineRule="auto"/>
              <w:rPr>
                <w:rFonts w:ascii="Arial" w:hAnsi="Arial" w:cs="Arial"/>
                <w:sz w:val="24"/>
                <w:szCs w:val="24"/>
              </w:rPr>
            </w:pPr>
            <w:r w:rsidRPr="00620F22">
              <w:rPr>
                <w:rFonts w:ascii="Arial" w:hAnsi="Arial" w:cs="Arial"/>
                <w:sz w:val="24"/>
                <w:szCs w:val="24"/>
              </w:rPr>
              <w:t>5</w:t>
            </w:r>
          </w:p>
        </w:tc>
        <w:tc>
          <w:tcPr>
            <w:tcW w:w="4097" w:type="dxa"/>
          </w:tcPr>
          <w:p w14:paraId="4C3BCAE9" w14:textId="77777777" w:rsidR="00620F22" w:rsidRPr="00620F22" w:rsidRDefault="00620F22" w:rsidP="00234049">
            <w:pPr>
              <w:autoSpaceDE w:val="0"/>
              <w:autoSpaceDN w:val="0"/>
              <w:adjustRightInd w:val="0"/>
              <w:spacing w:line="480" w:lineRule="auto"/>
              <w:rPr>
                <w:rFonts w:ascii="Arial" w:hAnsi="Arial" w:cs="Arial"/>
                <w:sz w:val="24"/>
                <w:szCs w:val="24"/>
              </w:rPr>
            </w:pPr>
            <w:r w:rsidRPr="00620F22">
              <w:rPr>
                <w:rFonts w:ascii="Arial" w:hAnsi="Arial" w:cs="Arial"/>
                <w:sz w:val="24"/>
                <w:szCs w:val="24"/>
              </w:rPr>
              <w:t>Y – as human element has been reduced</w:t>
            </w:r>
          </w:p>
        </w:tc>
      </w:tr>
      <w:tr w:rsidR="00620F22" w:rsidRPr="00620F22" w14:paraId="5C60B93D" w14:textId="77777777" w:rsidTr="00715CDF">
        <w:tc>
          <w:tcPr>
            <w:tcW w:w="4782" w:type="dxa"/>
          </w:tcPr>
          <w:p w14:paraId="4A2637E1" w14:textId="77777777" w:rsidR="00620F22" w:rsidRPr="00620F22" w:rsidRDefault="00620F22" w:rsidP="00234049">
            <w:pPr>
              <w:autoSpaceDE w:val="0"/>
              <w:autoSpaceDN w:val="0"/>
              <w:adjustRightInd w:val="0"/>
              <w:spacing w:line="480" w:lineRule="auto"/>
              <w:rPr>
                <w:rFonts w:ascii="Arial" w:hAnsi="Arial" w:cs="Arial"/>
                <w:sz w:val="24"/>
                <w:szCs w:val="24"/>
              </w:rPr>
            </w:pPr>
            <w:r w:rsidRPr="00620F22">
              <w:rPr>
                <w:rFonts w:ascii="Arial" w:hAnsi="Arial" w:cs="Arial"/>
                <w:sz w:val="24"/>
                <w:szCs w:val="24"/>
              </w:rPr>
              <w:lastRenderedPageBreak/>
              <w:t>6</w:t>
            </w:r>
          </w:p>
        </w:tc>
        <w:tc>
          <w:tcPr>
            <w:tcW w:w="4097" w:type="dxa"/>
          </w:tcPr>
          <w:p w14:paraId="373A8DDA" w14:textId="77777777" w:rsidR="00620F22" w:rsidRPr="00620F22" w:rsidRDefault="00620F22" w:rsidP="00234049">
            <w:pPr>
              <w:autoSpaceDE w:val="0"/>
              <w:autoSpaceDN w:val="0"/>
              <w:adjustRightInd w:val="0"/>
              <w:spacing w:line="480" w:lineRule="auto"/>
              <w:rPr>
                <w:rFonts w:ascii="Arial" w:hAnsi="Arial" w:cs="Arial"/>
                <w:sz w:val="24"/>
                <w:szCs w:val="24"/>
              </w:rPr>
            </w:pPr>
            <w:r w:rsidRPr="00620F22">
              <w:rPr>
                <w:rFonts w:ascii="Arial" w:hAnsi="Arial" w:cs="Arial"/>
                <w:sz w:val="24"/>
                <w:szCs w:val="24"/>
              </w:rPr>
              <w:t>Y / N – will only function at the BIG 4 level</w:t>
            </w:r>
          </w:p>
        </w:tc>
      </w:tr>
    </w:tbl>
    <w:p w14:paraId="05AF3939" w14:textId="77777777" w:rsidR="00620F22" w:rsidRPr="00620F22" w:rsidRDefault="00620F22" w:rsidP="00234049">
      <w:pPr>
        <w:autoSpaceDE w:val="0"/>
        <w:autoSpaceDN w:val="0"/>
        <w:adjustRightInd w:val="0"/>
        <w:spacing w:after="0" w:line="480" w:lineRule="auto"/>
        <w:jc w:val="both"/>
        <w:rPr>
          <w:rFonts w:ascii="Arial" w:hAnsi="Arial" w:cs="Arial"/>
          <w:color w:val="000000" w:themeColor="text1"/>
        </w:rPr>
      </w:pPr>
    </w:p>
    <w:p w14:paraId="2E32EDF0"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 xml:space="preserve">Five of the participants think that BC features of distributed ledger, immutability and permissioned rights will reduce Accounting Fraud only at the transactional level but not in areas that require judgement and therefore open to abuse. </w:t>
      </w:r>
    </w:p>
    <w:p w14:paraId="72DEECCC"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 xml:space="preserve">‘’My first thought on that was it, if blockchains are giving you evidence of a secure audit trail of transactions which have happened in in the past. That's all well and good that it gives you comfort over. </w:t>
      </w:r>
    </w:p>
    <w:p w14:paraId="6D2F3B6D"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Now I think it those judgmental areas which are much more susceptible to manipulation. For example, misstating the stock provision of the doubtful debt provision.’’ (Participant 1)</w:t>
      </w:r>
    </w:p>
    <w:p w14:paraId="4807C566"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All the participants noted that although the human element will be lessened however, Blockchain Technology will eventually be compromised and currently is only suitable for the Big 4 Audit firms.</w:t>
      </w:r>
    </w:p>
    <w:p w14:paraId="6D2CBD2F"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 xml:space="preserve">‘’It can only reduce the opportunities that </w:t>
      </w:r>
      <w:proofErr w:type="gramStart"/>
      <w:r w:rsidRPr="00620F22">
        <w:rPr>
          <w:rFonts w:ascii="Arial" w:eastAsia="Times New Roman" w:hAnsi="Arial" w:cs="Arial"/>
          <w:b/>
          <w:bCs/>
          <w:color w:val="000000" w:themeColor="text1"/>
          <w:lang w:eastAsia="en-GB"/>
        </w:rPr>
        <w:t>exist</w:t>
      </w:r>
      <w:proofErr w:type="gramEnd"/>
      <w:r w:rsidRPr="00620F22">
        <w:rPr>
          <w:rFonts w:ascii="Arial" w:eastAsia="Times New Roman" w:hAnsi="Arial" w:cs="Arial"/>
          <w:b/>
          <w:bCs/>
          <w:color w:val="000000" w:themeColor="text1"/>
          <w:lang w:eastAsia="en-GB"/>
        </w:rPr>
        <w:t xml:space="preserve"> but I am sure humans will be able to crack the system.’’ (Participant 3)</w:t>
      </w:r>
    </w:p>
    <w:p w14:paraId="686299D3" w14:textId="77777777" w:rsidR="00620F22" w:rsidRPr="00620F22" w:rsidRDefault="00620F22">
      <w:pPr>
        <w:numPr>
          <w:ilvl w:val="0"/>
          <w:numId w:val="28"/>
        </w:numPr>
        <w:autoSpaceDE w:val="0"/>
        <w:autoSpaceDN w:val="0"/>
        <w:adjustRightInd w:val="0"/>
        <w:spacing w:after="0" w:line="480" w:lineRule="auto"/>
        <w:ind w:left="709" w:hanging="709"/>
        <w:contextualSpacing/>
        <w:jc w:val="both"/>
        <w:rPr>
          <w:rFonts w:ascii="Arial" w:hAnsi="Arial" w:cs="Arial"/>
          <w:b/>
          <w:bCs/>
          <w:color w:val="000000" w:themeColor="text1"/>
        </w:rPr>
      </w:pPr>
      <w:r w:rsidRPr="00620F22">
        <w:rPr>
          <w:rFonts w:ascii="Arial" w:hAnsi="Arial" w:cs="Arial"/>
          <w:b/>
          <w:bCs/>
          <w:color w:val="000000" w:themeColor="text1"/>
        </w:rPr>
        <w:t xml:space="preserve">Do you believe that the BC features of distributed ledger, immutability and permissioned rights can lessen the influence of the Corporate Psychopath Accountant? </w:t>
      </w:r>
      <w:bookmarkStart w:id="733" w:name="_Hlk71718460"/>
      <w:r w:rsidRPr="00620F22">
        <w:rPr>
          <w:rFonts w:ascii="Arial" w:hAnsi="Arial" w:cs="Arial"/>
          <w:b/>
          <w:bCs/>
          <w:color w:val="000000" w:themeColor="text1"/>
        </w:rPr>
        <w:t>Yes or No – Why?</w:t>
      </w:r>
      <w:bookmarkEnd w:id="733"/>
    </w:p>
    <w:p w14:paraId="29B42745" w14:textId="77777777" w:rsidR="00620F22" w:rsidRDefault="00620F22" w:rsidP="00620F22">
      <w:pPr>
        <w:autoSpaceDE w:val="0"/>
        <w:autoSpaceDN w:val="0"/>
        <w:adjustRightInd w:val="0"/>
        <w:spacing w:after="0" w:line="480" w:lineRule="auto"/>
        <w:ind w:left="709"/>
        <w:contextualSpacing/>
        <w:jc w:val="both"/>
        <w:rPr>
          <w:rFonts w:ascii="Arial" w:hAnsi="Arial" w:cs="Arial"/>
          <w:color w:val="000000" w:themeColor="text1"/>
        </w:rPr>
      </w:pPr>
    </w:p>
    <w:p w14:paraId="2A7BC0C7" w14:textId="77777777" w:rsidR="0011227D" w:rsidRPr="00620F22" w:rsidRDefault="0011227D" w:rsidP="00620F22">
      <w:pPr>
        <w:autoSpaceDE w:val="0"/>
        <w:autoSpaceDN w:val="0"/>
        <w:adjustRightInd w:val="0"/>
        <w:spacing w:after="0" w:line="480" w:lineRule="auto"/>
        <w:ind w:left="709"/>
        <w:contextualSpacing/>
        <w:jc w:val="both"/>
        <w:rPr>
          <w:rFonts w:ascii="Arial" w:hAnsi="Arial" w:cs="Arial"/>
          <w:color w:val="000000" w:themeColor="text1"/>
        </w:rPr>
      </w:pPr>
    </w:p>
    <w:tbl>
      <w:tblPr>
        <w:tblStyle w:val="TableGrid1"/>
        <w:tblW w:w="0" w:type="auto"/>
        <w:tblInd w:w="-5" w:type="dxa"/>
        <w:tblLook w:val="04A0" w:firstRow="1" w:lastRow="0" w:firstColumn="1" w:lastColumn="0" w:noHBand="0" w:noVBand="1"/>
      </w:tblPr>
      <w:tblGrid>
        <w:gridCol w:w="4953"/>
        <w:gridCol w:w="4068"/>
      </w:tblGrid>
      <w:tr w:rsidR="00620F22" w:rsidRPr="00620F22" w14:paraId="46A1B4E3" w14:textId="77777777" w:rsidTr="00715CDF">
        <w:tc>
          <w:tcPr>
            <w:tcW w:w="4953" w:type="dxa"/>
          </w:tcPr>
          <w:p w14:paraId="7F533FF4" w14:textId="77777777" w:rsidR="00620F22" w:rsidRPr="00620F22" w:rsidRDefault="00620F22" w:rsidP="008F1372">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lastRenderedPageBreak/>
              <w:t>PARTICIPANT</w:t>
            </w:r>
          </w:p>
        </w:tc>
        <w:tc>
          <w:tcPr>
            <w:tcW w:w="4068" w:type="dxa"/>
          </w:tcPr>
          <w:p w14:paraId="37C97531" w14:textId="77777777" w:rsidR="00620F22" w:rsidRPr="00620F22" w:rsidRDefault="00620F22" w:rsidP="008F1372">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Themes</w:t>
            </w:r>
          </w:p>
        </w:tc>
      </w:tr>
      <w:tr w:rsidR="00620F22" w:rsidRPr="00620F22" w14:paraId="5B033EE3" w14:textId="77777777" w:rsidTr="00715CDF">
        <w:tc>
          <w:tcPr>
            <w:tcW w:w="4953" w:type="dxa"/>
          </w:tcPr>
          <w:p w14:paraId="44A54B5F" w14:textId="77777777" w:rsidR="00620F22" w:rsidRPr="00620F22" w:rsidRDefault="00620F22" w:rsidP="008F1372">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1</w:t>
            </w:r>
          </w:p>
        </w:tc>
        <w:tc>
          <w:tcPr>
            <w:tcW w:w="4068" w:type="dxa"/>
          </w:tcPr>
          <w:p w14:paraId="14494C5D" w14:textId="77777777" w:rsidR="00620F22" w:rsidRPr="00620F22" w:rsidRDefault="00620F22" w:rsidP="008F1372">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 – but not where judgement is required</w:t>
            </w:r>
          </w:p>
        </w:tc>
      </w:tr>
      <w:tr w:rsidR="00620F22" w:rsidRPr="00620F22" w14:paraId="5E653EE5" w14:textId="77777777" w:rsidTr="00715CDF">
        <w:tc>
          <w:tcPr>
            <w:tcW w:w="4953" w:type="dxa"/>
          </w:tcPr>
          <w:p w14:paraId="26905FA9" w14:textId="77777777" w:rsidR="00620F22" w:rsidRPr="00620F22" w:rsidRDefault="00620F22" w:rsidP="008F1372">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2</w:t>
            </w:r>
          </w:p>
        </w:tc>
        <w:tc>
          <w:tcPr>
            <w:tcW w:w="4068" w:type="dxa"/>
          </w:tcPr>
          <w:p w14:paraId="0BB29E08" w14:textId="77777777" w:rsidR="00620F22" w:rsidRPr="00620F22" w:rsidRDefault="00620F22" w:rsidP="008F1372">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 – an additional layer which will frustrate fraudster</w:t>
            </w:r>
          </w:p>
        </w:tc>
      </w:tr>
      <w:tr w:rsidR="00620F22" w:rsidRPr="00620F22" w14:paraId="0CF1E518" w14:textId="77777777" w:rsidTr="00715CDF">
        <w:tc>
          <w:tcPr>
            <w:tcW w:w="4953" w:type="dxa"/>
          </w:tcPr>
          <w:p w14:paraId="6D2AB48D" w14:textId="77777777" w:rsidR="00620F22" w:rsidRPr="00620F22" w:rsidRDefault="00620F22" w:rsidP="008F1372">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3</w:t>
            </w:r>
          </w:p>
        </w:tc>
        <w:tc>
          <w:tcPr>
            <w:tcW w:w="4068" w:type="dxa"/>
          </w:tcPr>
          <w:p w14:paraId="1A5D6B81" w14:textId="77777777" w:rsidR="00620F22" w:rsidRPr="00620F22" w:rsidRDefault="00620F22" w:rsidP="008F1372">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 – but not where judgement is required</w:t>
            </w:r>
          </w:p>
        </w:tc>
      </w:tr>
      <w:tr w:rsidR="00620F22" w:rsidRPr="00620F22" w14:paraId="71665237" w14:textId="77777777" w:rsidTr="00715CDF">
        <w:tc>
          <w:tcPr>
            <w:tcW w:w="4953" w:type="dxa"/>
          </w:tcPr>
          <w:p w14:paraId="36EE8A28" w14:textId="77777777" w:rsidR="00620F22" w:rsidRPr="00620F22" w:rsidRDefault="00620F22" w:rsidP="008F1372">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4</w:t>
            </w:r>
          </w:p>
        </w:tc>
        <w:tc>
          <w:tcPr>
            <w:tcW w:w="4068" w:type="dxa"/>
          </w:tcPr>
          <w:p w14:paraId="78370276" w14:textId="77777777" w:rsidR="00620F22" w:rsidRPr="00620F22" w:rsidRDefault="00620F22" w:rsidP="008F1372">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 – just make it harder</w:t>
            </w:r>
          </w:p>
        </w:tc>
      </w:tr>
      <w:tr w:rsidR="00620F22" w:rsidRPr="00620F22" w14:paraId="6FBD7ED5" w14:textId="77777777" w:rsidTr="00715CDF">
        <w:tc>
          <w:tcPr>
            <w:tcW w:w="4953" w:type="dxa"/>
          </w:tcPr>
          <w:p w14:paraId="7D6CF0CD" w14:textId="77777777" w:rsidR="00620F22" w:rsidRPr="00620F22" w:rsidRDefault="00620F22" w:rsidP="008F1372">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5</w:t>
            </w:r>
          </w:p>
        </w:tc>
        <w:tc>
          <w:tcPr>
            <w:tcW w:w="4068" w:type="dxa"/>
          </w:tcPr>
          <w:p w14:paraId="575EED2B" w14:textId="77777777" w:rsidR="00620F22" w:rsidRPr="00620F22" w:rsidRDefault="00620F22" w:rsidP="008F1372">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 – human element reduced</w:t>
            </w:r>
          </w:p>
        </w:tc>
      </w:tr>
      <w:tr w:rsidR="00620F22" w:rsidRPr="00620F22" w14:paraId="59926905" w14:textId="77777777" w:rsidTr="00715CDF">
        <w:tc>
          <w:tcPr>
            <w:tcW w:w="4953" w:type="dxa"/>
          </w:tcPr>
          <w:p w14:paraId="53B7A704" w14:textId="77777777" w:rsidR="00620F22" w:rsidRPr="00620F22" w:rsidRDefault="00620F22" w:rsidP="008F1372">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6</w:t>
            </w:r>
          </w:p>
        </w:tc>
        <w:tc>
          <w:tcPr>
            <w:tcW w:w="4068" w:type="dxa"/>
          </w:tcPr>
          <w:p w14:paraId="478F252F" w14:textId="77777777" w:rsidR="00620F22" w:rsidRPr="00620F22" w:rsidRDefault="00620F22" w:rsidP="008F1372">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w:t>
            </w:r>
          </w:p>
        </w:tc>
      </w:tr>
    </w:tbl>
    <w:p w14:paraId="60D3C2B3" w14:textId="77777777" w:rsidR="00620F22" w:rsidRPr="00620F22" w:rsidRDefault="00620F22" w:rsidP="00620F22">
      <w:pPr>
        <w:spacing w:line="480" w:lineRule="auto"/>
        <w:ind w:left="720"/>
        <w:contextualSpacing/>
        <w:jc w:val="both"/>
        <w:rPr>
          <w:rFonts w:ascii="Arial" w:hAnsi="Arial" w:cs="Arial"/>
          <w:color w:val="000000" w:themeColor="text1"/>
        </w:rPr>
      </w:pPr>
    </w:p>
    <w:p w14:paraId="36E13DB8" w14:textId="77777777" w:rsidR="00620F22" w:rsidRPr="00620F22" w:rsidRDefault="00620F22" w:rsidP="00620F22">
      <w:pPr>
        <w:autoSpaceDE w:val="0"/>
        <w:autoSpaceDN w:val="0"/>
        <w:adjustRightInd w:val="0"/>
        <w:spacing w:after="0" w:line="480" w:lineRule="auto"/>
        <w:contextualSpacing/>
        <w:jc w:val="both"/>
        <w:rPr>
          <w:rFonts w:ascii="Arial" w:hAnsi="Arial" w:cs="Arial"/>
          <w:color w:val="000000" w:themeColor="text1"/>
        </w:rPr>
      </w:pPr>
      <w:r w:rsidRPr="00620F22">
        <w:rPr>
          <w:rFonts w:ascii="Arial" w:hAnsi="Arial" w:cs="Arial"/>
          <w:color w:val="000000" w:themeColor="text1"/>
        </w:rPr>
        <w:t xml:space="preserve">All the participants believe that BC features of distributed ledger, immutability and permissioned rights will lessen the influence as the human element will be reduced but not eliminate the Corporate Psychopath Accountant. Since, there will extra layers of complexity such as the use of hash tags however, in areas of judgement such as property valuation there will still be a threat from collusion and the potential for control fraud.  </w:t>
      </w:r>
    </w:p>
    <w:p w14:paraId="7A099CDF"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‘’Whereas to verify the judgmental areas in the accounts where it's always going to be up for debate and debating with somebody with psychopathic tendencies will be challenging to say the least.’’  (Participant 1)</w:t>
      </w:r>
    </w:p>
    <w:p w14:paraId="5DD41FD4"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 xml:space="preserve">‘’I think the Psychopath might find it irritating that, like there's something there that they can't quite fully control. </w:t>
      </w:r>
      <w:proofErr w:type="gramStart"/>
      <w:r w:rsidRPr="00620F22">
        <w:rPr>
          <w:rFonts w:ascii="Arial" w:eastAsia="Times New Roman" w:hAnsi="Arial" w:cs="Arial"/>
          <w:b/>
          <w:bCs/>
          <w:color w:val="000000" w:themeColor="text1"/>
          <w:lang w:eastAsia="en-GB"/>
        </w:rPr>
        <w:t>So</w:t>
      </w:r>
      <w:proofErr w:type="gramEnd"/>
      <w:r w:rsidRPr="00620F22">
        <w:rPr>
          <w:rFonts w:ascii="Arial" w:eastAsia="Times New Roman" w:hAnsi="Arial" w:cs="Arial"/>
          <w:b/>
          <w:bCs/>
          <w:color w:val="000000" w:themeColor="text1"/>
          <w:lang w:eastAsia="en-GB"/>
        </w:rPr>
        <w:t xml:space="preserve"> I think you know if a Psychopath trying to commit.’’ (Participant 2)</w:t>
      </w:r>
    </w:p>
    <w:p w14:paraId="2DD5FBEE" w14:textId="77777777" w:rsidR="00620F22" w:rsidRPr="00620F22" w:rsidRDefault="00620F22" w:rsidP="00620F22">
      <w:pPr>
        <w:spacing w:before="100" w:beforeAutospacing="1" w:after="100" w:afterAutospacing="1" w:line="480" w:lineRule="auto"/>
        <w:jc w:val="both"/>
        <w:rPr>
          <w:rFonts w:ascii="Arial" w:eastAsia="Times New Roman" w:hAnsi="Arial" w:cs="Arial"/>
          <w:color w:val="000000" w:themeColor="text1"/>
          <w:lang w:eastAsia="en-GB"/>
        </w:rPr>
      </w:pPr>
      <w:r w:rsidRPr="00620F22">
        <w:rPr>
          <w:rFonts w:ascii="Arial" w:eastAsia="Times New Roman" w:hAnsi="Arial" w:cs="Arial"/>
          <w:color w:val="000000" w:themeColor="text1"/>
          <w:lang w:eastAsia="en-GB"/>
        </w:rPr>
        <w:lastRenderedPageBreak/>
        <w:t xml:space="preserve">It is possible that the Corporate Psychopath Accountant becomes so frustrated with Blockchain Technology that they could potentially further manipulate subordinates into collusion and actively look for and exploit weaknesses. </w:t>
      </w:r>
    </w:p>
    <w:p w14:paraId="052EB33B" w14:textId="77777777" w:rsidR="00620F22" w:rsidRPr="00620F22" w:rsidRDefault="00620F22" w:rsidP="00620F22">
      <w:pPr>
        <w:autoSpaceDE w:val="0"/>
        <w:autoSpaceDN w:val="0"/>
        <w:adjustRightInd w:val="0"/>
        <w:spacing w:after="0" w:line="480" w:lineRule="auto"/>
        <w:contextualSpacing/>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‘’A fraud or something via transactions or trying to get other people to do it, because they would try and coerce other people into helping them and stuff like that. I think it probably could create a more of a multilayer of difficulties for them.’’ (Participant 2)</w:t>
      </w:r>
    </w:p>
    <w:p w14:paraId="6B9E82C6" w14:textId="77777777" w:rsidR="00620F22" w:rsidRPr="00620F22" w:rsidRDefault="00620F22" w:rsidP="00620F22">
      <w:pPr>
        <w:autoSpaceDE w:val="0"/>
        <w:autoSpaceDN w:val="0"/>
        <w:adjustRightInd w:val="0"/>
        <w:spacing w:after="0" w:line="480" w:lineRule="auto"/>
        <w:contextualSpacing/>
        <w:jc w:val="both"/>
        <w:rPr>
          <w:rFonts w:ascii="Arial" w:eastAsia="Times New Roman" w:hAnsi="Arial" w:cs="Arial"/>
          <w:b/>
          <w:bCs/>
          <w:color w:val="000000" w:themeColor="text1"/>
          <w:lang w:eastAsia="en-GB"/>
        </w:rPr>
      </w:pPr>
    </w:p>
    <w:p w14:paraId="3B0BC371" w14:textId="77777777" w:rsidR="00620F22" w:rsidRPr="00620F22" w:rsidRDefault="00620F22" w:rsidP="00620F22">
      <w:pPr>
        <w:shd w:val="clear" w:color="auto" w:fill="FAF9F8"/>
        <w:spacing w:after="0"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‘So yes, you might be right that BC may lessen the influence of the corporate psychopath, but it will not stop a crook / fraudster or psychopath as they will look for loopholes even in the BC system. (Participant 4)</w:t>
      </w:r>
    </w:p>
    <w:p w14:paraId="4D5593E7" w14:textId="77777777" w:rsidR="00620F22" w:rsidRPr="00620F22" w:rsidRDefault="00620F22" w:rsidP="00620F22">
      <w:pPr>
        <w:autoSpaceDE w:val="0"/>
        <w:autoSpaceDN w:val="0"/>
        <w:adjustRightInd w:val="0"/>
        <w:spacing w:after="0" w:line="480" w:lineRule="auto"/>
        <w:contextualSpacing/>
        <w:jc w:val="both"/>
        <w:rPr>
          <w:rFonts w:ascii="Arial" w:hAnsi="Arial" w:cs="Arial"/>
          <w:color w:val="000000" w:themeColor="text1"/>
        </w:rPr>
      </w:pPr>
    </w:p>
    <w:p w14:paraId="6717D431" w14:textId="77777777" w:rsidR="00620F22" w:rsidRPr="00620F22" w:rsidRDefault="00620F22">
      <w:pPr>
        <w:numPr>
          <w:ilvl w:val="0"/>
          <w:numId w:val="28"/>
        </w:numPr>
        <w:autoSpaceDE w:val="0"/>
        <w:autoSpaceDN w:val="0"/>
        <w:adjustRightInd w:val="0"/>
        <w:spacing w:after="0" w:line="480" w:lineRule="auto"/>
        <w:ind w:left="709" w:hanging="709"/>
        <w:contextualSpacing/>
        <w:jc w:val="both"/>
        <w:rPr>
          <w:rFonts w:ascii="Arial" w:hAnsi="Arial" w:cs="Arial"/>
          <w:b/>
          <w:bCs/>
          <w:color w:val="000000" w:themeColor="text1"/>
        </w:rPr>
      </w:pPr>
      <w:bookmarkStart w:id="734" w:name="_Hlk71718572"/>
      <w:r w:rsidRPr="00620F22">
        <w:rPr>
          <w:rFonts w:ascii="Arial" w:hAnsi="Arial" w:cs="Arial"/>
          <w:b/>
          <w:bCs/>
          <w:color w:val="000000" w:themeColor="text1"/>
        </w:rPr>
        <w:t xml:space="preserve">Do you believe that </w:t>
      </w:r>
      <w:bookmarkStart w:id="735" w:name="_Hlk143703631"/>
      <w:r w:rsidRPr="00620F22">
        <w:rPr>
          <w:rFonts w:ascii="Arial" w:hAnsi="Arial" w:cs="Arial"/>
          <w:b/>
          <w:bCs/>
          <w:color w:val="000000" w:themeColor="text1"/>
        </w:rPr>
        <w:t xml:space="preserve">BC auditing will lead to </w:t>
      </w:r>
      <w:bookmarkEnd w:id="734"/>
      <w:r w:rsidRPr="00620F22">
        <w:rPr>
          <w:rFonts w:ascii="Arial" w:hAnsi="Arial" w:cs="Arial"/>
          <w:b/>
          <w:bCs/>
          <w:color w:val="000000" w:themeColor="text1"/>
        </w:rPr>
        <w:t>correlation rather than causation in audit evidence</w:t>
      </w:r>
      <w:bookmarkEnd w:id="735"/>
      <w:r w:rsidRPr="00620F22">
        <w:rPr>
          <w:rFonts w:ascii="Arial" w:hAnsi="Arial" w:cs="Arial"/>
          <w:b/>
          <w:bCs/>
          <w:color w:val="000000" w:themeColor="text1"/>
        </w:rPr>
        <w:t>? Yes or No – Why?</w:t>
      </w:r>
    </w:p>
    <w:p w14:paraId="18343C63" w14:textId="77777777" w:rsidR="00620F22" w:rsidRPr="00620F22" w:rsidRDefault="00620F22" w:rsidP="00620F22">
      <w:pPr>
        <w:autoSpaceDE w:val="0"/>
        <w:autoSpaceDN w:val="0"/>
        <w:adjustRightInd w:val="0"/>
        <w:spacing w:after="0" w:line="480" w:lineRule="auto"/>
        <w:ind w:left="709"/>
        <w:contextualSpacing/>
        <w:jc w:val="both"/>
        <w:rPr>
          <w:rFonts w:ascii="Arial" w:hAnsi="Arial" w:cs="Arial"/>
          <w:color w:val="000000" w:themeColor="text1"/>
        </w:rPr>
      </w:pPr>
    </w:p>
    <w:tbl>
      <w:tblPr>
        <w:tblStyle w:val="TableGrid1"/>
        <w:tblW w:w="0" w:type="auto"/>
        <w:tblInd w:w="-5" w:type="dxa"/>
        <w:tblLook w:val="04A0" w:firstRow="1" w:lastRow="0" w:firstColumn="1" w:lastColumn="0" w:noHBand="0" w:noVBand="1"/>
      </w:tblPr>
      <w:tblGrid>
        <w:gridCol w:w="4966"/>
        <w:gridCol w:w="4055"/>
      </w:tblGrid>
      <w:tr w:rsidR="00620F22" w:rsidRPr="00620F22" w14:paraId="281A9A0E" w14:textId="77777777" w:rsidTr="00715CDF">
        <w:tc>
          <w:tcPr>
            <w:tcW w:w="4966" w:type="dxa"/>
          </w:tcPr>
          <w:p w14:paraId="26FD5A9D" w14:textId="77777777" w:rsidR="00620F22" w:rsidRPr="00620F22" w:rsidRDefault="00620F22" w:rsidP="00D923AF">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PARTICIPANT</w:t>
            </w:r>
          </w:p>
        </w:tc>
        <w:tc>
          <w:tcPr>
            <w:tcW w:w="4055" w:type="dxa"/>
          </w:tcPr>
          <w:p w14:paraId="6089F8CC" w14:textId="77777777" w:rsidR="00620F22" w:rsidRPr="00620F22" w:rsidRDefault="00620F22" w:rsidP="00D923AF">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 xml:space="preserve">Themes </w:t>
            </w:r>
          </w:p>
        </w:tc>
      </w:tr>
      <w:tr w:rsidR="00620F22" w:rsidRPr="00620F22" w14:paraId="4801132A" w14:textId="77777777" w:rsidTr="00715CDF">
        <w:tc>
          <w:tcPr>
            <w:tcW w:w="4966" w:type="dxa"/>
          </w:tcPr>
          <w:p w14:paraId="1F94CCCD" w14:textId="77777777" w:rsidR="00620F22" w:rsidRPr="00620F22" w:rsidRDefault="00620F22" w:rsidP="00D923AF">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1</w:t>
            </w:r>
          </w:p>
        </w:tc>
        <w:tc>
          <w:tcPr>
            <w:tcW w:w="4055" w:type="dxa"/>
          </w:tcPr>
          <w:p w14:paraId="2A81936A" w14:textId="77777777" w:rsidR="00620F22" w:rsidRPr="00620F22" w:rsidRDefault="00620F22" w:rsidP="00D923AF">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 xml:space="preserve">Y </w:t>
            </w:r>
          </w:p>
        </w:tc>
      </w:tr>
      <w:tr w:rsidR="00620F22" w:rsidRPr="00620F22" w14:paraId="27C7C89E" w14:textId="77777777" w:rsidTr="00715CDF">
        <w:tc>
          <w:tcPr>
            <w:tcW w:w="4966" w:type="dxa"/>
          </w:tcPr>
          <w:p w14:paraId="6C48FAF0" w14:textId="77777777" w:rsidR="00620F22" w:rsidRPr="00620F22" w:rsidRDefault="00620F22" w:rsidP="00D923AF">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2</w:t>
            </w:r>
          </w:p>
        </w:tc>
        <w:tc>
          <w:tcPr>
            <w:tcW w:w="4055" w:type="dxa"/>
          </w:tcPr>
          <w:p w14:paraId="46CFAA5F" w14:textId="77777777" w:rsidR="00620F22" w:rsidRPr="00620F22" w:rsidRDefault="00620F22" w:rsidP="00D923AF">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w:t>
            </w:r>
          </w:p>
        </w:tc>
      </w:tr>
      <w:tr w:rsidR="00620F22" w:rsidRPr="00620F22" w14:paraId="13AEFAC8" w14:textId="77777777" w:rsidTr="00715CDF">
        <w:tc>
          <w:tcPr>
            <w:tcW w:w="4966" w:type="dxa"/>
          </w:tcPr>
          <w:p w14:paraId="36682187" w14:textId="77777777" w:rsidR="00620F22" w:rsidRPr="00620F22" w:rsidRDefault="00620F22" w:rsidP="00D923AF">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3</w:t>
            </w:r>
          </w:p>
        </w:tc>
        <w:tc>
          <w:tcPr>
            <w:tcW w:w="4055" w:type="dxa"/>
          </w:tcPr>
          <w:p w14:paraId="53DB007F" w14:textId="77777777" w:rsidR="00620F22" w:rsidRPr="00620F22" w:rsidRDefault="00620F22" w:rsidP="00D923AF">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w:t>
            </w:r>
          </w:p>
        </w:tc>
      </w:tr>
      <w:tr w:rsidR="00620F22" w:rsidRPr="00620F22" w14:paraId="15DCA89A" w14:textId="77777777" w:rsidTr="00715CDF">
        <w:tc>
          <w:tcPr>
            <w:tcW w:w="4966" w:type="dxa"/>
          </w:tcPr>
          <w:p w14:paraId="3AD77AB0" w14:textId="77777777" w:rsidR="00620F22" w:rsidRPr="00620F22" w:rsidRDefault="00620F22" w:rsidP="00D923AF">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4</w:t>
            </w:r>
          </w:p>
        </w:tc>
        <w:tc>
          <w:tcPr>
            <w:tcW w:w="4055" w:type="dxa"/>
          </w:tcPr>
          <w:p w14:paraId="778A75F8" w14:textId="77777777" w:rsidR="00620F22" w:rsidRPr="00620F22" w:rsidRDefault="00620F22" w:rsidP="00D923AF">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w:t>
            </w:r>
          </w:p>
        </w:tc>
      </w:tr>
      <w:tr w:rsidR="00620F22" w:rsidRPr="00620F22" w14:paraId="607F16AD" w14:textId="77777777" w:rsidTr="00715CDF">
        <w:tc>
          <w:tcPr>
            <w:tcW w:w="4966" w:type="dxa"/>
          </w:tcPr>
          <w:p w14:paraId="4D3CD903" w14:textId="77777777" w:rsidR="00620F22" w:rsidRPr="00620F22" w:rsidRDefault="00620F22" w:rsidP="00D923AF">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5</w:t>
            </w:r>
          </w:p>
        </w:tc>
        <w:tc>
          <w:tcPr>
            <w:tcW w:w="4055" w:type="dxa"/>
          </w:tcPr>
          <w:p w14:paraId="325E235B" w14:textId="77777777" w:rsidR="00620F22" w:rsidRPr="00620F22" w:rsidRDefault="00620F22" w:rsidP="00D923AF">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 – as will allow detection of patterns.</w:t>
            </w:r>
          </w:p>
        </w:tc>
      </w:tr>
      <w:tr w:rsidR="00620F22" w:rsidRPr="00620F22" w14:paraId="2184C004" w14:textId="77777777" w:rsidTr="00715CDF">
        <w:tc>
          <w:tcPr>
            <w:tcW w:w="4966" w:type="dxa"/>
          </w:tcPr>
          <w:p w14:paraId="0695C2AB" w14:textId="77777777" w:rsidR="00620F22" w:rsidRPr="00620F22" w:rsidRDefault="00620F22" w:rsidP="00D923AF">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6</w:t>
            </w:r>
          </w:p>
        </w:tc>
        <w:tc>
          <w:tcPr>
            <w:tcW w:w="4055" w:type="dxa"/>
          </w:tcPr>
          <w:p w14:paraId="3A59C91A" w14:textId="77777777" w:rsidR="00620F22" w:rsidRPr="00620F22" w:rsidRDefault="00620F22" w:rsidP="00D923AF">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 xml:space="preserve">Y </w:t>
            </w:r>
          </w:p>
        </w:tc>
      </w:tr>
    </w:tbl>
    <w:p w14:paraId="7CC71D8F" w14:textId="77777777" w:rsidR="00620F22" w:rsidRPr="00620F22" w:rsidRDefault="00620F22" w:rsidP="00620F22">
      <w:pPr>
        <w:spacing w:line="480" w:lineRule="auto"/>
        <w:ind w:left="720"/>
        <w:contextualSpacing/>
        <w:jc w:val="both"/>
        <w:rPr>
          <w:rFonts w:ascii="Arial" w:hAnsi="Arial" w:cs="Arial"/>
          <w:color w:val="000000" w:themeColor="text1"/>
        </w:rPr>
      </w:pPr>
    </w:p>
    <w:p w14:paraId="7DC5FB6B" w14:textId="77777777" w:rsidR="00620F22" w:rsidRPr="00620F22" w:rsidRDefault="00620F22" w:rsidP="00620F22">
      <w:pPr>
        <w:autoSpaceDE w:val="0"/>
        <w:autoSpaceDN w:val="0"/>
        <w:adjustRightInd w:val="0"/>
        <w:spacing w:after="0" w:line="480" w:lineRule="auto"/>
        <w:contextualSpacing/>
        <w:jc w:val="both"/>
        <w:rPr>
          <w:rFonts w:ascii="Arial" w:hAnsi="Arial" w:cs="Arial"/>
          <w:color w:val="000000" w:themeColor="text1"/>
        </w:rPr>
      </w:pPr>
      <w:r w:rsidRPr="00620F22">
        <w:rPr>
          <w:rFonts w:ascii="Arial" w:hAnsi="Arial" w:cs="Arial"/>
          <w:color w:val="000000" w:themeColor="text1"/>
        </w:rPr>
        <w:lastRenderedPageBreak/>
        <w:t xml:space="preserve">All the interviewees believe that BC auditing will lead to correlation rather than causation in audit evidence as the ledgers are self-regulating and correcting. </w:t>
      </w:r>
    </w:p>
    <w:p w14:paraId="2F4B3D78" w14:textId="77777777" w:rsidR="00620F22" w:rsidRPr="00620F22" w:rsidRDefault="00620F22" w:rsidP="00620F22">
      <w:pPr>
        <w:autoSpaceDE w:val="0"/>
        <w:autoSpaceDN w:val="0"/>
        <w:adjustRightInd w:val="0"/>
        <w:spacing w:after="0" w:line="480" w:lineRule="auto"/>
        <w:contextualSpacing/>
        <w:jc w:val="both"/>
        <w:rPr>
          <w:rFonts w:ascii="Arial" w:hAnsi="Arial" w:cs="Arial"/>
          <w:color w:val="000000" w:themeColor="text1"/>
        </w:rPr>
      </w:pPr>
    </w:p>
    <w:p w14:paraId="7481F956" w14:textId="77777777" w:rsidR="00620F22" w:rsidRPr="00620F22" w:rsidRDefault="00620F22" w:rsidP="00620F22">
      <w:pPr>
        <w:shd w:val="clear" w:color="auto" w:fill="FFFFFF"/>
        <w:spacing w:after="240"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‘’Yes since, The days of sample based substantive testing will probably be challenged, as auditors will resort to blockchain technology to test the whole population of transactions within the period under observation. This extensive coverage will drastically improve the level of assurance gained in affected audit engagements. i.e. Establishment of relationships rather than causation.’’ (Participant 4)</w:t>
      </w:r>
    </w:p>
    <w:p w14:paraId="394742CA" w14:textId="77777777" w:rsidR="00620F22" w:rsidRPr="00620F22" w:rsidRDefault="00620F22">
      <w:pPr>
        <w:numPr>
          <w:ilvl w:val="0"/>
          <w:numId w:val="28"/>
        </w:numPr>
        <w:autoSpaceDE w:val="0"/>
        <w:autoSpaceDN w:val="0"/>
        <w:adjustRightInd w:val="0"/>
        <w:spacing w:after="0" w:line="480" w:lineRule="auto"/>
        <w:ind w:left="709" w:hanging="709"/>
        <w:contextualSpacing/>
        <w:jc w:val="both"/>
        <w:rPr>
          <w:rFonts w:ascii="Arial" w:hAnsi="Arial" w:cs="Arial"/>
          <w:b/>
          <w:bCs/>
          <w:color w:val="000000" w:themeColor="text1"/>
        </w:rPr>
      </w:pPr>
      <w:r w:rsidRPr="00620F22">
        <w:rPr>
          <w:rFonts w:ascii="Arial" w:hAnsi="Arial" w:cs="Arial"/>
          <w:b/>
          <w:bCs/>
          <w:color w:val="000000" w:themeColor="text1"/>
        </w:rPr>
        <w:t xml:space="preserve">Do you believe that BC auditing will lead </w:t>
      </w:r>
      <w:bookmarkStart w:id="736" w:name="_Hlk143704037"/>
      <w:r w:rsidRPr="00620F22">
        <w:rPr>
          <w:rFonts w:ascii="Arial" w:hAnsi="Arial" w:cs="Arial"/>
          <w:b/>
          <w:bCs/>
          <w:color w:val="000000" w:themeColor="text1"/>
        </w:rPr>
        <w:t>to a superior audit opinion including commentary upon the Going Concern (GC) of an entity?</w:t>
      </w:r>
      <w:bookmarkEnd w:id="736"/>
    </w:p>
    <w:p w14:paraId="7DDA249C" w14:textId="77777777" w:rsidR="00620F22" w:rsidRPr="00620F22" w:rsidRDefault="00620F22" w:rsidP="00620F22">
      <w:pPr>
        <w:autoSpaceDE w:val="0"/>
        <w:autoSpaceDN w:val="0"/>
        <w:adjustRightInd w:val="0"/>
        <w:spacing w:after="0" w:line="480" w:lineRule="auto"/>
        <w:ind w:left="709"/>
        <w:contextualSpacing/>
        <w:jc w:val="both"/>
        <w:rPr>
          <w:rFonts w:ascii="Arial" w:hAnsi="Arial" w:cs="Arial"/>
          <w:color w:val="000000" w:themeColor="text1"/>
        </w:rPr>
      </w:pPr>
    </w:p>
    <w:tbl>
      <w:tblPr>
        <w:tblStyle w:val="TableGrid1"/>
        <w:tblW w:w="0" w:type="auto"/>
        <w:tblInd w:w="-5" w:type="dxa"/>
        <w:tblLook w:val="04A0" w:firstRow="1" w:lastRow="0" w:firstColumn="1" w:lastColumn="0" w:noHBand="0" w:noVBand="1"/>
      </w:tblPr>
      <w:tblGrid>
        <w:gridCol w:w="4943"/>
        <w:gridCol w:w="4078"/>
      </w:tblGrid>
      <w:tr w:rsidR="00620F22" w:rsidRPr="00620F22" w14:paraId="1A74A047" w14:textId="77777777" w:rsidTr="00715CDF">
        <w:tc>
          <w:tcPr>
            <w:tcW w:w="4943" w:type="dxa"/>
          </w:tcPr>
          <w:p w14:paraId="34BB5DB9" w14:textId="77777777" w:rsidR="00620F22" w:rsidRPr="00620F22" w:rsidRDefault="00620F22" w:rsidP="0064312D">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PARTICIPANT</w:t>
            </w:r>
          </w:p>
        </w:tc>
        <w:tc>
          <w:tcPr>
            <w:tcW w:w="4078" w:type="dxa"/>
          </w:tcPr>
          <w:p w14:paraId="13074F29" w14:textId="77777777" w:rsidR="00620F22" w:rsidRPr="00620F22" w:rsidRDefault="00620F22" w:rsidP="0064312D">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Themes</w:t>
            </w:r>
          </w:p>
        </w:tc>
      </w:tr>
      <w:tr w:rsidR="00620F22" w:rsidRPr="00620F22" w14:paraId="52CE9507" w14:textId="77777777" w:rsidTr="00715CDF">
        <w:tc>
          <w:tcPr>
            <w:tcW w:w="4943" w:type="dxa"/>
          </w:tcPr>
          <w:p w14:paraId="0735891B" w14:textId="77777777" w:rsidR="00620F22" w:rsidRPr="00620F22" w:rsidRDefault="00620F22" w:rsidP="0064312D">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1</w:t>
            </w:r>
          </w:p>
        </w:tc>
        <w:tc>
          <w:tcPr>
            <w:tcW w:w="4078" w:type="dxa"/>
          </w:tcPr>
          <w:p w14:paraId="2BD984F6" w14:textId="6CE5DC09" w:rsidR="00620F22" w:rsidRPr="00620F22" w:rsidRDefault="006A5B7A" w:rsidP="0064312D">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 -</w:t>
            </w:r>
            <w:r w:rsidR="00620F22" w:rsidRPr="00620F22">
              <w:rPr>
                <w:rFonts w:asciiTheme="minorBidi" w:hAnsiTheme="minorBidi"/>
                <w:sz w:val="24"/>
                <w:szCs w:val="24"/>
              </w:rPr>
              <w:t xml:space="preserve"> GC problematic as who can see into the future </w:t>
            </w:r>
          </w:p>
        </w:tc>
      </w:tr>
      <w:tr w:rsidR="00620F22" w:rsidRPr="00620F22" w14:paraId="326A3F9E" w14:textId="77777777" w:rsidTr="00715CDF">
        <w:tc>
          <w:tcPr>
            <w:tcW w:w="4943" w:type="dxa"/>
          </w:tcPr>
          <w:p w14:paraId="5A380834" w14:textId="77777777" w:rsidR="00620F22" w:rsidRPr="00620F22" w:rsidRDefault="00620F22" w:rsidP="0064312D">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2</w:t>
            </w:r>
          </w:p>
        </w:tc>
        <w:tc>
          <w:tcPr>
            <w:tcW w:w="4078" w:type="dxa"/>
          </w:tcPr>
          <w:p w14:paraId="329FAADA" w14:textId="77777777" w:rsidR="00620F22" w:rsidRPr="00620F22" w:rsidRDefault="00620F22" w:rsidP="0064312D">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 – Ultimate internal control</w:t>
            </w:r>
          </w:p>
        </w:tc>
      </w:tr>
      <w:tr w:rsidR="00620F22" w:rsidRPr="00620F22" w14:paraId="0BA7A2B5" w14:textId="77777777" w:rsidTr="00715CDF">
        <w:tc>
          <w:tcPr>
            <w:tcW w:w="4943" w:type="dxa"/>
          </w:tcPr>
          <w:p w14:paraId="311762BF" w14:textId="77777777" w:rsidR="00620F22" w:rsidRPr="00620F22" w:rsidRDefault="00620F22" w:rsidP="0064312D">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3</w:t>
            </w:r>
          </w:p>
        </w:tc>
        <w:tc>
          <w:tcPr>
            <w:tcW w:w="4078" w:type="dxa"/>
          </w:tcPr>
          <w:p w14:paraId="693404C3" w14:textId="77777777" w:rsidR="00620F22" w:rsidRPr="00620F22" w:rsidRDefault="00620F22" w:rsidP="0064312D">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 – problem looking forward</w:t>
            </w:r>
          </w:p>
        </w:tc>
      </w:tr>
      <w:tr w:rsidR="00620F22" w:rsidRPr="00620F22" w14:paraId="6C91F8D5" w14:textId="77777777" w:rsidTr="00715CDF">
        <w:tc>
          <w:tcPr>
            <w:tcW w:w="4943" w:type="dxa"/>
          </w:tcPr>
          <w:p w14:paraId="3919A284" w14:textId="77777777" w:rsidR="00620F22" w:rsidRPr="00620F22" w:rsidRDefault="00620F22" w:rsidP="0064312D">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4</w:t>
            </w:r>
          </w:p>
        </w:tc>
        <w:tc>
          <w:tcPr>
            <w:tcW w:w="4078" w:type="dxa"/>
          </w:tcPr>
          <w:p w14:paraId="277C749A" w14:textId="77777777" w:rsidR="00620F22" w:rsidRPr="00620F22" w:rsidRDefault="00620F22" w:rsidP="0064312D">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 – no guarantees</w:t>
            </w:r>
          </w:p>
        </w:tc>
      </w:tr>
      <w:tr w:rsidR="00620F22" w:rsidRPr="00620F22" w14:paraId="5D5628E0" w14:textId="77777777" w:rsidTr="00715CDF">
        <w:tc>
          <w:tcPr>
            <w:tcW w:w="4943" w:type="dxa"/>
          </w:tcPr>
          <w:p w14:paraId="3703E8C2" w14:textId="77777777" w:rsidR="00620F22" w:rsidRPr="00620F22" w:rsidRDefault="00620F22" w:rsidP="0064312D">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5</w:t>
            </w:r>
          </w:p>
        </w:tc>
        <w:tc>
          <w:tcPr>
            <w:tcW w:w="4078" w:type="dxa"/>
          </w:tcPr>
          <w:p w14:paraId="2C052B2D" w14:textId="77777777" w:rsidR="00620F22" w:rsidRPr="00620F22" w:rsidRDefault="00620F22" w:rsidP="0064312D">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 – as will allow detection of patterns</w:t>
            </w:r>
          </w:p>
        </w:tc>
      </w:tr>
      <w:tr w:rsidR="00620F22" w:rsidRPr="00620F22" w14:paraId="4A99F8CF" w14:textId="77777777" w:rsidTr="00715CDF">
        <w:tc>
          <w:tcPr>
            <w:tcW w:w="4943" w:type="dxa"/>
          </w:tcPr>
          <w:p w14:paraId="4D6AF6CF" w14:textId="77777777" w:rsidR="00620F22" w:rsidRPr="00620F22" w:rsidRDefault="00620F22" w:rsidP="0064312D">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6</w:t>
            </w:r>
          </w:p>
        </w:tc>
        <w:tc>
          <w:tcPr>
            <w:tcW w:w="4078" w:type="dxa"/>
          </w:tcPr>
          <w:p w14:paraId="1B8B5072" w14:textId="3D21239B" w:rsidR="00620F22" w:rsidRPr="00620F22" w:rsidRDefault="00357826" w:rsidP="0064312D">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Y -</w:t>
            </w:r>
            <w:r w:rsidR="00620F22" w:rsidRPr="00620F22">
              <w:rPr>
                <w:rFonts w:asciiTheme="minorBidi" w:hAnsiTheme="minorBidi"/>
                <w:sz w:val="24"/>
                <w:szCs w:val="24"/>
              </w:rPr>
              <w:t xml:space="preserve"> Completely accurate</w:t>
            </w:r>
          </w:p>
        </w:tc>
      </w:tr>
    </w:tbl>
    <w:p w14:paraId="0FEAFD69" w14:textId="77777777" w:rsidR="00620F22" w:rsidRPr="00620F22" w:rsidRDefault="00620F22" w:rsidP="0064312D">
      <w:pPr>
        <w:autoSpaceDE w:val="0"/>
        <w:autoSpaceDN w:val="0"/>
        <w:adjustRightInd w:val="0"/>
        <w:spacing w:after="0" w:line="480" w:lineRule="auto"/>
        <w:ind w:left="709"/>
        <w:contextualSpacing/>
        <w:jc w:val="both"/>
        <w:rPr>
          <w:rFonts w:asciiTheme="minorBidi" w:hAnsiTheme="minorBidi"/>
          <w:color w:val="000000" w:themeColor="text1"/>
        </w:rPr>
      </w:pPr>
    </w:p>
    <w:p w14:paraId="45086150" w14:textId="77777777" w:rsidR="00620F22" w:rsidRPr="00620F22" w:rsidRDefault="00620F22" w:rsidP="00620F22">
      <w:pPr>
        <w:autoSpaceDE w:val="0"/>
        <w:autoSpaceDN w:val="0"/>
        <w:adjustRightInd w:val="0"/>
        <w:spacing w:after="0" w:line="480" w:lineRule="auto"/>
        <w:contextualSpacing/>
        <w:jc w:val="both"/>
        <w:rPr>
          <w:rFonts w:ascii="Arial" w:hAnsi="Arial" w:cs="Arial"/>
          <w:color w:val="000000" w:themeColor="text1"/>
        </w:rPr>
      </w:pPr>
      <w:r w:rsidRPr="00620F22">
        <w:rPr>
          <w:rFonts w:ascii="Arial" w:hAnsi="Arial" w:cs="Arial"/>
          <w:color w:val="000000" w:themeColor="text1"/>
        </w:rPr>
        <w:t>All the interviewees believe that BC auditing will lead to a superior audit opinion at the transactional level as the human element will be removed.</w:t>
      </w:r>
    </w:p>
    <w:p w14:paraId="6D8A0E6E"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lastRenderedPageBreak/>
        <w:t>‘’If the audit industry starts using the blockchain and then in effect it is like the ultimate sort of internal control.’’ (Participant 2)</w:t>
      </w:r>
    </w:p>
    <w:p w14:paraId="64588007"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‘’I'm not an expert, but my principle of the blockchain is it's it' sort of iron cladding. What's happened, not predicting what's going to happen.’’ (Participant 3)</w:t>
      </w:r>
    </w:p>
    <w:p w14:paraId="3234864D"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t xml:space="preserve">‘’When you are taking out the human element from the equation and </w:t>
      </w:r>
      <w:proofErr w:type="gramStart"/>
      <w:r w:rsidRPr="00620F22">
        <w:rPr>
          <w:rFonts w:ascii="Arial" w:hAnsi="Arial" w:cs="Arial"/>
          <w:b/>
          <w:bCs/>
          <w:color w:val="000000" w:themeColor="text1"/>
        </w:rPr>
        <w:t>bringing  in</w:t>
      </w:r>
      <w:proofErr w:type="gramEnd"/>
      <w:r w:rsidRPr="00620F22">
        <w:rPr>
          <w:rFonts w:ascii="Arial" w:hAnsi="Arial" w:cs="Arial"/>
          <w:b/>
          <w:bCs/>
          <w:color w:val="000000" w:themeColor="text1"/>
        </w:rPr>
        <w:t xml:space="preserve"> technology /  IT but as long as you feed into the information which is reasonable it then  in theory you would expect a better result. So logically if it is handled properly it should help.’’ (Participant 5)</w:t>
      </w:r>
    </w:p>
    <w:p w14:paraId="2411182F" w14:textId="77777777" w:rsidR="00620F22" w:rsidRPr="00620F22" w:rsidRDefault="00620F22" w:rsidP="00620F22">
      <w:pPr>
        <w:spacing w:before="100" w:beforeAutospacing="1" w:after="100" w:afterAutospacing="1" w:line="480" w:lineRule="auto"/>
        <w:jc w:val="both"/>
        <w:rPr>
          <w:rFonts w:ascii="Arial" w:eastAsia="Times New Roman" w:hAnsi="Arial" w:cs="Arial"/>
          <w:color w:val="000000" w:themeColor="text1"/>
          <w:lang w:eastAsia="en-GB"/>
        </w:rPr>
      </w:pPr>
      <w:r w:rsidRPr="00620F22">
        <w:rPr>
          <w:rFonts w:ascii="Arial" w:eastAsia="Times New Roman" w:hAnsi="Arial" w:cs="Arial"/>
          <w:color w:val="000000" w:themeColor="text1"/>
          <w:lang w:eastAsia="en-GB"/>
        </w:rPr>
        <w:t>On the other hand, commentary regarding Going Concern is problematic as it involves predicting the future. Auditors critically check the assumptions and environmental analyses and representations by senior management and if they make reasonable sense the auditors will duly signoff the final report.</w:t>
      </w:r>
    </w:p>
    <w:p w14:paraId="3ED97F3E"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‘’More pertinently, it requires the client to look forwards. It requires the directors to do the forecasts and show that they can continue for the foreseeable future, and the auditor’s role in that. It is only to assess that the directors have done their homework here. Have they done enough work to tell me that they are confident that they can keep going for the foreseeable future or have they done nothing at all and are just utterly winging it and this is an area where the regulator and the requirements are ever increasing because every time there is a Carillion then people will say well, why didn't the auditors say that this wasn't a going concern?’’  (Participant 1)</w:t>
      </w:r>
    </w:p>
    <w:p w14:paraId="38F341E5" w14:textId="77777777" w:rsidR="00620F22" w:rsidRPr="00620F22" w:rsidRDefault="00620F22" w:rsidP="00620F22">
      <w:pPr>
        <w:autoSpaceDE w:val="0"/>
        <w:autoSpaceDN w:val="0"/>
        <w:adjustRightInd w:val="0"/>
        <w:spacing w:after="0" w:line="480" w:lineRule="auto"/>
        <w:contextualSpacing/>
        <w:jc w:val="both"/>
        <w:rPr>
          <w:rFonts w:ascii="Arial" w:hAnsi="Arial" w:cs="Arial"/>
          <w:color w:val="000000" w:themeColor="text1"/>
        </w:rPr>
      </w:pPr>
      <w:r w:rsidRPr="00620F22">
        <w:rPr>
          <w:rFonts w:ascii="Arial" w:hAnsi="Arial" w:cs="Arial"/>
          <w:color w:val="000000" w:themeColor="text1"/>
        </w:rPr>
        <w:lastRenderedPageBreak/>
        <w:t>On the other hand, future predictions cannot be guaranteed for example no one could have predicted the Covid 19 pandemic and its’ continuing ramifications or if senior management make absurd statements resulting in a destruction of shareholder value.</w:t>
      </w:r>
    </w:p>
    <w:p w14:paraId="6733B5E5" w14:textId="77777777" w:rsidR="00620F22" w:rsidRPr="00620F22" w:rsidRDefault="00620F22" w:rsidP="00620F22">
      <w:pPr>
        <w:autoSpaceDE w:val="0"/>
        <w:autoSpaceDN w:val="0"/>
        <w:adjustRightInd w:val="0"/>
        <w:spacing w:after="0" w:line="480" w:lineRule="auto"/>
        <w:contextualSpacing/>
        <w:jc w:val="both"/>
        <w:rPr>
          <w:rFonts w:ascii="Arial" w:hAnsi="Arial" w:cs="Arial"/>
          <w:color w:val="000000" w:themeColor="text1"/>
        </w:rPr>
      </w:pPr>
    </w:p>
    <w:p w14:paraId="45D60BE0" w14:textId="77777777" w:rsidR="00620F22" w:rsidRPr="00620F22" w:rsidRDefault="00620F22" w:rsidP="00620F22">
      <w:pPr>
        <w:shd w:val="clear" w:color="auto" w:fill="FAF9F8"/>
        <w:spacing w:after="0" w:line="480" w:lineRule="auto"/>
        <w:rPr>
          <w:rFonts w:ascii="Arial" w:eastAsia="Times New Roman" w:hAnsi="Arial" w:cs="Arial"/>
          <w:b/>
          <w:bCs/>
          <w:color w:val="000000" w:themeColor="text1"/>
          <w:lang w:eastAsia="en-GB"/>
        </w:rPr>
      </w:pPr>
      <w:bookmarkStart w:id="737" w:name="_Hlk144039163"/>
      <w:r w:rsidRPr="00620F22">
        <w:rPr>
          <w:rFonts w:ascii="Arial" w:eastAsia="Times New Roman" w:hAnsi="Arial" w:cs="Arial"/>
          <w:b/>
          <w:bCs/>
          <w:color w:val="000000" w:themeColor="text1"/>
          <w:lang w:eastAsia="en-GB"/>
        </w:rPr>
        <w:t>‘’Or the classic example of Ratner who made one ill-advised speech he claimed that he sold ‘crap</w:t>
      </w:r>
      <w:proofErr w:type="gramStart"/>
      <w:r w:rsidRPr="00620F22">
        <w:rPr>
          <w:rFonts w:ascii="Arial" w:eastAsia="Times New Roman" w:hAnsi="Arial" w:cs="Arial"/>
          <w:b/>
          <w:bCs/>
          <w:color w:val="000000" w:themeColor="text1"/>
          <w:lang w:eastAsia="en-GB"/>
        </w:rPr>
        <w:t>’</w:t>
      </w:r>
      <w:proofErr w:type="gramEnd"/>
      <w:r w:rsidRPr="00620F22">
        <w:rPr>
          <w:rFonts w:ascii="Arial" w:eastAsia="Times New Roman" w:hAnsi="Arial" w:cs="Arial"/>
          <w:b/>
          <w:bCs/>
          <w:color w:val="000000" w:themeColor="text1"/>
          <w:lang w:eastAsia="en-GB"/>
        </w:rPr>
        <w:t xml:space="preserve"> and he lost his entire business.’’ (Participant 4)</w:t>
      </w:r>
    </w:p>
    <w:p w14:paraId="3F92699D" w14:textId="77777777" w:rsidR="00620F22" w:rsidRPr="00620F22" w:rsidRDefault="00620F22" w:rsidP="00620F22">
      <w:pPr>
        <w:shd w:val="clear" w:color="auto" w:fill="FAF9F8"/>
        <w:spacing w:after="0" w:line="480" w:lineRule="auto"/>
        <w:rPr>
          <w:rFonts w:ascii="Arial" w:eastAsia="Times New Roman" w:hAnsi="Arial" w:cs="Arial"/>
          <w:b/>
          <w:bCs/>
          <w:color w:val="000000" w:themeColor="text1"/>
          <w:lang w:eastAsia="en-GB"/>
        </w:rPr>
      </w:pPr>
    </w:p>
    <w:p w14:paraId="6EEA92AF" w14:textId="77777777" w:rsidR="00620F22" w:rsidRPr="00620F22" w:rsidRDefault="00620F22" w:rsidP="00620F22">
      <w:pPr>
        <w:shd w:val="clear" w:color="auto" w:fill="FAF9F8"/>
        <w:spacing w:after="0" w:line="480" w:lineRule="auto"/>
        <w:rPr>
          <w:rFonts w:ascii="Arial" w:eastAsia="Times New Roman" w:hAnsi="Arial" w:cs="Arial"/>
          <w:color w:val="000000" w:themeColor="text1"/>
          <w:lang w:eastAsia="en-GB"/>
        </w:rPr>
      </w:pPr>
      <w:r w:rsidRPr="00620F22">
        <w:rPr>
          <w:rFonts w:ascii="Arial" w:eastAsia="Times New Roman" w:hAnsi="Arial" w:cs="Arial"/>
          <w:color w:val="000000" w:themeColor="text1"/>
          <w:lang w:eastAsia="en-GB"/>
        </w:rPr>
        <w:t>If Blockchain Technology becomes the norm, then the very audit opinion will change.</w:t>
      </w:r>
      <w:bookmarkEnd w:id="737"/>
    </w:p>
    <w:p w14:paraId="380A3DEF" w14:textId="77777777" w:rsidR="00620F22" w:rsidRPr="00620F22" w:rsidRDefault="00620F22" w:rsidP="00620F22">
      <w:pPr>
        <w:shd w:val="clear" w:color="auto" w:fill="FAF9F8"/>
        <w:spacing w:after="0" w:line="480" w:lineRule="auto"/>
        <w:rPr>
          <w:rFonts w:ascii="Arial" w:eastAsia="Times New Roman" w:hAnsi="Arial" w:cs="Arial"/>
          <w:color w:val="000000" w:themeColor="text1"/>
          <w:lang w:eastAsia="en-GB"/>
        </w:rPr>
      </w:pPr>
    </w:p>
    <w:p w14:paraId="7BF6C520" w14:textId="77777777" w:rsidR="00620F22" w:rsidRPr="00620F22" w:rsidRDefault="00620F22" w:rsidP="00620F22">
      <w:pPr>
        <w:spacing w:line="480" w:lineRule="auto"/>
        <w:jc w:val="both"/>
        <w:rPr>
          <w:b/>
          <w:bCs/>
          <w:color w:val="000000" w:themeColor="text1"/>
        </w:rPr>
      </w:pPr>
      <w:r w:rsidRPr="00620F22">
        <w:rPr>
          <w:b/>
          <w:bCs/>
          <w:color w:val="000000" w:themeColor="text1"/>
        </w:rPr>
        <w:t>‘’Will accounts be true and fair or true and fair accurate with BC? Or completely accurate.’’ (Participant 6)</w:t>
      </w:r>
    </w:p>
    <w:p w14:paraId="44F54B85" w14:textId="77777777" w:rsidR="00620F22" w:rsidRPr="00620F22" w:rsidRDefault="00620F22">
      <w:pPr>
        <w:numPr>
          <w:ilvl w:val="0"/>
          <w:numId w:val="28"/>
        </w:numPr>
        <w:autoSpaceDE w:val="0"/>
        <w:autoSpaceDN w:val="0"/>
        <w:adjustRightInd w:val="0"/>
        <w:spacing w:after="0" w:line="480" w:lineRule="auto"/>
        <w:ind w:left="709" w:hanging="709"/>
        <w:contextualSpacing/>
        <w:jc w:val="both"/>
        <w:rPr>
          <w:rFonts w:ascii="Arial" w:hAnsi="Arial" w:cs="Arial"/>
          <w:b/>
          <w:bCs/>
          <w:color w:val="000000" w:themeColor="text1"/>
        </w:rPr>
      </w:pPr>
      <w:r w:rsidRPr="00620F22">
        <w:rPr>
          <w:rFonts w:ascii="Arial" w:hAnsi="Arial" w:cs="Arial"/>
          <w:b/>
          <w:bCs/>
          <w:color w:val="000000" w:themeColor="text1"/>
        </w:rPr>
        <w:t>What challenges or barriers to you perceive to the use of BCT for auditors and the audit profession?</w:t>
      </w:r>
    </w:p>
    <w:p w14:paraId="115F0091"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p>
    <w:tbl>
      <w:tblPr>
        <w:tblStyle w:val="TableGrid1"/>
        <w:tblW w:w="0" w:type="auto"/>
        <w:tblInd w:w="137" w:type="dxa"/>
        <w:tblLook w:val="04A0" w:firstRow="1" w:lastRow="0" w:firstColumn="1" w:lastColumn="0" w:noHBand="0" w:noVBand="1"/>
      </w:tblPr>
      <w:tblGrid>
        <w:gridCol w:w="4797"/>
        <w:gridCol w:w="4082"/>
      </w:tblGrid>
      <w:tr w:rsidR="00620F22" w:rsidRPr="00620F22" w14:paraId="0E5C0D8B" w14:textId="77777777" w:rsidTr="00715CDF">
        <w:tc>
          <w:tcPr>
            <w:tcW w:w="4797" w:type="dxa"/>
          </w:tcPr>
          <w:p w14:paraId="04A56696"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PARTICIPANT</w:t>
            </w:r>
          </w:p>
        </w:tc>
        <w:tc>
          <w:tcPr>
            <w:tcW w:w="4082" w:type="dxa"/>
          </w:tcPr>
          <w:p w14:paraId="585D4CE7"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Themes</w:t>
            </w:r>
          </w:p>
        </w:tc>
      </w:tr>
      <w:tr w:rsidR="00620F22" w:rsidRPr="00620F22" w14:paraId="5C912DB5" w14:textId="77777777" w:rsidTr="00715CDF">
        <w:tc>
          <w:tcPr>
            <w:tcW w:w="4797" w:type="dxa"/>
          </w:tcPr>
          <w:p w14:paraId="7C8035E1"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1</w:t>
            </w:r>
          </w:p>
        </w:tc>
        <w:tc>
          <w:tcPr>
            <w:tcW w:w="4082" w:type="dxa"/>
          </w:tcPr>
          <w:p w14:paraId="5D9FF545"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 xml:space="preserve">Automation. Developing sceptical mindset. For OMB it takes take time </w:t>
            </w:r>
          </w:p>
        </w:tc>
      </w:tr>
      <w:tr w:rsidR="00620F22" w:rsidRPr="00620F22" w14:paraId="5D86E9C6" w14:textId="77777777" w:rsidTr="00715CDF">
        <w:tc>
          <w:tcPr>
            <w:tcW w:w="4797" w:type="dxa"/>
          </w:tcPr>
          <w:p w14:paraId="48936A32"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2</w:t>
            </w:r>
          </w:p>
        </w:tc>
        <w:tc>
          <w:tcPr>
            <w:tcW w:w="4082" w:type="dxa"/>
          </w:tcPr>
          <w:p w14:paraId="5A5DDA27"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 xml:space="preserve">Exit of smaller firms. Time. Cost. Training. Retraining. </w:t>
            </w:r>
          </w:p>
        </w:tc>
      </w:tr>
      <w:tr w:rsidR="00620F22" w:rsidRPr="00620F22" w14:paraId="0F8B5F41" w14:textId="77777777" w:rsidTr="00715CDF">
        <w:tc>
          <w:tcPr>
            <w:tcW w:w="4797" w:type="dxa"/>
          </w:tcPr>
          <w:p w14:paraId="1BC34871"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3</w:t>
            </w:r>
          </w:p>
        </w:tc>
        <w:tc>
          <w:tcPr>
            <w:tcW w:w="4082" w:type="dxa"/>
          </w:tcPr>
          <w:p w14:paraId="2DBEE607"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 xml:space="preserve">Commercial sensitivity. Adoption. Many systems. Automation. </w:t>
            </w:r>
          </w:p>
        </w:tc>
      </w:tr>
      <w:tr w:rsidR="00620F22" w:rsidRPr="00620F22" w14:paraId="7988B868" w14:textId="77777777" w:rsidTr="00715CDF">
        <w:tc>
          <w:tcPr>
            <w:tcW w:w="4797" w:type="dxa"/>
          </w:tcPr>
          <w:p w14:paraId="70D209BE"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4</w:t>
            </w:r>
          </w:p>
        </w:tc>
        <w:tc>
          <w:tcPr>
            <w:tcW w:w="4082" w:type="dxa"/>
          </w:tcPr>
          <w:p w14:paraId="44CCA2A7"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Training especially at tertiary level. First Big 4 then filters down</w:t>
            </w:r>
          </w:p>
        </w:tc>
      </w:tr>
      <w:tr w:rsidR="00620F22" w:rsidRPr="00620F22" w14:paraId="7C616A33" w14:textId="77777777" w:rsidTr="00715CDF">
        <w:tc>
          <w:tcPr>
            <w:tcW w:w="4797" w:type="dxa"/>
          </w:tcPr>
          <w:p w14:paraId="0D176286"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lastRenderedPageBreak/>
              <w:t>5</w:t>
            </w:r>
          </w:p>
        </w:tc>
        <w:tc>
          <w:tcPr>
            <w:tcW w:w="4082" w:type="dxa"/>
          </w:tcPr>
          <w:p w14:paraId="552B6228"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 xml:space="preserve">Cost v Benefits for OMB who are resistant to change. </w:t>
            </w:r>
            <w:proofErr w:type="gramStart"/>
            <w:r w:rsidRPr="00620F22">
              <w:rPr>
                <w:rFonts w:asciiTheme="minorBidi" w:hAnsiTheme="minorBidi"/>
                <w:sz w:val="24"/>
                <w:szCs w:val="24"/>
              </w:rPr>
              <w:t>VFM ?</w:t>
            </w:r>
            <w:proofErr w:type="gramEnd"/>
          </w:p>
        </w:tc>
      </w:tr>
      <w:tr w:rsidR="00620F22" w:rsidRPr="00620F22" w14:paraId="3640693A" w14:textId="77777777" w:rsidTr="00715CDF">
        <w:tc>
          <w:tcPr>
            <w:tcW w:w="4797" w:type="dxa"/>
          </w:tcPr>
          <w:p w14:paraId="40342648"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6</w:t>
            </w:r>
          </w:p>
        </w:tc>
        <w:tc>
          <w:tcPr>
            <w:tcW w:w="4082" w:type="dxa"/>
          </w:tcPr>
          <w:p w14:paraId="2BAD6675"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 xml:space="preserve">Training. Adoption look at MTD. </w:t>
            </w:r>
          </w:p>
        </w:tc>
      </w:tr>
    </w:tbl>
    <w:p w14:paraId="60119DED"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p>
    <w:p w14:paraId="1EE46E5B"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 xml:space="preserve">The major barriers to utilising the nascent technology are cost / investment and (re)training of human resources. </w:t>
      </w:r>
    </w:p>
    <w:p w14:paraId="3C6A6A0E"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p>
    <w:p w14:paraId="5973827C" w14:textId="77777777" w:rsidR="00620F22" w:rsidRPr="00620F22" w:rsidRDefault="00620F22" w:rsidP="00620F22">
      <w:pPr>
        <w:shd w:val="clear" w:color="auto" w:fill="FAF9F8"/>
        <w:spacing w:after="0"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‘’Practices especially the biggest practices need to get people in who are fully conversant with it or very happy to use it or comfortable with it. It all goes back to knowing your client and if you / the firm are able to audit them. I believe as the larger practices become more comfortable auditing BC ledgers then this expertise will drift into smaller practices and businesses. (4)</w:t>
      </w:r>
    </w:p>
    <w:p w14:paraId="3F61C25D"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p>
    <w:p w14:paraId="246A322B"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 xml:space="preserve">It was believed that until the system becomes ubiquitous and compulsory it will be not successfully adopted in the SME / OMB market which is highly resistant to change for example the UK Governments Making Tax Digital (MTD) initiative remains flawed, and deadlines are constantly being put behind. </w:t>
      </w:r>
    </w:p>
    <w:p w14:paraId="191360EF"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p>
    <w:p w14:paraId="177A64FA" w14:textId="62ED7A66"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t xml:space="preserve">‘’I tend to deal with mainly small </w:t>
      </w:r>
      <w:r w:rsidR="00357826" w:rsidRPr="00620F22">
        <w:rPr>
          <w:rFonts w:ascii="Arial" w:hAnsi="Arial" w:cs="Arial"/>
          <w:b/>
          <w:bCs/>
          <w:color w:val="000000" w:themeColor="text1"/>
        </w:rPr>
        <w:t>family-owned</w:t>
      </w:r>
      <w:r w:rsidRPr="00620F22">
        <w:rPr>
          <w:rFonts w:ascii="Arial" w:hAnsi="Arial" w:cs="Arial"/>
          <w:b/>
          <w:bCs/>
          <w:color w:val="000000" w:themeColor="text1"/>
        </w:rPr>
        <w:t xml:space="preserve"> businesses rather than international companies and from that point of view it is cost more than anything else and most of my clients are very my clients are very hesitant to bring in technology unless they can see unless they can see a cost benefit in the long run.’’ (Participant 5)</w:t>
      </w:r>
    </w:p>
    <w:p w14:paraId="4D808E7B" w14:textId="77777777" w:rsidR="00620F22" w:rsidRPr="00620F22" w:rsidRDefault="00620F22" w:rsidP="00620F22">
      <w:pPr>
        <w:autoSpaceDE w:val="0"/>
        <w:autoSpaceDN w:val="0"/>
        <w:adjustRightInd w:val="0"/>
        <w:spacing w:after="0" w:line="480" w:lineRule="auto"/>
        <w:jc w:val="both"/>
        <w:rPr>
          <w:rFonts w:ascii="Arial" w:hAnsi="Arial" w:cs="Arial"/>
          <w:b/>
          <w:bCs/>
          <w:color w:val="000000" w:themeColor="text1"/>
        </w:rPr>
      </w:pPr>
      <w:r w:rsidRPr="00620F22">
        <w:rPr>
          <w:rFonts w:ascii="Arial" w:hAnsi="Arial" w:cs="Arial"/>
          <w:b/>
          <w:bCs/>
          <w:color w:val="000000" w:themeColor="text1"/>
        </w:rPr>
        <w:lastRenderedPageBreak/>
        <w:t>‘’Like I said the big boys will use it and over time it will filter down to the SME market. But it will require training and a radical shift and looking MTD debacle it will be another 10 years.’’ (Participant 6)</w:t>
      </w:r>
    </w:p>
    <w:p w14:paraId="57E6DF58" w14:textId="77777777" w:rsidR="00620F22" w:rsidRPr="00620F22" w:rsidRDefault="00620F22" w:rsidP="00620F22">
      <w:pPr>
        <w:autoSpaceDE w:val="0"/>
        <w:autoSpaceDN w:val="0"/>
        <w:adjustRightInd w:val="0"/>
        <w:spacing w:after="0" w:line="480" w:lineRule="auto"/>
        <w:jc w:val="both"/>
        <w:rPr>
          <w:rFonts w:ascii="Arial" w:hAnsi="Arial" w:cs="Arial"/>
          <w:b/>
          <w:bCs/>
          <w:color w:val="000000" w:themeColor="text1"/>
        </w:rPr>
      </w:pPr>
    </w:p>
    <w:p w14:paraId="4F132AEE"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 xml:space="preserve">One participant also mentioned commercial sensitivity however this can be rectified by giving access or restricting rights. Blockchain technology will be adopted by BIG 4 and then it will probably filter down to other firms however, it is important to note that due to ever increasing thresholds many practice firms are exiting the audit market and Blockchain Auditing may become a specialist niche. </w:t>
      </w:r>
    </w:p>
    <w:p w14:paraId="2D62BEE2"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‘’So, it's a difficult thing to say, but I do think that as the audit profession sort of continues and evolves that as the years progressed more and more smaller firms sort of exit the market so.</w:t>
      </w:r>
    </w:p>
    <w:p w14:paraId="4041B673"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OK, you think eventually it will probably make the audit process itself more, more purely sort of distinct as a as a service.’’ (Participant 2)</w:t>
      </w:r>
    </w:p>
    <w:p w14:paraId="34012528" w14:textId="77777777" w:rsidR="00620F22" w:rsidRPr="00620F22" w:rsidRDefault="00620F22" w:rsidP="00620F22">
      <w:pPr>
        <w:autoSpaceDE w:val="0"/>
        <w:autoSpaceDN w:val="0"/>
        <w:adjustRightInd w:val="0"/>
        <w:spacing w:after="0" w:line="480" w:lineRule="auto"/>
        <w:jc w:val="both"/>
        <w:rPr>
          <w:rFonts w:ascii="Arial" w:hAnsi="Arial" w:cs="Arial"/>
          <w:color w:val="000000" w:themeColor="text1"/>
        </w:rPr>
      </w:pPr>
      <w:r w:rsidRPr="00620F22">
        <w:rPr>
          <w:rFonts w:ascii="Arial" w:hAnsi="Arial" w:cs="Arial"/>
          <w:color w:val="000000" w:themeColor="text1"/>
        </w:rPr>
        <w:t xml:space="preserve">On the other hand, automation continues, and this is perhaps the next stage before Blockchain Technology becomes universal three of the participants currently use different technologies such as SAP which can help in the transition to wider adoption of Blockchain Technology which will be explored later. </w:t>
      </w:r>
    </w:p>
    <w:p w14:paraId="2AFB3F08" w14:textId="77777777" w:rsidR="00620F22" w:rsidRPr="00620F22" w:rsidRDefault="00620F22" w:rsidP="00620F22">
      <w:pPr>
        <w:spacing w:line="480" w:lineRule="auto"/>
        <w:ind w:left="720"/>
        <w:contextualSpacing/>
        <w:jc w:val="both"/>
        <w:rPr>
          <w:rFonts w:ascii="Arial" w:hAnsi="Arial" w:cs="Arial"/>
          <w:color w:val="000000" w:themeColor="text1"/>
        </w:rPr>
      </w:pPr>
    </w:p>
    <w:p w14:paraId="03ADE509" w14:textId="77777777" w:rsidR="00620F22" w:rsidRDefault="00620F22">
      <w:pPr>
        <w:numPr>
          <w:ilvl w:val="0"/>
          <w:numId w:val="28"/>
        </w:numPr>
        <w:autoSpaceDE w:val="0"/>
        <w:autoSpaceDN w:val="0"/>
        <w:adjustRightInd w:val="0"/>
        <w:spacing w:after="0" w:line="480" w:lineRule="auto"/>
        <w:ind w:left="709" w:hanging="709"/>
        <w:contextualSpacing/>
        <w:jc w:val="both"/>
        <w:rPr>
          <w:rFonts w:ascii="Arial" w:hAnsi="Arial" w:cs="Arial"/>
          <w:b/>
          <w:bCs/>
          <w:color w:val="000000" w:themeColor="text1"/>
        </w:rPr>
      </w:pPr>
      <w:r w:rsidRPr="00620F22">
        <w:rPr>
          <w:rFonts w:ascii="Arial" w:hAnsi="Arial" w:cs="Arial"/>
          <w:b/>
          <w:bCs/>
          <w:color w:val="000000" w:themeColor="text1"/>
        </w:rPr>
        <w:t xml:space="preserve">Do you have any other comments regarding Corporate Psychopath(y) Accountant or Blockchain or the future of the audit and the accountancy profession? </w:t>
      </w:r>
    </w:p>
    <w:p w14:paraId="460FE0D1" w14:textId="77777777" w:rsidR="00715CDF" w:rsidRPr="00620F22" w:rsidRDefault="00715CDF" w:rsidP="00715CDF">
      <w:pPr>
        <w:autoSpaceDE w:val="0"/>
        <w:autoSpaceDN w:val="0"/>
        <w:adjustRightInd w:val="0"/>
        <w:spacing w:after="0" w:line="480" w:lineRule="auto"/>
        <w:ind w:left="709"/>
        <w:contextualSpacing/>
        <w:jc w:val="both"/>
        <w:rPr>
          <w:rFonts w:ascii="Arial" w:hAnsi="Arial" w:cs="Arial"/>
          <w:b/>
          <w:bCs/>
          <w:color w:val="000000" w:themeColor="text1"/>
        </w:rPr>
      </w:pPr>
    </w:p>
    <w:tbl>
      <w:tblPr>
        <w:tblStyle w:val="TableGrid1"/>
        <w:tblW w:w="0" w:type="auto"/>
        <w:tblInd w:w="137" w:type="dxa"/>
        <w:tblLook w:val="04A0" w:firstRow="1" w:lastRow="0" w:firstColumn="1" w:lastColumn="0" w:noHBand="0" w:noVBand="1"/>
      </w:tblPr>
      <w:tblGrid>
        <w:gridCol w:w="4792"/>
        <w:gridCol w:w="4087"/>
      </w:tblGrid>
      <w:tr w:rsidR="00620F22" w:rsidRPr="00620F22" w14:paraId="02AC5557" w14:textId="77777777" w:rsidTr="00715CDF">
        <w:tc>
          <w:tcPr>
            <w:tcW w:w="4792" w:type="dxa"/>
          </w:tcPr>
          <w:p w14:paraId="4138368D"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lastRenderedPageBreak/>
              <w:t>PARTICIPANT</w:t>
            </w:r>
          </w:p>
        </w:tc>
        <w:tc>
          <w:tcPr>
            <w:tcW w:w="4087" w:type="dxa"/>
          </w:tcPr>
          <w:p w14:paraId="2491A67A"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 xml:space="preserve">Themes </w:t>
            </w:r>
          </w:p>
        </w:tc>
      </w:tr>
      <w:tr w:rsidR="00620F22" w:rsidRPr="00620F22" w14:paraId="5C3E62D0" w14:textId="77777777" w:rsidTr="00715CDF">
        <w:tc>
          <w:tcPr>
            <w:tcW w:w="4792" w:type="dxa"/>
          </w:tcPr>
          <w:p w14:paraId="285294DE"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1</w:t>
            </w:r>
          </w:p>
        </w:tc>
        <w:tc>
          <w:tcPr>
            <w:tcW w:w="4087" w:type="dxa"/>
          </w:tcPr>
          <w:p w14:paraId="0325CD37"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Perceptions.</w:t>
            </w:r>
          </w:p>
        </w:tc>
      </w:tr>
      <w:tr w:rsidR="00620F22" w:rsidRPr="00620F22" w14:paraId="540A3B80" w14:textId="77777777" w:rsidTr="00715CDF">
        <w:tc>
          <w:tcPr>
            <w:tcW w:w="4792" w:type="dxa"/>
          </w:tcPr>
          <w:p w14:paraId="6061A95E"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2</w:t>
            </w:r>
          </w:p>
        </w:tc>
        <w:tc>
          <w:tcPr>
            <w:tcW w:w="4087" w:type="dxa"/>
          </w:tcPr>
          <w:p w14:paraId="1DAB69E5"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Mindset. Avoid tick bash.</w:t>
            </w:r>
          </w:p>
        </w:tc>
      </w:tr>
      <w:tr w:rsidR="00620F22" w:rsidRPr="00620F22" w14:paraId="57D13432" w14:textId="77777777" w:rsidTr="00715CDF">
        <w:tc>
          <w:tcPr>
            <w:tcW w:w="4792" w:type="dxa"/>
          </w:tcPr>
          <w:p w14:paraId="27997804"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3</w:t>
            </w:r>
          </w:p>
        </w:tc>
        <w:tc>
          <w:tcPr>
            <w:tcW w:w="4087" w:type="dxa"/>
          </w:tcPr>
          <w:p w14:paraId="459DF51D"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Assurance will increase</w:t>
            </w:r>
          </w:p>
        </w:tc>
      </w:tr>
      <w:tr w:rsidR="00620F22" w:rsidRPr="00620F22" w14:paraId="79CDAEB4" w14:textId="77777777" w:rsidTr="00715CDF">
        <w:tc>
          <w:tcPr>
            <w:tcW w:w="4792" w:type="dxa"/>
          </w:tcPr>
          <w:p w14:paraId="0FCC5A21"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4</w:t>
            </w:r>
          </w:p>
        </w:tc>
        <w:tc>
          <w:tcPr>
            <w:tcW w:w="4087" w:type="dxa"/>
          </w:tcPr>
          <w:p w14:paraId="2DAA500C"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 xml:space="preserve">It will get better and better </w:t>
            </w:r>
          </w:p>
        </w:tc>
      </w:tr>
      <w:tr w:rsidR="00620F22" w:rsidRPr="00620F22" w14:paraId="33C90E10" w14:textId="77777777" w:rsidTr="00715CDF">
        <w:tc>
          <w:tcPr>
            <w:tcW w:w="4792" w:type="dxa"/>
          </w:tcPr>
          <w:p w14:paraId="62B42121"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5</w:t>
            </w:r>
          </w:p>
        </w:tc>
        <w:tc>
          <w:tcPr>
            <w:tcW w:w="4087" w:type="dxa"/>
          </w:tcPr>
          <w:p w14:paraId="3367E500"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Profession moving to blood hounds</w:t>
            </w:r>
          </w:p>
        </w:tc>
      </w:tr>
      <w:tr w:rsidR="00620F22" w:rsidRPr="00620F22" w14:paraId="7A98E284" w14:textId="77777777" w:rsidTr="00715CDF">
        <w:tc>
          <w:tcPr>
            <w:tcW w:w="4792" w:type="dxa"/>
          </w:tcPr>
          <w:p w14:paraId="432D4637"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6</w:t>
            </w:r>
          </w:p>
        </w:tc>
        <w:tc>
          <w:tcPr>
            <w:tcW w:w="4087" w:type="dxa"/>
          </w:tcPr>
          <w:p w14:paraId="3AEB93FB" w14:textId="77777777" w:rsidR="00620F22" w:rsidRPr="00620F22" w:rsidRDefault="00620F22" w:rsidP="00660AB6">
            <w:pPr>
              <w:autoSpaceDE w:val="0"/>
              <w:autoSpaceDN w:val="0"/>
              <w:adjustRightInd w:val="0"/>
              <w:spacing w:line="480" w:lineRule="auto"/>
              <w:rPr>
                <w:rFonts w:asciiTheme="minorBidi" w:hAnsiTheme="minorBidi"/>
                <w:sz w:val="24"/>
                <w:szCs w:val="24"/>
              </w:rPr>
            </w:pPr>
            <w:r w:rsidRPr="00620F22">
              <w:rPr>
                <w:rFonts w:asciiTheme="minorBidi" w:hAnsiTheme="minorBidi"/>
                <w:sz w:val="24"/>
                <w:szCs w:val="24"/>
              </w:rPr>
              <w:t>Profession moving to blood hounds</w:t>
            </w:r>
          </w:p>
        </w:tc>
      </w:tr>
    </w:tbl>
    <w:p w14:paraId="5636D617" w14:textId="77777777" w:rsidR="00620F22" w:rsidRPr="00620F22" w:rsidRDefault="00620F22" w:rsidP="00660AB6">
      <w:pPr>
        <w:spacing w:line="480" w:lineRule="auto"/>
        <w:rPr>
          <w:rFonts w:asciiTheme="minorBidi" w:hAnsiTheme="minorBidi"/>
          <w:color w:val="000000" w:themeColor="text1"/>
        </w:rPr>
      </w:pPr>
    </w:p>
    <w:p w14:paraId="10C01F2D" w14:textId="77777777"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 xml:space="preserve">It was interesting to note that all the participants believe that the audit profession is changing, and auditors are actively looking for Accounting Fraud, so auditors are analogous to blood hounds rather than watch dogs. </w:t>
      </w:r>
    </w:p>
    <w:p w14:paraId="3578CDA0" w14:textId="77777777" w:rsidR="00620F22" w:rsidRPr="00620F22" w:rsidRDefault="00620F22" w:rsidP="00620F22">
      <w:pPr>
        <w:spacing w:line="480" w:lineRule="auto"/>
        <w:jc w:val="both"/>
        <w:rPr>
          <w:rFonts w:ascii="Arial" w:hAnsi="Arial" w:cs="Arial"/>
          <w:b/>
          <w:bCs/>
          <w:color w:val="000000" w:themeColor="text1"/>
        </w:rPr>
      </w:pPr>
      <w:r w:rsidRPr="00620F22">
        <w:rPr>
          <w:rFonts w:ascii="Arial" w:hAnsi="Arial" w:cs="Arial"/>
          <w:b/>
          <w:bCs/>
          <w:color w:val="000000" w:themeColor="text1"/>
        </w:rPr>
        <w:t>‘’When we are starting an audit now we examine how we would do a fraud. When we started in the profession, we were watch dogs now we are blood hounds we are doing far more work on fraud and irregularities i.e. where people do not comply with laws or regulations within the firm. They fall foul of certain standards. We are checking for compliance and looking for errors as well. We are looking for management manipulation of the figures which exacerbate that risk element.’’ (Participant 5)</w:t>
      </w:r>
    </w:p>
    <w:p w14:paraId="76754984" w14:textId="77777777"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 xml:space="preserve">It is believed that Blockchain Technology should improve assurance and will become better at dampening Accounting Fraud and potentially containing the Corporate Psychopath Accountant as it progresses. </w:t>
      </w:r>
    </w:p>
    <w:p w14:paraId="0C92375B" w14:textId="77777777" w:rsidR="00620F22" w:rsidRPr="00620F22" w:rsidRDefault="00620F22" w:rsidP="00620F22">
      <w:pPr>
        <w:shd w:val="clear" w:color="auto" w:fill="FAF9F8"/>
        <w:spacing w:after="0"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 xml:space="preserve">‘’If blockchain turns out to be a good technology, then hopefully it will get better and better and better. People will become more competent, and it will again </w:t>
      </w:r>
      <w:r w:rsidRPr="00620F22">
        <w:rPr>
          <w:rFonts w:ascii="Arial" w:eastAsia="Times New Roman" w:hAnsi="Arial" w:cs="Arial"/>
          <w:b/>
          <w:bCs/>
          <w:color w:val="000000" w:themeColor="text1"/>
          <w:lang w:eastAsia="en-GB"/>
        </w:rPr>
        <w:lastRenderedPageBreak/>
        <w:t>close down loopholes if that's the right way of putting it. But again, I still contend somebody will try and find a way of busting through it.’’ (Participant 4).</w:t>
      </w:r>
    </w:p>
    <w:p w14:paraId="60624ED6" w14:textId="77777777" w:rsidR="00620F22" w:rsidRPr="00620F22" w:rsidRDefault="00620F22" w:rsidP="00620F22">
      <w:pPr>
        <w:shd w:val="clear" w:color="auto" w:fill="FAF9F8"/>
        <w:spacing w:after="0" w:line="480" w:lineRule="auto"/>
        <w:jc w:val="both"/>
        <w:rPr>
          <w:rFonts w:ascii="Arial" w:eastAsia="Times New Roman" w:hAnsi="Arial" w:cs="Arial"/>
          <w:b/>
          <w:bCs/>
          <w:color w:val="000000" w:themeColor="text1"/>
          <w:lang w:eastAsia="en-GB"/>
        </w:rPr>
      </w:pPr>
    </w:p>
    <w:p w14:paraId="36774B19" w14:textId="77777777" w:rsidR="00620F22" w:rsidRPr="00620F22" w:rsidRDefault="00620F22" w:rsidP="00620F22">
      <w:pPr>
        <w:spacing w:line="480" w:lineRule="auto"/>
        <w:jc w:val="both"/>
        <w:rPr>
          <w:rFonts w:ascii="Arial" w:hAnsi="Arial" w:cs="Arial"/>
          <w:color w:val="000000" w:themeColor="text1"/>
        </w:rPr>
      </w:pPr>
      <w:r w:rsidRPr="00620F22">
        <w:rPr>
          <w:rFonts w:ascii="Arial" w:hAnsi="Arial" w:cs="Arial"/>
          <w:color w:val="000000" w:themeColor="text1"/>
        </w:rPr>
        <w:t xml:space="preserve">As the profession becomes more automated and Blockchain Technology becomes established the mindset of auditors especially professional scepticism will need to be guarded and it evolves into more of an advisory function. </w:t>
      </w:r>
    </w:p>
    <w:p w14:paraId="1988D261" w14:textId="77777777" w:rsidR="00620F22" w:rsidRPr="00620F22" w:rsidRDefault="00620F22" w:rsidP="00620F22">
      <w:pPr>
        <w:spacing w:after="0" w:line="480" w:lineRule="auto"/>
        <w:jc w:val="both"/>
        <w:rPr>
          <w:rFonts w:ascii="Arial" w:hAnsi="Arial" w:cs="Arial"/>
          <w:b/>
          <w:bCs/>
          <w:color w:val="000000" w:themeColor="text1"/>
          <w:lang w:eastAsia="en-GB"/>
        </w:rPr>
      </w:pPr>
      <w:r w:rsidRPr="00620F22">
        <w:rPr>
          <w:rFonts w:ascii="Arial" w:hAnsi="Arial" w:cs="Arial"/>
          <w:b/>
          <w:bCs/>
          <w:color w:val="000000" w:themeColor="text1"/>
          <w:lang w:eastAsia="en-GB"/>
        </w:rPr>
        <w:t xml:space="preserve">‘’People are gonna need to retrain in another different sort of mindset. I do worry in a sense that, you know, it may take a lot of the thinking out of the audit process. </w:t>
      </w:r>
    </w:p>
    <w:p w14:paraId="30FB93FA" w14:textId="77777777" w:rsidR="00620F22" w:rsidRPr="00620F22" w:rsidRDefault="00620F22" w:rsidP="00620F22">
      <w:pPr>
        <w:spacing w:after="0" w:line="480" w:lineRule="auto"/>
        <w:jc w:val="both"/>
        <w:rPr>
          <w:rFonts w:ascii="Arial" w:hAnsi="Arial" w:cs="Arial"/>
          <w:b/>
          <w:bCs/>
          <w:color w:val="000000" w:themeColor="text1"/>
          <w:lang w:eastAsia="en-GB"/>
        </w:rPr>
      </w:pPr>
    </w:p>
    <w:p w14:paraId="3E68B543" w14:textId="77777777" w:rsidR="00620F22" w:rsidRPr="00620F22" w:rsidRDefault="00620F22" w:rsidP="00620F22">
      <w:pPr>
        <w:spacing w:after="0" w:line="480" w:lineRule="auto"/>
        <w:jc w:val="both"/>
        <w:rPr>
          <w:rFonts w:ascii="Arial" w:hAnsi="Arial" w:cs="Arial"/>
          <w:b/>
          <w:bCs/>
          <w:color w:val="000000" w:themeColor="text1"/>
          <w:lang w:eastAsia="en-GB"/>
        </w:rPr>
      </w:pPr>
      <w:r w:rsidRPr="00620F22">
        <w:rPr>
          <w:rFonts w:ascii="Arial" w:hAnsi="Arial" w:cs="Arial"/>
          <w:b/>
          <w:bCs/>
          <w:color w:val="000000" w:themeColor="text1"/>
          <w:lang w:eastAsia="en-GB"/>
        </w:rPr>
        <w:t>‘’</w:t>
      </w:r>
      <w:proofErr w:type="gramStart"/>
      <w:r w:rsidRPr="00620F22">
        <w:rPr>
          <w:rFonts w:ascii="Arial" w:hAnsi="Arial" w:cs="Arial"/>
          <w:b/>
          <w:bCs/>
          <w:color w:val="000000" w:themeColor="text1"/>
          <w:lang w:eastAsia="en-GB"/>
        </w:rPr>
        <w:t>So</w:t>
      </w:r>
      <w:proofErr w:type="gramEnd"/>
      <w:r w:rsidRPr="00620F22">
        <w:rPr>
          <w:rFonts w:ascii="Arial" w:hAnsi="Arial" w:cs="Arial"/>
          <w:b/>
          <w:bCs/>
          <w:color w:val="000000" w:themeColor="text1"/>
          <w:lang w:eastAsia="en-GB"/>
        </w:rPr>
        <w:t xml:space="preserve"> my. Yeah, I think my instinct is that they're probably a lot less thought involved when people go out and do an audit now, it's becomes more automated, more mechanistic rather than standing back and looking at the picture and thinking, actually, what, where could these accounts be stated? Where could there be a fraud where, you know?’’ (Participant 2).</w:t>
      </w:r>
    </w:p>
    <w:p w14:paraId="51FEA434"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‘’When you're doing like their analytical review of why this has gone up, why this has gone down and the explanation given for everything on this one for one file, the financial control financial controller was a was a guy called Mike and all the explanations given where Mike says. Mike says this Mike says that. And so, the review point that went back to the person who done the work was. We can't base our audit on what Mike says. We need to do some audit work. This isn't a Mike says audit.’’ (Participant 1)</w:t>
      </w:r>
    </w:p>
    <w:p w14:paraId="30EE4911" w14:textId="77777777" w:rsidR="00620F22" w:rsidRPr="00620F22" w:rsidRDefault="00620F22" w:rsidP="00620F22">
      <w:pPr>
        <w:spacing w:before="100" w:beforeAutospacing="1" w:after="100" w:afterAutospacing="1" w:line="480" w:lineRule="auto"/>
        <w:jc w:val="both"/>
        <w:rPr>
          <w:rFonts w:ascii="Arial" w:eastAsia="Times New Roman" w:hAnsi="Arial" w:cs="Arial"/>
          <w:color w:val="000000" w:themeColor="text1"/>
          <w:lang w:eastAsia="en-GB"/>
        </w:rPr>
      </w:pPr>
      <w:r w:rsidRPr="00620F22">
        <w:rPr>
          <w:rFonts w:ascii="Arial" w:eastAsia="Times New Roman" w:hAnsi="Arial" w:cs="Arial"/>
          <w:color w:val="000000" w:themeColor="text1"/>
          <w:lang w:eastAsia="en-GB"/>
        </w:rPr>
        <w:t xml:space="preserve">Blockchain Technology should decrease the mundane and repetitive procedures as the distributed ledgers are self-regulating and allow 100% sample sizes. This should </w:t>
      </w:r>
      <w:r w:rsidRPr="00620F22">
        <w:rPr>
          <w:rFonts w:ascii="Arial" w:eastAsia="Times New Roman" w:hAnsi="Arial" w:cs="Arial"/>
          <w:color w:val="000000" w:themeColor="text1"/>
          <w:lang w:eastAsia="en-GB"/>
        </w:rPr>
        <w:lastRenderedPageBreak/>
        <w:t xml:space="preserve">allow more time to authenticate and test the systems and assumptions underpinning management assumptions including around Going Concern and emerging reporting such as ESG which will require future auditors to be even more sceptical. </w:t>
      </w:r>
    </w:p>
    <w:p w14:paraId="4075D36A"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‘’Whereas data analytics will look at a million transactions you know whilst you boil the kettle and have a cup of tea.’’ (Participant 1)</w:t>
      </w:r>
    </w:p>
    <w:p w14:paraId="033C52DE" w14:textId="77777777" w:rsidR="00620F22" w:rsidRPr="00620F22" w:rsidRDefault="00620F22" w:rsidP="00620F22">
      <w:pPr>
        <w:spacing w:after="0" w:line="480" w:lineRule="auto"/>
        <w:jc w:val="both"/>
        <w:rPr>
          <w:rFonts w:ascii="Arial" w:hAnsi="Arial" w:cs="Arial"/>
          <w:b/>
          <w:bCs/>
          <w:color w:val="000000" w:themeColor="text1"/>
          <w:lang w:eastAsia="en-GB"/>
        </w:rPr>
      </w:pPr>
      <w:r w:rsidRPr="00620F22">
        <w:rPr>
          <w:rFonts w:ascii="Arial" w:hAnsi="Arial" w:cs="Arial"/>
          <w:b/>
          <w:bCs/>
          <w:color w:val="000000" w:themeColor="text1"/>
          <w:lang w:eastAsia="en-GB"/>
        </w:rPr>
        <w:t>‘’</w:t>
      </w:r>
      <w:proofErr w:type="gramStart"/>
      <w:r w:rsidRPr="00620F22">
        <w:rPr>
          <w:rFonts w:ascii="Arial" w:hAnsi="Arial" w:cs="Arial"/>
          <w:b/>
          <w:bCs/>
          <w:color w:val="000000" w:themeColor="text1"/>
          <w:lang w:eastAsia="en-GB"/>
        </w:rPr>
        <w:t>So</w:t>
      </w:r>
      <w:proofErr w:type="gramEnd"/>
      <w:r w:rsidRPr="00620F22">
        <w:rPr>
          <w:rFonts w:ascii="Arial" w:hAnsi="Arial" w:cs="Arial"/>
          <w:b/>
          <w:bCs/>
          <w:color w:val="000000" w:themeColor="text1"/>
          <w:lang w:eastAsia="en-GB"/>
        </w:rPr>
        <w:t xml:space="preserve"> the blockchain solves all of this transaction audit level and gives all of that thinking time to the auditor to be able to verify all other things and stuff like that in the business.’’ (Participant 2)</w:t>
      </w:r>
    </w:p>
    <w:p w14:paraId="3C43BB75"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 xml:space="preserve">‘’Well, yeah. Yeah. And credit ratings and all sorts of stuff, then that could be the new area where people get fraudulently, their ESG and environmental stuff. </w:t>
      </w:r>
    </w:p>
    <w:p w14:paraId="0D7B42D0"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There should be more training so that auditors know how to be more sceptical and stuff like that. But maybe some training and development from the from the aspects of human nature that might lead to. You know, it would be useful to have a module on how personalities can affect the audit and different types of personnel and stuff like fraud triangle. For example, if company is not doing very well at the company and the FD's turning up every day to work in a Ferrari or something, that's an indication of fraud but. It’s not necessarily always the indication of fraud, you know.’’ (Participant 2)</w:t>
      </w:r>
    </w:p>
    <w:p w14:paraId="4CBEDEBB" w14:textId="77777777" w:rsidR="00620F22" w:rsidRPr="00620F22" w:rsidRDefault="00620F22" w:rsidP="00620F22">
      <w:pPr>
        <w:spacing w:before="100" w:beforeAutospacing="1" w:after="100" w:afterAutospacing="1" w:line="480" w:lineRule="auto"/>
        <w:jc w:val="both"/>
        <w:rPr>
          <w:rFonts w:ascii="Arial" w:eastAsia="Times New Roman" w:hAnsi="Arial" w:cs="Arial"/>
          <w:color w:val="000000" w:themeColor="text1"/>
          <w:lang w:eastAsia="en-GB"/>
        </w:rPr>
      </w:pPr>
      <w:r w:rsidRPr="00620F22">
        <w:rPr>
          <w:rFonts w:ascii="Arial" w:eastAsia="Times New Roman" w:hAnsi="Arial" w:cs="Arial"/>
          <w:color w:val="000000" w:themeColor="text1"/>
          <w:lang w:eastAsia="en-GB"/>
        </w:rPr>
        <w:t xml:space="preserve">Overall, </w:t>
      </w:r>
      <w:proofErr w:type="gramStart"/>
      <w:r w:rsidRPr="00620F22">
        <w:rPr>
          <w:rFonts w:ascii="Arial" w:eastAsia="Times New Roman" w:hAnsi="Arial" w:cs="Arial"/>
          <w:color w:val="000000" w:themeColor="text1"/>
          <w:lang w:eastAsia="en-GB"/>
        </w:rPr>
        <w:t>It</w:t>
      </w:r>
      <w:proofErr w:type="gramEnd"/>
      <w:r w:rsidRPr="00620F22">
        <w:rPr>
          <w:rFonts w:ascii="Arial" w:eastAsia="Times New Roman" w:hAnsi="Arial" w:cs="Arial"/>
          <w:color w:val="000000" w:themeColor="text1"/>
          <w:lang w:eastAsia="en-GB"/>
        </w:rPr>
        <w:t xml:space="preserve"> is apparent from the participant responses that Corporate Psychopath Accountants exists in all sectors of the economy and the profession has been implicitly (as there is currently no explicit acknowledgement of the term Corporate Psychopath Accountant or even established concept of Corporate Psychopathy, see previous </w:t>
      </w:r>
      <w:r w:rsidRPr="00620F22">
        <w:rPr>
          <w:rFonts w:ascii="Arial" w:eastAsia="Times New Roman" w:hAnsi="Arial" w:cs="Arial"/>
          <w:color w:val="000000" w:themeColor="text1"/>
          <w:lang w:eastAsia="en-GB"/>
        </w:rPr>
        <w:lastRenderedPageBreak/>
        <w:t>chapter) attempting to deal with the phenomenon for example Participant 1 highlighted that after the Robert Maxwell debacle:</w:t>
      </w:r>
    </w:p>
    <w:p w14:paraId="51739C7A"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‘’After what he did in the 80s, lots of lots of things changed in what you were able to do, particularly around funding companies by taking money from pension schemes.’’</w:t>
      </w:r>
    </w:p>
    <w:p w14:paraId="5B46C76A" w14:textId="3AE58060" w:rsidR="00620F22" w:rsidRPr="00620F22" w:rsidRDefault="00620F22" w:rsidP="00620F22">
      <w:pPr>
        <w:spacing w:before="100" w:beforeAutospacing="1" w:after="100" w:afterAutospacing="1" w:line="480" w:lineRule="auto"/>
        <w:jc w:val="both"/>
        <w:rPr>
          <w:rFonts w:ascii="Arial" w:eastAsia="Times New Roman" w:hAnsi="Arial" w:cs="Arial"/>
          <w:color w:val="000000" w:themeColor="text1"/>
          <w:lang w:eastAsia="en-GB"/>
        </w:rPr>
      </w:pPr>
      <w:r w:rsidRPr="00620F22">
        <w:rPr>
          <w:rFonts w:ascii="Arial" w:eastAsia="Times New Roman" w:hAnsi="Arial" w:cs="Arial"/>
          <w:color w:val="000000" w:themeColor="text1"/>
          <w:lang w:eastAsia="en-GB"/>
        </w:rPr>
        <w:t xml:space="preserve">It is believed that Blockchain Technology will eventually lessen transactional Accounting Fraud as it offers an extra ‘layer’ of protection through the third ledger. However, it will not deter the determined Corporate Psychopath Accountant who may resort to coercion and collusion to execute their nefarious schemes. On the other hand, the profession is currently witnessing an explosion and use of automation which the </w:t>
      </w:r>
      <w:r w:rsidR="00864699">
        <w:rPr>
          <w:rFonts w:ascii="Arial" w:hAnsi="Arial" w:cs="Arial"/>
          <w:color w:val="000000" w:themeColor="text1"/>
        </w:rPr>
        <w:t>researcher</w:t>
      </w:r>
      <w:r w:rsidRPr="00620F22">
        <w:rPr>
          <w:rFonts w:ascii="Arial" w:eastAsia="Times New Roman" w:hAnsi="Arial" w:cs="Arial"/>
          <w:color w:val="000000" w:themeColor="text1"/>
          <w:lang w:eastAsia="en-GB"/>
        </w:rPr>
        <w:t xml:space="preserve"> believes is the groundwork for Blockchain Technology, before it becomes ubiquitous, as auditors are abandoning the </w:t>
      </w:r>
      <w:r w:rsidR="00864699" w:rsidRPr="00620F22">
        <w:rPr>
          <w:rFonts w:ascii="Arial" w:eastAsia="Times New Roman" w:hAnsi="Arial" w:cs="Arial"/>
          <w:color w:val="000000" w:themeColor="text1"/>
          <w:lang w:eastAsia="en-GB"/>
        </w:rPr>
        <w:t>sample-based</w:t>
      </w:r>
      <w:r w:rsidRPr="00620F22">
        <w:rPr>
          <w:rFonts w:ascii="Arial" w:eastAsia="Times New Roman" w:hAnsi="Arial" w:cs="Arial"/>
          <w:color w:val="000000" w:themeColor="text1"/>
          <w:lang w:eastAsia="en-GB"/>
        </w:rPr>
        <w:t xml:space="preserve"> substantive and controls-based approaches as they can now authenticate entire or 100% of populations due to the use of Data Analytics:</w:t>
      </w:r>
    </w:p>
    <w:p w14:paraId="455D1835"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 xml:space="preserve">‘’My thought on the data analytics angle on is that. The reason why </w:t>
      </w:r>
      <w:proofErr w:type="gramStart"/>
      <w:r w:rsidRPr="00620F22">
        <w:rPr>
          <w:rFonts w:ascii="Arial" w:eastAsia="Times New Roman" w:hAnsi="Arial" w:cs="Arial"/>
          <w:b/>
          <w:bCs/>
          <w:color w:val="000000" w:themeColor="text1"/>
          <w:lang w:eastAsia="en-GB"/>
        </w:rPr>
        <w:t>sample based</w:t>
      </w:r>
      <w:proofErr w:type="gramEnd"/>
      <w:r w:rsidRPr="00620F22">
        <w:rPr>
          <w:rFonts w:ascii="Arial" w:eastAsia="Times New Roman" w:hAnsi="Arial" w:cs="Arial"/>
          <w:b/>
          <w:bCs/>
          <w:color w:val="000000" w:themeColor="text1"/>
          <w:lang w:eastAsia="en-GB"/>
        </w:rPr>
        <w:t xml:space="preserve"> auditing and controls-based auditing. Has been accepted as the norm and has been since auditing was a thing was that. It was impossible for auditors to look at 100% populations because it would take forever and be prohibitive in cost and time.’ (Participant 1)</w:t>
      </w:r>
    </w:p>
    <w:p w14:paraId="1F7675E8" w14:textId="77777777" w:rsidR="00620F22" w:rsidRPr="00620F22" w:rsidRDefault="00620F22" w:rsidP="00620F22">
      <w:pPr>
        <w:spacing w:before="100" w:beforeAutospacing="1" w:after="100" w:afterAutospacing="1" w:line="480" w:lineRule="auto"/>
        <w:jc w:val="both"/>
        <w:rPr>
          <w:rFonts w:ascii="Arial" w:eastAsia="Times New Roman" w:hAnsi="Arial" w:cs="Arial"/>
          <w:color w:val="000000" w:themeColor="text1"/>
          <w:lang w:eastAsia="en-GB"/>
        </w:rPr>
      </w:pPr>
      <w:r w:rsidRPr="00620F22">
        <w:rPr>
          <w:rFonts w:ascii="Arial" w:eastAsia="Times New Roman" w:hAnsi="Arial" w:cs="Arial"/>
          <w:color w:val="000000" w:themeColor="text1"/>
          <w:lang w:eastAsia="en-GB"/>
        </w:rPr>
        <w:t>This is cost and time conundrum or ‘Holy Grail’ in auditing is described by Participant 1 as:</w:t>
      </w:r>
    </w:p>
    <w:p w14:paraId="1E961828" w14:textId="77777777" w:rsidR="00620F22" w:rsidRPr="00620F22" w:rsidRDefault="00620F22" w:rsidP="00620F22">
      <w:pPr>
        <w:spacing w:before="100" w:beforeAutospacing="1" w:after="100" w:afterAutospacing="1" w:line="480" w:lineRule="auto"/>
        <w:jc w:val="both"/>
        <w:rPr>
          <w:rFonts w:ascii="Arial" w:eastAsia="Times New Roman" w:hAnsi="Arial" w:cs="Arial"/>
          <w:b/>
          <w:bCs/>
          <w:color w:val="000000" w:themeColor="text1"/>
          <w:lang w:eastAsia="en-GB"/>
        </w:rPr>
      </w:pPr>
      <w:r w:rsidRPr="00620F22">
        <w:rPr>
          <w:rFonts w:ascii="Arial" w:eastAsia="Times New Roman" w:hAnsi="Arial" w:cs="Arial"/>
          <w:b/>
          <w:bCs/>
          <w:color w:val="000000" w:themeColor="text1"/>
          <w:lang w:eastAsia="en-GB"/>
        </w:rPr>
        <w:t xml:space="preserve">‘’Which was to do the right amount of work and knowing what the right amount of work was that elusive Holy Grail.  Thing that you don't wanna do too much </w:t>
      </w:r>
      <w:r w:rsidRPr="00620F22">
        <w:rPr>
          <w:rFonts w:ascii="Arial" w:eastAsia="Times New Roman" w:hAnsi="Arial" w:cs="Arial"/>
          <w:b/>
          <w:bCs/>
          <w:color w:val="000000" w:themeColor="text1"/>
          <w:lang w:eastAsia="en-GB"/>
        </w:rPr>
        <w:lastRenderedPageBreak/>
        <w:t>because then you lose the firm business, and you definitely don't wanna do too little because then you put in the firm at risk. So that is sweet spot of knowing.’’</w:t>
      </w:r>
    </w:p>
    <w:p w14:paraId="7F2965F5" w14:textId="272E42F9" w:rsidR="00620F22" w:rsidRPr="00620F22" w:rsidRDefault="00620F22" w:rsidP="00620F22">
      <w:pPr>
        <w:spacing w:before="100" w:beforeAutospacing="1" w:after="100" w:afterAutospacing="1" w:line="480" w:lineRule="auto"/>
        <w:jc w:val="both"/>
        <w:rPr>
          <w:rFonts w:ascii="Arial" w:eastAsia="Times New Roman" w:hAnsi="Arial" w:cs="Arial"/>
          <w:color w:val="000000" w:themeColor="text1"/>
          <w:lang w:eastAsia="en-GB"/>
        </w:rPr>
      </w:pPr>
      <w:r w:rsidRPr="00620F22">
        <w:rPr>
          <w:rFonts w:ascii="Arial" w:eastAsia="Times New Roman" w:hAnsi="Arial" w:cs="Arial"/>
          <w:color w:val="000000" w:themeColor="text1"/>
          <w:lang w:eastAsia="en-GB"/>
        </w:rPr>
        <w:t xml:space="preserve">As noted earlier although the judgemental areas of accounting remain open to fraudulent interpretation even if Blockchain Technology was fully operational. The </w:t>
      </w:r>
      <w:r w:rsidR="00864699">
        <w:rPr>
          <w:rFonts w:ascii="Arial" w:hAnsi="Arial" w:cs="Arial"/>
          <w:color w:val="000000" w:themeColor="text1"/>
        </w:rPr>
        <w:t>researcher</w:t>
      </w:r>
      <w:r w:rsidRPr="00620F22">
        <w:rPr>
          <w:rFonts w:ascii="Arial" w:eastAsia="Times New Roman" w:hAnsi="Arial" w:cs="Arial"/>
          <w:color w:val="000000" w:themeColor="text1"/>
          <w:lang w:eastAsia="en-GB"/>
        </w:rPr>
        <w:t xml:space="preserve"> argues that as auditors would be freed up from the mundane tasks, they could spend more time testing assumptions and interpretations although this would require them to be more sceptical and furnished with superior interpersonal skills, which is outside the scope of this thesis. </w:t>
      </w:r>
    </w:p>
    <w:p w14:paraId="72396761" w14:textId="0F48E550" w:rsidR="00620F22" w:rsidRPr="00620F22" w:rsidRDefault="00620F22" w:rsidP="00620F22">
      <w:pPr>
        <w:spacing w:before="100" w:beforeAutospacing="1" w:after="100" w:afterAutospacing="1" w:line="480" w:lineRule="auto"/>
        <w:jc w:val="both"/>
        <w:rPr>
          <w:rFonts w:ascii="Arial" w:eastAsia="Times New Roman" w:hAnsi="Arial" w:cs="Arial"/>
          <w:color w:val="000000" w:themeColor="text1"/>
          <w:lang w:eastAsia="en-GB"/>
        </w:rPr>
      </w:pPr>
      <w:r w:rsidRPr="00620F22">
        <w:rPr>
          <w:rFonts w:ascii="Arial" w:eastAsia="Times New Roman" w:hAnsi="Arial" w:cs="Arial"/>
          <w:color w:val="000000" w:themeColor="text1"/>
          <w:lang w:eastAsia="en-GB"/>
        </w:rPr>
        <w:t xml:space="preserve">The </w:t>
      </w:r>
      <w:r w:rsidR="00864699">
        <w:rPr>
          <w:rFonts w:ascii="Arial" w:hAnsi="Arial" w:cs="Arial"/>
          <w:color w:val="000000" w:themeColor="text1"/>
        </w:rPr>
        <w:t>researcher</w:t>
      </w:r>
      <w:r w:rsidRPr="00620F22">
        <w:rPr>
          <w:rFonts w:ascii="Arial" w:eastAsia="Times New Roman" w:hAnsi="Arial" w:cs="Arial"/>
          <w:color w:val="000000" w:themeColor="text1"/>
          <w:lang w:eastAsia="en-GB"/>
        </w:rPr>
        <w:t xml:space="preserve"> is pleased to discover what he calls a ‘silent paradigm shift’ in auditing as auditors have transformed into ‘blood hounds’ and are actively searching for Accounting Fraud which will undoubtedly make the life of the Corporate Psychopath Accountant harder. </w:t>
      </w:r>
    </w:p>
    <w:p w14:paraId="3A25DA1A" w14:textId="15510B14" w:rsidR="00715CDF" w:rsidRPr="00620F22" w:rsidRDefault="00620F22" w:rsidP="00715CDF">
      <w:pPr>
        <w:spacing w:before="100" w:beforeAutospacing="1" w:after="100" w:afterAutospacing="1" w:line="480" w:lineRule="auto"/>
        <w:jc w:val="both"/>
        <w:rPr>
          <w:rFonts w:ascii="Arial" w:eastAsia="Times New Roman" w:hAnsi="Arial" w:cs="Arial"/>
          <w:color w:val="000000" w:themeColor="text1"/>
          <w:lang w:eastAsia="en-GB"/>
        </w:rPr>
      </w:pPr>
      <w:r w:rsidRPr="00620F22">
        <w:rPr>
          <w:rFonts w:ascii="Arial" w:eastAsia="Times New Roman" w:hAnsi="Arial" w:cs="Arial"/>
          <w:color w:val="000000" w:themeColor="text1"/>
          <w:lang w:eastAsia="en-GB"/>
        </w:rPr>
        <w:t>The researcher will now endeavour to triangulate the quantitative and qualitative findings to deepen the analysis and findings to date.</w:t>
      </w:r>
    </w:p>
    <w:bookmarkStart w:id="738" w:name="T1"/>
    <w:bookmarkStart w:id="739" w:name="D101"/>
    <w:p w14:paraId="725AF2C3" w14:textId="026A1CC9" w:rsidR="00620F22" w:rsidRPr="00686250" w:rsidRDefault="00686250" w:rsidP="002B7B77">
      <w:pPr>
        <w:pBdr>
          <w:top w:val="single" w:sz="4" w:space="1" w:color="auto"/>
          <w:left w:val="single" w:sz="4" w:space="4" w:color="auto"/>
          <w:bottom w:val="single" w:sz="4" w:space="1" w:color="auto"/>
          <w:right w:val="single" w:sz="4" w:space="4" w:color="auto"/>
        </w:pBdr>
        <w:spacing w:line="240" w:lineRule="auto"/>
        <w:jc w:val="lowKashida"/>
        <w:rPr>
          <w:rFonts w:asciiTheme="minorBidi" w:eastAsia="Times New Roman" w:hAnsiTheme="minorBidi"/>
          <w:b/>
          <w:bCs/>
          <w:kern w:val="0"/>
          <w14:ligatures w14:val="none"/>
        </w:rPr>
      </w:pPr>
      <w:r>
        <w:rPr>
          <w:rFonts w:asciiTheme="minorBidi" w:eastAsia="Times New Roman" w:hAnsiTheme="minorBidi"/>
          <w:b/>
          <w:bCs/>
          <w:kern w:val="0"/>
          <w14:ligatures w14:val="none"/>
        </w:rPr>
        <w:fldChar w:fldCharType="begin"/>
      </w:r>
      <w:r>
        <w:rPr>
          <w:rFonts w:asciiTheme="minorBidi" w:eastAsia="Times New Roman" w:hAnsiTheme="minorBidi"/>
          <w:b/>
          <w:bCs/>
          <w:kern w:val="0"/>
          <w14:ligatures w14:val="none"/>
        </w:rPr>
        <w:instrText>HYPERLINK  \l "C101"</w:instrText>
      </w:r>
      <w:r>
        <w:rPr>
          <w:rFonts w:asciiTheme="minorBidi" w:eastAsia="Times New Roman" w:hAnsiTheme="minorBidi"/>
          <w:b/>
          <w:bCs/>
          <w:kern w:val="0"/>
          <w14:ligatures w14:val="none"/>
        </w:rPr>
      </w:r>
      <w:r>
        <w:rPr>
          <w:rFonts w:asciiTheme="minorBidi" w:eastAsia="Times New Roman" w:hAnsiTheme="minorBidi"/>
          <w:b/>
          <w:bCs/>
          <w:kern w:val="0"/>
          <w14:ligatures w14:val="none"/>
        </w:rPr>
        <w:fldChar w:fldCharType="separate"/>
      </w:r>
      <w:r w:rsidR="00620F22" w:rsidRPr="00686250">
        <w:rPr>
          <w:rStyle w:val="Hyperlink"/>
          <w:rFonts w:asciiTheme="minorBidi" w:eastAsia="Times New Roman" w:hAnsiTheme="minorBidi"/>
          <w:b/>
          <w:bCs/>
          <w:kern w:val="0"/>
          <w14:ligatures w14:val="none"/>
        </w:rPr>
        <w:t>4.4 Part Three: Triangul</w:t>
      </w:r>
      <w:r w:rsidR="00620F22" w:rsidRPr="00686250">
        <w:rPr>
          <w:rStyle w:val="Hyperlink"/>
          <w:rFonts w:asciiTheme="minorBidi" w:eastAsia="Times New Roman" w:hAnsiTheme="minorBidi"/>
          <w:b/>
          <w:bCs/>
          <w:kern w:val="0"/>
          <w14:ligatures w14:val="none"/>
        </w:rPr>
        <w:t>ation</w:t>
      </w:r>
      <w:r>
        <w:rPr>
          <w:rFonts w:asciiTheme="minorBidi" w:eastAsia="Times New Roman" w:hAnsiTheme="minorBidi"/>
          <w:b/>
          <w:bCs/>
          <w:kern w:val="0"/>
          <w14:ligatures w14:val="none"/>
        </w:rPr>
        <w:fldChar w:fldCharType="end"/>
      </w:r>
      <w:r w:rsidR="00620F22" w:rsidRPr="00686250">
        <w:rPr>
          <w:rFonts w:asciiTheme="minorBidi" w:eastAsia="Times New Roman" w:hAnsiTheme="minorBidi"/>
          <w:b/>
          <w:bCs/>
          <w:kern w:val="0"/>
          <w14:ligatures w14:val="none"/>
        </w:rPr>
        <w:t xml:space="preserve"> </w:t>
      </w:r>
    </w:p>
    <w:bookmarkEnd w:id="738"/>
    <w:bookmarkEnd w:id="739"/>
    <w:p w14:paraId="26201A47" w14:textId="77777777" w:rsidR="00620F22" w:rsidRPr="00620F22" w:rsidRDefault="00620F22" w:rsidP="00620F22">
      <w:pPr>
        <w:spacing w:line="480" w:lineRule="auto"/>
        <w:jc w:val="lowKashida"/>
        <w:rPr>
          <w:rFonts w:asciiTheme="minorBidi" w:eastAsia="Times New Roman" w:hAnsiTheme="minorBidi"/>
          <w:color w:val="000000" w:themeColor="text1"/>
          <w:kern w:val="0"/>
          <w14:ligatures w14:val="none"/>
        </w:rPr>
      </w:pPr>
      <w:r w:rsidRPr="00620F22">
        <w:rPr>
          <w:rFonts w:asciiTheme="minorBidi" w:eastAsia="Times New Roman" w:hAnsiTheme="minorBidi"/>
          <w:color w:val="000000" w:themeColor="text1"/>
          <w:kern w:val="0"/>
          <w14:ligatures w14:val="none"/>
        </w:rPr>
        <w:t xml:space="preserve">In academic research, triangulation is the process of studying a phenomenon using a variety of techniques, ideas, data sources, or investigators. Triangulation aims to improve the validity, reliability, and trustworthiness or credibility of research findings (Archibald, 2016, Heale &amp; Forbes, 2013), by cross-checking data gathered from various sources. Research uses a variety of triangulation techniques, and in this study the researcher utilised </w:t>
      </w:r>
      <w:r w:rsidRPr="00620F22">
        <w:rPr>
          <w:rFonts w:asciiTheme="minorBidi" w:eastAsia="Times New Roman" w:hAnsiTheme="minorBidi"/>
          <w:i/>
          <w:iCs/>
          <w:color w:val="000000" w:themeColor="text1"/>
          <w:kern w:val="0"/>
          <w14:ligatures w14:val="none"/>
        </w:rPr>
        <w:t>methodological triangulation</w:t>
      </w:r>
      <w:r w:rsidRPr="00620F22">
        <w:rPr>
          <w:rFonts w:asciiTheme="minorBidi" w:eastAsia="Times New Roman" w:hAnsiTheme="minorBidi"/>
          <w:color w:val="000000" w:themeColor="text1"/>
          <w:kern w:val="0"/>
          <w14:ligatures w14:val="none"/>
        </w:rPr>
        <w:t xml:space="preserve">: where data collection combines multiple methods, such as qualitative and quantitative approaches. As already discussed, the researcher has used both quantitative (survey) and qualitative (in-depth </w:t>
      </w:r>
      <w:r w:rsidRPr="00620F22">
        <w:rPr>
          <w:rFonts w:asciiTheme="minorBidi" w:eastAsia="Times New Roman" w:hAnsiTheme="minorBidi"/>
          <w:color w:val="000000" w:themeColor="text1"/>
          <w:kern w:val="0"/>
          <w14:ligatures w14:val="none"/>
        </w:rPr>
        <w:lastRenderedPageBreak/>
        <w:t>semi-structured interviews) methods. It can be argued that by addressing the limitations and biases that come with using a single method, triangulation enhances the research (Jick, 1979). It boosts confidence in the study's conclusions and offers a more thorough grasp of the research problem (Bekhet &amp; Zauszniewski, 2012). Moreover, triangulation assisted the researcher to address the:</w:t>
      </w:r>
    </w:p>
    <w:p w14:paraId="389CDDF3" w14:textId="77777777" w:rsidR="00620F22" w:rsidRPr="00620F22" w:rsidRDefault="00620F22" w:rsidP="00620F22">
      <w:pPr>
        <w:spacing w:line="360" w:lineRule="auto"/>
        <w:jc w:val="lowKashida"/>
        <w:rPr>
          <w:rFonts w:asciiTheme="minorBidi" w:eastAsia="Times New Roman" w:hAnsiTheme="minorBidi"/>
          <w:kern w:val="0"/>
          <w14:ligatures w14:val="none"/>
        </w:rPr>
      </w:pPr>
      <w:r w:rsidRPr="00620F22">
        <w:rPr>
          <w:rFonts w:asciiTheme="minorBidi" w:hAnsiTheme="minorBidi"/>
          <w:b/>
          <w:bCs/>
          <w:u w:val="single"/>
        </w:rPr>
        <w:t>Objective 5:</w:t>
      </w:r>
      <w:r w:rsidRPr="00620F22">
        <w:rPr>
          <w:rFonts w:asciiTheme="minorBidi" w:eastAsia="Times New Roman" w:hAnsiTheme="minorBidi"/>
          <w:kern w:val="0"/>
          <w14:ligatures w14:val="none"/>
        </w:rPr>
        <w:t xml:space="preserve"> To investigate the mechanisms by which Blockchain Technology can monitor and constrain Accounting Fraud in organisations led by a CPA. </w:t>
      </w:r>
    </w:p>
    <w:p w14:paraId="7402C059" w14:textId="6122CB71" w:rsidR="00715CDF" w:rsidRPr="00715CDF" w:rsidRDefault="00620F22" w:rsidP="00715CDF">
      <w:pPr>
        <w:spacing w:line="480" w:lineRule="auto"/>
        <w:jc w:val="lowKashida"/>
        <w:rPr>
          <w:rFonts w:asciiTheme="minorBidi" w:hAnsiTheme="minorBidi"/>
        </w:rPr>
      </w:pPr>
      <w:r w:rsidRPr="00620F22">
        <w:rPr>
          <w:rFonts w:asciiTheme="minorBidi" w:hAnsiTheme="minorBidi"/>
          <w:b/>
          <w:bCs/>
          <w:u w:val="single"/>
        </w:rPr>
        <w:t>Question 5:</w:t>
      </w:r>
      <w:r w:rsidRPr="00620F22">
        <w:rPr>
          <w:rFonts w:asciiTheme="minorBidi" w:eastAsia="Times New Roman" w:hAnsiTheme="minorBidi"/>
          <w:kern w:val="0"/>
          <w14:ligatures w14:val="none"/>
        </w:rPr>
        <w:t xml:space="preserve"> W</w:t>
      </w:r>
      <w:r w:rsidRPr="00620F22">
        <w:rPr>
          <w:rFonts w:asciiTheme="minorBidi" w:hAnsiTheme="minorBidi"/>
        </w:rPr>
        <w:t>hat role would Blockchain Technology play in monitoring and preventing Accounting Fraud managed by psychopathic leaders?</w:t>
      </w:r>
    </w:p>
    <w:bookmarkStart w:id="740" w:name="T2"/>
    <w:bookmarkStart w:id="741" w:name="D102"/>
    <w:p w14:paraId="70EBAEDF" w14:textId="50C69A4A" w:rsidR="00620F22" w:rsidRPr="00620F22" w:rsidRDefault="00481229" w:rsidP="00451959">
      <w:pPr>
        <w:pBdr>
          <w:top w:val="single" w:sz="4" w:space="1" w:color="auto"/>
          <w:left w:val="single" w:sz="4" w:space="4" w:color="auto"/>
          <w:bottom w:val="single" w:sz="4" w:space="1" w:color="auto"/>
          <w:right w:val="single" w:sz="4" w:space="4" w:color="auto"/>
        </w:pBdr>
        <w:spacing w:line="240" w:lineRule="auto"/>
        <w:jc w:val="both"/>
        <w:rPr>
          <w:rFonts w:asciiTheme="minorBidi" w:eastAsia="Times New Roman" w:hAnsiTheme="minorBidi"/>
          <w:b/>
          <w:bCs/>
          <w:kern w:val="0"/>
          <w14:ligatures w14:val="none"/>
        </w:rPr>
      </w:pPr>
      <w:r>
        <w:rPr>
          <w:rFonts w:asciiTheme="minorBidi" w:eastAsia="Times New Roman" w:hAnsiTheme="minorBidi"/>
          <w:b/>
          <w:bCs/>
          <w:kern w:val="0"/>
          <w14:ligatures w14:val="none"/>
        </w:rPr>
        <w:fldChar w:fldCharType="begin"/>
      </w:r>
      <w:r>
        <w:rPr>
          <w:rFonts w:asciiTheme="minorBidi" w:eastAsia="Times New Roman" w:hAnsiTheme="minorBidi"/>
          <w:b/>
          <w:bCs/>
          <w:kern w:val="0"/>
          <w14:ligatures w14:val="none"/>
        </w:rPr>
        <w:instrText>HYPERLINK  \l "C102"</w:instrText>
      </w:r>
      <w:r>
        <w:rPr>
          <w:rFonts w:asciiTheme="minorBidi" w:eastAsia="Times New Roman" w:hAnsiTheme="minorBidi"/>
          <w:b/>
          <w:bCs/>
          <w:kern w:val="0"/>
          <w14:ligatures w14:val="none"/>
        </w:rPr>
      </w:r>
      <w:r>
        <w:rPr>
          <w:rFonts w:asciiTheme="minorBidi" w:eastAsia="Times New Roman" w:hAnsiTheme="minorBidi"/>
          <w:b/>
          <w:bCs/>
          <w:kern w:val="0"/>
          <w14:ligatures w14:val="none"/>
        </w:rPr>
        <w:fldChar w:fldCharType="separate"/>
      </w:r>
      <w:r w:rsidR="00620F22" w:rsidRPr="00481229">
        <w:rPr>
          <w:rStyle w:val="Hyperlink"/>
          <w:rFonts w:asciiTheme="minorBidi" w:eastAsia="Times New Roman" w:hAnsiTheme="minorBidi"/>
          <w:b/>
          <w:bCs/>
          <w:kern w:val="0"/>
          <w14:ligatures w14:val="none"/>
        </w:rPr>
        <w:t>4.4.1 Key Survey Findings</w:t>
      </w:r>
      <w:r>
        <w:rPr>
          <w:rFonts w:asciiTheme="minorBidi" w:eastAsia="Times New Roman" w:hAnsiTheme="minorBidi"/>
          <w:b/>
          <w:bCs/>
          <w:kern w:val="0"/>
          <w14:ligatures w14:val="none"/>
        </w:rPr>
        <w:fldChar w:fldCharType="end"/>
      </w:r>
    </w:p>
    <w:bookmarkEnd w:id="740"/>
    <w:bookmarkEnd w:id="741"/>
    <w:p w14:paraId="1CA089FD" w14:textId="77777777" w:rsidR="00620F22" w:rsidRPr="00620F22" w:rsidRDefault="00620F22" w:rsidP="00620F22">
      <w:pPr>
        <w:spacing w:after="0" w:line="480" w:lineRule="auto"/>
        <w:jc w:val="both"/>
        <w:rPr>
          <w:rFonts w:asciiTheme="minorBidi" w:eastAsia="Times New Roman" w:hAnsiTheme="minorBidi"/>
          <w:color w:val="000000" w:themeColor="text1"/>
          <w:kern w:val="0"/>
          <w14:ligatures w14:val="none"/>
        </w:rPr>
      </w:pPr>
      <w:r w:rsidRPr="00620F22">
        <w:rPr>
          <w:rFonts w:asciiTheme="minorBidi" w:eastAsia="Times New Roman" w:hAnsiTheme="minorBidi"/>
          <w:color w:val="000000" w:themeColor="text1"/>
          <w:kern w:val="0"/>
          <w14:ligatures w14:val="none"/>
        </w:rPr>
        <w:t>Using a structured survey, the researcher studied a sample of qualified accountants / auditors from a global top ten firm with operations located in Asia and the Asia Pacific area. Notably, this is the first instance in the literature where accounting / audit professionals were answering a questionnaire specifically meant to test or model the Corporate Accountant Psychopathy. After which he conducted a similar survey with L6 accounting &amp; finance students where the disapproval and psychopath section were identical.</w:t>
      </w:r>
    </w:p>
    <w:p w14:paraId="55DA74D1" w14:textId="77777777" w:rsidR="00620F22" w:rsidRPr="00620F22" w:rsidRDefault="00620F22" w:rsidP="00620F22">
      <w:pPr>
        <w:spacing w:after="0" w:line="480" w:lineRule="auto"/>
        <w:jc w:val="both"/>
        <w:rPr>
          <w:rFonts w:asciiTheme="minorBidi" w:eastAsia="Times New Roman" w:hAnsiTheme="minorBidi"/>
          <w:color w:val="000000" w:themeColor="text1"/>
          <w:kern w:val="0"/>
          <w14:ligatures w14:val="none"/>
        </w:rPr>
      </w:pPr>
    </w:p>
    <w:p w14:paraId="38C061D3" w14:textId="77777777" w:rsidR="00620F22" w:rsidRPr="00620F22" w:rsidRDefault="00620F22" w:rsidP="00620F22">
      <w:pPr>
        <w:spacing w:line="480" w:lineRule="auto"/>
        <w:jc w:val="both"/>
        <w:rPr>
          <w:rFonts w:asciiTheme="minorBidi" w:eastAsia="Times New Roman" w:hAnsiTheme="minorBidi"/>
          <w:color w:val="000000" w:themeColor="text1"/>
          <w:spacing w:val="1"/>
          <w:lang w:eastAsia="en-GB"/>
        </w:rPr>
      </w:pPr>
      <w:r w:rsidRPr="00620F22">
        <w:rPr>
          <w:rFonts w:asciiTheme="minorBidi" w:eastAsia="Times New Roman" w:hAnsiTheme="minorBidi"/>
          <w:color w:val="000000" w:themeColor="text1"/>
          <w:kern w:val="0"/>
          <w14:ligatures w14:val="none"/>
        </w:rPr>
        <w:t>The survey included a part on disapproval of unethical behaviour. The first four statements discussed basic Accounting Fraud, whereas the remaining four statements focused on behaviour. The professional participants strongly disagreed with all eight claims, indicating that they would not engage in Accounting Fraud, such as fabricating revenue or selling a company client list, even if they were experiencing lifestyle pressures as described on the pressure side of the Fraud Triangle. The result was witnessed when it came to testing the L6 students.</w:t>
      </w:r>
    </w:p>
    <w:p w14:paraId="4775A4B5" w14:textId="77777777" w:rsidR="00620F22" w:rsidRPr="00620F22" w:rsidRDefault="00620F22" w:rsidP="00620F22">
      <w:pPr>
        <w:spacing w:line="480" w:lineRule="auto"/>
        <w:jc w:val="both"/>
        <w:rPr>
          <w:rFonts w:asciiTheme="minorBidi" w:eastAsia="Times New Roman" w:hAnsiTheme="minorBidi"/>
          <w:color w:val="000000" w:themeColor="text1"/>
          <w:lang w:eastAsia="en-GB"/>
        </w:rPr>
      </w:pPr>
      <w:r w:rsidRPr="00620F22">
        <w:rPr>
          <w:rFonts w:asciiTheme="minorBidi" w:eastAsia="Times New Roman" w:hAnsiTheme="minorBidi"/>
          <w:b/>
          <w:bCs/>
          <w:color w:val="000000" w:themeColor="text1"/>
          <w:lang w:eastAsia="en-GB"/>
        </w:rPr>
        <w:lastRenderedPageBreak/>
        <w:t xml:space="preserve">The survey also </w:t>
      </w:r>
      <w:r w:rsidRPr="00620F22">
        <w:rPr>
          <w:rFonts w:asciiTheme="minorBidi" w:eastAsia="Times New Roman" w:hAnsiTheme="minorBidi"/>
          <w:color w:val="000000" w:themeColor="text1"/>
          <w:lang w:eastAsia="en-GB"/>
        </w:rPr>
        <w:t>gauged the Psychopathy of the professional participants utilising sixteen questions as per the LRSP scale resulting in:</w:t>
      </w:r>
    </w:p>
    <w:tbl>
      <w:tblPr>
        <w:tblStyle w:val="TableGrid1"/>
        <w:tblW w:w="0" w:type="auto"/>
        <w:tblLook w:val="04A0" w:firstRow="1" w:lastRow="0" w:firstColumn="1" w:lastColumn="0" w:noHBand="0" w:noVBand="1"/>
      </w:tblPr>
      <w:tblGrid>
        <w:gridCol w:w="3093"/>
        <w:gridCol w:w="3273"/>
        <w:gridCol w:w="2650"/>
      </w:tblGrid>
      <w:tr w:rsidR="00620F22" w:rsidRPr="00620F22" w14:paraId="76C6F79B" w14:textId="77777777" w:rsidTr="001D4222">
        <w:tc>
          <w:tcPr>
            <w:tcW w:w="3093" w:type="dxa"/>
          </w:tcPr>
          <w:p w14:paraId="073C916B" w14:textId="77777777" w:rsidR="00620F22" w:rsidRPr="00620F22" w:rsidRDefault="00620F22" w:rsidP="00620F22">
            <w:pPr>
              <w:rPr>
                <w:rFonts w:asciiTheme="minorBidi" w:hAnsiTheme="minorBidi"/>
                <w:b/>
                <w:bCs/>
                <w:sz w:val="24"/>
                <w:szCs w:val="24"/>
              </w:rPr>
            </w:pPr>
            <w:r w:rsidRPr="00620F22">
              <w:rPr>
                <w:rFonts w:asciiTheme="minorBidi" w:hAnsiTheme="minorBidi"/>
                <w:b/>
                <w:bCs/>
                <w:sz w:val="24"/>
                <w:szCs w:val="24"/>
              </w:rPr>
              <w:t>Psychopathy Score</w:t>
            </w:r>
          </w:p>
          <w:p w14:paraId="39A36B4C" w14:textId="77777777" w:rsidR="00620F22" w:rsidRPr="00620F22" w:rsidRDefault="00620F22" w:rsidP="00620F22">
            <w:pPr>
              <w:rPr>
                <w:rFonts w:asciiTheme="minorBidi" w:hAnsiTheme="minorBidi"/>
                <w:b/>
                <w:bCs/>
                <w:sz w:val="24"/>
                <w:szCs w:val="24"/>
              </w:rPr>
            </w:pPr>
          </w:p>
        </w:tc>
        <w:tc>
          <w:tcPr>
            <w:tcW w:w="3273" w:type="dxa"/>
          </w:tcPr>
          <w:p w14:paraId="4D5809A4" w14:textId="77777777" w:rsidR="00620F22" w:rsidRPr="00620F22" w:rsidRDefault="00620F22" w:rsidP="00620F22">
            <w:pPr>
              <w:rPr>
                <w:rFonts w:asciiTheme="minorBidi" w:hAnsiTheme="minorBidi"/>
                <w:b/>
                <w:bCs/>
                <w:sz w:val="24"/>
                <w:szCs w:val="24"/>
              </w:rPr>
            </w:pPr>
            <w:r w:rsidRPr="00620F22">
              <w:rPr>
                <w:rFonts w:asciiTheme="minorBidi" w:hAnsiTheme="minorBidi"/>
                <w:b/>
                <w:bCs/>
                <w:sz w:val="24"/>
                <w:szCs w:val="24"/>
              </w:rPr>
              <w:t>Participants</w:t>
            </w:r>
          </w:p>
        </w:tc>
        <w:tc>
          <w:tcPr>
            <w:tcW w:w="2650" w:type="dxa"/>
          </w:tcPr>
          <w:p w14:paraId="4576B9E9" w14:textId="77777777" w:rsidR="00620F22" w:rsidRPr="00620F22" w:rsidRDefault="00620F22" w:rsidP="00620F22">
            <w:pPr>
              <w:rPr>
                <w:rFonts w:asciiTheme="minorBidi" w:hAnsiTheme="minorBidi"/>
                <w:b/>
                <w:bCs/>
                <w:sz w:val="24"/>
                <w:szCs w:val="24"/>
              </w:rPr>
            </w:pPr>
            <w:r w:rsidRPr="00620F22">
              <w:rPr>
                <w:rFonts w:asciiTheme="minorBidi" w:hAnsiTheme="minorBidi"/>
                <w:b/>
                <w:bCs/>
                <w:sz w:val="24"/>
                <w:szCs w:val="24"/>
              </w:rPr>
              <w:t>%</w:t>
            </w:r>
          </w:p>
        </w:tc>
      </w:tr>
      <w:tr w:rsidR="00620F22" w:rsidRPr="00620F22" w14:paraId="725FC457" w14:textId="77777777" w:rsidTr="001D4222">
        <w:tc>
          <w:tcPr>
            <w:tcW w:w="3093" w:type="dxa"/>
          </w:tcPr>
          <w:p w14:paraId="4A15FEF4" w14:textId="77777777" w:rsidR="00620F22" w:rsidRPr="00620F22" w:rsidRDefault="00620F22" w:rsidP="00620F22">
            <w:pPr>
              <w:rPr>
                <w:rFonts w:asciiTheme="minorBidi" w:eastAsia="Times New Roman" w:hAnsiTheme="minorBidi"/>
                <w:sz w:val="24"/>
                <w:szCs w:val="24"/>
                <w:lang w:eastAsia="en-GB"/>
              </w:rPr>
            </w:pPr>
            <w:r w:rsidRPr="00620F22">
              <w:rPr>
                <w:rFonts w:asciiTheme="minorBidi" w:eastAsia="Times New Roman" w:hAnsiTheme="minorBidi"/>
                <w:sz w:val="24"/>
                <w:szCs w:val="24"/>
                <w:lang w:eastAsia="en-GB"/>
              </w:rPr>
              <w:t>0-48</w:t>
            </w:r>
          </w:p>
          <w:p w14:paraId="48E2A40B" w14:textId="77777777" w:rsidR="00620F22" w:rsidRPr="00620F22" w:rsidRDefault="00620F22" w:rsidP="00620F22">
            <w:pPr>
              <w:rPr>
                <w:rFonts w:asciiTheme="minorBidi" w:hAnsiTheme="minorBidi"/>
                <w:sz w:val="24"/>
                <w:szCs w:val="24"/>
              </w:rPr>
            </w:pPr>
          </w:p>
        </w:tc>
        <w:tc>
          <w:tcPr>
            <w:tcW w:w="3273" w:type="dxa"/>
          </w:tcPr>
          <w:p w14:paraId="39BC05D3"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36</w:t>
            </w:r>
          </w:p>
        </w:tc>
        <w:tc>
          <w:tcPr>
            <w:tcW w:w="2650" w:type="dxa"/>
          </w:tcPr>
          <w:p w14:paraId="7D384298"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63</w:t>
            </w:r>
          </w:p>
        </w:tc>
      </w:tr>
      <w:tr w:rsidR="00620F22" w:rsidRPr="00620F22" w14:paraId="0D978649" w14:textId="77777777" w:rsidTr="001D4222">
        <w:tc>
          <w:tcPr>
            <w:tcW w:w="3093" w:type="dxa"/>
          </w:tcPr>
          <w:p w14:paraId="5EFC3903" w14:textId="77777777" w:rsidR="00620F22" w:rsidRPr="00620F22" w:rsidRDefault="00620F22" w:rsidP="00620F22">
            <w:pPr>
              <w:rPr>
                <w:rFonts w:asciiTheme="minorBidi" w:eastAsia="Times New Roman" w:hAnsiTheme="minorBidi"/>
                <w:sz w:val="24"/>
                <w:szCs w:val="24"/>
                <w:lang w:eastAsia="en-GB"/>
              </w:rPr>
            </w:pPr>
            <w:r w:rsidRPr="00620F22">
              <w:rPr>
                <w:rFonts w:asciiTheme="minorBidi" w:eastAsia="Times New Roman" w:hAnsiTheme="minorBidi"/>
                <w:sz w:val="24"/>
                <w:szCs w:val="24"/>
                <w:lang w:eastAsia="en-GB"/>
              </w:rPr>
              <w:t>49-57</w:t>
            </w:r>
          </w:p>
          <w:p w14:paraId="0D24083A" w14:textId="77777777" w:rsidR="00620F22" w:rsidRPr="00620F22" w:rsidRDefault="00620F22" w:rsidP="00620F22">
            <w:pPr>
              <w:rPr>
                <w:rFonts w:asciiTheme="minorBidi" w:hAnsiTheme="minorBidi"/>
                <w:sz w:val="24"/>
                <w:szCs w:val="24"/>
              </w:rPr>
            </w:pPr>
          </w:p>
        </w:tc>
        <w:tc>
          <w:tcPr>
            <w:tcW w:w="3273" w:type="dxa"/>
          </w:tcPr>
          <w:p w14:paraId="3A5C4E45"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17</w:t>
            </w:r>
          </w:p>
        </w:tc>
        <w:tc>
          <w:tcPr>
            <w:tcW w:w="2650" w:type="dxa"/>
          </w:tcPr>
          <w:p w14:paraId="02338590"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30</w:t>
            </w:r>
          </w:p>
        </w:tc>
      </w:tr>
      <w:tr w:rsidR="00620F22" w:rsidRPr="00620F22" w14:paraId="040E6060" w14:textId="77777777" w:rsidTr="001D4222">
        <w:tc>
          <w:tcPr>
            <w:tcW w:w="3093" w:type="dxa"/>
          </w:tcPr>
          <w:p w14:paraId="09074F01" w14:textId="77777777" w:rsidR="00620F22" w:rsidRPr="00620F22" w:rsidRDefault="00620F22" w:rsidP="00620F22">
            <w:pPr>
              <w:rPr>
                <w:rFonts w:asciiTheme="minorBidi" w:eastAsia="Times New Roman" w:hAnsiTheme="minorBidi"/>
                <w:sz w:val="24"/>
                <w:szCs w:val="24"/>
                <w:lang w:eastAsia="en-GB"/>
              </w:rPr>
            </w:pPr>
            <w:r w:rsidRPr="00620F22">
              <w:rPr>
                <w:rFonts w:asciiTheme="minorBidi" w:eastAsia="Times New Roman" w:hAnsiTheme="minorBidi"/>
                <w:sz w:val="24"/>
                <w:szCs w:val="24"/>
                <w:lang w:eastAsia="en-GB"/>
              </w:rPr>
              <w:t>≥58</w:t>
            </w:r>
          </w:p>
          <w:p w14:paraId="786E917B" w14:textId="77777777" w:rsidR="00620F22" w:rsidRPr="00620F22" w:rsidRDefault="00620F22" w:rsidP="00620F22">
            <w:pPr>
              <w:rPr>
                <w:rFonts w:asciiTheme="minorBidi" w:hAnsiTheme="minorBidi"/>
                <w:sz w:val="24"/>
                <w:szCs w:val="24"/>
              </w:rPr>
            </w:pPr>
          </w:p>
        </w:tc>
        <w:tc>
          <w:tcPr>
            <w:tcW w:w="3273" w:type="dxa"/>
          </w:tcPr>
          <w:p w14:paraId="44D01DC2"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4</w:t>
            </w:r>
          </w:p>
        </w:tc>
        <w:tc>
          <w:tcPr>
            <w:tcW w:w="2650" w:type="dxa"/>
          </w:tcPr>
          <w:p w14:paraId="7F1281E6"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7</w:t>
            </w:r>
          </w:p>
        </w:tc>
      </w:tr>
      <w:tr w:rsidR="00620F22" w:rsidRPr="00620F22" w14:paraId="65E715D7" w14:textId="77777777" w:rsidTr="001D4222">
        <w:tc>
          <w:tcPr>
            <w:tcW w:w="3093" w:type="dxa"/>
          </w:tcPr>
          <w:p w14:paraId="3693F441" w14:textId="77777777" w:rsidR="00620F22" w:rsidRPr="00620F22" w:rsidRDefault="00620F22" w:rsidP="00620F22">
            <w:pPr>
              <w:rPr>
                <w:rFonts w:asciiTheme="minorBidi" w:eastAsia="Times New Roman" w:hAnsiTheme="minorBidi"/>
                <w:sz w:val="24"/>
                <w:szCs w:val="24"/>
                <w:lang w:eastAsia="en-GB"/>
              </w:rPr>
            </w:pPr>
            <w:r w:rsidRPr="00620F22">
              <w:rPr>
                <w:rFonts w:asciiTheme="minorBidi" w:eastAsia="Times New Roman" w:hAnsiTheme="minorBidi"/>
                <w:sz w:val="24"/>
                <w:szCs w:val="24"/>
                <w:lang w:eastAsia="en-GB"/>
              </w:rPr>
              <w:t>Total</w:t>
            </w:r>
          </w:p>
          <w:p w14:paraId="650E2FFD" w14:textId="77777777" w:rsidR="00620F22" w:rsidRPr="00620F22" w:rsidRDefault="00620F22" w:rsidP="00620F22">
            <w:pPr>
              <w:rPr>
                <w:rFonts w:asciiTheme="minorBidi" w:eastAsia="Times New Roman" w:hAnsiTheme="minorBidi"/>
                <w:sz w:val="24"/>
                <w:szCs w:val="24"/>
                <w:lang w:eastAsia="en-GB"/>
              </w:rPr>
            </w:pPr>
          </w:p>
        </w:tc>
        <w:tc>
          <w:tcPr>
            <w:tcW w:w="3273" w:type="dxa"/>
          </w:tcPr>
          <w:p w14:paraId="6C53D699"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57</w:t>
            </w:r>
          </w:p>
        </w:tc>
        <w:tc>
          <w:tcPr>
            <w:tcW w:w="2650" w:type="dxa"/>
          </w:tcPr>
          <w:p w14:paraId="675C95AE"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100</w:t>
            </w:r>
          </w:p>
        </w:tc>
      </w:tr>
    </w:tbl>
    <w:p w14:paraId="6D3DCCF1" w14:textId="77777777" w:rsidR="00620F22" w:rsidRPr="00620F22" w:rsidRDefault="00620F22" w:rsidP="00620F22">
      <w:pPr>
        <w:spacing w:line="480" w:lineRule="auto"/>
        <w:jc w:val="both"/>
        <w:rPr>
          <w:rFonts w:asciiTheme="minorBidi" w:eastAsia="Times New Roman" w:hAnsiTheme="minorBidi"/>
          <w:b/>
          <w:bCs/>
          <w:color w:val="000000" w:themeColor="text1"/>
          <w:kern w:val="0"/>
          <w14:ligatures w14:val="none"/>
        </w:rPr>
      </w:pPr>
    </w:p>
    <w:p w14:paraId="2FDAEE4B" w14:textId="0EE38B57" w:rsidR="00A05187" w:rsidRPr="00620F22" w:rsidRDefault="00620F22" w:rsidP="00715CDF">
      <w:pPr>
        <w:spacing w:after="240" w:line="480" w:lineRule="auto"/>
        <w:jc w:val="both"/>
        <w:rPr>
          <w:rFonts w:asciiTheme="minorBidi" w:eastAsia="Times New Roman" w:hAnsiTheme="minorBidi"/>
          <w:color w:val="000000" w:themeColor="text1"/>
          <w:kern w:val="0"/>
          <w14:ligatures w14:val="none"/>
        </w:rPr>
      </w:pPr>
      <w:r w:rsidRPr="00620F22">
        <w:rPr>
          <w:rFonts w:asciiTheme="minorBidi" w:eastAsia="Times New Roman" w:hAnsiTheme="minorBidi"/>
          <w:color w:val="000000" w:themeColor="text1"/>
          <w:kern w:val="0"/>
          <w14:ligatures w14:val="none"/>
        </w:rPr>
        <w:t>It is important to note that there were 17 distinct instances in the "Mixed-group," and four accountants with a score of 48 who could be considered borderline "Mixed-group" cases were included in the "non-psychopathic group" of 36.  According to Hare (1994), just 1% of the general population meets the clinical criteria for psychopathy. However, Hare and Babiak (1994) went on to claim that the prevalence of psychopaths was higher in the corporate sector. The results of this study, which included 57 professional accountants and auditors, showed that 7% of the participants — four Corporate Psychopath Accountants — and 30% of the contributors or had borderline or mixed psychopathy, which could pose problems in the future. The results for the L6 students were as follows:</w:t>
      </w:r>
    </w:p>
    <w:tbl>
      <w:tblPr>
        <w:tblStyle w:val="TableGrid1"/>
        <w:tblW w:w="0" w:type="auto"/>
        <w:tblLook w:val="04A0" w:firstRow="1" w:lastRow="0" w:firstColumn="1" w:lastColumn="0" w:noHBand="0" w:noVBand="1"/>
      </w:tblPr>
      <w:tblGrid>
        <w:gridCol w:w="3093"/>
        <w:gridCol w:w="3273"/>
        <w:gridCol w:w="2650"/>
      </w:tblGrid>
      <w:tr w:rsidR="00620F22" w:rsidRPr="00620F22" w14:paraId="2705BF0C" w14:textId="77777777" w:rsidTr="001D4222">
        <w:tc>
          <w:tcPr>
            <w:tcW w:w="3093" w:type="dxa"/>
          </w:tcPr>
          <w:p w14:paraId="5E623F04" w14:textId="77777777" w:rsidR="00620F22" w:rsidRPr="00620F22" w:rsidRDefault="00620F22" w:rsidP="00620F22">
            <w:pPr>
              <w:rPr>
                <w:rFonts w:asciiTheme="minorBidi" w:hAnsiTheme="minorBidi"/>
                <w:b/>
                <w:bCs/>
                <w:sz w:val="24"/>
                <w:szCs w:val="24"/>
              </w:rPr>
            </w:pPr>
            <w:r w:rsidRPr="00620F22">
              <w:rPr>
                <w:rFonts w:asciiTheme="minorBidi" w:hAnsiTheme="minorBidi"/>
                <w:b/>
                <w:bCs/>
                <w:sz w:val="24"/>
                <w:szCs w:val="24"/>
              </w:rPr>
              <w:t>Psychopathy Score</w:t>
            </w:r>
          </w:p>
          <w:p w14:paraId="7A1860A1" w14:textId="77777777" w:rsidR="00620F22" w:rsidRPr="00620F22" w:rsidRDefault="00620F22" w:rsidP="00620F22">
            <w:pPr>
              <w:rPr>
                <w:rFonts w:asciiTheme="minorBidi" w:hAnsiTheme="minorBidi"/>
                <w:b/>
                <w:bCs/>
                <w:sz w:val="24"/>
                <w:szCs w:val="24"/>
              </w:rPr>
            </w:pPr>
          </w:p>
        </w:tc>
        <w:tc>
          <w:tcPr>
            <w:tcW w:w="3273" w:type="dxa"/>
          </w:tcPr>
          <w:p w14:paraId="143FFB13" w14:textId="77777777" w:rsidR="00620F22" w:rsidRPr="00620F22" w:rsidRDefault="00620F22" w:rsidP="00620F22">
            <w:pPr>
              <w:rPr>
                <w:rFonts w:asciiTheme="minorBidi" w:hAnsiTheme="minorBidi"/>
                <w:b/>
                <w:bCs/>
                <w:sz w:val="24"/>
                <w:szCs w:val="24"/>
              </w:rPr>
            </w:pPr>
            <w:r w:rsidRPr="00620F22">
              <w:rPr>
                <w:rFonts w:asciiTheme="minorBidi" w:hAnsiTheme="minorBidi"/>
                <w:b/>
                <w:bCs/>
                <w:sz w:val="24"/>
                <w:szCs w:val="24"/>
              </w:rPr>
              <w:t>Participants</w:t>
            </w:r>
          </w:p>
        </w:tc>
        <w:tc>
          <w:tcPr>
            <w:tcW w:w="2650" w:type="dxa"/>
          </w:tcPr>
          <w:p w14:paraId="758FC1AB" w14:textId="77777777" w:rsidR="00620F22" w:rsidRPr="00620F22" w:rsidRDefault="00620F22" w:rsidP="00620F22">
            <w:pPr>
              <w:rPr>
                <w:rFonts w:asciiTheme="minorBidi" w:hAnsiTheme="minorBidi"/>
                <w:b/>
                <w:bCs/>
                <w:sz w:val="24"/>
                <w:szCs w:val="24"/>
              </w:rPr>
            </w:pPr>
            <w:r w:rsidRPr="00620F22">
              <w:rPr>
                <w:rFonts w:asciiTheme="minorBidi" w:hAnsiTheme="minorBidi"/>
                <w:b/>
                <w:bCs/>
                <w:sz w:val="24"/>
                <w:szCs w:val="24"/>
              </w:rPr>
              <w:t>%</w:t>
            </w:r>
          </w:p>
        </w:tc>
      </w:tr>
      <w:tr w:rsidR="00620F22" w:rsidRPr="00620F22" w14:paraId="0493C04E" w14:textId="77777777" w:rsidTr="001D4222">
        <w:tc>
          <w:tcPr>
            <w:tcW w:w="3093" w:type="dxa"/>
          </w:tcPr>
          <w:p w14:paraId="227F0800" w14:textId="77777777" w:rsidR="00620F22" w:rsidRPr="00620F22" w:rsidRDefault="00620F22" w:rsidP="00620F22">
            <w:pPr>
              <w:rPr>
                <w:rFonts w:asciiTheme="minorBidi" w:eastAsia="Times New Roman" w:hAnsiTheme="minorBidi"/>
                <w:sz w:val="24"/>
                <w:szCs w:val="24"/>
                <w:lang w:eastAsia="en-GB"/>
              </w:rPr>
            </w:pPr>
            <w:r w:rsidRPr="00620F22">
              <w:rPr>
                <w:rFonts w:asciiTheme="minorBidi" w:eastAsia="Times New Roman" w:hAnsiTheme="minorBidi"/>
                <w:sz w:val="24"/>
                <w:szCs w:val="24"/>
                <w:lang w:eastAsia="en-GB"/>
              </w:rPr>
              <w:t>0-48</w:t>
            </w:r>
          </w:p>
          <w:p w14:paraId="7E62BD44" w14:textId="77777777" w:rsidR="00620F22" w:rsidRPr="00620F22" w:rsidRDefault="00620F22" w:rsidP="00620F22">
            <w:pPr>
              <w:rPr>
                <w:rFonts w:asciiTheme="minorBidi" w:hAnsiTheme="minorBidi"/>
                <w:sz w:val="24"/>
                <w:szCs w:val="24"/>
              </w:rPr>
            </w:pPr>
          </w:p>
        </w:tc>
        <w:tc>
          <w:tcPr>
            <w:tcW w:w="3273" w:type="dxa"/>
          </w:tcPr>
          <w:p w14:paraId="2D03CEAB"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29</w:t>
            </w:r>
          </w:p>
        </w:tc>
        <w:tc>
          <w:tcPr>
            <w:tcW w:w="2650" w:type="dxa"/>
          </w:tcPr>
          <w:p w14:paraId="061C3E6E"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58</w:t>
            </w:r>
          </w:p>
        </w:tc>
      </w:tr>
      <w:tr w:rsidR="00620F22" w:rsidRPr="00620F22" w14:paraId="5767F312" w14:textId="77777777" w:rsidTr="001D4222">
        <w:tc>
          <w:tcPr>
            <w:tcW w:w="3093" w:type="dxa"/>
          </w:tcPr>
          <w:p w14:paraId="3345289C" w14:textId="77777777" w:rsidR="00620F22" w:rsidRPr="00620F22" w:rsidRDefault="00620F22" w:rsidP="00620F22">
            <w:pPr>
              <w:rPr>
                <w:rFonts w:asciiTheme="minorBidi" w:eastAsia="Times New Roman" w:hAnsiTheme="minorBidi"/>
                <w:sz w:val="24"/>
                <w:szCs w:val="24"/>
                <w:lang w:eastAsia="en-GB"/>
              </w:rPr>
            </w:pPr>
            <w:r w:rsidRPr="00620F22">
              <w:rPr>
                <w:rFonts w:asciiTheme="minorBidi" w:eastAsia="Times New Roman" w:hAnsiTheme="minorBidi"/>
                <w:sz w:val="24"/>
                <w:szCs w:val="24"/>
                <w:lang w:eastAsia="en-GB"/>
              </w:rPr>
              <w:t>49-57</w:t>
            </w:r>
          </w:p>
          <w:p w14:paraId="7F33ABF4" w14:textId="77777777" w:rsidR="00620F22" w:rsidRPr="00620F22" w:rsidRDefault="00620F22" w:rsidP="00620F22">
            <w:pPr>
              <w:rPr>
                <w:rFonts w:asciiTheme="minorBidi" w:hAnsiTheme="minorBidi"/>
                <w:sz w:val="24"/>
                <w:szCs w:val="24"/>
              </w:rPr>
            </w:pPr>
          </w:p>
        </w:tc>
        <w:tc>
          <w:tcPr>
            <w:tcW w:w="3273" w:type="dxa"/>
          </w:tcPr>
          <w:p w14:paraId="7C58B42F"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14</w:t>
            </w:r>
          </w:p>
        </w:tc>
        <w:tc>
          <w:tcPr>
            <w:tcW w:w="2650" w:type="dxa"/>
          </w:tcPr>
          <w:p w14:paraId="72057BB6"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28</w:t>
            </w:r>
          </w:p>
        </w:tc>
      </w:tr>
      <w:tr w:rsidR="00620F22" w:rsidRPr="00620F22" w14:paraId="3B2629F7" w14:textId="77777777" w:rsidTr="001D4222">
        <w:tc>
          <w:tcPr>
            <w:tcW w:w="3093" w:type="dxa"/>
          </w:tcPr>
          <w:p w14:paraId="49E4E06A" w14:textId="77777777" w:rsidR="00620F22" w:rsidRPr="00620F22" w:rsidRDefault="00620F22" w:rsidP="00620F22">
            <w:pPr>
              <w:rPr>
                <w:rFonts w:asciiTheme="minorBidi" w:eastAsia="Times New Roman" w:hAnsiTheme="minorBidi"/>
                <w:sz w:val="24"/>
                <w:szCs w:val="24"/>
                <w:lang w:eastAsia="en-GB"/>
              </w:rPr>
            </w:pPr>
            <w:r w:rsidRPr="00620F22">
              <w:rPr>
                <w:rFonts w:asciiTheme="minorBidi" w:eastAsia="Times New Roman" w:hAnsiTheme="minorBidi"/>
                <w:sz w:val="24"/>
                <w:szCs w:val="24"/>
                <w:lang w:eastAsia="en-GB"/>
              </w:rPr>
              <w:t>≥58</w:t>
            </w:r>
          </w:p>
          <w:p w14:paraId="6C822B68" w14:textId="77777777" w:rsidR="00620F22" w:rsidRPr="00620F22" w:rsidRDefault="00620F22" w:rsidP="00620F22">
            <w:pPr>
              <w:rPr>
                <w:rFonts w:asciiTheme="minorBidi" w:hAnsiTheme="minorBidi"/>
                <w:sz w:val="24"/>
                <w:szCs w:val="24"/>
              </w:rPr>
            </w:pPr>
          </w:p>
        </w:tc>
        <w:tc>
          <w:tcPr>
            <w:tcW w:w="3273" w:type="dxa"/>
          </w:tcPr>
          <w:p w14:paraId="58C81A02"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7</w:t>
            </w:r>
          </w:p>
        </w:tc>
        <w:tc>
          <w:tcPr>
            <w:tcW w:w="2650" w:type="dxa"/>
          </w:tcPr>
          <w:p w14:paraId="0F9AA7DB"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14</w:t>
            </w:r>
          </w:p>
        </w:tc>
      </w:tr>
      <w:tr w:rsidR="00620F22" w:rsidRPr="00620F22" w14:paraId="31BFDDEB" w14:textId="77777777" w:rsidTr="001D4222">
        <w:tc>
          <w:tcPr>
            <w:tcW w:w="3093" w:type="dxa"/>
          </w:tcPr>
          <w:p w14:paraId="4224C56B" w14:textId="77777777" w:rsidR="00620F22" w:rsidRPr="00620F22" w:rsidRDefault="00620F22" w:rsidP="00620F22">
            <w:pPr>
              <w:rPr>
                <w:rFonts w:asciiTheme="minorBidi" w:eastAsia="Times New Roman" w:hAnsiTheme="minorBidi"/>
                <w:sz w:val="24"/>
                <w:szCs w:val="24"/>
                <w:lang w:eastAsia="en-GB"/>
              </w:rPr>
            </w:pPr>
            <w:r w:rsidRPr="00620F22">
              <w:rPr>
                <w:rFonts w:asciiTheme="minorBidi" w:eastAsia="Times New Roman" w:hAnsiTheme="minorBidi"/>
                <w:sz w:val="24"/>
                <w:szCs w:val="24"/>
                <w:lang w:eastAsia="en-GB"/>
              </w:rPr>
              <w:t>Total</w:t>
            </w:r>
          </w:p>
          <w:p w14:paraId="17B667CD" w14:textId="77777777" w:rsidR="00620F22" w:rsidRPr="00620F22" w:rsidRDefault="00620F22" w:rsidP="00620F22">
            <w:pPr>
              <w:rPr>
                <w:rFonts w:asciiTheme="minorBidi" w:eastAsia="Times New Roman" w:hAnsiTheme="minorBidi"/>
                <w:sz w:val="24"/>
                <w:szCs w:val="24"/>
                <w:lang w:eastAsia="en-GB"/>
              </w:rPr>
            </w:pPr>
          </w:p>
        </w:tc>
        <w:tc>
          <w:tcPr>
            <w:tcW w:w="3273" w:type="dxa"/>
          </w:tcPr>
          <w:p w14:paraId="4BB8D35A"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50</w:t>
            </w:r>
          </w:p>
        </w:tc>
        <w:tc>
          <w:tcPr>
            <w:tcW w:w="2650" w:type="dxa"/>
          </w:tcPr>
          <w:p w14:paraId="0C910029" w14:textId="77777777" w:rsidR="00620F22" w:rsidRPr="00620F22" w:rsidRDefault="00620F22" w:rsidP="00620F22">
            <w:pPr>
              <w:rPr>
                <w:rFonts w:asciiTheme="minorBidi" w:hAnsiTheme="minorBidi"/>
                <w:sz w:val="24"/>
                <w:szCs w:val="24"/>
              </w:rPr>
            </w:pPr>
            <w:r w:rsidRPr="00620F22">
              <w:rPr>
                <w:rFonts w:asciiTheme="minorBidi" w:hAnsiTheme="minorBidi"/>
                <w:sz w:val="24"/>
                <w:szCs w:val="24"/>
              </w:rPr>
              <w:t>100</w:t>
            </w:r>
          </w:p>
        </w:tc>
      </w:tr>
    </w:tbl>
    <w:p w14:paraId="28B13C9D" w14:textId="77777777" w:rsidR="00620F22" w:rsidRPr="00620F22" w:rsidRDefault="00620F22" w:rsidP="00620F22">
      <w:pPr>
        <w:spacing w:line="480" w:lineRule="auto"/>
        <w:jc w:val="both"/>
        <w:rPr>
          <w:rFonts w:asciiTheme="minorBidi" w:hAnsiTheme="minorBidi"/>
          <w:color w:val="000000" w:themeColor="text1"/>
          <w:shd w:val="clear" w:color="auto" w:fill="FFFFFF"/>
        </w:rPr>
      </w:pPr>
    </w:p>
    <w:p w14:paraId="326F2E60" w14:textId="77777777" w:rsidR="00620F22" w:rsidRPr="00620F22" w:rsidRDefault="00620F22" w:rsidP="00620F22">
      <w:pPr>
        <w:spacing w:line="480" w:lineRule="auto"/>
        <w:jc w:val="both"/>
        <w:rPr>
          <w:rFonts w:ascii="Arial" w:hAnsi="Arial" w:cs="Arial"/>
          <w:color w:val="000000" w:themeColor="text1"/>
          <w:shd w:val="clear" w:color="auto" w:fill="FFFFFF"/>
        </w:rPr>
      </w:pPr>
      <w:r w:rsidRPr="00620F22">
        <w:rPr>
          <w:rFonts w:ascii="Arial" w:hAnsi="Arial" w:cs="Arial"/>
          <w:color w:val="000000" w:themeColor="text1"/>
          <w:shd w:val="clear" w:color="auto" w:fill="FFFFFF"/>
        </w:rPr>
        <w:lastRenderedPageBreak/>
        <w:t>This student study of 50 highlighted that 14% have clear psychopathic tendencies, participants, 28% or 14 contributors, have borderline or mixed psychopathy which could become challenging in the future.</w:t>
      </w:r>
    </w:p>
    <w:p w14:paraId="6E52DC75" w14:textId="77777777" w:rsidR="00620F22" w:rsidRPr="00620F22" w:rsidRDefault="00620F22" w:rsidP="00620F22">
      <w:pPr>
        <w:spacing w:line="480" w:lineRule="auto"/>
        <w:jc w:val="both"/>
        <w:rPr>
          <w:rFonts w:ascii="Arial" w:hAnsi="Arial" w:cs="Arial"/>
          <w:color w:val="000000" w:themeColor="text1"/>
          <w:shd w:val="clear" w:color="auto" w:fill="FFFFFF"/>
        </w:rPr>
      </w:pPr>
      <w:r w:rsidRPr="00620F22">
        <w:rPr>
          <w:rFonts w:ascii="Arial" w:hAnsi="Arial" w:cs="Arial"/>
          <w:color w:val="000000" w:themeColor="text1"/>
          <w:shd w:val="clear" w:color="auto" w:fill="FFFFFF"/>
        </w:rPr>
        <w:t>When the professionals and students were surveyed regarding deterrence, 91% and 94% respectively believed that a fine and sentence should be enforced for Accounting Fraud.</w:t>
      </w:r>
    </w:p>
    <w:p w14:paraId="7BE06E8F" w14:textId="77777777" w:rsidR="00620F22" w:rsidRPr="00620F22" w:rsidRDefault="00620F22" w:rsidP="00620F22">
      <w:pPr>
        <w:spacing w:line="480" w:lineRule="auto"/>
        <w:jc w:val="both"/>
        <w:rPr>
          <w:rFonts w:asciiTheme="minorBidi" w:hAnsiTheme="minorBidi"/>
          <w:color w:val="000000" w:themeColor="text1"/>
        </w:rPr>
      </w:pPr>
      <w:r w:rsidRPr="00620F22">
        <w:rPr>
          <w:rFonts w:asciiTheme="minorBidi" w:hAnsiTheme="minorBidi"/>
          <w:color w:val="000000" w:themeColor="text1"/>
        </w:rPr>
        <w:t xml:space="preserve">A multiple regression model for the professionals was produced and the correlation between all the salient variables that occur in the multiple regression equation was calculated resulting in: </w:t>
      </w:r>
    </w:p>
    <w:tbl>
      <w:tblPr>
        <w:tblStyle w:val="TableGrid1"/>
        <w:tblW w:w="0" w:type="auto"/>
        <w:tblLook w:val="04A0" w:firstRow="1" w:lastRow="0" w:firstColumn="1" w:lastColumn="0" w:noHBand="0" w:noVBand="1"/>
      </w:tblPr>
      <w:tblGrid>
        <w:gridCol w:w="7933"/>
        <w:gridCol w:w="1083"/>
      </w:tblGrid>
      <w:tr w:rsidR="00620F22" w:rsidRPr="00620F22" w14:paraId="29C38459" w14:textId="77777777" w:rsidTr="001D4222">
        <w:tc>
          <w:tcPr>
            <w:tcW w:w="7933" w:type="dxa"/>
          </w:tcPr>
          <w:p w14:paraId="6BFE601A" w14:textId="77777777" w:rsidR="00620F22" w:rsidRPr="00620F22" w:rsidRDefault="00620F22" w:rsidP="0086325A">
            <w:pPr>
              <w:spacing w:line="480" w:lineRule="auto"/>
              <w:rPr>
                <w:rFonts w:asciiTheme="minorBidi" w:hAnsiTheme="minorBidi"/>
                <w:sz w:val="24"/>
                <w:szCs w:val="24"/>
              </w:rPr>
            </w:pPr>
            <w:r w:rsidRPr="00620F22">
              <w:rPr>
                <w:rFonts w:asciiTheme="minorBidi" w:hAnsiTheme="minorBidi"/>
                <w:b/>
                <w:bCs/>
                <w:sz w:val="24"/>
                <w:szCs w:val="24"/>
              </w:rPr>
              <w:t>The correlation between PSYCOPATHY X1 – X4</w:t>
            </w:r>
          </w:p>
        </w:tc>
        <w:tc>
          <w:tcPr>
            <w:tcW w:w="1083" w:type="dxa"/>
          </w:tcPr>
          <w:p w14:paraId="18B9C4E7" w14:textId="77777777" w:rsidR="00620F22" w:rsidRPr="00620F22" w:rsidRDefault="00620F22" w:rsidP="0086325A">
            <w:pPr>
              <w:spacing w:line="480" w:lineRule="auto"/>
              <w:rPr>
                <w:rFonts w:asciiTheme="minorBidi" w:hAnsiTheme="minorBidi"/>
                <w:b/>
                <w:bCs/>
                <w:sz w:val="24"/>
                <w:szCs w:val="24"/>
              </w:rPr>
            </w:pPr>
            <w:r w:rsidRPr="00620F22">
              <w:rPr>
                <w:rFonts w:asciiTheme="minorBidi" w:hAnsiTheme="minorBidi"/>
                <w:b/>
                <w:bCs/>
                <w:sz w:val="24"/>
                <w:szCs w:val="24"/>
              </w:rPr>
              <w:t>X1 – X4</w:t>
            </w:r>
          </w:p>
        </w:tc>
      </w:tr>
      <w:tr w:rsidR="00620F22" w:rsidRPr="00620F22" w14:paraId="67485BBB" w14:textId="77777777" w:rsidTr="001D4222">
        <w:tc>
          <w:tcPr>
            <w:tcW w:w="7933" w:type="dxa"/>
          </w:tcPr>
          <w:p w14:paraId="4CB9072C" w14:textId="77777777" w:rsidR="00620F22" w:rsidRPr="00620F22" w:rsidRDefault="00620F22" w:rsidP="0086325A">
            <w:pPr>
              <w:spacing w:line="480" w:lineRule="auto"/>
              <w:rPr>
                <w:rFonts w:asciiTheme="minorBidi" w:hAnsiTheme="minorBidi"/>
                <w:sz w:val="24"/>
                <w:szCs w:val="24"/>
              </w:rPr>
            </w:pPr>
            <w:r w:rsidRPr="00620F22">
              <w:rPr>
                <w:rFonts w:asciiTheme="minorBidi" w:hAnsiTheme="minorBidi"/>
                <w:sz w:val="24"/>
                <w:szCs w:val="24"/>
              </w:rPr>
              <w:t>The correlation between PSYCOPATHY and Mean Disapproval is:</w:t>
            </w:r>
          </w:p>
        </w:tc>
        <w:tc>
          <w:tcPr>
            <w:tcW w:w="1083" w:type="dxa"/>
          </w:tcPr>
          <w:p w14:paraId="71550FB4" w14:textId="77777777" w:rsidR="00620F22" w:rsidRPr="00620F22" w:rsidRDefault="00620F22" w:rsidP="0086325A">
            <w:pPr>
              <w:spacing w:line="480" w:lineRule="auto"/>
              <w:rPr>
                <w:rFonts w:asciiTheme="minorBidi" w:hAnsiTheme="minorBidi"/>
                <w:sz w:val="24"/>
                <w:szCs w:val="24"/>
              </w:rPr>
            </w:pPr>
            <w:r w:rsidRPr="00620F22">
              <w:rPr>
                <w:rFonts w:asciiTheme="minorBidi" w:hAnsiTheme="minorBidi"/>
                <w:sz w:val="24"/>
                <w:szCs w:val="24"/>
              </w:rPr>
              <w:t>-0.17</w:t>
            </w:r>
          </w:p>
        </w:tc>
      </w:tr>
      <w:tr w:rsidR="00620F22" w:rsidRPr="00620F22" w14:paraId="073070BB" w14:textId="77777777" w:rsidTr="001D4222">
        <w:tc>
          <w:tcPr>
            <w:tcW w:w="7933" w:type="dxa"/>
          </w:tcPr>
          <w:p w14:paraId="5DF41223" w14:textId="77777777" w:rsidR="00620F22" w:rsidRPr="00620F22" w:rsidRDefault="00620F22" w:rsidP="0086325A">
            <w:pPr>
              <w:spacing w:line="480" w:lineRule="auto"/>
              <w:rPr>
                <w:rFonts w:asciiTheme="minorBidi" w:hAnsiTheme="minorBidi"/>
                <w:sz w:val="24"/>
                <w:szCs w:val="24"/>
              </w:rPr>
            </w:pPr>
            <w:r w:rsidRPr="00620F22">
              <w:rPr>
                <w:rFonts w:asciiTheme="minorBidi" w:hAnsiTheme="minorBidi"/>
                <w:sz w:val="24"/>
                <w:szCs w:val="24"/>
              </w:rPr>
              <w:t>The correlation between PSYCOPATHY and Culture is:</w:t>
            </w:r>
          </w:p>
        </w:tc>
        <w:tc>
          <w:tcPr>
            <w:tcW w:w="1083" w:type="dxa"/>
          </w:tcPr>
          <w:p w14:paraId="7768B68F" w14:textId="77777777" w:rsidR="00620F22" w:rsidRPr="00620F22" w:rsidRDefault="00620F22" w:rsidP="0086325A">
            <w:pPr>
              <w:spacing w:line="480" w:lineRule="auto"/>
              <w:rPr>
                <w:rFonts w:asciiTheme="minorBidi" w:hAnsiTheme="minorBidi"/>
                <w:sz w:val="24"/>
                <w:szCs w:val="24"/>
              </w:rPr>
            </w:pPr>
            <w:r w:rsidRPr="00620F22">
              <w:rPr>
                <w:rFonts w:asciiTheme="minorBidi" w:hAnsiTheme="minorBidi"/>
                <w:sz w:val="24"/>
                <w:szCs w:val="24"/>
              </w:rPr>
              <w:t>0.13</w:t>
            </w:r>
          </w:p>
        </w:tc>
      </w:tr>
      <w:tr w:rsidR="00620F22" w:rsidRPr="00620F22" w14:paraId="76EF3009" w14:textId="77777777" w:rsidTr="001D4222">
        <w:tc>
          <w:tcPr>
            <w:tcW w:w="7933" w:type="dxa"/>
          </w:tcPr>
          <w:p w14:paraId="6861753F" w14:textId="77777777" w:rsidR="00620F22" w:rsidRPr="00620F22" w:rsidRDefault="00620F22" w:rsidP="0086325A">
            <w:pPr>
              <w:spacing w:line="480" w:lineRule="auto"/>
              <w:rPr>
                <w:rFonts w:asciiTheme="minorBidi" w:hAnsiTheme="minorBidi"/>
                <w:sz w:val="24"/>
                <w:szCs w:val="24"/>
              </w:rPr>
            </w:pPr>
            <w:r w:rsidRPr="00620F22">
              <w:rPr>
                <w:rFonts w:asciiTheme="minorBidi" w:hAnsiTheme="minorBidi"/>
                <w:sz w:val="24"/>
                <w:szCs w:val="24"/>
              </w:rPr>
              <w:t>The correlation between PSYCOPATHY and Gender is:</w:t>
            </w:r>
          </w:p>
        </w:tc>
        <w:tc>
          <w:tcPr>
            <w:tcW w:w="1083" w:type="dxa"/>
          </w:tcPr>
          <w:p w14:paraId="7DDBDE61" w14:textId="77777777" w:rsidR="00620F22" w:rsidRPr="00620F22" w:rsidRDefault="00620F22" w:rsidP="0086325A">
            <w:pPr>
              <w:spacing w:line="480" w:lineRule="auto"/>
              <w:rPr>
                <w:rFonts w:asciiTheme="minorBidi" w:hAnsiTheme="minorBidi"/>
                <w:sz w:val="24"/>
                <w:szCs w:val="24"/>
              </w:rPr>
            </w:pPr>
            <w:r w:rsidRPr="00620F22">
              <w:rPr>
                <w:rFonts w:asciiTheme="minorBidi" w:hAnsiTheme="minorBidi"/>
                <w:sz w:val="24"/>
                <w:szCs w:val="24"/>
              </w:rPr>
              <w:t>-0.01</w:t>
            </w:r>
          </w:p>
        </w:tc>
      </w:tr>
      <w:tr w:rsidR="00620F22" w:rsidRPr="00620F22" w14:paraId="74B83C30" w14:textId="77777777" w:rsidTr="001D4222">
        <w:tc>
          <w:tcPr>
            <w:tcW w:w="7933" w:type="dxa"/>
          </w:tcPr>
          <w:p w14:paraId="5112D2C3" w14:textId="77777777" w:rsidR="00620F22" w:rsidRPr="00620F22" w:rsidRDefault="00620F22" w:rsidP="0086325A">
            <w:pPr>
              <w:spacing w:line="480" w:lineRule="auto"/>
              <w:rPr>
                <w:rFonts w:asciiTheme="minorBidi" w:hAnsiTheme="minorBidi"/>
                <w:sz w:val="24"/>
                <w:szCs w:val="24"/>
              </w:rPr>
            </w:pPr>
            <w:r w:rsidRPr="00620F22">
              <w:rPr>
                <w:rFonts w:asciiTheme="minorBidi" w:hAnsiTheme="minorBidi"/>
                <w:sz w:val="24"/>
                <w:szCs w:val="24"/>
              </w:rPr>
              <w:t>The correlation between PSYCOPATHY and Professional Experience is:</w:t>
            </w:r>
          </w:p>
        </w:tc>
        <w:tc>
          <w:tcPr>
            <w:tcW w:w="1083" w:type="dxa"/>
          </w:tcPr>
          <w:p w14:paraId="5A2C68AB" w14:textId="77777777" w:rsidR="00620F22" w:rsidRPr="00620F22" w:rsidRDefault="00620F22" w:rsidP="0086325A">
            <w:pPr>
              <w:spacing w:line="480" w:lineRule="auto"/>
              <w:rPr>
                <w:rFonts w:asciiTheme="minorBidi" w:hAnsiTheme="minorBidi"/>
                <w:sz w:val="24"/>
                <w:szCs w:val="24"/>
              </w:rPr>
            </w:pPr>
            <w:r w:rsidRPr="00620F22">
              <w:rPr>
                <w:rFonts w:asciiTheme="minorBidi" w:hAnsiTheme="minorBidi"/>
                <w:sz w:val="24"/>
                <w:szCs w:val="24"/>
              </w:rPr>
              <w:t>-0.47</w:t>
            </w:r>
          </w:p>
        </w:tc>
      </w:tr>
    </w:tbl>
    <w:p w14:paraId="5AE9F5FF" w14:textId="77777777" w:rsidR="00620F22" w:rsidRPr="00620F22" w:rsidRDefault="00620F22" w:rsidP="0086325A">
      <w:pPr>
        <w:spacing w:line="480" w:lineRule="auto"/>
        <w:jc w:val="both"/>
        <w:rPr>
          <w:rFonts w:asciiTheme="minorBidi" w:hAnsiTheme="minorBidi"/>
          <w:color w:val="000000" w:themeColor="text1"/>
        </w:rPr>
      </w:pPr>
    </w:p>
    <w:p w14:paraId="5C8F1B84" w14:textId="77777777" w:rsidR="00620F22" w:rsidRPr="00620F22" w:rsidRDefault="00620F22" w:rsidP="00620F22">
      <w:pPr>
        <w:spacing w:line="480" w:lineRule="auto"/>
        <w:jc w:val="both"/>
        <w:rPr>
          <w:rFonts w:asciiTheme="minorBidi" w:hAnsiTheme="minorBidi"/>
          <w:color w:val="000000" w:themeColor="text1"/>
        </w:rPr>
      </w:pPr>
      <w:r w:rsidRPr="00620F22">
        <w:rPr>
          <w:rFonts w:asciiTheme="minorBidi" w:hAnsiTheme="minorBidi"/>
          <w:color w:val="000000" w:themeColor="text1"/>
        </w:rPr>
        <w:t xml:space="preserve">The best explanatory variable of psychopathy is professional experience of more than ten years, followed by culture (discussed later), then mean disapproval and finally gender has a minor impact. This may suggest </w:t>
      </w:r>
      <w:r w:rsidRPr="00620F22">
        <w:rPr>
          <w:rFonts w:asciiTheme="minorBidi" w:eastAsia="Times New Roman" w:hAnsiTheme="minorBidi"/>
          <w:color w:val="000000" w:themeColor="text1"/>
          <w:lang w:eastAsia="en-GB"/>
        </w:rPr>
        <w:t xml:space="preserve">that participants with high scores of psychopathy are potentially born psychopathic, and they may use the corporate culture to progress their career. </w:t>
      </w:r>
    </w:p>
    <w:p w14:paraId="791F75A9" w14:textId="77777777" w:rsidR="00620F22" w:rsidRPr="00620F22" w:rsidRDefault="00620F22" w:rsidP="00620F22">
      <w:pPr>
        <w:spacing w:line="480" w:lineRule="auto"/>
        <w:jc w:val="both"/>
        <w:rPr>
          <w:rFonts w:asciiTheme="minorBidi" w:hAnsiTheme="minorBidi"/>
          <w:color w:val="000000" w:themeColor="text1"/>
        </w:rPr>
      </w:pPr>
      <w:r w:rsidRPr="00620F22">
        <w:rPr>
          <w:rFonts w:asciiTheme="minorBidi" w:hAnsiTheme="minorBidi"/>
          <w:color w:val="000000" w:themeColor="text1"/>
        </w:rPr>
        <w:t xml:space="preserve">Similarly multiple regression model for the L6 Student was produced and the correlation between all the salient variables that occur in the multiple regression equation was calculated resulting in: </w:t>
      </w:r>
    </w:p>
    <w:tbl>
      <w:tblPr>
        <w:tblStyle w:val="TableGrid1"/>
        <w:tblW w:w="0" w:type="auto"/>
        <w:tblLook w:val="04A0" w:firstRow="1" w:lastRow="0" w:firstColumn="1" w:lastColumn="0" w:noHBand="0" w:noVBand="1"/>
      </w:tblPr>
      <w:tblGrid>
        <w:gridCol w:w="7933"/>
        <w:gridCol w:w="1083"/>
      </w:tblGrid>
      <w:tr w:rsidR="00620F22" w:rsidRPr="00620F22" w14:paraId="159D449E" w14:textId="77777777" w:rsidTr="001D4222">
        <w:tc>
          <w:tcPr>
            <w:tcW w:w="7933" w:type="dxa"/>
          </w:tcPr>
          <w:p w14:paraId="46F1C503" w14:textId="77777777" w:rsidR="00620F22" w:rsidRPr="00620F22" w:rsidRDefault="00620F22" w:rsidP="00802585">
            <w:pPr>
              <w:spacing w:line="480" w:lineRule="auto"/>
              <w:rPr>
                <w:rFonts w:asciiTheme="minorBidi" w:hAnsiTheme="minorBidi"/>
                <w:sz w:val="24"/>
                <w:szCs w:val="24"/>
              </w:rPr>
            </w:pPr>
            <w:r w:rsidRPr="00620F22">
              <w:rPr>
                <w:rFonts w:asciiTheme="minorBidi" w:hAnsiTheme="minorBidi"/>
                <w:b/>
                <w:bCs/>
                <w:sz w:val="24"/>
                <w:szCs w:val="24"/>
              </w:rPr>
              <w:lastRenderedPageBreak/>
              <w:t>The correlation between PSYCOPATHY X1 – X11</w:t>
            </w:r>
          </w:p>
        </w:tc>
        <w:tc>
          <w:tcPr>
            <w:tcW w:w="1083" w:type="dxa"/>
          </w:tcPr>
          <w:p w14:paraId="441FDE3B" w14:textId="77777777" w:rsidR="00620F22" w:rsidRPr="00620F22" w:rsidRDefault="00620F22" w:rsidP="00802585">
            <w:pPr>
              <w:spacing w:line="480" w:lineRule="auto"/>
              <w:rPr>
                <w:rFonts w:asciiTheme="minorBidi" w:hAnsiTheme="minorBidi"/>
                <w:b/>
                <w:bCs/>
                <w:sz w:val="24"/>
                <w:szCs w:val="24"/>
              </w:rPr>
            </w:pPr>
            <w:r w:rsidRPr="00620F22">
              <w:rPr>
                <w:rFonts w:asciiTheme="minorBidi" w:hAnsiTheme="minorBidi"/>
                <w:b/>
                <w:bCs/>
                <w:sz w:val="24"/>
                <w:szCs w:val="24"/>
              </w:rPr>
              <w:t>X1 – X11</w:t>
            </w:r>
          </w:p>
        </w:tc>
      </w:tr>
      <w:tr w:rsidR="00620F22" w:rsidRPr="00620F22" w14:paraId="2FE69D7B" w14:textId="77777777" w:rsidTr="001D4222">
        <w:tc>
          <w:tcPr>
            <w:tcW w:w="7933" w:type="dxa"/>
          </w:tcPr>
          <w:p w14:paraId="4D5E2A4E" w14:textId="77777777" w:rsidR="00620F22" w:rsidRPr="00620F22" w:rsidRDefault="00620F22" w:rsidP="00802585">
            <w:pPr>
              <w:spacing w:line="480" w:lineRule="auto"/>
              <w:rPr>
                <w:rFonts w:asciiTheme="minorBidi" w:hAnsiTheme="minorBidi"/>
                <w:sz w:val="24"/>
                <w:szCs w:val="24"/>
              </w:rPr>
            </w:pPr>
            <w:r w:rsidRPr="00620F22">
              <w:rPr>
                <w:rFonts w:asciiTheme="minorBidi" w:hAnsiTheme="minorBidi"/>
                <w:sz w:val="24"/>
                <w:szCs w:val="24"/>
              </w:rPr>
              <w:t>The correlation between PSYCOPATHY and Mean Disapproval is:</w:t>
            </w:r>
          </w:p>
        </w:tc>
        <w:tc>
          <w:tcPr>
            <w:tcW w:w="1083" w:type="dxa"/>
          </w:tcPr>
          <w:p w14:paraId="3089C210" w14:textId="77777777" w:rsidR="00620F22" w:rsidRPr="00620F22" w:rsidRDefault="00620F22" w:rsidP="00802585">
            <w:pPr>
              <w:spacing w:line="480" w:lineRule="auto"/>
              <w:jc w:val="right"/>
              <w:rPr>
                <w:rFonts w:asciiTheme="minorBidi" w:hAnsiTheme="minorBidi"/>
                <w:sz w:val="24"/>
                <w:szCs w:val="24"/>
              </w:rPr>
            </w:pPr>
            <w:r w:rsidRPr="00620F22">
              <w:rPr>
                <w:rFonts w:asciiTheme="minorBidi" w:hAnsiTheme="minorBidi"/>
                <w:sz w:val="24"/>
                <w:szCs w:val="24"/>
              </w:rPr>
              <w:t>-0.219</w:t>
            </w:r>
          </w:p>
        </w:tc>
      </w:tr>
      <w:tr w:rsidR="00620F22" w:rsidRPr="00620F22" w14:paraId="074887A0" w14:textId="77777777" w:rsidTr="001D4222">
        <w:tc>
          <w:tcPr>
            <w:tcW w:w="7933" w:type="dxa"/>
          </w:tcPr>
          <w:p w14:paraId="3D343DF8" w14:textId="77777777" w:rsidR="00620F22" w:rsidRPr="00620F22" w:rsidRDefault="00620F22" w:rsidP="00802585">
            <w:pPr>
              <w:spacing w:line="480" w:lineRule="auto"/>
              <w:rPr>
                <w:rFonts w:asciiTheme="minorBidi" w:hAnsiTheme="minorBidi"/>
                <w:sz w:val="24"/>
                <w:szCs w:val="24"/>
              </w:rPr>
            </w:pPr>
            <w:r w:rsidRPr="00620F22">
              <w:rPr>
                <w:rFonts w:asciiTheme="minorBidi" w:hAnsiTheme="minorBidi"/>
                <w:sz w:val="24"/>
                <w:szCs w:val="24"/>
              </w:rPr>
              <w:t>The correlation between PSYCOPATHY and Age is:</w:t>
            </w:r>
          </w:p>
        </w:tc>
        <w:tc>
          <w:tcPr>
            <w:tcW w:w="1083" w:type="dxa"/>
          </w:tcPr>
          <w:p w14:paraId="183A151C" w14:textId="77777777" w:rsidR="00620F22" w:rsidRPr="00620F22" w:rsidRDefault="00620F22" w:rsidP="00802585">
            <w:pPr>
              <w:spacing w:line="480" w:lineRule="auto"/>
              <w:jc w:val="right"/>
              <w:rPr>
                <w:rFonts w:asciiTheme="minorBidi" w:hAnsiTheme="minorBidi"/>
                <w:sz w:val="24"/>
                <w:szCs w:val="24"/>
              </w:rPr>
            </w:pPr>
            <w:r w:rsidRPr="00620F22">
              <w:rPr>
                <w:rFonts w:asciiTheme="minorBidi" w:hAnsiTheme="minorBidi"/>
                <w:sz w:val="24"/>
                <w:szCs w:val="24"/>
              </w:rPr>
              <w:t>0.050</w:t>
            </w:r>
          </w:p>
        </w:tc>
      </w:tr>
      <w:tr w:rsidR="00620F22" w:rsidRPr="00620F22" w14:paraId="117B9F7B" w14:textId="77777777" w:rsidTr="001D4222">
        <w:tc>
          <w:tcPr>
            <w:tcW w:w="7933" w:type="dxa"/>
          </w:tcPr>
          <w:p w14:paraId="0487BE4D" w14:textId="77777777" w:rsidR="00620F22" w:rsidRPr="00620F22" w:rsidRDefault="00620F22" w:rsidP="00802585">
            <w:pPr>
              <w:spacing w:line="480" w:lineRule="auto"/>
              <w:rPr>
                <w:rFonts w:asciiTheme="minorBidi" w:hAnsiTheme="minorBidi"/>
                <w:sz w:val="24"/>
                <w:szCs w:val="24"/>
              </w:rPr>
            </w:pPr>
            <w:r w:rsidRPr="00620F22">
              <w:rPr>
                <w:rFonts w:asciiTheme="minorBidi" w:hAnsiTheme="minorBidi"/>
                <w:sz w:val="24"/>
                <w:szCs w:val="24"/>
              </w:rPr>
              <w:t>The correlation between PSYCOPATHY and Gender is:</w:t>
            </w:r>
          </w:p>
        </w:tc>
        <w:tc>
          <w:tcPr>
            <w:tcW w:w="1083" w:type="dxa"/>
          </w:tcPr>
          <w:p w14:paraId="669C33C9" w14:textId="77777777" w:rsidR="00620F22" w:rsidRPr="00620F22" w:rsidRDefault="00620F22" w:rsidP="00802585">
            <w:pPr>
              <w:spacing w:line="480" w:lineRule="auto"/>
              <w:jc w:val="right"/>
              <w:rPr>
                <w:rFonts w:asciiTheme="minorBidi" w:hAnsiTheme="minorBidi"/>
                <w:sz w:val="24"/>
                <w:szCs w:val="24"/>
              </w:rPr>
            </w:pPr>
            <w:r w:rsidRPr="00620F22">
              <w:rPr>
                <w:rFonts w:asciiTheme="minorBidi" w:hAnsiTheme="minorBidi"/>
                <w:sz w:val="24"/>
                <w:szCs w:val="24"/>
              </w:rPr>
              <w:t>0.196</w:t>
            </w:r>
          </w:p>
        </w:tc>
      </w:tr>
      <w:tr w:rsidR="00620F22" w:rsidRPr="00620F22" w14:paraId="4B9AD077" w14:textId="77777777" w:rsidTr="001D4222">
        <w:tc>
          <w:tcPr>
            <w:tcW w:w="7933" w:type="dxa"/>
          </w:tcPr>
          <w:p w14:paraId="4EA1F605" w14:textId="77777777" w:rsidR="00620F22" w:rsidRPr="00620F22" w:rsidRDefault="00620F22" w:rsidP="00802585">
            <w:pPr>
              <w:spacing w:line="480" w:lineRule="auto"/>
              <w:rPr>
                <w:rFonts w:asciiTheme="minorBidi" w:hAnsiTheme="minorBidi"/>
                <w:sz w:val="24"/>
                <w:szCs w:val="24"/>
              </w:rPr>
            </w:pPr>
            <w:r w:rsidRPr="00620F22">
              <w:rPr>
                <w:rFonts w:asciiTheme="minorBidi" w:hAnsiTheme="minorBidi"/>
                <w:sz w:val="24"/>
                <w:szCs w:val="24"/>
              </w:rPr>
              <w:t>The correlation between PSYCOPATHY and Many Friends is:</w:t>
            </w:r>
          </w:p>
        </w:tc>
        <w:tc>
          <w:tcPr>
            <w:tcW w:w="1083" w:type="dxa"/>
          </w:tcPr>
          <w:p w14:paraId="3667EA78" w14:textId="77777777" w:rsidR="00620F22" w:rsidRPr="00620F22" w:rsidRDefault="00620F22" w:rsidP="00802585">
            <w:pPr>
              <w:spacing w:line="480" w:lineRule="auto"/>
              <w:jc w:val="right"/>
              <w:rPr>
                <w:rFonts w:asciiTheme="minorBidi" w:hAnsiTheme="minorBidi"/>
                <w:sz w:val="24"/>
                <w:szCs w:val="24"/>
              </w:rPr>
            </w:pPr>
            <w:r w:rsidRPr="00620F22">
              <w:rPr>
                <w:rFonts w:asciiTheme="minorBidi" w:hAnsiTheme="minorBidi"/>
                <w:sz w:val="24"/>
                <w:szCs w:val="24"/>
              </w:rPr>
              <w:t>-0.060</w:t>
            </w:r>
          </w:p>
        </w:tc>
      </w:tr>
      <w:tr w:rsidR="00620F22" w:rsidRPr="00620F22" w14:paraId="5A4605E9" w14:textId="77777777" w:rsidTr="001D4222">
        <w:tc>
          <w:tcPr>
            <w:tcW w:w="7933" w:type="dxa"/>
          </w:tcPr>
          <w:p w14:paraId="0D3C3B07" w14:textId="77777777" w:rsidR="00620F22" w:rsidRPr="00620F22" w:rsidRDefault="00620F22" w:rsidP="00802585">
            <w:pPr>
              <w:spacing w:line="480" w:lineRule="auto"/>
              <w:rPr>
                <w:rFonts w:asciiTheme="minorBidi" w:hAnsiTheme="minorBidi"/>
                <w:sz w:val="24"/>
                <w:szCs w:val="24"/>
              </w:rPr>
            </w:pPr>
            <w:r w:rsidRPr="00620F22">
              <w:rPr>
                <w:rFonts w:asciiTheme="minorBidi" w:hAnsiTheme="minorBidi"/>
                <w:sz w:val="24"/>
                <w:szCs w:val="24"/>
              </w:rPr>
              <w:t>The correlation between PSYCOPATHY and Adherence to an Ethical Framework is:</w:t>
            </w:r>
          </w:p>
        </w:tc>
        <w:tc>
          <w:tcPr>
            <w:tcW w:w="1083" w:type="dxa"/>
          </w:tcPr>
          <w:p w14:paraId="5AB12E31" w14:textId="77777777" w:rsidR="00620F22" w:rsidRPr="00620F22" w:rsidRDefault="00620F22" w:rsidP="00802585">
            <w:pPr>
              <w:spacing w:line="480" w:lineRule="auto"/>
              <w:jc w:val="right"/>
              <w:rPr>
                <w:rFonts w:asciiTheme="minorBidi" w:hAnsiTheme="minorBidi"/>
                <w:sz w:val="24"/>
                <w:szCs w:val="24"/>
              </w:rPr>
            </w:pPr>
            <w:r w:rsidRPr="00620F22">
              <w:rPr>
                <w:rFonts w:asciiTheme="minorBidi" w:hAnsiTheme="minorBidi"/>
                <w:sz w:val="24"/>
                <w:szCs w:val="24"/>
              </w:rPr>
              <w:t>0.147</w:t>
            </w:r>
          </w:p>
        </w:tc>
      </w:tr>
      <w:tr w:rsidR="00620F22" w:rsidRPr="00620F22" w14:paraId="071D73BA" w14:textId="77777777" w:rsidTr="001D4222">
        <w:tc>
          <w:tcPr>
            <w:tcW w:w="7933" w:type="dxa"/>
          </w:tcPr>
          <w:p w14:paraId="4B5D9C00" w14:textId="77777777" w:rsidR="00620F22" w:rsidRPr="00620F22" w:rsidRDefault="00620F22" w:rsidP="00802585">
            <w:pPr>
              <w:spacing w:line="480" w:lineRule="auto"/>
              <w:rPr>
                <w:rFonts w:asciiTheme="minorBidi" w:hAnsiTheme="minorBidi"/>
                <w:sz w:val="24"/>
                <w:szCs w:val="24"/>
              </w:rPr>
            </w:pPr>
            <w:r w:rsidRPr="00620F22">
              <w:rPr>
                <w:rFonts w:asciiTheme="minorBidi" w:hAnsiTheme="minorBidi"/>
                <w:sz w:val="24"/>
                <w:szCs w:val="24"/>
              </w:rPr>
              <w:t>The correlation between PSYCOPATHY and whether the participant was Bullied is:</w:t>
            </w:r>
          </w:p>
        </w:tc>
        <w:tc>
          <w:tcPr>
            <w:tcW w:w="1083" w:type="dxa"/>
          </w:tcPr>
          <w:p w14:paraId="61369C77" w14:textId="77777777" w:rsidR="00620F22" w:rsidRPr="00620F22" w:rsidRDefault="00620F22" w:rsidP="00802585">
            <w:pPr>
              <w:spacing w:line="480" w:lineRule="auto"/>
              <w:jc w:val="right"/>
              <w:rPr>
                <w:rFonts w:asciiTheme="minorBidi" w:hAnsiTheme="minorBidi"/>
                <w:sz w:val="24"/>
                <w:szCs w:val="24"/>
              </w:rPr>
            </w:pPr>
            <w:r w:rsidRPr="00620F22">
              <w:rPr>
                <w:rFonts w:asciiTheme="minorBidi" w:hAnsiTheme="minorBidi"/>
                <w:sz w:val="24"/>
                <w:szCs w:val="24"/>
              </w:rPr>
              <w:t>0.069</w:t>
            </w:r>
          </w:p>
        </w:tc>
      </w:tr>
      <w:tr w:rsidR="00620F22" w:rsidRPr="00620F22" w14:paraId="0DCF25AA" w14:textId="77777777" w:rsidTr="001D4222">
        <w:tc>
          <w:tcPr>
            <w:tcW w:w="7933" w:type="dxa"/>
          </w:tcPr>
          <w:p w14:paraId="0FED48AA" w14:textId="77777777" w:rsidR="00620F22" w:rsidRPr="00620F22" w:rsidRDefault="00620F22" w:rsidP="00802585">
            <w:pPr>
              <w:spacing w:line="480" w:lineRule="auto"/>
              <w:rPr>
                <w:rFonts w:asciiTheme="minorBidi" w:hAnsiTheme="minorBidi"/>
                <w:sz w:val="24"/>
                <w:szCs w:val="24"/>
              </w:rPr>
            </w:pPr>
            <w:r w:rsidRPr="00620F22">
              <w:rPr>
                <w:rFonts w:asciiTheme="minorBidi" w:hAnsiTheme="minorBidi"/>
                <w:sz w:val="24"/>
                <w:szCs w:val="24"/>
              </w:rPr>
              <w:t xml:space="preserve">The correlation between PSYCOPATHY and whether the participant is Religious is: </w:t>
            </w:r>
          </w:p>
        </w:tc>
        <w:tc>
          <w:tcPr>
            <w:tcW w:w="1083" w:type="dxa"/>
          </w:tcPr>
          <w:p w14:paraId="1D096E0A" w14:textId="77777777" w:rsidR="00620F22" w:rsidRPr="00620F22" w:rsidRDefault="00620F22" w:rsidP="00802585">
            <w:pPr>
              <w:spacing w:line="480" w:lineRule="auto"/>
              <w:jc w:val="right"/>
              <w:rPr>
                <w:rFonts w:asciiTheme="minorBidi" w:hAnsiTheme="minorBidi"/>
                <w:sz w:val="24"/>
                <w:szCs w:val="24"/>
              </w:rPr>
            </w:pPr>
            <w:r w:rsidRPr="00620F22">
              <w:rPr>
                <w:rFonts w:asciiTheme="minorBidi" w:hAnsiTheme="minorBidi"/>
                <w:sz w:val="24"/>
                <w:szCs w:val="24"/>
              </w:rPr>
              <w:t>0.098</w:t>
            </w:r>
          </w:p>
        </w:tc>
      </w:tr>
      <w:tr w:rsidR="00620F22" w:rsidRPr="00620F22" w14:paraId="0DB47FD3" w14:textId="77777777" w:rsidTr="001D4222">
        <w:tc>
          <w:tcPr>
            <w:tcW w:w="7933" w:type="dxa"/>
          </w:tcPr>
          <w:p w14:paraId="5EE4AECB" w14:textId="77777777" w:rsidR="00620F22" w:rsidRPr="00620F22" w:rsidRDefault="00620F22" w:rsidP="00802585">
            <w:pPr>
              <w:spacing w:line="480" w:lineRule="auto"/>
              <w:rPr>
                <w:rFonts w:asciiTheme="minorBidi" w:hAnsiTheme="minorBidi"/>
                <w:sz w:val="24"/>
                <w:szCs w:val="24"/>
              </w:rPr>
            </w:pPr>
            <w:r w:rsidRPr="00620F22">
              <w:rPr>
                <w:rFonts w:asciiTheme="minorBidi" w:hAnsiTheme="minorBidi"/>
                <w:sz w:val="24"/>
                <w:szCs w:val="24"/>
              </w:rPr>
              <w:t>The correlation between PSYCOPATHY and whether the participant expects a starting salary of more than £25,000 upon graduation is:</w:t>
            </w:r>
          </w:p>
        </w:tc>
        <w:tc>
          <w:tcPr>
            <w:tcW w:w="1083" w:type="dxa"/>
          </w:tcPr>
          <w:p w14:paraId="061278E4" w14:textId="77777777" w:rsidR="00620F22" w:rsidRPr="00620F22" w:rsidRDefault="00620F22" w:rsidP="00802585">
            <w:pPr>
              <w:spacing w:line="480" w:lineRule="auto"/>
              <w:jc w:val="right"/>
              <w:rPr>
                <w:rFonts w:asciiTheme="minorBidi" w:hAnsiTheme="minorBidi"/>
                <w:sz w:val="24"/>
                <w:szCs w:val="24"/>
              </w:rPr>
            </w:pPr>
            <w:r w:rsidRPr="00620F22">
              <w:rPr>
                <w:rFonts w:asciiTheme="minorBidi" w:hAnsiTheme="minorBidi"/>
                <w:sz w:val="24"/>
                <w:szCs w:val="24"/>
              </w:rPr>
              <w:t>-0.143</w:t>
            </w:r>
          </w:p>
        </w:tc>
      </w:tr>
      <w:tr w:rsidR="00620F22" w:rsidRPr="00620F22" w14:paraId="644644DF" w14:textId="77777777" w:rsidTr="001D4222">
        <w:tc>
          <w:tcPr>
            <w:tcW w:w="7933" w:type="dxa"/>
          </w:tcPr>
          <w:p w14:paraId="60986F95" w14:textId="77777777" w:rsidR="00620F22" w:rsidRPr="00620F22" w:rsidRDefault="00620F22" w:rsidP="00802585">
            <w:pPr>
              <w:spacing w:line="480" w:lineRule="auto"/>
              <w:rPr>
                <w:rFonts w:asciiTheme="minorBidi" w:hAnsiTheme="minorBidi"/>
                <w:sz w:val="24"/>
                <w:szCs w:val="24"/>
              </w:rPr>
            </w:pPr>
            <w:r w:rsidRPr="00620F22">
              <w:rPr>
                <w:rFonts w:asciiTheme="minorBidi" w:hAnsiTheme="minorBidi"/>
                <w:sz w:val="24"/>
                <w:szCs w:val="24"/>
              </w:rPr>
              <w:t>The correlation between PSYCOPATHY and whether the mother of the participant is a post-graduate.</w:t>
            </w:r>
          </w:p>
        </w:tc>
        <w:tc>
          <w:tcPr>
            <w:tcW w:w="1083" w:type="dxa"/>
          </w:tcPr>
          <w:p w14:paraId="52FD8E3B" w14:textId="77777777" w:rsidR="00620F22" w:rsidRPr="00620F22" w:rsidRDefault="00620F22" w:rsidP="00802585">
            <w:pPr>
              <w:spacing w:line="480" w:lineRule="auto"/>
              <w:jc w:val="right"/>
              <w:rPr>
                <w:rFonts w:asciiTheme="minorBidi" w:hAnsiTheme="minorBidi"/>
                <w:sz w:val="24"/>
                <w:szCs w:val="24"/>
              </w:rPr>
            </w:pPr>
            <w:r w:rsidRPr="00620F22">
              <w:rPr>
                <w:rFonts w:asciiTheme="minorBidi" w:hAnsiTheme="minorBidi"/>
                <w:sz w:val="24"/>
                <w:szCs w:val="24"/>
              </w:rPr>
              <w:t>0.158</w:t>
            </w:r>
          </w:p>
        </w:tc>
      </w:tr>
      <w:tr w:rsidR="00620F22" w:rsidRPr="00620F22" w14:paraId="5063498E" w14:textId="77777777" w:rsidTr="001D4222">
        <w:tc>
          <w:tcPr>
            <w:tcW w:w="7933" w:type="dxa"/>
          </w:tcPr>
          <w:p w14:paraId="76CD1E3D" w14:textId="77777777" w:rsidR="00620F22" w:rsidRPr="00620F22" w:rsidRDefault="00620F22" w:rsidP="00802585">
            <w:pPr>
              <w:spacing w:line="480" w:lineRule="auto"/>
              <w:rPr>
                <w:rFonts w:asciiTheme="minorBidi" w:hAnsiTheme="minorBidi"/>
                <w:sz w:val="24"/>
                <w:szCs w:val="24"/>
              </w:rPr>
            </w:pPr>
            <w:r w:rsidRPr="00620F22">
              <w:rPr>
                <w:rFonts w:asciiTheme="minorBidi" w:hAnsiTheme="minorBidi"/>
                <w:sz w:val="24"/>
                <w:szCs w:val="24"/>
              </w:rPr>
              <w:t>The correlation between PSYCOPATHY and whether the father of the participant is a post-graduate.</w:t>
            </w:r>
          </w:p>
        </w:tc>
        <w:tc>
          <w:tcPr>
            <w:tcW w:w="1083" w:type="dxa"/>
          </w:tcPr>
          <w:p w14:paraId="360DF456" w14:textId="77777777" w:rsidR="00620F22" w:rsidRPr="00620F22" w:rsidRDefault="00620F22" w:rsidP="00802585">
            <w:pPr>
              <w:spacing w:line="480" w:lineRule="auto"/>
              <w:jc w:val="right"/>
              <w:rPr>
                <w:rFonts w:asciiTheme="minorBidi" w:hAnsiTheme="minorBidi"/>
                <w:sz w:val="24"/>
                <w:szCs w:val="24"/>
              </w:rPr>
            </w:pPr>
            <w:r w:rsidRPr="00620F22">
              <w:rPr>
                <w:rFonts w:asciiTheme="minorBidi" w:hAnsiTheme="minorBidi"/>
                <w:sz w:val="24"/>
                <w:szCs w:val="24"/>
              </w:rPr>
              <w:t>-0.027</w:t>
            </w:r>
          </w:p>
        </w:tc>
      </w:tr>
      <w:tr w:rsidR="00620F22" w:rsidRPr="00620F22" w14:paraId="00AB2959" w14:textId="77777777" w:rsidTr="001D4222">
        <w:tc>
          <w:tcPr>
            <w:tcW w:w="7933" w:type="dxa"/>
          </w:tcPr>
          <w:p w14:paraId="0C099CEA" w14:textId="77777777" w:rsidR="00620F22" w:rsidRPr="00620F22" w:rsidRDefault="00620F22" w:rsidP="00802585">
            <w:pPr>
              <w:spacing w:line="480" w:lineRule="auto"/>
              <w:rPr>
                <w:rFonts w:asciiTheme="minorBidi" w:hAnsiTheme="minorBidi"/>
                <w:sz w:val="24"/>
                <w:szCs w:val="24"/>
              </w:rPr>
            </w:pPr>
            <w:r w:rsidRPr="00620F22">
              <w:rPr>
                <w:rFonts w:asciiTheme="minorBidi" w:hAnsiTheme="minorBidi"/>
                <w:sz w:val="24"/>
                <w:szCs w:val="24"/>
              </w:rPr>
              <w:t>The correlation between PSYCOPATHY and whether the participant believes that a Prison Sentence will deter Accounting Fraud</w:t>
            </w:r>
          </w:p>
        </w:tc>
        <w:tc>
          <w:tcPr>
            <w:tcW w:w="1083" w:type="dxa"/>
          </w:tcPr>
          <w:p w14:paraId="67D565B1" w14:textId="77777777" w:rsidR="00620F22" w:rsidRPr="00620F22" w:rsidRDefault="00620F22" w:rsidP="00802585">
            <w:pPr>
              <w:spacing w:line="480" w:lineRule="auto"/>
              <w:jc w:val="right"/>
              <w:rPr>
                <w:rFonts w:asciiTheme="minorBidi" w:hAnsiTheme="minorBidi"/>
                <w:sz w:val="24"/>
                <w:szCs w:val="24"/>
              </w:rPr>
            </w:pPr>
            <w:r w:rsidRPr="00620F22">
              <w:rPr>
                <w:rFonts w:asciiTheme="minorBidi" w:hAnsiTheme="minorBidi"/>
                <w:sz w:val="24"/>
                <w:szCs w:val="24"/>
              </w:rPr>
              <w:t>0.153</w:t>
            </w:r>
          </w:p>
        </w:tc>
      </w:tr>
    </w:tbl>
    <w:p w14:paraId="415DD9FA" w14:textId="77777777" w:rsidR="00620F22" w:rsidRPr="00620F22" w:rsidRDefault="00620F22" w:rsidP="00620F22">
      <w:pPr>
        <w:spacing w:line="480" w:lineRule="auto"/>
        <w:jc w:val="both"/>
        <w:rPr>
          <w:rFonts w:asciiTheme="minorBidi" w:eastAsia="Times New Roman" w:hAnsiTheme="minorBidi"/>
          <w:color w:val="000000" w:themeColor="text1"/>
          <w:kern w:val="0"/>
          <w14:ligatures w14:val="none"/>
        </w:rPr>
      </w:pPr>
    </w:p>
    <w:p w14:paraId="299099DD" w14:textId="2B6B6C62" w:rsidR="00715CDF" w:rsidRPr="00620F22" w:rsidRDefault="00620F22" w:rsidP="00715CDF">
      <w:pPr>
        <w:spacing w:line="480" w:lineRule="auto"/>
        <w:jc w:val="both"/>
        <w:rPr>
          <w:rFonts w:ascii="Arial" w:hAnsi="Arial" w:cs="Arial"/>
          <w:color w:val="000000" w:themeColor="text1"/>
        </w:rPr>
      </w:pPr>
      <w:r w:rsidRPr="00620F22">
        <w:rPr>
          <w:rFonts w:ascii="Arial" w:hAnsi="Arial" w:cs="Arial"/>
          <w:color w:val="000000" w:themeColor="text1"/>
        </w:rPr>
        <w:t xml:space="preserve">The best predictor of L6 student psychopathy is mean disapproval and then based on absolute value the following gender, whether the mother is a post-graduate, whether a prison sentence and fine should be imposed, Adherence to an ethical framework, </w:t>
      </w:r>
      <w:r w:rsidRPr="00620F22">
        <w:rPr>
          <w:rFonts w:ascii="Arial" w:hAnsi="Arial" w:cs="Arial"/>
          <w:color w:val="000000" w:themeColor="text1"/>
        </w:rPr>
        <w:lastRenderedPageBreak/>
        <w:t>and upon graduation whether there is an expectation of a starting salary of more than £25,000.</w:t>
      </w:r>
    </w:p>
    <w:bookmarkStart w:id="742" w:name="T3"/>
    <w:bookmarkStart w:id="743" w:name="D103"/>
    <w:p w14:paraId="78DDEE42" w14:textId="378A12F1" w:rsidR="00620F22" w:rsidRPr="00620F22" w:rsidRDefault="00481229" w:rsidP="00A05187">
      <w:pPr>
        <w:pBdr>
          <w:top w:val="single" w:sz="4" w:space="1" w:color="auto"/>
          <w:left w:val="single" w:sz="4" w:space="4" w:color="auto"/>
          <w:bottom w:val="single" w:sz="4" w:space="1" w:color="auto"/>
          <w:right w:val="single" w:sz="4" w:space="4" w:color="auto"/>
        </w:pBdr>
        <w:spacing w:line="240" w:lineRule="auto"/>
        <w:jc w:val="both"/>
        <w:rPr>
          <w:rFonts w:asciiTheme="minorBidi" w:eastAsia="Times New Roman" w:hAnsiTheme="minorBidi"/>
          <w:b/>
          <w:bCs/>
          <w:kern w:val="0"/>
          <w14:ligatures w14:val="none"/>
        </w:rPr>
      </w:pPr>
      <w:r>
        <w:rPr>
          <w:rFonts w:asciiTheme="minorBidi" w:eastAsia="Times New Roman" w:hAnsiTheme="minorBidi"/>
          <w:b/>
          <w:bCs/>
          <w:kern w:val="0"/>
          <w14:ligatures w14:val="none"/>
        </w:rPr>
        <w:fldChar w:fldCharType="begin"/>
      </w:r>
      <w:r>
        <w:rPr>
          <w:rFonts w:asciiTheme="minorBidi" w:eastAsia="Times New Roman" w:hAnsiTheme="minorBidi"/>
          <w:b/>
          <w:bCs/>
          <w:kern w:val="0"/>
          <w14:ligatures w14:val="none"/>
        </w:rPr>
        <w:instrText>HYPERLINK  \l "C103"</w:instrText>
      </w:r>
      <w:r>
        <w:rPr>
          <w:rFonts w:asciiTheme="minorBidi" w:eastAsia="Times New Roman" w:hAnsiTheme="minorBidi"/>
          <w:b/>
          <w:bCs/>
          <w:kern w:val="0"/>
          <w14:ligatures w14:val="none"/>
        </w:rPr>
      </w:r>
      <w:r>
        <w:rPr>
          <w:rFonts w:asciiTheme="minorBidi" w:eastAsia="Times New Roman" w:hAnsiTheme="minorBidi"/>
          <w:b/>
          <w:bCs/>
          <w:kern w:val="0"/>
          <w14:ligatures w14:val="none"/>
        </w:rPr>
        <w:fldChar w:fldCharType="separate"/>
      </w:r>
      <w:r w:rsidR="00620F22" w:rsidRPr="00481229">
        <w:rPr>
          <w:rStyle w:val="Hyperlink"/>
          <w:rFonts w:asciiTheme="minorBidi" w:eastAsia="Times New Roman" w:hAnsiTheme="minorBidi"/>
          <w:b/>
          <w:bCs/>
          <w:kern w:val="0"/>
          <w14:ligatures w14:val="none"/>
        </w:rPr>
        <w:t>4.4.2 Major Interview Findings</w:t>
      </w:r>
      <w:r>
        <w:rPr>
          <w:rFonts w:asciiTheme="minorBidi" w:eastAsia="Times New Roman" w:hAnsiTheme="minorBidi"/>
          <w:b/>
          <w:bCs/>
          <w:kern w:val="0"/>
          <w14:ligatures w14:val="none"/>
        </w:rPr>
        <w:fldChar w:fldCharType="end"/>
      </w:r>
    </w:p>
    <w:bookmarkEnd w:id="742"/>
    <w:bookmarkEnd w:id="743"/>
    <w:p w14:paraId="750A517C" w14:textId="77777777" w:rsidR="00620F22" w:rsidRPr="00620F22" w:rsidRDefault="00620F22" w:rsidP="00620F22">
      <w:pPr>
        <w:spacing w:line="480" w:lineRule="auto"/>
        <w:jc w:val="both"/>
        <w:rPr>
          <w:rFonts w:asciiTheme="minorBidi" w:eastAsia="Times New Roman" w:hAnsiTheme="minorBidi"/>
          <w:color w:val="000000" w:themeColor="text1"/>
          <w:kern w:val="0"/>
          <w14:ligatures w14:val="none"/>
        </w:rPr>
      </w:pPr>
      <w:r w:rsidRPr="00620F22">
        <w:rPr>
          <w:rFonts w:asciiTheme="minorBidi" w:eastAsia="Times New Roman" w:hAnsiTheme="minorBidi"/>
          <w:color w:val="000000" w:themeColor="text1"/>
          <w:kern w:val="0"/>
          <w14:ligatures w14:val="none"/>
        </w:rPr>
        <w:t>The following section of this chapter examines the perspectives of auditors and subject matter experts regarding BCT as a potential remedy for Accounting Fraud and Corporate Psychopath Accountants which was achieved through a qualitative study that used semi-structured interviews.</w:t>
      </w:r>
    </w:p>
    <w:p w14:paraId="27E4F776" w14:textId="77777777" w:rsidR="00620F22" w:rsidRPr="00620F22" w:rsidRDefault="00620F22" w:rsidP="00620F22">
      <w:pPr>
        <w:spacing w:after="240" w:line="480" w:lineRule="auto"/>
        <w:jc w:val="both"/>
        <w:rPr>
          <w:rFonts w:asciiTheme="minorBidi" w:eastAsia="Times New Roman" w:hAnsiTheme="minorBidi"/>
          <w:color w:val="000000" w:themeColor="text1"/>
          <w:kern w:val="0"/>
          <w14:ligatures w14:val="none"/>
        </w:rPr>
      </w:pPr>
      <w:r w:rsidRPr="00620F22">
        <w:rPr>
          <w:rFonts w:asciiTheme="minorBidi" w:eastAsia="Times New Roman" w:hAnsiTheme="minorBidi"/>
          <w:color w:val="000000" w:themeColor="text1"/>
          <w:kern w:val="0"/>
          <w14:ligatures w14:val="none"/>
        </w:rPr>
        <w:t xml:space="preserve">Apart from one participant, every interviewee could vividly recall instances from their careers—on average, 2.8 or 3 per participant—in which senior financial or accounting managers exhibited psychopathic traits or features. Extensive instances of dishonest and manipulative behaviour surfaced during interviews, supporting the survey's conclusions.  Participants detailed specific examples of deceptive practices including bullying and gaslighting. </w:t>
      </w:r>
    </w:p>
    <w:p w14:paraId="15F6359F" w14:textId="77777777" w:rsidR="00620F22" w:rsidRPr="00620F22" w:rsidRDefault="00620F22" w:rsidP="00620F22">
      <w:pPr>
        <w:spacing w:after="240" w:line="480" w:lineRule="auto"/>
        <w:jc w:val="both"/>
        <w:rPr>
          <w:rFonts w:asciiTheme="minorBidi" w:eastAsia="Times New Roman" w:hAnsiTheme="minorBidi"/>
          <w:color w:val="000000" w:themeColor="text1"/>
          <w:kern w:val="0"/>
          <w14:ligatures w14:val="none"/>
        </w:rPr>
      </w:pPr>
      <w:r w:rsidRPr="00620F22">
        <w:rPr>
          <w:rFonts w:asciiTheme="minorBidi" w:eastAsia="Times New Roman" w:hAnsiTheme="minorBidi"/>
          <w:color w:val="000000" w:themeColor="text1"/>
          <w:kern w:val="0"/>
          <w14:ligatures w14:val="none"/>
        </w:rPr>
        <w:t xml:space="preserve">Based on the participants' accounts, corporate psychopathy seems to be a white, middle-aged condition that primarily affects men between the ages of 35 and 60 although one female case was reported.  Since an audit is fundamentally an information-gathering exercise, most participants believed that corporate psychopaths had a negative impact on the audit by being challenging, obstructing the audit process, and complicating the entire process. </w:t>
      </w:r>
    </w:p>
    <w:p w14:paraId="2173E0BE" w14:textId="77777777" w:rsidR="00620F22" w:rsidRPr="00620F22" w:rsidRDefault="00620F22" w:rsidP="00620F22">
      <w:pPr>
        <w:spacing w:after="240" w:line="480" w:lineRule="auto"/>
        <w:jc w:val="both"/>
        <w:rPr>
          <w:rFonts w:asciiTheme="minorBidi" w:hAnsiTheme="minorBidi"/>
          <w:color w:val="000000" w:themeColor="text1"/>
        </w:rPr>
      </w:pPr>
      <w:r w:rsidRPr="00620F22">
        <w:rPr>
          <w:rFonts w:asciiTheme="minorBidi" w:hAnsiTheme="minorBidi"/>
          <w:color w:val="000000" w:themeColor="text1"/>
        </w:rPr>
        <w:t>Most of the participants thought that the BC characteristics of distributed ledger, immutability and permissioned rights will lessen Accounting Fraud and the negative influence of the Corporate Psychopath Accountant, since the human factor is reduced.</w:t>
      </w:r>
    </w:p>
    <w:p w14:paraId="0EA13F19" w14:textId="6C283EC5" w:rsidR="00620F22" w:rsidRPr="00620F22" w:rsidRDefault="00620F22" w:rsidP="00333E94">
      <w:pPr>
        <w:spacing w:after="240" w:line="480" w:lineRule="auto"/>
        <w:jc w:val="both"/>
        <w:rPr>
          <w:rFonts w:asciiTheme="minorBidi" w:hAnsiTheme="minorBidi"/>
          <w:color w:val="000000" w:themeColor="text1"/>
        </w:rPr>
      </w:pPr>
      <w:r w:rsidRPr="00620F22">
        <w:rPr>
          <w:rFonts w:asciiTheme="minorBidi" w:hAnsiTheme="minorBidi"/>
          <w:color w:val="000000" w:themeColor="text1"/>
        </w:rPr>
        <w:lastRenderedPageBreak/>
        <w:t xml:space="preserve">If BCT becomes the norm very nature of external audit will change which will be discussed later. However, the major hurdles to adoption are time, cost, extensive retraining especially of existing staff. </w:t>
      </w:r>
    </w:p>
    <w:bookmarkStart w:id="744" w:name="T4"/>
    <w:bookmarkStart w:id="745" w:name="D104"/>
    <w:p w14:paraId="5AFE6D29" w14:textId="707042BB" w:rsidR="00620F22" w:rsidRPr="00620F22" w:rsidRDefault="00481229" w:rsidP="00C65C3B">
      <w:pPr>
        <w:pBdr>
          <w:top w:val="single" w:sz="4" w:space="1" w:color="auto"/>
          <w:left w:val="single" w:sz="4" w:space="4" w:color="auto"/>
          <w:bottom w:val="single" w:sz="4" w:space="1" w:color="auto"/>
          <w:right w:val="single" w:sz="4" w:space="4" w:color="auto"/>
        </w:pBdr>
        <w:spacing w:line="240" w:lineRule="auto"/>
        <w:jc w:val="both"/>
        <w:rPr>
          <w:rFonts w:asciiTheme="minorBidi" w:eastAsia="Times New Roman" w:hAnsiTheme="minorBidi"/>
          <w:b/>
          <w:bCs/>
          <w:kern w:val="0"/>
          <w14:ligatures w14:val="none"/>
        </w:rPr>
      </w:pPr>
      <w:r>
        <w:rPr>
          <w:rFonts w:asciiTheme="minorBidi" w:eastAsia="Times New Roman" w:hAnsiTheme="minorBidi"/>
          <w:b/>
          <w:bCs/>
          <w:kern w:val="0"/>
          <w14:ligatures w14:val="none"/>
        </w:rPr>
        <w:fldChar w:fldCharType="begin"/>
      </w:r>
      <w:r>
        <w:rPr>
          <w:rFonts w:asciiTheme="minorBidi" w:eastAsia="Times New Roman" w:hAnsiTheme="minorBidi"/>
          <w:b/>
          <w:bCs/>
          <w:kern w:val="0"/>
          <w14:ligatures w14:val="none"/>
        </w:rPr>
        <w:instrText>HYPERLINK  \l "C104"</w:instrText>
      </w:r>
      <w:r>
        <w:rPr>
          <w:rFonts w:asciiTheme="minorBidi" w:eastAsia="Times New Roman" w:hAnsiTheme="minorBidi"/>
          <w:b/>
          <w:bCs/>
          <w:kern w:val="0"/>
          <w14:ligatures w14:val="none"/>
        </w:rPr>
      </w:r>
      <w:r>
        <w:rPr>
          <w:rFonts w:asciiTheme="minorBidi" w:eastAsia="Times New Roman" w:hAnsiTheme="minorBidi"/>
          <w:b/>
          <w:bCs/>
          <w:kern w:val="0"/>
          <w14:ligatures w14:val="none"/>
        </w:rPr>
        <w:fldChar w:fldCharType="separate"/>
      </w:r>
      <w:r w:rsidR="00620F22" w:rsidRPr="00481229">
        <w:rPr>
          <w:rStyle w:val="Hyperlink"/>
          <w:rFonts w:asciiTheme="minorBidi" w:eastAsia="Times New Roman" w:hAnsiTheme="minorBidi"/>
          <w:b/>
          <w:bCs/>
          <w:kern w:val="0"/>
          <w14:ligatures w14:val="none"/>
        </w:rPr>
        <w:t>4.4.3 Triangulation Process Deepened</w:t>
      </w:r>
      <w:r>
        <w:rPr>
          <w:rFonts w:asciiTheme="minorBidi" w:eastAsia="Times New Roman" w:hAnsiTheme="minorBidi"/>
          <w:b/>
          <w:bCs/>
          <w:kern w:val="0"/>
          <w14:ligatures w14:val="none"/>
        </w:rPr>
        <w:fldChar w:fldCharType="end"/>
      </w:r>
    </w:p>
    <w:bookmarkEnd w:id="744"/>
    <w:bookmarkEnd w:id="745"/>
    <w:p w14:paraId="6DAE97E2" w14:textId="77777777" w:rsidR="00620F22" w:rsidRPr="00620F22" w:rsidRDefault="00620F22" w:rsidP="00620F22">
      <w:pPr>
        <w:spacing w:line="480" w:lineRule="auto"/>
        <w:jc w:val="both"/>
        <w:rPr>
          <w:rFonts w:asciiTheme="minorBidi" w:eastAsia="Times New Roman" w:hAnsiTheme="minorBidi"/>
          <w:b/>
          <w:bCs/>
          <w:color w:val="000000" w:themeColor="text1"/>
          <w:kern w:val="0"/>
          <w14:ligatures w14:val="none"/>
        </w:rPr>
      </w:pPr>
      <w:r w:rsidRPr="00620F22">
        <w:rPr>
          <w:rFonts w:asciiTheme="minorBidi" w:eastAsia="Times New Roman" w:hAnsiTheme="minorBidi"/>
          <w:b/>
          <w:bCs/>
          <w:color w:val="000000" w:themeColor="text1"/>
          <w:kern w:val="0"/>
          <w14:ligatures w14:val="none"/>
        </w:rPr>
        <w:t>Convergence</w:t>
      </w:r>
    </w:p>
    <w:p w14:paraId="5E0598B5" w14:textId="77777777" w:rsidR="00620F22" w:rsidRPr="00620F22" w:rsidRDefault="00620F22" w:rsidP="00620F22">
      <w:pPr>
        <w:spacing w:after="0" w:line="480" w:lineRule="auto"/>
        <w:jc w:val="both"/>
        <w:rPr>
          <w:rFonts w:asciiTheme="minorBidi" w:eastAsia="Times New Roman" w:hAnsiTheme="minorBidi"/>
          <w:color w:val="000000" w:themeColor="text1"/>
          <w:kern w:val="0"/>
          <w14:ligatures w14:val="none"/>
        </w:rPr>
      </w:pPr>
      <w:r w:rsidRPr="00620F22">
        <w:rPr>
          <w:rFonts w:asciiTheme="minorBidi" w:eastAsia="Times New Roman" w:hAnsiTheme="minorBidi"/>
          <w:color w:val="000000" w:themeColor="text1"/>
          <w:kern w:val="0"/>
          <w14:ligatures w14:val="none"/>
        </w:rPr>
        <w:t>Convergence in triangulation is the application of various techniques or data sources to produce consistent outcomes that validate a specific conclusion. When different approaches or sources support the same conclusion, the research findings are more legitimate and credible (Jick, 1979, Patton, 1999)</w:t>
      </w:r>
    </w:p>
    <w:p w14:paraId="17C04F44" w14:textId="77777777" w:rsidR="00620F22" w:rsidRPr="00620F22" w:rsidRDefault="00620F22" w:rsidP="00620F22">
      <w:pPr>
        <w:spacing w:after="0" w:line="480" w:lineRule="auto"/>
        <w:jc w:val="both"/>
        <w:rPr>
          <w:rFonts w:asciiTheme="minorBidi" w:eastAsia="Times New Roman" w:hAnsiTheme="minorBidi"/>
          <w:color w:val="000000" w:themeColor="text1"/>
          <w:kern w:val="0"/>
          <w14:ligatures w14:val="none"/>
        </w:rPr>
      </w:pPr>
    </w:p>
    <w:p w14:paraId="57FE19EA" w14:textId="1BCBF31C" w:rsidR="00620F22" w:rsidRDefault="00620F22" w:rsidP="003C1CC8">
      <w:pPr>
        <w:spacing w:line="480" w:lineRule="auto"/>
        <w:jc w:val="both"/>
        <w:rPr>
          <w:rFonts w:asciiTheme="minorBidi" w:eastAsia="Times New Roman" w:hAnsiTheme="minorBidi"/>
          <w:color w:val="000000" w:themeColor="text1"/>
          <w:kern w:val="0"/>
          <w14:ligatures w14:val="none"/>
        </w:rPr>
      </w:pPr>
      <w:r w:rsidRPr="00620F22">
        <w:rPr>
          <w:rFonts w:asciiTheme="minorBidi" w:eastAsia="Times New Roman" w:hAnsiTheme="minorBidi"/>
          <w:color w:val="000000" w:themeColor="text1"/>
          <w:kern w:val="0"/>
          <w14:ligatures w14:val="none"/>
        </w:rPr>
        <w:t xml:space="preserve">As noted earlier both professional participants and L6 students strongly disagreed with all eight claims, indicating that they would not engage in accounting fraud, such as fabricating revenue or selling a company client list, even if they were experiencing lifestyle pressures as described on the pressure side of the Fraud Triangle. Again, both sets of participants contained people with a strong tendency of psychopathy (professionals = 7%, students = 14%) that was more than 1% of the population and confirmed Hare &amp; Babiaks (1994) assertion, that the prevalence of psychopaths was higher in the corporate sector. More than 90% </w:t>
      </w:r>
      <w:r w:rsidRPr="00620F22">
        <w:rPr>
          <w:rFonts w:ascii="Arial" w:hAnsi="Arial" w:cs="Arial"/>
          <w:color w:val="000000" w:themeColor="text1"/>
          <w:shd w:val="clear" w:color="auto" w:fill="FFFFFF"/>
        </w:rPr>
        <w:t>of both samples were surveyed regarding deterrence, (professionals =91%, students 94%) believed that a fine and sentence should be enforced for Accounting Fraud.</w:t>
      </w:r>
      <w:r w:rsidRPr="00620F22">
        <w:rPr>
          <w:rFonts w:ascii="Times New Roman" w:eastAsia="Times New Roman" w:hAnsi="Times New Roman" w:cs="Times New Roman"/>
          <w:color w:val="000000" w:themeColor="text1"/>
          <w:kern w:val="0"/>
          <w14:ligatures w14:val="none"/>
        </w:rPr>
        <w:t xml:space="preserve"> </w:t>
      </w:r>
      <w:r w:rsidRPr="00620F22">
        <w:rPr>
          <w:rFonts w:asciiTheme="minorBidi" w:eastAsia="Times New Roman" w:hAnsiTheme="minorBidi"/>
          <w:color w:val="000000" w:themeColor="text1"/>
          <w:kern w:val="0"/>
          <w14:ligatures w14:val="none"/>
        </w:rPr>
        <w:t>The semi-structured interviews identify manipulativeness and lack of empathy as key characteristics of Corporate Psychopath Accountants and concrete examples, strengthening the validity of the survey results.</w:t>
      </w:r>
    </w:p>
    <w:p w14:paraId="012438C8" w14:textId="77777777" w:rsidR="00715CDF" w:rsidRPr="003C1CC8" w:rsidRDefault="00715CDF" w:rsidP="003C1CC8">
      <w:pPr>
        <w:spacing w:line="480" w:lineRule="auto"/>
        <w:jc w:val="both"/>
        <w:rPr>
          <w:rFonts w:asciiTheme="minorBidi" w:hAnsiTheme="minorBidi"/>
          <w:color w:val="000000" w:themeColor="text1"/>
          <w:shd w:val="clear" w:color="auto" w:fill="FFFFFF"/>
        </w:rPr>
      </w:pPr>
    </w:p>
    <w:p w14:paraId="4A34FDAC" w14:textId="67F77838" w:rsidR="00620F22" w:rsidRPr="00620F22" w:rsidRDefault="003C1CC8" w:rsidP="00620F22">
      <w:pPr>
        <w:spacing w:before="100" w:beforeAutospacing="1" w:after="100" w:afterAutospacing="1" w:line="480" w:lineRule="auto"/>
        <w:jc w:val="both"/>
        <w:rPr>
          <w:rFonts w:asciiTheme="minorBidi" w:eastAsia="Times New Roman" w:hAnsiTheme="minorBidi"/>
          <w:b/>
          <w:bCs/>
          <w:color w:val="000000" w:themeColor="text1"/>
          <w:kern w:val="0"/>
          <w14:ligatures w14:val="none"/>
        </w:rPr>
      </w:pPr>
      <w:r>
        <w:rPr>
          <w:rFonts w:asciiTheme="minorBidi" w:eastAsia="Times New Roman" w:hAnsiTheme="minorBidi"/>
          <w:b/>
          <w:bCs/>
          <w:color w:val="000000" w:themeColor="text1"/>
          <w:kern w:val="0"/>
          <w14:ligatures w14:val="none"/>
        </w:rPr>
        <w:lastRenderedPageBreak/>
        <w:t>C</w:t>
      </w:r>
      <w:r w:rsidR="00620F22" w:rsidRPr="00620F22">
        <w:rPr>
          <w:rFonts w:asciiTheme="minorBidi" w:eastAsia="Times New Roman" w:hAnsiTheme="minorBidi"/>
          <w:b/>
          <w:bCs/>
          <w:color w:val="000000" w:themeColor="text1"/>
          <w:kern w:val="0"/>
          <w14:ligatures w14:val="none"/>
        </w:rPr>
        <w:t>omplementarity</w:t>
      </w:r>
    </w:p>
    <w:p w14:paraId="6DF49D40" w14:textId="77777777" w:rsidR="00620F22" w:rsidRPr="00620F22" w:rsidRDefault="00620F22" w:rsidP="00620F22">
      <w:pPr>
        <w:spacing w:after="0" w:line="480" w:lineRule="auto"/>
        <w:jc w:val="both"/>
        <w:rPr>
          <w:rFonts w:asciiTheme="minorBidi" w:eastAsia="Times New Roman" w:hAnsiTheme="minorBidi"/>
          <w:color w:val="000000" w:themeColor="text1"/>
          <w:kern w:val="0"/>
          <w14:ligatures w14:val="none"/>
        </w:rPr>
      </w:pPr>
      <w:r w:rsidRPr="00620F22">
        <w:rPr>
          <w:rFonts w:asciiTheme="minorBidi" w:eastAsia="Times New Roman" w:hAnsiTheme="minorBidi"/>
          <w:color w:val="000000" w:themeColor="text1"/>
          <w:kern w:val="0"/>
          <w14:ligatures w14:val="none"/>
        </w:rPr>
        <w:t>Complementarity in triangulation refers to the use of various techniques or data sources to investigate various facets of a research subject. By examining many aspects of the phenomenon being studied, this technique offers a more thorough knowledge, with each method or source complementing the others. (Green et al, 1989, Bryman, 2006).</w:t>
      </w:r>
    </w:p>
    <w:p w14:paraId="5C41A46C" w14:textId="77777777" w:rsidR="00620F22" w:rsidRPr="00620F22" w:rsidRDefault="00620F22" w:rsidP="00620F22">
      <w:pPr>
        <w:spacing w:after="0" w:line="480" w:lineRule="auto"/>
        <w:jc w:val="both"/>
        <w:rPr>
          <w:rFonts w:asciiTheme="minorBidi" w:eastAsia="Times New Roman" w:hAnsiTheme="minorBidi"/>
          <w:color w:val="000000" w:themeColor="text1"/>
          <w:kern w:val="0"/>
          <w14:ligatures w14:val="none"/>
        </w:rPr>
      </w:pPr>
    </w:p>
    <w:p w14:paraId="3C39F2DF" w14:textId="7A3A28D3" w:rsidR="00333E94" w:rsidRPr="003C1CC8" w:rsidRDefault="00620F22" w:rsidP="003C1CC8">
      <w:pPr>
        <w:shd w:val="clear" w:color="auto" w:fill="FFFFFF" w:themeFill="background1"/>
        <w:spacing w:line="480" w:lineRule="auto"/>
        <w:jc w:val="both"/>
        <w:rPr>
          <w:rFonts w:asciiTheme="minorBidi" w:eastAsia="Times New Roman" w:hAnsiTheme="minorBidi"/>
          <w:color w:val="000000" w:themeColor="text1"/>
          <w:kern w:val="0"/>
          <w14:ligatures w14:val="none"/>
        </w:rPr>
      </w:pPr>
      <w:r w:rsidRPr="00620F22">
        <w:rPr>
          <w:rFonts w:asciiTheme="minorBidi" w:eastAsia="Times New Roman" w:hAnsiTheme="minorBidi"/>
          <w:color w:val="000000" w:themeColor="text1"/>
          <w:kern w:val="0"/>
          <w14:ligatures w14:val="none"/>
        </w:rPr>
        <w:t xml:space="preserve">The surveys of both professionals and L6 students quantify and model the extent of corporate psychopathy and its correlation with workplace and student background outcomes, whilst the interviews offer a qualitative understanding of how psychopathic behaviours or tendencies become apparent and damage the audit process. </w:t>
      </w:r>
      <w:r w:rsidRPr="00620F22">
        <w:rPr>
          <w:rFonts w:ascii="Arial" w:eastAsia="Times New Roman" w:hAnsi="Arial" w:cs="Arial"/>
          <w:color w:val="000000" w:themeColor="text1"/>
          <w:lang w:eastAsia="en-GB"/>
        </w:rPr>
        <w:t xml:space="preserve">Overall, it is evident from the interview participant responses that the Corporate Psychopath Accountants exists in all sectors of the economy. </w:t>
      </w:r>
      <w:r w:rsidRPr="00620F22">
        <w:rPr>
          <w:rFonts w:asciiTheme="minorBidi" w:eastAsia="Times New Roman" w:hAnsiTheme="minorBidi"/>
          <w:color w:val="000000" w:themeColor="text1"/>
          <w:kern w:val="0"/>
          <w14:ligatures w14:val="none"/>
        </w:rPr>
        <w:t xml:space="preserve">Although, there was recognition of a ‘Dominant Personality’ in the era of Robert Maxwell, corporate psychopathy or the Corporate Psychopath Accountant is only implicitly acknowledged in the audit planning and execution process which can just be a ‘tick box exercise’.  On the other hand, it was acknowledged that the audit profession is changing and due to recent scandals, such as Carillion (2018) auditors are actively looking for Accounting Fraud and have transformed into ‘Blood Hounds’ from ‘Watch Dogs’. All the participants thought that BCT would lessen the human element and reduce Accounting Fraud and potentially contain the Corporate Psychopath Accountant. This combined approach gives a fuller picture of the nexus of Accounting Fraud and Psychopathy. </w:t>
      </w:r>
    </w:p>
    <w:p w14:paraId="10A2BAE9" w14:textId="77777777" w:rsidR="00715CDF" w:rsidRDefault="00715CDF" w:rsidP="00620F22">
      <w:pPr>
        <w:spacing w:before="100" w:beforeAutospacing="1" w:after="100" w:afterAutospacing="1" w:line="480" w:lineRule="auto"/>
        <w:jc w:val="both"/>
        <w:rPr>
          <w:rFonts w:asciiTheme="minorBidi" w:eastAsia="Times New Roman" w:hAnsiTheme="minorBidi"/>
          <w:b/>
          <w:bCs/>
          <w:color w:val="000000" w:themeColor="text1"/>
          <w:kern w:val="0"/>
          <w14:ligatures w14:val="none"/>
        </w:rPr>
      </w:pPr>
    </w:p>
    <w:p w14:paraId="0772F72B" w14:textId="77777777" w:rsidR="00715CDF" w:rsidRDefault="00715CDF" w:rsidP="00620F22">
      <w:pPr>
        <w:spacing w:before="100" w:beforeAutospacing="1" w:after="100" w:afterAutospacing="1" w:line="480" w:lineRule="auto"/>
        <w:jc w:val="both"/>
        <w:rPr>
          <w:rFonts w:asciiTheme="minorBidi" w:eastAsia="Times New Roman" w:hAnsiTheme="minorBidi"/>
          <w:b/>
          <w:bCs/>
          <w:color w:val="000000" w:themeColor="text1"/>
          <w:kern w:val="0"/>
          <w14:ligatures w14:val="none"/>
        </w:rPr>
      </w:pPr>
    </w:p>
    <w:p w14:paraId="07F11829" w14:textId="4DE93A6B" w:rsidR="00620F22" w:rsidRPr="00620F22" w:rsidRDefault="00620F22" w:rsidP="00620F22">
      <w:pPr>
        <w:spacing w:before="100" w:beforeAutospacing="1" w:after="100" w:afterAutospacing="1" w:line="480" w:lineRule="auto"/>
        <w:jc w:val="both"/>
        <w:rPr>
          <w:rFonts w:asciiTheme="minorBidi" w:eastAsia="Times New Roman" w:hAnsiTheme="minorBidi"/>
          <w:b/>
          <w:bCs/>
          <w:color w:val="000000" w:themeColor="text1"/>
          <w:kern w:val="0"/>
          <w14:ligatures w14:val="none"/>
        </w:rPr>
      </w:pPr>
      <w:r w:rsidRPr="00620F22">
        <w:rPr>
          <w:rFonts w:asciiTheme="minorBidi" w:eastAsia="Times New Roman" w:hAnsiTheme="minorBidi"/>
          <w:b/>
          <w:bCs/>
          <w:color w:val="000000" w:themeColor="text1"/>
          <w:kern w:val="0"/>
          <w14:ligatures w14:val="none"/>
        </w:rPr>
        <w:lastRenderedPageBreak/>
        <w:t>Divergence</w:t>
      </w:r>
    </w:p>
    <w:p w14:paraId="4738989D" w14:textId="77777777" w:rsidR="00620F22" w:rsidRPr="00620F22" w:rsidRDefault="00620F22" w:rsidP="00620F22">
      <w:pPr>
        <w:spacing w:after="0" w:line="480" w:lineRule="auto"/>
        <w:jc w:val="both"/>
        <w:rPr>
          <w:rFonts w:asciiTheme="minorBidi" w:eastAsia="Times New Roman" w:hAnsiTheme="minorBidi"/>
          <w:color w:val="000000" w:themeColor="text1"/>
          <w:kern w:val="0"/>
          <w14:ligatures w14:val="none"/>
        </w:rPr>
      </w:pPr>
      <w:r w:rsidRPr="00620F22">
        <w:rPr>
          <w:rFonts w:asciiTheme="minorBidi" w:eastAsia="Times New Roman" w:hAnsiTheme="minorBidi"/>
          <w:color w:val="000000" w:themeColor="text1"/>
          <w:kern w:val="0"/>
          <w14:ligatures w14:val="none"/>
        </w:rPr>
        <w:t>Divergence in triangulation is the outcome of contradicting findings from various techniques or data sources. Researchers are prompted by this circumstance to reconsider their approaches, theoretical underpinnings, and interpretations, which may result in fresh perspectives and a deeper comprehension of the study issue (Fielding &amp; Fielding, 1986, Mathison, 1988).</w:t>
      </w:r>
    </w:p>
    <w:p w14:paraId="61438FF5" w14:textId="77777777" w:rsidR="00620F22" w:rsidRPr="00620F22" w:rsidRDefault="00620F22" w:rsidP="00620F22">
      <w:pPr>
        <w:spacing w:before="100" w:beforeAutospacing="1" w:after="100" w:afterAutospacing="1" w:line="480" w:lineRule="auto"/>
        <w:jc w:val="both"/>
        <w:rPr>
          <w:rFonts w:ascii="Arial" w:eastAsia="Times New Roman" w:hAnsi="Arial" w:cs="Arial"/>
          <w:color w:val="000000" w:themeColor="text1"/>
          <w:lang w:eastAsia="en-GB"/>
        </w:rPr>
      </w:pPr>
      <w:r w:rsidRPr="00620F22">
        <w:rPr>
          <w:rFonts w:asciiTheme="minorBidi" w:eastAsia="Times New Roman" w:hAnsiTheme="minorBidi"/>
          <w:color w:val="000000" w:themeColor="text1"/>
          <w:kern w:val="0"/>
          <w14:ligatures w14:val="none"/>
        </w:rPr>
        <w:t xml:space="preserve">The multiple regression models for both the professional and accounting &amp; finance students are underpinned by different and statistically sound predictors or explanators of psychopathy or X.  For professionals the major X variable was experience of more than 10 years and for students it was mean disapproval of unethical actions. This divergence can lead to further investigation into the differences between the practitioners and students in psychopathic behaviour by undertaking a longitudinal study of students as they transition into the profession and conducting further background analysis of the professionals. </w:t>
      </w:r>
      <w:r w:rsidRPr="00620F22">
        <w:rPr>
          <w:rFonts w:ascii="Arial" w:hAnsi="Arial" w:cs="Arial"/>
          <w:color w:val="000000" w:themeColor="text1"/>
        </w:rPr>
        <w:t xml:space="preserve">All the interviewees believed that BC characteristics of distributed ledger, immutability and permissioned rights will reduce but not eradicate Accounting Fraud and the Corporate Psychopath Accountant. Although, there will be additional layers of intricacy including the use of hash tags however, in areas of judgement such as closing inventory valuation or the use of an expert or when commenting on ‘going concern’, the threat of collusion and ‘control fraud’ will remain. </w:t>
      </w:r>
      <w:r w:rsidRPr="00620F22">
        <w:rPr>
          <w:rFonts w:ascii="Arial" w:eastAsia="Times New Roman" w:hAnsi="Arial" w:cs="Arial"/>
          <w:color w:val="000000" w:themeColor="text1"/>
          <w:lang w:eastAsia="en-GB"/>
        </w:rPr>
        <w:t xml:space="preserve">BCT will lower transactional Accounting Fraud, but it will not prevent the resolute Corporate Psychopath Accountant. The researcher suggests that auditors would be freed up from repetitive audit tasks, allowing them more time to probe assumptions and interpretations. Hence, auditors would need to become even more sceptical and become superior oral and written communicators so that they could </w:t>
      </w:r>
      <w:r w:rsidRPr="00620F22">
        <w:rPr>
          <w:rFonts w:ascii="Arial" w:eastAsia="Times New Roman" w:hAnsi="Arial" w:cs="Arial"/>
          <w:color w:val="000000" w:themeColor="text1"/>
          <w:lang w:eastAsia="en-GB"/>
        </w:rPr>
        <w:lastRenderedPageBreak/>
        <w:t xml:space="preserve">follow the trail. This would be an opportunity to undertake further investigation into the training needs of the audit profession and document that job or career readiness of undergraduate accounting &amp; finance students in the age of Fintech which includes BCT and AI. </w:t>
      </w:r>
    </w:p>
    <w:p w14:paraId="0F77B19E" w14:textId="6080DF92" w:rsidR="008131C8" w:rsidRPr="00715CDF" w:rsidRDefault="00620F22" w:rsidP="00715CDF">
      <w:pPr>
        <w:spacing w:after="240" w:line="480" w:lineRule="auto"/>
        <w:jc w:val="both"/>
        <w:rPr>
          <w:rFonts w:ascii="Arial" w:eastAsia="Times New Roman" w:hAnsi="Arial" w:cs="Arial"/>
          <w:color w:val="000000" w:themeColor="text1"/>
          <w:lang w:eastAsia="en-GB"/>
        </w:rPr>
      </w:pPr>
      <w:r w:rsidRPr="00620F22">
        <w:rPr>
          <w:rFonts w:ascii="Arial" w:eastAsia="Times New Roman" w:hAnsi="Arial" w:cs="Arial"/>
          <w:color w:val="000000" w:themeColor="text1"/>
          <w:lang w:eastAsia="en-GB"/>
        </w:rPr>
        <w:t xml:space="preserve">Part four will explore alternatives to Blockchain Technology as the </w:t>
      </w:r>
      <w:r w:rsidR="0053704A">
        <w:rPr>
          <w:rFonts w:ascii="Arial" w:hAnsi="Arial" w:cs="Arial"/>
          <w:color w:val="000000" w:themeColor="text1"/>
        </w:rPr>
        <w:t>researcher</w:t>
      </w:r>
      <w:r w:rsidRPr="00620F22">
        <w:rPr>
          <w:rFonts w:ascii="Arial" w:eastAsia="Times New Roman" w:hAnsi="Arial" w:cs="Arial"/>
          <w:color w:val="000000" w:themeColor="text1"/>
          <w:lang w:eastAsia="en-GB"/>
        </w:rPr>
        <w:t xml:space="preserve"> believes the discussions or semi-structured interviews have allowed the researcher to conduct further exploration outside the interview guide which may result in further discoveries (Bryman &amp; Bell, 2016). Since, the participants suggest that the technology remains nascent and alternatives such as automation and people centric approaches may be a ‘halfway house’ or future preparation before full blown adoption of Blockchain Technology. Moreover, these alternatives may already be assisting in lessening the influence of the Corporate Psychopath Accountant, reducing Accounting Fraud, and helping firms to also achieve the ‘holy grail’ of Audit as previously highlighted.</w:t>
      </w:r>
    </w:p>
    <w:bookmarkStart w:id="746" w:name="AT"/>
    <w:bookmarkStart w:id="747" w:name="D105"/>
    <w:p w14:paraId="4829BBC2" w14:textId="204E7376" w:rsidR="00620F22" w:rsidRPr="00620F22" w:rsidRDefault="00686250" w:rsidP="008131C8">
      <w:pPr>
        <w:pBdr>
          <w:top w:val="single" w:sz="4" w:space="1" w:color="auto"/>
          <w:left w:val="single" w:sz="4" w:space="4" w:color="auto"/>
          <w:bottom w:val="single" w:sz="4" w:space="1" w:color="auto"/>
          <w:right w:val="single" w:sz="4" w:space="4" w:color="auto"/>
        </w:pBdr>
        <w:spacing w:line="240" w:lineRule="auto"/>
        <w:jc w:val="both"/>
        <w:rPr>
          <w:rFonts w:ascii="Arial" w:eastAsia="Times New Roman" w:hAnsi="Arial" w:cs="Arial"/>
          <w:b/>
          <w:bCs/>
          <w:lang w:eastAsia="en-GB"/>
        </w:rPr>
      </w:pPr>
      <w:r>
        <w:rPr>
          <w:rFonts w:ascii="Arial" w:eastAsia="Times New Roman" w:hAnsi="Arial" w:cs="Arial"/>
          <w:b/>
          <w:bCs/>
          <w:lang w:eastAsia="en-GB"/>
        </w:rPr>
        <w:fldChar w:fldCharType="begin"/>
      </w:r>
      <w:r>
        <w:rPr>
          <w:rFonts w:ascii="Arial" w:eastAsia="Times New Roman" w:hAnsi="Arial" w:cs="Arial"/>
          <w:b/>
          <w:bCs/>
          <w:lang w:eastAsia="en-GB"/>
        </w:rPr>
        <w:instrText>HYPERLINK  \l "C105"</w:instrText>
      </w:r>
      <w:r>
        <w:rPr>
          <w:rFonts w:ascii="Arial" w:eastAsia="Times New Roman" w:hAnsi="Arial" w:cs="Arial"/>
          <w:b/>
          <w:bCs/>
          <w:lang w:eastAsia="en-GB"/>
        </w:rPr>
      </w:r>
      <w:r>
        <w:rPr>
          <w:rFonts w:ascii="Arial" w:eastAsia="Times New Roman" w:hAnsi="Arial" w:cs="Arial"/>
          <w:b/>
          <w:bCs/>
          <w:lang w:eastAsia="en-GB"/>
        </w:rPr>
        <w:fldChar w:fldCharType="separate"/>
      </w:r>
      <w:r w:rsidR="00620F22" w:rsidRPr="00686250">
        <w:rPr>
          <w:rStyle w:val="Hyperlink"/>
          <w:rFonts w:ascii="Arial" w:eastAsia="Times New Roman" w:hAnsi="Arial" w:cs="Arial"/>
          <w:b/>
          <w:bCs/>
          <w:lang w:eastAsia="en-GB"/>
        </w:rPr>
        <w:t>4.5 Part Three Automation: Preparation before Blockchain Technology</w:t>
      </w:r>
      <w:r>
        <w:rPr>
          <w:rFonts w:ascii="Arial" w:eastAsia="Times New Roman" w:hAnsi="Arial" w:cs="Arial"/>
          <w:b/>
          <w:bCs/>
          <w:lang w:eastAsia="en-GB"/>
        </w:rPr>
        <w:fldChar w:fldCharType="end"/>
      </w:r>
    </w:p>
    <w:bookmarkEnd w:id="746"/>
    <w:bookmarkEnd w:id="747"/>
    <w:p w14:paraId="0414F000"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 xml:space="preserve">In this section the researcher will give a brief overview of automation and ‘people-centric approaches’, and how they could potentially reduce Accounting Fraud and possibly curb the </w:t>
      </w:r>
      <w:bookmarkStart w:id="748" w:name="_Hlk136209851"/>
      <w:r w:rsidRPr="00620F22">
        <w:rPr>
          <w:rFonts w:ascii="Arial" w:eastAsiaTheme="minorHAnsi" w:hAnsi="Arial" w:cs="Arial"/>
          <w:color w:val="000000" w:themeColor="text1"/>
          <w:kern w:val="0"/>
          <w:lang w:eastAsia="en-US"/>
          <w14:ligatures w14:val="none"/>
        </w:rPr>
        <w:t>Corporate Psychopath Accountant</w:t>
      </w:r>
      <w:bookmarkEnd w:id="748"/>
      <w:r w:rsidRPr="00620F22">
        <w:rPr>
          <w:rFonts w:ascii="Arial" w:eastAsiaTheme="minorHAnsi" w:hAnsi="Arial" w:cs="Arial"/>
          <w:color w:val="000000" w:themeColor="text1"/>
          <w:kern w:val="0"/>
          <w:lang w:eastAsia="en-US"/>
          <w14:ligatures w14:val="none"/>
        </w:rPr>
        <w:t>.</w:t>
      </w:r>
    </w:p>
    <w:p w14:paraId="3247E068"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In previous chapters we have extensively explored why fraud occurs and the motivations for the perpetrators. According to the Fraud Triangle once the ‘pressure’ has been triggered, the fraudster will look for an ‘opportunity’ which are normally weak poor processes and controls. Ruthless actors usually succeed in exploiting a company's flaws in financial reporting and committing fraud undetected because of inefficiencies, loopholes, a lack of transparency, and poor control management.</w:t>
      </w:r>
    </w:p>
    <w:p w14:paraId="0A78B64C"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lastRenderedPageBreak/>
        <w:t>Nicodemus (2023) astutely noted ‘People look at rules, they look at a control, and they say, 'How far can I push this?’. Organisations need to question, what are their people doing to discover ways to break the established protocols and rules?</w:t>
      </w:r>
    </w:p>
    <w:p w14:paraId="53F64425"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The 2020 Global Research on Occupational Fraud and Abuse, by the Association of Certified Fraud Examiners (ACFE) examined 2,500 criminal cases from 125 different countries and calculated that the median damages varied according to the kind of fraud. Thus, losses from fraudulent asset appropriation averaged around $100,000, the corruption fine was $200,000 and financial statement fraud or Accounting Fraud is by far the costliest category of fraud for organisations, resulting in a median loss of $954k.</w:t>
      </w:r>
    </w:p>
    <w:p w14:paraId="29A124AC"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So how are these deceitful people able to get away with their deceptions? The ACFE (2020) discovered that many frauds used a variety of nefarious tactics. The most common method of fraudulent coverup was the production of sham physical documentation (40%) followed by the negative alteration of bona fide physical documentation (36 percent). This suggests that tangible or actual documentation used in some manner in 76 percent of the fraud cases that the investigation exposed. The study also found that 26% of frauds involved concocting electronic documents and 27% involved changing electronic documents. Finally, 12 percent of the frauds in the study involved no attempt whatsoever to hide the fraud but were undertaking it covertly.</w:t>
      </w:r>
    </w:p>
    <w:p w14:paraId="26089D2C" w14:textId="3DAF98C8"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 xml:space="preserve">As stated earlier the </w:t>
      </w:r>
      <w:r w:rsidR="008C2D86">
        <w:rPr>
          <w:rFonts w:ascii="Arial" w:hAnsi="Arial" w:cs="Arial"/>
          <w:color w:val="000000" w:themeColor="text1"/>
        </w:rPr>
        <w:t>researcher</w:t>
      </w:r>
      <w:r w:rsidRPr="00620F22">
        <w:rPr>
          <w:rFonts w:ascii="Arial" w:eastAsiaTheme="minorHAnsi" w:hAnsi="Arial" w:cs="Arial"/>
          <w:color w:val="000000" w:themeColor="text1"/>
          <w:kern w:val="0"/>
          <w:lang w:eastAsia="en-US"/>
          <w14:ligatures w14:val="none"/>
        </w:rPr>
        <w:t xml:space="preserve"> will duly give an overview of the current automation eco-system but he believes that automation of an organisations accounting / financial reporting functions can help identify and counter fraud in two distinct ways.</w:t>
      </w:r>
    </w:p>
    <w:p w14:paraId="33826DC9"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b/>
          <w:bCs/>
          <w:color w:val="000000" w:themeColor="text1"/>
          <w:kern w:val="0"/>
          <w:lang w:eastAsia="en-US"/>
          <w14:ligatures w14:val="none"/>
        </w:rPr>
        <w:lastRenderedPageBreak/>
        <w:t>Firstly, automation makes it easier and more accurate to complete regular tasks. Consequently, workers will have greater time to focus their energies on the dangers / red flags that an organisation faces and change or enhance its processes accordingly. Hence, staff responsible for the preparation of financial statements and auditors will have more time to properly evaluate risks and actively search for fraud as they spend less time manually managing journal entries and reconciliations or other routine and mundane tasks</w:t>
      </w:r>
      <w:r w:rsidRPr="00620F22">
        <w:rPr>
          <w:rFonts w:ascii="Arial" w:eastAsiaTheme="minorHAnsi" w:hAnsi="Arial" w:cs="Arial"/>
          <w:color w:val="000000" w:themeColor="text1"/>
          <w:kern w:val="0"/>
          <w:lang w:eastAsia="en-US"/>
          <w14:ligatures w14:val="none"/>
        </w:rPr>
        <w:t>.</w:t>
      </w:r>
    </w:p>
    <w:p w14:paraId="2DBA98D4"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 xml:space="preserve">Most organisations give priority to front-end operations such as developing new point-of-sale systems, more efficient ways to handle orders, and better ways to accept cash and credit cards. On the other hand, the same attention should be given to the entire finance function otherwise there will be opportunities to exploit the system. </w:t>
      </w:r>
    </w:p>
    <w:p w14:paraId="6A85CA90"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b/>
          <w:bCs/>
          <w:color w:val="000000" w:themeColor="text1"/>
          <w:kern w:val="0"/>
          <w:lang w:eastAsia="en-US"/>
          <w14:ligatures w14:val="none"/>
        </w:rPr>
        <w:t>Secondly, automation significantly improves workflow effectiveness since, when year-end financial statements are due or an audit is under way, organisations frequently encounter a "crunch" or "bottleneck" (James, 2022) of work</w:t>
      </w:r>
      <w:r w:rsidRPr="00620F22">
        <w:rPr>
          <w:rFonts w:ascii="Arial" w:eastAsiaTheme="minorHAnsi" w:hAnsi="Arial" w:cs="Arial"/>
          <w:color w:val="000000" w:themeColor="text1"/>
          <w:kern w:val="0"/>
          <w:lang w:eastAsia="en-US"/>
          <w14:ligatures w14:val="none"/>
        </w:rPr>
        <w:t>. Automation will allow the centralisation of data and facilitates greater accountability allowing auditors to use and interrogate the same financial reporting system as the organisation operates on a day-to-day basis. This will save time and resources for the external auditor and keep the client engaged. Lastly, automation directs all the information needed for financial reporting into one secure and central location which can be accessed by anybody who requires it or with agreed authorisation and access rights. This will minimise fraud and prevent management override which occurs in murky or ambiguous environments with minimal regulatory control over the organisation. We will now explore what exactly is audit automation and how it can be achieved.</w:t>
      </w:r>
    </w:p>
    <w:bookmarkStart w:id="749" w:name="AT1"/>
    <w:bookmarkStart w:id="750" w:name="D106"/>
    <w:p w14:paraId="29B8F671" w14:textId="64D3F155" w:rsidR="00620F22" w:rsidRPr="00620F22" w:rsidRDefault="00481229" w:rsidP="00B0036B">
      <w:pPr>
        <w:pBdr>
          <w:top w:val="single" w:sz="4" w:space="1" w:color="auto"/>
          <w:left w:val="single" w:sz="4" w:space="4" w:color="auto"/>
          <w:bottom w:val="single" w:sz="4" w:space="1" w:color="auto"/>
          <w:right w:val="single" w:sz="4" w:space="4" w:color="auto"/>
        </w:pBdr>
        <w:spacing w:line="240" w:lineRule="auto"/>
        <w:jc w:val="both"/>
        <w:rPr>
          <w:rFonts w:ascii="Arial" w:eastAsia="Times New Roman" w:hAnsi="Arial" w:cs="Arial"/>
          <w:b/>
          <w:bCs/>
          <w:kern w:val="0"/>
          <w:lang w:eastAsia="en-GB"/>
          <w14:ligatures w14:val="none"/>
        </w:rPr>
      </w:pPr>
      <w:r>
        <w:rPr>
          <w:rFonts w:ascii="Arial" w:eastAsia="Times New Roman" w:hAnsi="Arial" w:cs="Arial"/>
          <w:b/>
          <w:bCs/>
          <w:kern w:val="0"/>
          <w:lang w:eastAsia="en-GB"/>
          <w14:ligatures w14:val="none"/>
        </w:rPr>
        <w:lastRenderedPageBreak/>
        <w:fldChar w:fldCharType="begin"/>
      </w:r>
      <w:r>
        <w:rPr>
          <w:rFonts w:ascii="Arial" w:eastAsia="Times New Roman" w:hAnsi="Arial" w:cs="Arial"/>
          <w:b/>
          <w:bCs/>
          <w:kern w:val="0"/>
          <w:lang w:eastAsia="en-GB"/>
          <w14:ligatures w14:val="none"/>
        </w:rPr>
        <w:instrText>HYPERLINK  \l "C106"</w:instrText>
      </w:r>
      <w:r>
        <w:rPr>
          <w:rFonts w:ascii="Arial" w:eastAsia="Times New Roman" w:hAnsi="Arial" w:cs="Arial"/>
          <w:b/>
          <w:bCs/>
          <w:kern w:val="0"/>
          <w:lang w:eastAsia="en-GB"/>
          <w14:ligatures w14:val="none"/>
        </w:rPr>
      </w:r>
      <w:r>
        <w:rPr>
          <w:rFonts w:ascii="Arial" w:eastAsia="Times New Roman" w:hAnsi="Arial" w:cs="Arial"/>
          <w:b/>
          <w:bCs/>
          <w:kern w:val="0"/>
          <w:lang w:eastAsia="en-GB"/>
          <w14:ligatures w14:val="none"/>
        </w:rPr>
        <w:fldChar w:fldCharType="separate"/>
      </w:r>
      <w:r w:rsidR="00620F22" w:rsidRPr="00481229">
        <w:rPr>
          <w:rStyle w:val="Hyperlink"/>
          <w:rFonts w:ascii="Arial" w:eastAsia="Times New Roman" w:hAnsi="Arial" w:cs="Arial"/>
          <w:b/>
          <w:bCs/>
          <w:kern w:val="0"/>
          <w:lang w:eastAsia="en-GB"/>
          <w14:ligatures w14:val="none"/>
        </w:rPr>
        <w:t>4.5.1 What is External Audit Automation?</w:t>
      </w:r>
      <w:r>
        <w:rPr>
          <w:rFonts w:ascii="Arial" w:eastAsia="Times New Roman" w:hAnsi="Arial" w:cs="Arial"/>
          <w:b/>
          <w:bCs/>
          <w:kern w:val="0"/>
          <w:lang w:eastAsia="en-GB"/>
          <w14:ligatures w14:val="none"/>
        </w:rPr>
        <w:fldChar w:fldCharType="end"/>
      </w:r>
    </w:p>
    <w:bookmarkEnd w:id="749"/>
    <w:bookmarkEnd w:id="750"/>
    <w:p w14:paraId="37D317C1"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 xml:space="preserve">Auditors today operate in a VUCA (volatile, uncertain, complex, ambiguous) (Baran and Woznyi, 2020) environment which has only exacerbated in a post-pandemic world. Hence, more and more auditors are using technology to automate their audit workflow due to vast data sets including swathes of unstructured data such as emails and constantly changing standards. </w:t>
      </w:r>
    </w:p>
    <w:p w14:paraId="02E0DBFB" w14:textId="243D1493" w:rsidR="00620F22" w:rsidRPr="003C1CC8" w:rsidRDefault="00620F22" w:rsidP="003C1CC8">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It is argued that cloud-based audit automation can result in significant improvements in terms of effectiveness, productivity, and security for anything ranging from workpapers to analytics including fraud analytics (Li, 2023). Cloud-based technology is utilised in audit automation to give users the freedom to work from any location, communicate with co-workers in real time, and safely access audit data. Consequently, auditors may complete more work in less time with the support of an ‘end-to-end’ online audit solution (Raji et al, 2020) with seamless data flow between tools.</w:t>
      </w:r>
    </w:p>
    <w:bookmarkStart w:id="751" w:name="AT2"/>
    <w:bookmarkStart w:id="752" w:name="D107"/>
    <w:p w14:paraId="0763D519" w14:textId="3313BE71" w:rsidR="00620F22" w:rsidRPr="00620F22" w:rsidRDefault="00686250" w:rsidP="000C4FE1">
      <w:pPr>
        <w:pBdr>
          <w:top w:val="single" w:sz="4" w:space="1" w:color="auto"/>
          <w:left w:val="single" w:sz="4" w:space="4" w:color="auto"/>
          <w:bottom w:val="single" w:sz="4" w:space="1" w:color="auto"/>
          <w:right w:val="single" w:sz="4" w:space="4" w:color="auto"/>
        </w:pBdr>
        <w:spacing w:line="240" w:lineRule="auto"/>
        <w:jc w:val="both"/>
        <w:rPr>
          <w:rFonts w:ascii="Arial" w:eastAsia="Times New Roman" w:hAnsi="Arial" w:cs="Arial"/>
          <w:b/>
          <w:bCs/>
          <w:kern w:val="0"/>
          <w:lang w:eastAsia="en-GB"/>
          <w14:ligatures w14:val="none"/>
        </w:rPr>
      </w:pPr>
      <w:r>
        <w:rPr>
          <w:rFonts w:ascii="Arial" w:eastAsia="Times New Roman" w:hAnsi="Arial" w:cs="Arial"/>
          <w:b/>
          <w:bCs/>
          <w:kern w:val="0"/>
          <w:lang w:eastAsia="en-GB"/>
          <w14:ligatures w14:val="none"/>
        </w:rPr>
        <w:fldChar w:fldCharType="begin"/>
      </w:r>
      <w:r>
        <w:rPr>
          <w:rFonts w:ascii="Arial" w:eastAsia="Times New Roman" w:hAnsi="Arial" w:cs="Arial"/>
          <w:b/>
          <w:bCs/>
          <w:kern w:val="0"/>
          <w:lang w:eastAsia="en-GB"/>
          <w14:ligatures w14:val="none"/>
        </w:rPr>
        <w:instrText>HYPERLINK  \l "C107"</w:instrText>
      </w:r>
      <w:r>
        <w:rPr>
          <w:rFonts w:ascii="Arial" w:eastAsia="Times New Roman" w:hAnsi="Arial" w:cs="Arial"/>
          <w:b/>
          <w:bCs/>
          <w:kern w:val="0"/>
          <w:lang w:eastAsia="en-GB"/>
          <w14:ligatures w14:val="none"/>
        </w:rPr>
      </w:r>
      <w:r>
        <w:rPr>
          <w:rFonts w:ascii="Arial" w:eastAsia="Times New Roman" w:hAnsi="Arial" w:cs="Arial"/>
          <w:b/>
          <w:bCs/>
          <w:kern w:val="0"/>
          <w:lang w:eastAsia="en-GB"/>
          <w14:ligatures w14:val="none"/>
        </w:rPr>
        <w:fldChar w:fldCharType="separate"/>
      </w:r>
      <w:r w:rsidR="00620F22" w:rsidRPr="00686250">
        <w:rPr>
          <w:rStyle w:val="Hyperlink"/>
          <w:rFonts w:ascii="Arial" w:eastAsia="Times New Roman" w:hAnsi="Arial" w:cs="Arial"/>
          <w:b/>
          <w:bCs/>
          <w:kern w:val="0"/>
          <w:lang w:eastAsia="en-GB"/>
          <w14:ligatures w14:val="none"/>
        </w:rPr>
        <w:t>4.5.2 Why is Audit Automation Vital?</w:t>
      </w:r>
      <w:r>
        <w:rPr>
          <w:rFonts w:ascii="Arial" w:eastAsia="Times New Roman" w:hAnsi="Arial" w:cs="Arial"/>
          <w:b/>
          <w:bCs/>
          <w:kern w:val="0"/>
          <w:lang w:eastAsia="en-GB"/>
          <w14:ligatures w14:val="none"/>
        </w:rPr>
        <w:fldChar w:fldCharType="end"/>
      </w:r>
    </w:p>
    <w:bookmarkEnd w:id="751"/>
    <w:bookmarkEnd w:id="752"/>
    <w:p w14:paraId="0D08DC33" w14:textId="77777777" w:rsidR="00715CDF" w:rsidRDefault="00620F22" w:rsidP="00715CDF">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For audit staff, disparate, and insecure applications can lead to version and quality control problems as well as inefficiencies. Aggregating and understanding financial data can be challenging when client accounting information systems are not standardised, resulting in delays and errors that may adversely affect a company's bottom line. Zhang et al 2022 contend that auditors who continue to edit and store audit data using old, on-premises systems potentially risk making their business vulnerable to outdated technology and market forces i.e. If external auditors do not pivot, they will lose business</w:t>
      </w:r>
      <w:r w:rsidR="00715CDF">
        <w:rPr>
          <w:rFonts w:ascii="Arial" w:eastAsiaTheme="minorHAnsi" w:hAnsi="Arial" w:cs="Arial"/>
          <w:color w:val="000000" w:themeColor="text1"/>
          <w:kern w:val="0"/>
          <w:lang w:eastAsia="en-US"/>
          <w14:ligatures w14:val="none"/>
        </w:rPr>
        <w:t>.</w:t>
      </w:r>
    </w:p>
    <w:p w14:paraId="1BF2DA4E" w14:textId="382F637F" w:rsidR="00620F22" w:rsidRPr="00620F22" w:rsidRDefault="00620F22" w:rsidP="00715CDF">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 xml:space="preserve"> </w:t>
      </w:r>
    </w:p>
    <w:bookmarkStart w:id="753" w:name="_Hlk170036869"/>
    <w:bookmarkStart w:id="754" w:name="AT3"/>
    <w:bookmarkStart w:id="755" w:name="D108"/>
    <w:p w14:paraId="4EADB1FA" w14:textId="37E78D72" w:rsidR="00620F22" w:rsidRPr="00620F22" w:rsidRDefault="009A706E" w:rsidP="000C4FE1">
      <w:pPr>
        <w:pBdr>
          <w:top w:val="single" w:sz="4" w:space="1" w:color="auto"/>
          <w:left w:val="single" w:sz="4" w:space="4" w:color="auto"/>
          <w:bottom w:val="single" w:sz="4" w:space="1" w:color="auto"/>
          <w:right w:val="single" w:sz="4" w:space="4" w:color="auto"/>
        </w:pBdr>
        <w:shd w:val="clear" w:color="auto" w:fill="FFFFFF"/>
        <w:spacing w:before="100" w:beforeAutospacing="1" w:after="100" w:afterAutospacing="1" w:line="240" w:lineRule="auto"/>
        <w:jc w:val="both"/>
        <w:outlineLvl w:val="1"/>
        <w:rPr>
          <w:rFonts w:ascii="Arial" w:eastAsia="Times New Roman" w:hAnsi="Arial" w:cs="Arial"/>
          <w:b/>
          <w:bCs/>
          <w:kern w:val="0"/>
          <w:lang w:eastAsia="en-GB"/>
          <w14:ligatures w14:val="none"/>
        </w:rPr>
      </w:pPr>
      <w:r>
        <w:rPr>
          <w:rFonts w:ascii="Arial" w:eastAsia="Times New Roman" w:hAnsi="Arial" w:cs="Arial"/>
          <w:b/>
          <w:bCs/>
          <w:kern w:val="0"/>
          <w:lang w:eastAsia="en-GB"/>
          <w14:ligatures w14:val="none"/>
        </w:rPr>
        <w:lastRenderedPageBreak/>
        <w:fldChar w:fldCharType="begin"/>
      </w:r>
      <w:r>
        <w:rPr>
          <w:rFonts w:ascii="Arial" w:eastAsia="Times New Roman" w:hAnsi="Arial" w:cs="Arial"/>
          <w:b/>
          <w:bCs/>
          <w:kern w:val="0"/>
          <w:lang w:eastAsia="en-GB"/>
          <w14:ligatures w14:val="none"/>
        </w:rPr>
        <w:instrText>HYPERLINK  \l "C108"</w:instrText>
      </w:r>
      <w:r>
        <w:rPr>
          <w:rFonts w:ascii="Arial" w:eastAsia="Times New Roman" w:hAnsi="Arial" w:cs="Arial"/>
          <w:b/>
          <w:bCs/>
          <w:kern w:val="0"/>
          <w:lang w:eastAsia="en-GB"/>
          <w14:ligatures w14:val="none"/>
        </w:rPr>
      </w:r>
      <w:r>
        <w:rPr>
          <w:rFonts w:ascii="Arial" w:eastAsia="Times New Roman" w:hAnsi="Arial" w:cs="Arial"/>
          <w:b/>
          <w:bCs/>
          <w:kern w:val="0"/>
          <w:lang w:eastAsia="en-GB"/>
          <w14:ligatures w14:val="none"/>
        </w:rPr>
        <w:fldChar w:fldCharType="separate"/>
      </w:r>
      <w:r w:rsidR="00620F22" w:rsidRPr="009A706E">
        <w:rPr>
          <w:rStyle w:val="Hyperlink"/>
          <w:rFonts w:ascii="Arial" w:eastAsia="Times New Roman" w:hAnsi="Arial" w:cs="Arial"/>
          <w:b/>
          <w:bCs/>
          <w:kern w:val="0"/>
          <w:lang w:eastAsia="en-GB"/>
          <w14:ligatures w14:val="none"/>
        </w:rPr>
        <w:t xml:space="preserve">4.5.3 </w:t>
      </w:r>
      <w:bookmarkEnd w:id="753"/>
      <w:r w:rsidR="00620F22" w:rsidRPr="009A706E">
        <w:rPr>
          <w:rStyle w:val="Hyperlink"/>
          <w:rFonts w:ascii="Arial" w:eastAsia="Times New Roman" w:hAnsi="Arial" w:cs="Arial"/>
          <w:b/>
          <w:bCs/>
          <w:kern w:val="0"/>
          <w:lang w:eastAsia="en-GB"/>
          <w14:ligatures w14:val="none"/>
        </w:rPr>
        <w:t>What are the Advantages of Audit Automation?</w:t>
      </w:r>
      <w:r>
        <w:rPr>
          <w:rFonts w:ascii="Arial" w:eastAsia="Times New Roman" w:hAnsi="Arial" w:cs="Arial"/>
          <w:b/>
          <w:bCs/>
          <w:kern w:val="0"/>
          <w:lang w:eastAsia="en-GB"/>
          <w14:ligatures w14:val="none"/>
        </w:rPr>
        <w:fldChar w:fldCharType="end"/>
      </w:r>
    </w:p>
    <w:bookmarkEnd w:id="754"/>
    <w:bookmarkEnd w:id="755"/>
    <w:p w14:paraId="789191A1"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The benefits of audit automation are many and by automating audit workflow, firms will become better at handling typical auditing issues. The following are the principal gains from audit automation:</w:t>
      </w:r>
    </w:p>
    <w:p w14:paraId="038CD2DD" w14:textId="77777777" w:rsidR="00620F22" w:rsidRPr="00620F22" w:rsidRDefault="00620F22">
      <w:pPr>
        <w:numPr>
          <w:ilvl w:val="0"/>
          <w:numId w:val="35"/>
        </w:numPr>
        <w:spacing w:line="480" w:lineRule="auto"/>
        <w:ind w:left="284" w:hanging="284"/>
        <w:contextualSpacing/>
        <w:jc w:val="both"/>
        <w:rPr>
          <w:rFonts w:ascii="Arial" w:eastAsiaTheme="minorHAnsi" w:hAnsi="Arial" w:cs="Arial"/>
          <w:b/>
          <w:bCs/>
          <w:color w:val="000000" w:themeColor="text1"/>
          <w:kern w:val="0"/>
          <w:lang w:eastAsia="en-US"/>
          <w14:ligatures w14:val="none"/>
        </w:rPr>
      </w:pPr>
      <w:r w:rsidRPr="00620F22">
        <w:rPr>
          <w:rFonts w:ascii="Arial" w:eastAsia="Times New Roman" w:hAnsi="Arial" w:cs="Arial"/>
          <w:b/>
          <w:bCs/>
          <w:color w:val="000000" w:themeColor="text1"/>
          <w:kern w:val="0"/>
          <w:lang w:eastAsia="en-GB"/>
          <w14:ligatures w14:val="none"/>
        </w:rPr>
        <w:t>Real-time collaboration</w:t>
      </w:r>
    </w:p>
    <w:p w14:paraId="4C82280C"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Cloud based vendor solutions facilitate online audit from any location, underpinned by a system that refreshes your data and stakeholders / client in real time. Thus, allowing audit teams to collaborate on the same document without being concerned about version control and weeding out non-performing staff.</w:t>
      </w:r>
    </w:p>
    <w:p w14:paraId="3847444E"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 xml:space="preserve">With the cloud, there is no longer a requirement for check-out/sync or backup/restore since, all audit data can be accessible instantly and without any issues. The entire audit team obtains real-time access to the whole engagement from any place due to advanced, multi-user content, trial balance, engagement management, and document retention management. Hence, eliminating the need to transmit, backup, restore, or refresh audit files or move cumbersome files around resulting in security and privacy challenges. </w:t>
      </w:r>
    </w:p>
    <w:p w14:paraId="2114260D" w14:textId="77777777" w:rsid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Furthermore, data from all around the world may be accessed or edited by audit teams, making it simple to plan fieldwork and review procedures across multiple locations and enabling remote staff to communicate in real time. As all staff can observe and have access to the real-time data concurrently, multi-location audits will no longer be a coordination challenge.</w:t>
      </w:r>
    </w:p>
    <w:p w14:paraId="64514476" w14:textId="77777777" w:rsidR="00715CDF" w:rsidRDefault="00715CDF" w:rsidP="00620F22">
      <w:pPr>
        <w:spacing w:line="480" w:lineRule="auto"/>
        <w:jc w:val="both"/>
        <w:rPr>
          <w:rFonts w:ascii="Arial" w:eastAsiaTheme="minorHAnsi" w:hAnsi="Arial" w:cs="Arial"/>
          <w:color w:val="000000" w:themeColor="text1"/>
          <w:kern w:val="0"/>
          <w:lang w:eastAsia="en-US"/>
          <w14:ligatures w14:val="none"/>
        </w:rPr>
      </w:pPr>
    </w:p>
    <w:p w14:paraId="49440B7A" w14:textId="77777777" w:rsidR="00715CDF" w:rsidRPr="00620F22" w:rsidRDefault="00715CDF" w:rsidP="00620F22">
      <w:pPr>
        <w:spacing w:line="480" w:lineRule="auto"/>
        <w:jc w:val="both"/>
        <w:rPr>
          <w:rFonts w:ascii="Arial" w:eastAsiaTheme="minorHAnsi" w:hAnsi="Arial" w:cs="Arial"/>
          <w:color w:val="000000" w:themeColor="text1"/>
          <w:kern w:val="0"/>
          <w:lang w:eastAsia="en-US"/>
          <w14:ligatures w14:val="none"/>
        </w:rPr>
      </w:pPr>
    </w:p>
    <w:p w14:paraId="1D047FAA" w14:textId="77777777" w:rsidR="00620F22" w:rsidRPr="00620F22" w:rsidRDefault="00620F22" w:rsidP="00620F22">
      <w:pPr>
        <w:shd w:val="clear" w:color="auto" w:fill="FFFFFF"/>
        <w:spacing w:before="100" w:beforeAutospacing="1" w:after="100" w:afterAutospacing="1" w:line="480" w:lineRule="auto"/>
        <w:jc w:val="both"/>
        <w:outlineLvl w:val="2"/>
        <w:rPr>
          <w:rFonts w:ascii="Arial" w:eastAsia="Times New Roman" w:hAnsi="Arial" w:cs="Arial"/>
          <w:b/>
          <w:bCs/>
          <w:color w:val="000000" w:themeColor="text1"/>
          <w:kern w:val="0"/>
          <w:lang w:eastAsia="en-GB"/>
          <w14:ligatures w14:val="none"/>
        </w:rPr>
      </w:pPr>
      <w:r w:rsidRPr="00620F22">
        <w:rPr>
          <w:rFonts w:ascii="Arial" w:eastAsia="Times New Roman" w:hAnsi="Arial" w:cs="Arial"/>
          <w:b/>
          <w:bCs/>
          <w:color w:val="000000" w:themeColor="text1"/>
          <w:kern w:val="0"/>
          <w:lang w:eastAsia="en-GB"/>
          <w14:ligatures w14:val="none"/>
        </w:rPr>
        <w:lastRenderedPageBreak/>
        <w:t>2. Superior Security</w:t>
      </w:r>
    </w:p>
    <w:p w14:paraId="50A26669"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It is still believed that cloud-based services are less secure than those offered on-premises (Golec et al, 2021) however, stringent guidelines, protocols, and independent audits, or SOC2 (Guides,2018) engagements, are deemed essential of cloud organisations. Therefore, Cloud service companies make a substantial effort and investment to adhere to these strict security standards because it is essential to their reputation and not surprisingly financial wellbeing. In addition, by removing critical data from laptops, which are the least secure option, the cloud enhances security and management over it.</w:t>
      </w:r>
    </w:p>
    <w:p w14:paraId="31C6799E" w14:textId="52792CD9" w:rsidR="00DD55F8" w:rsidRPr="00620F22" w:rsidRDefault="00620F22" w:rsidP="00715CDF">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It is possible that soon firms may completely do away with manual backups, server upkeep, and software updates by using the cloud. As applications and data are constantly secure and up to date firms can start working by simply signing into a protected web browser.</w:t>
      </w:r>
    </w:p>
    <w:p w14:paraId="04B047A0" w14:textId="77777777" w:rsidR="00620F22" w:rsidRPr="00620F22" w:rsidRDefault="00620F22" w:rsidP="00620F22">
      <w:pPr>
        <w:shd w:val="clear" w:color="auto" w:fill="FFFFFF"/>
        <w:spacing w:before="100" w:beforeAutospacing="1" w:after="100" w:afterAutospacing="1" w:line="480" w:lineRule="auto"/>
        <w:jc w:val="both"/>
        <w:outlineLvl w:val="2"/>
        <w:rPr>
          <w:rFonts w:ascii="Arial" w:eastAsia="Times New Roman" w:hAnsi="Arial" w:cs="Arial"/>
          <w:b/>
          <w:bCs/>
          <w:color w:val="000000" w:themeColor="text1"/>
          <w:kern w:val="0"/>
          <w:lang w:eastAsia="en-GB"/>
          <w14:ligatures w14:val="none"/>
        </w:rPr>
      </w:pPr>
      <w:r w:rsidRPr="00620F22">
        <w:rPr>
          <w:rFonts w:ascii="Arial" w:eastAsia="Times New Roman" w:hAnsi="Arial" w:cs="Arial"/>
          <w:b/>
          <w:bCs/>
          <w:color w:val="000000" w:themeColor="text1"/>
          <w:kern w:val="0"/>
          <w:lang w:eastAsia="en-GB"/>
          <w14:ligatures w14:val="none"/>
        </w:rPr>
        <w:t>3. Data analytics and refining ‘Auditor Edge’</w:t>
      </w:r>
    </w:p>
    <w:p w14:paraId="79B868CA" w14:textId="37C586BA"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Smarter audit testing, audit data analytics tools, and integrated AI-enabled audit solutions can all help save time and supply a firm’s clients with insightful and meaningful information (Balios</w:t>
      </w:r>
      <w:r w:rsidR="00357826">
        <w:rPr>
          <w:rFonts w:ascii="Arial" w:eastAsiaTheme="minorHAnsi" w:hAnsi="Arial" w:cs="Arial"/>
          <w:color w:val="000000" w:themeColor="text1"/>
          <w:kern w:val="0"/>
          <w:lang w:eastAsia="en-US"/>
          <w14:ligatures w14:val="none"/>
        </w:rPr>
        <w:t xml:space="preserve"> et </w:t>
      </w:r>
      <w:r w:rsidRPr="00620F22">
        <w:rPr>
          <w:rFonts w:ascii="Arial" w:eastAsiaTheme="minorHAnsi" w:hAnsi="Arial" w:cs="Arial"/>
          <w:color w:val="000000" w:themeColor="text1"/>
          <w:kern w:val="0"/>
          <w:lang w:eastAsia="en-US"/>
          <w14:ligatures w14:val="none"/>
        </w:rPr>
        <w:t>al, 2020). The most recent technological developments can help in giving clients deeper and more pertinent advice, ranging from audit data visualisation to better reporting capabilities.</w:t>
      </w:r>
    </w:p>
    <w:p w14:paraId="32990467"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 xml:space="preserve">The traditional audit method used by external audit firms to collect financial and operational data, is to choose samples of populations, look for exceptions or outliers, and extrapolate findings for the benefit of their clients. However, innovative data analytics, allow auditors to quickly collect client information down to the transactional </w:t>
      </w:r>
      <w:r w:rsidRPr="00620F22">
        <w:rPr>
          <w:rFonts w:ascii="Arial" w:eastAsiaTheme="minorHAnsi" w:hAnsi="Arial" w:cs="Arial"/>
          <w:color w:val="000000" w:themeColor="text1"/>
          <w:kern w:val="0"/>
          <w:lang w:eastAsia="en-US"/>
          <w14:ligatures w14:val="none"/>
        </w:rPr>
        <w:lastRenderedPageBreak/>
        <w:t xml:space="preserve">level, store it safely in the cloud, and run analytics on the information to find risk, including potential fraud analytics (Huang et al, 2022). Additionally, auditors can more conveniently and quickly compare the business indicators of their client’s industry norms and offer crucial information, and guidance to help clients manage their companies more successfully, thus becoming trusted partners rather than a necessary overhead (Taha et al, 2021).  </w:t>
      </w:r>
    </w:p>
    <w:p w14:paraId="334AB71D"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As auditing is a very individualised process, each auditor must use significant professional judgement when engaging in decision including steps like identifying the major audit risks and considering how to produce audit processes to effectively address those risks (Deliu, 2020). Advances in machine learning and other allied technology can help auditors better make decisions (Cai et al, 2020). Since, it can leverage judgements from thousands of audits to support auditors in real time while protecting client information because audit judgement abilities are often acquired and honed over years of experience, training, and interaction with peers.</w:t>
      </w:r>
    </w:p>
    <w:p w14:paraId="545FA941" w14:textId="059C2DF5" w:rsidR="00620F22" w:rsidRPr="00620F22" w:rsidRDefault="00620F22" w:rsidP="00620F22">
      <w:pPr>
        <w:spacing w:line="480" w:lineRule="auto"/>
        <w:jc w:val="both"/>
        <w:rPr>
          <w:rFonts w:ascii="Arial" w:eastAsiaTheme="minorHAnsi" w:hAnsi="Arial" w:cs="Arial"/>
          <w:b/>
          <w:bCs/>
          <w:color w:val="000000" w:themeColor="text1"/>
          <w:kern w:val="0"/>
          <w:lang w:eastAsia="en-US"/>
          <w14:ligatures w14:val="none"/>
        </w:rPr>
      </w:pPr>
      <w:r w:rsidRPr="002B417B">
        <w:rPr>
          <w:rFonts w:ascii="Arial" w:eastAsiaTheme="minorHAnsi" w:hAnsi="Arial" w:cs="Arial"/>
          <w:b/>
          <w:bCs/>
          <w:color w:val="000000" w:themeColor="text1"/>
          <w:kern w:val="0"/>
          <w:lang w:eastAsia="en-US"/>
          <w14:ligatures w14:val="none"/>
        </w:rPr>
        <w:t xml:space="preserve">The </w:t>
      </w:r>
      <w:r w:rsidR="008C2D86" w:rsidRPr="002B417B">
        <w:rPr>
          <w:rFonts w:ascii="Arial" w:hAnsi="Arial" w:cs="Arial"/>
          <w:b/>
          <w:bCs/>
          <w:color w:val="000000" w:themeColor="text1"/>
        </w:rPr>
        <w:t>researcher</w:t>
      </w:r>
      <w:r w:rsidRPr="00620F22">
        <w:rPr>
          <w:rFonts w:ascii="Arial" w:eastAsiaTheme="minorHAnsi" w:hAnsi="Arial" w:cs="Arial"/>
          <w:b/>
          <w:bCs/>
          <w:color w:val="000000" w:themeColor="text1"/>
          <w:kern w:val="0"/>
          <w:lang w:eastAsia="en-US"/>
          <w14:ligatures w14:val="none"/>
        </w:rPr>
        <w:t xml:space="preserve"> argues that by testing complete data sets rather than just samples, supporting risk assessment by identifying irregularities in data, and supplying audit proof through deep analysis of an organization's general ledger systems, data analytics leads to what </w:t>
      </w:r>
      <w:r w:rsidRPr="002B417B">
        <w:rPr>
          <w:rFonts w:ascii="Arial" w:eastAsiaTheme="minorHAnsi" w:hAnsi="Arial" w:cs="Arial"/>
          <w:b/>
          <w:bCs/>
          <w:color w:val="000000" w:themeColor="text1"/>
          <w:kern w:val="0"/>
          <w:lang w:eastAsia="en-US"/>
          <w14:ligatures w14:val="none"/>
        </w:rPr>
        <w:t xml:space="preserve">the </w:t>
      </w:r>
      <w:r w:rsidR="008C2D86" w:rsidRPr="002B417B">
        <w:rPr>
          <w:rFonts w:ascii="Arial" w:hAnsi="Arial" w:cs="Arial"/>
          <w:b/>
          <w:bCs/>
          <w:color w:val="000000" w:themeColor="text1"/>
        </w:rPr>
        <w:t>researcher</w:t>
      </w:r>
      <w:r w:rsidRPr="00620F22">
        <w:rPr>
          <w:rFonts w:ascii="Arial" w:eastAsiaTheme="minorHAnsi" w:hAnsi="Arial" w:cs="Arial"/>
          <w:b/>
          <w:bCs/>
          <w:color w:val="000000" w:themeColor="text1"/>
          <w:kern w:val="0"/>
          <w:lang w:eastAsia="en-US"/>
          <w14:ligatures w14:val="none"/>
        </w:rPr>
        <w:t xml:space="preserve"> terms ‘</w:t>
      </w:r>
      <w:r w:rsidRPr="00620F22">
        <w:rPr>
          <w:rFonts w:ascii="Arial" w:eastAsiaTheme="minorHAnsi" w:hAnsi="Arial" w:cs="Arial"/>
          <w:b/>
          <w:bCs/>
          <w:i/>
          <w:iCs/>
          <w:color w:val="000000" w:themeColor="text1"/>
          <w:kern w:val="0"/>
          <w:lang w:eastAsia="en-US"/>
          <w14:ligatures w14:val="none"/>
        </w:rPr>
        <w:t>auditor edge’</w:t>
      </w:r>
      <w:r w:rsidRPr="00620F22">
        <w:rPr>
          <w:rFonts w:ascii="Arial" w:eastAsiaTheme="minorHAnsi" w:hAnsi="Arial" w:cs="Arial"/>
          <w:b/>
          <w:bCs/>
          <w:color w:val="000000" w:themeColor="text1"/>
          <w:kern w:val="0"/>
          <w:lang w:eastAsia="en-US"/>
          <w14:ligatures w14:val="none"/>
        </w:rPr>
        <w:t xml:space="preserve"> which facilitates superior audit opinions. Ultimately, the advantages give auditors the chance to continuously learn more about their clients and potentially stay ahead. </w:t>
      </w:r>
    </w:p>
    <w:p w14:paraId="74ECF4A8"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 xml:space="preserve">Automation of audits underpinned by AI-powered technologies can also motivate and empower staff (Prentice et al, 2023) including inexperienced audit employees as they </w:t>
      </w:r>
      <w:r w:rsidRPr="00620F22">
        <w:rPr>
          <w:rFonts w:ascii="Arial" w:eastAsiaTheme="minorHAnsi" w:hAnsi="Arial" w:cs="Arial"/>
          <w:color w:val="000000" w:themeColor="text1"/>
          <w:kern w:val="0"/>
          <w:lang w:eastAsia="en-US"/>
          <w14:ligatures w14:val="none"/>
        </w:rPr>
        <w:lastRenderedPageBreak/>
        <w:t xml:space="preserve">can find solutions quickly and confidently because the audit applications are intuitive, and training can be accessed any time and on any device. </w:t>
      </w:r>
    </w:p>
    <w:bookmarkStart w:id="756" w:name="AT4"/>
    <w:bookmarkStart w:id="757" w:name="D109"/>
    <w:p w14:paraId="4172CD43" w14:textId="778FD1F2" w:rsidR="00620F22" w:rsidRPr="00620F22" w:rsidRDefault="009A706E" w:rsidP="00DD55F8">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b/>
          <w:bCs/>
          <w:kern w:val="0"/>
          <w:lang w:eastAsia="en-US"/>
          <w14:ligatures w14:val="none"/>
        </w:rPr>
      </w:pPr>
      <w:r>
        <w:rPr>
          <w:rFonts w:ascii="Arial" w:eastAsia="Times New Roman" w:hAnsi="Arial" w:cs="Arial"/>
          <w:b/>
          <w:bCs/>
          <w:kern w:val="0"/>
          <w:lang w:eastAsia="en-GB"/>
          <w14:ligatures w14:val="none"/>
        </w:rPr>
        <w:fldChar w:fldCharType="begin"/>
      </w:r>
      <w:r>
        <w:rPr>
          <w:rFonts w:ascii="Arial" w:eastAsia="Times New Roman" w:hAnsi="Arial" w:cs="Arial"/>
          <w:b/>
          <w:bCs/>
          <w:kern w:val="0"/>
          <w:lang w:eastAsia="en-GB"/>
          <w14:ligatures w14:val="none"/>
        </w:rPr>
        <w:instrText>HYPERLINK  \l "C109"</w:instrText>
      </w:r>
      <w:r>
        <w:rPr>
          <w:rFonts w:ascii="Arial" w:eastAsia="Times New Roman" w:hAnsi="Arial" w:cs="Arial"/>
          <w:b/>
          <w:bCs/>
          <w:kern w:val="0"/>
          <w:lang w:eastAsia="en-GB"/>
          <w14:ligatures w14:val="none"/>
        </w:rPr>
      </w:r>
      <w:r>
        <w:rPr>
          <w:rFonts w:ascii="Arial" w:eastAsia="Times New Roman" w:hAnsi="Arial" w:cs="Arial"/>
          <w:b/>
          <w:bCs/>
          <w:kern w:val="0"/>
          <w:lang w:eastAsia="en-GB"/>
          <w14:ligatures w14:val="none"/>
        </w:rPr>
        <w:fldChar w:fldCharType="separate"/>
      </w:r>
      <w:r w:rsidR="00620F22" w:rsidRPr="009A706E">
        <w:rPr>
          <w:rStyle w:val="Hyperlink"/>
          <w:rFonts w:ascii="Arial" w:eastAsia="Times New Roman" w:hAnsi="Arial" w:cs="Arial"/>
          <w:b/>
          <w:bCs/>
          <w:kern w:val="0"/>
          <w:lang w:eastAsia="en-GB"/>
          <w14:ligatures w14:val="none"/>
        </w:rPr>
        <w:t xml:space="preserve">4.5.4 Which </w:t>
      </w:r>
      <w:r w:rsidR="00224982">
        <w:rPr>
          <w:rStyle w:val="Hyperlink"/>
          <w:rFonts w:ascii="Arial" w:eastAsia="Times New Roman" w:hAnsi="Arial" w:cs="Arial"/>
          <w:b/>
          <w:bCs/>
          <w:kern w:val="0"/>
          <w:lang w:eastAsia="en-GB"/>
          <w14:ligatures w14:val="none"/>
        </w:rPr>
        <w:t>A</w:t>
      </w:r>
      <w:r w:rsidR="00620F22" w:rsidRPr="009A706E">
        <w:rPr>
          <w:rStyle w:val="Hyperlink"/>
          <w:rFonts w:ascii="Arial" w:eastAsia="Times New Roman" w:hAnsi="Arial" w:cs="Arial"/>
          <w:b/>
          <w:bCs/>
          <w:kern w:val="0"/>
          <w:lang w:eastAsia="en-GB"/>
          <w14:ligatures w14:val="none"/>
        </w:rPr>
        <w:t xml:space="preserve">udit </w:t>
      </w:r>
      <w:r w:rsidR="00224982">
        <w:rPr>
          <w:rStyle w:val="Hyperlink"/>
          <w:rFonts w:ascii="Arial" w:eastAsia="Times New Roman" w:hAnsi="Arial" w:cs="Arial"/>
          <w:b/>
          <w:bCs/>
          <w:kern w:val="0"/>
          <w:lang w:eastAsia="en-GB"/>
          <w14:ligatures w14:val="none"/>
        </w:rPr>
        <w:t>T</w:t>
      </w:r>
      <w:r w:rsidR="00620F22" w:rsidRPr="009A706E">
        <w:rPr>
          <w:rStyle w:val="Hyperlink"/>
          <w:rFonts w:ascii="Arial" w:eastAsia="Times New Roman" w:hAnsi="Arial" w:cs="Arial"/>
          <w:b/>
          <w:bCs/>
          <w:kern w:val="0"/>
          <w:lang w:eastAsia="en-GB"/>
          <w14:ligatures w14:val="none"/>
        </w:rPr>
        <w:t xml:space="preserve">asks and </w:t>
      </w:r>
      <w:r w:rsidR="00224982">
        <w:rPr>
          <w:rStyle w:val="Hyperlink"/>
          <w:rFonts w:ascii="Arial" w:eastAsia="Times New Roman" w:hAnsi="Arial" w:cs="Arial"/>
          <w:b/>
          <w:bCs/>
          <w:kern w:val="0"/>
          <w:lang w:eastAsia="en-GB"/>
          <w14:ligatures w14:val="none"/>
        </w:rPr>
        <w:t>W</w:t>
      </w:r>
      <w:r w:rsidR="00620F22" w:rsidRPr="009A706E">
        <w:rPr>
          <w:rStyle w:val="Hyperlink"/>
          <w:rFonts w:ascii="Arial" w:eastAsia="Times New Roman" w:hAnsi="Arial" w:cs="Arial"/>
          <w:b/>
          <w:bCs/>
          <w:kern w:val="0"/>
          <w:lang w:eastAsia="en-GB"/>
          <w14:ligatures w14:val="none"/>
        </w:rPr>
        <w:t xml:space="preserve">orkflow </w:t>
      </w:r>
      <w:r w:rsidR="00224982">
        <w:rPr>
          <w:rStyle w:val="Hyperlink"/>
          <w:rFonts w:ascii="Arial" w:eastAsia="Times New Roman" w:hAnsi="Arial" w:cs="Arial"/>
          <w:b/>
          <w:bCs/>
          <w:kern w:val="0"/>
          <w:lang w:eastAsia="en-GB"/>
          <w14:ligatures w14:val="none"/>
        </w:rPr>
        <w:t>E</w:t>
      </w:r>
      <w:r w:rsidR="00620F22" w:rsidRPr="009A706E">
        <w:rPr>
          <w:rStyle w:val="Hyperlink"/>
          <w:rFonts w:ascii="Arial" w:eastAsia="Times New Roman" w:hAnsi="Arial" w:cs="Arial"/>
          <w:b/>
          <w:bCs/>
          <w:kern w:val="0"/>
          <w:lang w:eastAsia="en-GB"/>
          <w14:ligatures w14:val="none"/>
        </w:rPr>
        <w:t xml:space="preserve">lements </w:t>
      </w:r>
      <w:r w:rsidR="00224982">
        <w:rPr>
          <w:rStyle w:val="Hyperlink"/>
          <w:rFonts w:ascii="Arial" w:eastAsia="Times New Roman" w:hAnsi="Arial" w:cs="Arial"/>
          <w:b/>
          <w:bCs/>
          <w:kern w:val="0"/>
          <w:lang w:eastAsia="en-GB"/>
          <w14:ligatures w14:val="none"/>
        </w:rPr>
        <w:t>C</w:t>
      </w:r>
      <w:r w:rsidR="00620F22" w:rsidRPr="009A706E">
        <w:rPr>
          <w:rStyle w:val="Hyperlink"/>
          <w:rFonts w:ascii="Arial" w:eastAsia="Times New Roman" w:hAnsi="Arial" w:cs="Arial"/>
          <w:b/>
          <w:bCs/>
          <w:kern w:val="0"/>
          <w:lang w:eastAsia="en-GB"/>
          <w14:ligatures w14:val="none"/>
        </w:rPr>
        <w:t xml:space="preserve">an be </w:t>
      </w:r>
      <w:r w:rsidR="00224982">
        <w:rPr>
          <w:rStyle w:val="Hyperlink"/>
          <w:rFonts w:ascii="Arial" w:eastAsia="Times New Roman" w:hAnsi="Arial" w:cs="Arial"/>
          <w:b/>
          <w:bCs/>
          <w:kern w:val="0"/>
          <w:lang w:eastAsia="en-GB"/>
          <w14:ligatures w14:val="none"/>
        </w:rPr>
        <w:t>A</w:t>
      </w:r>
      <w:r w:rsidR="00620F22" w:rsidRPr="009A706E">
        <w:rPr>
          <w:rStyle w:val="Hyperlink"/>
          <w:rFonts w:ascii="Arial" w:eastAsia="Times New Roman" w:hAnsi="Arial" w:cs="Arial"/>
          <w:b/>
          <w:bCs/>
          <w:kern w:val="0"/>
          <w:lang w:eastAsia="en-GB"/>
          <w14:ligatures w14:val="none"/>
        </w:rPr>
        <w:t>utomated?</w:t>
      </w:r>
      <w:r>
        <w:rPr>
          <w:rFonts w:ascii="Arial" w:eastAsia="Times New Roman" w:hAnsi="Arial" w:cs="Arial"/>
          <w:b/>
          <w:bCs/>
          <w:kern w:val="0"/>
          <w:lang w:eastAsia="en-GB"/>
          <w14:ligatures w14:val="none"/>
        </w:rPr>
        <w:fldChar w:fldCharType="end"/>
      </w:r>
    </w:p>
    <w:bookmarkEnd w:id="756"/>
    <w:bookmarkEnd w:id="757"/>
    <w:p w14:paraId="29863228" w14:textId="0DBA5F65" w:rsidR="00D73496" w:rsidRPr="00620F22" w:rsidRDefault="00620F22" w:rsidP="00715CDF">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 xml:space="preserve">An audit is continuous process (Lamboglia et al, 2021), therefore, a cloud-based audit suite with integrated AI-enabled audit software and applications will enable real-time access to audit data, including automatic workpapers, trial balance, and analytics. Auditors will be permitted to request and receive secure online audit confirmations from anywhere in the world due to guided compilation and review methodology, comprehensive data analytics, and value-added customer insight. This will be highlighted in a workflow for an automated audit, beginning with the engagement. </w:t>
      </w:r>
    </w:p>
    <w:bookmarkStart w:id="758" w:name="AT5"/>
    <w:bookmarkStart w:id="759" w:name="D110"/>
    <w:p w14:paraId="70A9F484" w14:textId="7BABBE64" w:rsidR="00620F22" w:rsidRPr="00620F22" w:rsidRDefault="00686250" w:rsidP="00D73496">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b/>
          <w:bCs/>
          <w:kern w:val="0"/>
          <w:lang w:eastAsia="en-US"/>
          <w14:ligatures w14:val="none"/>
        </w:rPr>
      </w:pPr>
      <w:r>
        <w:rPr>
          <w:rFonts w:ascii="Arial" w:eastAsia="Times New Roman" w:hAnsi="Arial" w:cs="Arial"/>
          <w:b/>
          <w:bCs/>
          <w:kern w:val="0"/>
          <w:lang w:eastAsia="en-GB"/>
          <w14:ligatures w14:val="none"/>
        </w:rPr>
        <w:fldChar w:fldCharType="begin"/>
      </w:r>
      <w:r>
        <w:rPr>
          <w:rFonts w:ascii="Arial" w:eastAsia="Times New Roman" w:hAnsi="Arial" w:cs="Arial"/>
          <w:b/>
          <w:bCs/>
          <w:kern w:val="0"/>
          <w:lang w:eastAsia="en-GB"/>
          <w14:ligatures w14:val="none"/>
        </w:rPr>
        <w:instrText>HYPERLINK  \l "C110"</w:instrText>
      </w:r>
      <w:r>
        <w:rPr>
          <w:rFonts w:ascii="Arial" w:eastAsia="Times New Roman" w:hAnsi="Arial" w:cs="Arial"/>
          <w:b/>
          <w:bCs/>
          <w:kern w:val="0"/>
          <w:lang w:eastAsia="en-GB"/>
          <w14:ligatures w14:val="none"/>
        </w:rPr>
      </w:r>
      <w:r>
        <w:rPr>
          <w:rFonts w:ascii="Arial" w:eastAsia="Times New Roman" w:hAnsi="Arial" w:cs="Arial"/>
          <w:b/>
          <w:bCs/>
          <w:kern w:val="0"/>
          <w:lang w:eastAsia="en-GB"/>
          <w14:ligatures w14:val="none"/>
        </w:rPr>
        <w:fldChar w:fldCharType="separate"/>
      </w:r>
      <w:r w:rsidR="00620F22" w:rsidRPr="00686250">
        <w:rPr>
          <w:rStyle w:val="Hyperlink"/>
          <w:rFonts w:ascii="Arial" w:eastAsia="Times New Roman" w:hAnsi="Arial" w:cs="Arial"/>
          <w:b/>
          <w:bCs/>
          <w:kern w:val="0"/>
          <w:lang w:eastAsia="en-GB"/>
          <w14:ligatures w14:val="none"/>
        </w:rPr>
        <w:t>4.5.4.1</w:t>
      </w:r>
      <w:r w:rsidR="00620F22" w:rsidRPr="00686250">
        <w:rPr>
          <w:rStyle w:val="Hyperlink"/>
          <w:rFonts w:ascii="Arial" w:eastAsiaTheme="minorHAnsi" w:hAnsi="Arial" w:cs="Arial"/>
          <w:b/>
          <w:bCs/>
          <w:kern w:val="0"/>
          <w:lang w:eastAsia="en-US"/>
          <w14:ligatures w14:val="none"/>
        </w:rPr>
        <w:t xml:space="preserve"> </w:t>
      </w:r>
      <w:r w:rsidR="00620F22" w:rsidRPr="00686250">
        <w:rPr>
          <w:rStyle w:val="Hyperlink"/>
          <w:rFonts w:ascii="Arial" w:eastAsia="Times New Roman" w:hAnsi="Arial" w:cs="Arial"/>
          <w:b/>
          <w:bCs/>
          <w:kern w:val="0"/>
          <w:lang w:eastAsia="en-GB"/>
          <w14:ligatures w14:val="none"/>
        </w:rPr>
        <w:t>Audit Engagement Management</w:t>
      </w:r>
      <w:r>
        <w:rPr>
          <w:rFonts w:ascii="Arial" w:eastAsia="Times New Roman" w:hAnsi="Arial" w:cs="Arial"/>
          <w:b/>
          <w:bCs/>
          <w:kern w:val="0"/>
          <w:lang w:eastAsia="en-GB"/>
          <w14:ligatures w14:val="none"/>
        </w:rPr>
        <w:fldChar w:fldCharType="end"/>
      </w:r>
    </w:p>
    <w:bookmarkEnd w:id="758"/>
    <w:bookmarkEnd w:id="759"/>
    <w:p w14:paraId="43166AF5"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Engagement workflow will be accelerated by audit automation using a cloud-based organisational centre as it provides instant access to all work documents and trial balances in particular:</w:t>
      </w:r>
    </w:p>
    <w:p w14:paraId="4E120E59" w14:textId="77777777" w:rsidR="00620F22" w:rsidRPr="00620F22" w:rsidRDefault="00620F22">
      <w:pPr>
        <w:numPr>
          <w:ilvl w:val="0"/>
          <w:numId w:val="30"/>
        </w:numPr>
        <w:spacing w:line="480" w:lineRule="auto"/>
        <w:contextualSpacing/>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 xml:space="preserve"> </w:t>
      </w:r>
      <w:r w:rsidRPr="00620F22">
        <w:rPr>
          <w:rFonts w:ascii="Arial" w:eastAsiaTheme="minorHAnsi" w:hAnsi="Arial" w:cs="Arial"/>
          <w:b/>
          <w:bCs/>
          <w:color w:val="000000" w:themeColor="text1"/>
          <w:kern w:val="0"/>
          <w:lang w:eastAsia="en-US"/>
          <w14:ligatures w14:val="none"/>
        </w:rPr>
        <w:t>Workpapers.</w:t>
      </w:r>
      <w:r w:rsidRPr="00620F22">
        <w:rPr>
          <w:rFonts w:ascii="Arial" w:eastAsiaTheme="minorHAnsi" w:hAnsi="Arial" w:cs="Arial"/>
          <w:color w:val="000000" w:themeColor="text1"/>
          <w:kern w:val="0"/>
          <w:lang w:eastAsia="en-US"/>
          <w14:ligatures w14:val="none"/>
        </w:rPr>
        <w:t xml:space="preserve"> With numerous templates, a high level of customisation, the capacity to complete multiple jobs at once can be achieved.  </w:t>
      </w:r>
    </w:p>
    <w:p w14:paraId="25BD41E7" w14:textId="77777777" w:rsidR="00620F22" w:rsidRPr="00620F22" w:rsidRDefault="00620F22">
      <w:pPr>
        <w:numPr>
          <w:ilvl w:val="0"/>
          <w:numId w:val="30"/>
        </w:numPr>
        <w:spacing w:line="480" w:lineRule="auto"/>
        <w:contextualSpacing/>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 xml:space="preserve"> </w:t>
      </w:r>
      <w:r w:rsidRPr="00620F22">
        <w:rPr>
          <w:rFonts w:ascii="Arial" w:eastAsiaTheme="minorHAnsi" w:hAnsi="Arial" w:cs="Arial"/>
          <w:b/>
          <w:bCs/>
          <w:color w:val="000000" w:themeColor="text1"/>
          <w:kern w:val="0"/>
          <w:lang w:eastAsia="en-US"/>
          <w14:ligatures w14:val="none"/>
        </w:rPr>
        <w:t>Test of balance</w:t>
      </w:r>
      <w:r w:rsidRPr="00620F22">
        <w:rPr>
          <w:rFonts w:ascii="Arial" w:eastAsiaTheme="minorHAnsi" w:hAnsi="Arial" w:cs="Arial"/>
          <w:color w:val="000000" w:themeColor="text1"/>
          <w:kern w:val="0"/>
          <w:lang w:eastAsia="en-US"/>
          <w14:ligatures w14:val="none"/>
        </w:rPr>
        <w:t>. With strong trial balance features such as quick imports, intelligent filtering, and tabling work can be done with ease.</w:t>
      </w:r>
    </w:p>
    <w:p w14:paraId="6895FF07" w14:textId="77777777" w:rsidR="00620F22" w:rsidRDefault="00620F22">
      <w:pPr>
        <w:numPr>
          <w:ilvl w:val="0"/>
          <w:numId w:val="30"/>
        </w:numPr>
        <w:spacing w:line="480" w:lineRule="auto"/>
        <w:contextualSpacing/>
        <w:jc w:val="both"/>
        <w:rPr>
          <w:rFonts w:ascii="Arial" w:eastAsiaTheme="minorHAnsi" w:hAnsi="Arial" w:cs="Arial"/>
          <w:color w:val="000000" w:themeColor="text1"/>
          <w:kern w:val="0"/>
          <w:lang w:eastAsia="en-US"/>
          <w14:ligatures w14:val="none"/>
        </w:rPr>
      </w:pPr>
      <w:r w:rsidRPr="00620F22">
        <w:rPr>
          <w:rFonts w:ascii="Arial" w:eastAsiaTheme="minorHAnsi" w:hAnsi="Arial" w:cs="Arial"/>
          <w:b/>
          <w:bCs/>
          <w:color w:val="000000" w:themeColor="text1"/>
          <w:kern w:val="0"/>
          <w:lang w:eastAsia="en-US"/>
          <w14:ligatures w14:val="none"/>
        </w:rPr>
        <w:t>Management of documents</w:t>
      </w:r>
      <w:r w:rsidRPr="00620F22">
        <w:rPr>
          <w:rFonts w:ascii="Arial" w:eastAsiaTheme="minorHAnsi" w:hAnsi="Arial" w:cs="Arial"/>
          <w:color w:val="000000" w:themeColor="text1"/>
          <w:kern w:val="0"/>
          <w:lang w:eastAsia="en-US"/>
          <w14:ligatures w14:val="none"/>
        </w:rPr>
        <w:t xml:space="preserve">. Standardise and organise large quantities of papers for a project or engagement effortlessly. </w:t>
      </w:r>
    </w:p>
    <w:p w14:paraId="22756133" w14:textId="77777777" w:rsidR="00A12973" w:rsidRPr="00620F22" w:rsidRDefault="00A12973" w:rsidP="00A12973">
      <w:pPr>
        <w:spacing w:line="480" w:lineRule="auto"/>
        <w:ind w:left="720"/>
        <w:contextualSpacing/>
        <w:jc w:val="both"/>
        <w:rPr>
          <w:rFonts w:ascii="Arial" w:eastAsiaTheme="minorHAnsi" w:hAnsi="Arial" w:cs="Arial"/>
          <w:color w:val="000000" w:themeColor="text1"/>
          <w:kern w:val="0"/>
          <w:lang w:eastAsia="en-US"/>
          <w14:ligatures w14:val="none"/>
        </w:rPr>
      </w:pPr>
    </w:p>
    <w:p w14:paraId="5D658DA7"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The technology allows the entire management of the audit from a central location with full trial balance capabilities, workpaper management, and financial statement reporting functionality, and you can give clients relevant information about the overall status of the work, the status of workpaper signoff, and crucially financial advice.</w:t>
      </w:r>
    </w:p>
    <w:p w14:paraId="1BF81EE8" w14:textId="382C2A0E" w:rsidR="00620F22" w:rsidRPr="009A706E" w:rsidRDefault="00620F22" w:rsidP="00A12973">
      <w:pPr>
        <w:pBdr>
          <w:top w:val="single" w:sz="4" w:space="1" w:color="auto"/>
          <w:left w:val="single" w:sz="4" w:space="4" w:color="auto"/>
          <w:bottom w:val="single" w:sz="4" w:space="1" w:color="auto"/>
          <w:right w:val="single" w:sz="4" w:space="4" w:color="auto"/>
        </w:pBdr>
        <w:shd w:val="clear" w:color="auto" w:fill="FFFFFF"/>
        <w:spacing w:before="100" w:beforeAutospacing="1" w:after="100" w:afterAutospacing="1" w:line="240" w:lineRule="auto"/>
        <w:jc w:val="both"/>
        <w:outlineLvl w:val="2"/>
        <w:rPr>
          <w:rStyle w:val="Hyperlink"/>
          <w:rFonts w:ascii="Arial" w:eastAsia="Times New Roman" w:hAnsi="Arial" w:cs="Arial"/>
          <w:b/>
          <w:bCs/>
          <w:kern w:val="0"/>
          <w:lang w:eastAsia="en-GB"/>
          <w14:ligatures w14:val="none"/>
        </w:rPr>
      </w:pPr>
      <w:bookmarkStart w:id="760" w:name="AT6"/>
      <w:r w:rsidRPr="00620F22">
        <w:rPr>
          <w:rFonts w:ascii="Arial" w:eastAsiaTheme="minorHAnsi" w:hAnsi="Arial" w:cs="Arial"/>
          <w:b/>
          <w:bCs/>
          <w:kern w:val="0"/>
          <w:lang w:eastAsia="en-US"/>
          <w14:ligatures w14:val="none"/>
        </w:rPr>
        <w:lastRenderedPageBreak/>
        <w:t xml:space="preserve"> </w:t>
      </w:r>
      <w:bookmarkStart w:id="761" w:name="D111"/>
      <w:r w:rsidR="009A706E">
        <w:rPr>
          <w:rFonts w:ascii="Arial" w:eastAsia="Times New Roman" w:hAnsi="Arial" w:cs="Arial"/>
          <w:b/>
          <w:bCs/>
          <w:kern w:val="0"/>
          <w:lang w:eastAsia="en-GB"/>
          <w14:ligatures w14:val="none"/>
        </w:rPr>
        <w:fldChar w:fldCharType="begin"/>
      </w:r>
      <w:r w:rsidR="009A706E">
        <w:rPr>
          <w:rFonts w:ascii="Arial" w:eastAsia="Times New Roman" w:hAnsi="Arial" w:cs="Arial"/>
          <w:b/>
          <w:bCs/>
          <w:kern w:val="0"/>
          <w:lang w:eastAsia="en-GB"/>
          <w14:ligatures w14:val="none"/>
        </w:rPr>
        <w:instrText>HYPERLINK  \l "C111"</w:instrText>
      </w:r>
      <w:r w:rsidR="009A706E">
        <w:rPr>
          <w:rFonts w:ascii="Arial" w:eastAsia="Times New Roman" w:hAnsi="Arial" w:cs="Arial"/>
          <w:b/>
          <w:bCs/>
          <w:kern w:val="0"/>
          <w:lang w:eastAsia="en-GB"/>
          <w14:ligatures w14:val="none"/>
        </w:rPr>
      </w:r>
      <w:r w:rsidR="009A706E">
        <w:rPr>
          <w:rFonts w:ascii="Arial" w:eastAsia="Times New Roman" w:hAnsi="Arial" w:cs="Arial"/>
          <w:b/>
          <w:bCs/>
          <w:kern w:val="0"/>
          <w:lang w:eastAsia="en-GB"/>
          <w14:ligatures w14:val="none"/>
        </w:rPr>
        <w:fldChar w:fldCharType="separate"/>
      </w:r>
      <w:r w:rsidRPr="009A706E">
        <w:rPr>
          <w:rStyle w:val="Hyperlink"/>
          <w:rFonts w:ascii="Arial" w:eastAsia="Times New Roman" w:hAnsi="Arial" w:cs="Arial"/>
          <w:b/>
          <w:bCs/>
          <w:kern w:val="0"/>
          <w:lang w:eastAsia="en-GB"/>
          <w14:ligatures w14:val="none"/>
        </w:rPr>
        <w:t xml:space="preserve">4.5.4.2 Audit </w:t>
      </w:r>
      <w:r w:rsidR="00417B53">
        <w:rPr>
          <w:rStyle w:val="Hyperlink"/>
          <w:rFonts w:ascii="Arial" w:eastAsia="Times New Roman" w:hAnsi="Arial" w:cs="Arial"/>
          <w:b/>
          <w:bCs/>
          <w:kern w:val="0"/>
          <w:lang w:eastAsia="en-GB"/>
          <w14:ligatures w14:val="none"/>
        </w:rPr>
        <w:t>M</w:t>
      </w:r>
      <w:r w:rsidRPr="009A706E">
        <w:rPr>
          <w:rStyle w:val="Hyperlink"/>
          <w:rFonts w:ascii="Arial" w:eastAsia="Times New Roman" w:hAnsi="Arial" w:cs="Arial"/>
          <w:b/>
          <w:bCs/>
          <w:kern w:val="0"/>
          <w:lang w:eastAsia="en-GB"/>
          <w14:ligatures w14:val="none"/>
        </w:rPr>
        <w:t>ethodology</w:t>
      </w:r>
      <w:bookmarkEnd w:id="761"/>
    </w:p>
    <w:bookmarkEnd w:id="760"/>
    <w:p w14:paraId="18C65897" w14:textId="596647A3"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9A706E">
        <w:rPr>
          <w:rStyle w:val="Hyperlink"/>
          <w:rFonts w:ascii="Arial" w:eastAsiaTheme="minorHAnsi" w:hAnsi="Arial" w:cs="Arial"/>
          <w:kern w:val="0"/>
          <w:lang w:eastAsia="en-US"/>
          <w14:ligatures w14:val="none"/>
        </w:rPr>
        <w:t>T</w:t>
      </w:r>
      <w:r w:rsidR="009A706E">
        <w:rPr>
          <w:rFonts w:ascii="Arial" w:eastAsia="Times New Roman" w:hAnsi="Arial" w:cs="Arial"/>
          <w:b/>
          <w:bCs/>
          <w:kern w:val="0"/>
          <w:lang w:eastAsia="en-GB"/>
          <w14:ligatures w14:val="none"/>
        </w:rPr>
        <w:fldChar w:fldCharType="end"/>
      </w:r>
      <w:r w:rsidRPr="00620F22">
        <w:rPr>
          <w:rFonts w:ascii="Arial" w:eastAsiaTheme="minorHAnsi" w:hAnsi="Arial" w:cs="Arial"/>
          <w:color w:val="000000" w:themeColor="text1"/>
          <w:kern w:val="0"/>
          <w:lang w:eastAsia="en-US"/>
          <w14:ligatures w14:val="none"/>
        </w:rPr>
        <w:t>he automation process allows the creation of a bespoke audit programme based on recorded risks and assessments using the current risk-based audit technique to avoid over-auditing. Specifically, the firm will be able to:</w:t>
      </w:r>
    </w:p>
    <w:p w14:paraId="0C415613" w14:textId="77777777" w:rsidR="00620F22" w:rsidRPr="00620F22" w:rsidRDefault="00620F22">
      <w:pPr>
        <w:numPr>
          <w:ilvl w:val="0"/>
          <w:numId w:val="31"/>
        </w:numPr>
        <w:spacing w:line="480" w:lineRule="auto"/>
        <w:contextualSpacing/>
        <w:jc w:val="both"/>
        <w:rPr>
          <w:rFonts w:ascii="Arial" w:eastAsiaTheme="minorHAnsi" w:hAnsi="Arial" w:cs="Arial"/>
          <w:color w:val="000000" w:themeColor="text1"/>
          <w:kern w:val="0"/>
          <w:lang w:eastAsia="en-US"/>
          <w14:ligatures w14:val="none"/>
        </w:rPr>
      </w:pPr>
      <w:r w:rsidRPr="00620F22">
        <w:rPr>
          <w:rFonts w:ascii="Arial" w:eastAsiaTheme="minorHAnsi" w:hAnsi="Arial" w:cs="Arial"/>
          <w:b/>
          <w:bCs/>
          <w:color w:val="000000" w:themeColor="text1"/>
          <w:kern w:val="0"/>
          <w:lang w:eastAsia="en-US"/>
          <w14:ligatures w14:val="none"/>
        </w:rPr>
        <w:t>Identify dangers.</w:t>
      </w:r>
      <w:r w:rsidRPr="00620F22">
        <w:rPr>
          <w:rFonts w:ascii="Arial" w:eastAsiaTheme="minorHAnsi" w:hAnsi="Arial" w:cs="Arial"/>
          <w:color w:val="000000" w:themeColor="text1"/>
          <w:kern w:val="0"/>
          <w:lang w:eastAsia="en-US"/>
          <w14:ligatures w14:val="none"/>
        </w:rPr>
        <w:t xml:space="preserve"> Spot any potential hazards in a timely way and examine how other businesses are handling risk in comparable audit engagements.</w:t>
      </w:r>
    </w:p>
    <w:p w14:paraId="418FD9BD" w14:textId="77777777" w:rsidR="00620F22" w:rsidRPr="00620F22" w:rsidRDefault="00620F22">
      <w:pPr>
        <w:numPr>
          <w:ilvl w:val="0"/>
          <w:numId w:val="31"/>
        </w:numPr>
        <w:spacing w:line="480" w:lineRule="auto"/>
        <w:contextualSpacing/>
        <w:jc w:val="both"/>
        <w:rPr>
          <w:rFonts w:ascii="Arial" w:eastAsiaTheme="minorHAnsi" w:hAnsi="Arial" w:cs="Arial"/>
          <w:color w:val="000000" w:themeColor="text1"/>
          <w:kern w:val="0"/>
          <w:lang w:eastAsia="en-US"/>
          <w14:ligatures w14:val="none"/>
        </w:rPr>
      </w:pPr>
      <w:r w:rsidRPr="00620F22">
        <w:rPr>
          <w:rFonts w:ascii="Arial" w:eastAsiaTheme="minorHAnsi" w:hAnsi="Arial" w:cs="Arial"/>
          <w:b/>
          <w:bCs/>
          <w:color w:val="000000" w:themeColor="text1"/>
          <w:kern w:val="0"/>
          <w:lang w:eastAsia="en-US"/>
          <w14:ligatures w14:val="none"/>
        </w:rPr>
        <w:t>Succeed peer review</w:t>
      </w:r>
      <w:r w:rsidRPr="00620F22">
        <w:rPr>
          <w:rFonts w:ascii="Arial" w:eastAsiaTheme="minorHAnsi" w:hAnsi="Arial" w:cs="Arial"/>
          <w:color w:val="000000" w:themeColor="text1"/>
          <w:kern w:val="0"/>
          <w:lang w:eastAsia="en-US"/>
          <w14:ligatures w14:val="none"/>
        </w:rPr>
        <w:t>. This will be achieved as the senior managers and engagement partners will be able to rely on audit techniques maintained by skilled editors and authors who make sure the audit programmes contents are accurate and up to date.</w:t>
      </w:r>
    </w:p>
    <w:p w14:paraId="46A10266" w14:textId="77777777" w:rsidR="00620F22" w:rsidRPr="00620F22" w:rsidRDefault="00620F22">
      <w:pPr>
        <w:numPr>
          <w:ilvl w:val="0"/>
          <w:numId w:val="31"/>
        </w:numPr>
        <w:spacing w:line="480" w:lineRule="auto"/>
        <w:contextualSpacing/>
        <w:jc w:val="both"/>
        <w:rPr>
          <w:rFonts w:ascii="Arial" w:eastAsiaTheme="minorHAnsi" w:hAnsi="Arial" w:cs="Arial"/>
          <w:color w:val="000000" w:themeColor="text1"/>
          <w:kern w:val="0"/>
          <w:lang w:eastAsia="en-US"/>
          <w14:ligatures w14:val="none"/>
        </w:rPr>
      </w:pPr>
      <w:r w:rsidRPr="00620F22">
        <w:rPr>
          <w:rFonts w:ascii="Arial" w:eastAsiaTheme="minorHAnsi" w:hAnsi="Arial" w:cs="Arial"/>
          <w:b/>
          <w:bCs/>
          <w:color w:val="000000" w:themeColor="text1"/>
          <w:kern w:val="0"/>
          <w:lang w:eastAsia="en-US"/>
          <w14:ligatures w14:val="none"/>
        </w:rPr>
        <w:t>Save time</w:t>
      </w:r>
      <w:r w:rsidRPr="00620F22">
        <w:rPr>
          <w:rFonts w:ascii="Arial" w:eastAsiaTheme="minorHAnsi" w:hAnsi="Arial" w:cs="Arial"/>
          <w:color w:val="000000" w:themeColor="text1"/>
          <w:kern w:val="0"/>
          <w:lang w:eastAsia="en-US"/>
          <w14:ligatures w14:val="none"/>
        </w:rPr>
        <w:t>. Unique configuration of the audit process will ensure that papers and questions are obtained avoiding duplication and redundancy.</w:t>
      </w:r>
    </w:p>
    <w:p w14:paraId="29E5DB9F" w14:textId="77777777" w:rsidR="00620F22" w:rsidRPr="00620F22" w:rsidRDefault="00620F22">
      <w:pPr>
        <w:numPr>
          <w:ilvl w:val="0"/>
          <w:numId w:val="31"/>
        </w:numPr>
        <w:spacing w:line="480" w:lineRule="auto"/>
        <w:contextualSpacing/>
        <w:jc w:val="both"/>
        <w:rPr>
          <w:rFonts w:ascii="Arial" w:eastAsiaTheme="minorHAnsi" w:hAnsi="Arial" w:cs="Arial"/>
          <w:color w:val="000000" w:themeColor="text1"/>
          <w:kern w:val="0"/>
          <w:lang w:eastAsia="en-US"/>
          <w14:ligatures w14:val="none"/>
        </w:rPr>
      </w:pPr>
      <w:r w:rsidRPr="00620F22">
        <w:rPr>
          <w:rFonts w:ascii="Arial" w:eastAsiaTheme="minorHAnsi" w:hAnsi="Arial" w:cs="Arial"/>
          <w:b/>
          <w:bCs/>
          <w:color w:val="000000" w:themeColor="text1"/>
          <w:kern w:val="0"/>
          <w:lang w:eastAsia="en-US"/>
          <w14:ligatures w14:val="none"/>
        </w:rPr>
        <w:t xml:space="preserve">Version Control. </w:t>
      </w:r>
      <w:r w:rsidRPr="00620F22">
        <w:rPr>
          <w:rFonts w:ascii="Arial" w:eastAsiaTheme="minorHAnsi" w:hAnsi="Arial" w:cs="Arial"/>
          <w:color w:val="000000" w:themeColor="text1"/>
          <w:kern w:val="0"/>
          <w:lang w:eastAsia="en-US"/>
          <w14:ligatures w14:val="none"/>
        </w:rPr>
        <w:t>As already noted, version control and employee access and authorisation problems are resolved in the cloud. It is also possible to incorporate regulatory changes in the field and communicate information while working on engagements concurrently or elsewhere with a trusted engagement process and risk-based architecture.</w:t>
      </w:r>
    </w:p>
    <w:p w14:paraId="7227310F" w14:textId="77777777" w:rsidR="00620F22" w:rsidRPr="00620F22" w:rsidRDefault="00620F22" w:rsidP="00620F22">
      <w:pPr>
        <w:spacing w:line="480" w:lineRule="auto"/>
        <w:ind w:left="720"/>
        <w:contextualSpacing/>
        <w:jc w:val="both"/>
        <w:rPr>
          <w:rFonts w:ascii="Arial" w:eastAsiaTheme="minorHAnsi" w:hAnsi="Arial" w:cs="Arial"/>
          <w:color w:val="000000" w:themeColor="text1"/>
          <w:kern w:val="0"/>
          <w:lang w:eastAsia="en-US"/>
          <w14:ligatures w14:val="none"/>
        </w:rPr>
      </w:pPr>
    </w:p>
    <w:bookmarkStart w:id="762" w:name="_Hlk170036986"/>
    <w:bookmarkStart w:id="763" w:name="AT7"/>
    <w:bookmarkStart w:id="764" w:name="D112"/>
    <w:p w14:paraId="64920588" w14:textId="40068EEB" w:rsidR="00620F22" w:rsidRPr="00620F22" w:rsidRDefault="009A706E" w:rsidP="00A12973">
      <w:pPr>
        <w:pBdr>
          <w:top w:val="single" w:sz="4" w:space="1" w:color="auto"/>
          <w:left w:val="single" w:sz="4" w:space="4" w:color="auto"/>
          <w:bottom w:val="single" w:sz="4" w:space="1" w:color="auto"/>
          <w:right w:val="single" w:sz="4" w:space="4" w:color="auto"/>
        </w:pBdr>
        <w:shd w:val="clear" w:color="auto" w:fill="FFFFFF"/>
        <w:spacing w:before="100" w:beforeAutospacing="1" w:after="100" w:afterAutospacing="1" w:line="240" w:lineRule="auto"/>
        <w:jc w:val="both"/>
        <w:outlineLvl w:val="2"/>
        <w:rPr>
          <w:rFonts w:ascii="Arial" w:eastAsia="Times New Roman" w:hAnsi="Arial" w:cs="Arial"/>
          <w:b/>
          <w:bCs/>
          <w:kern w:val="0"/>
          <w:lang w:eastAsia="en-GB"/>
          <w14:ligatures w14:val="none"/>
        </w:rPr>
      </w:pPr>
      <w:r>
        <w:rPr>
          <w:rFonts w:ascii="Arial" w:eastAsia="Times New Roman" w:hAnsi="Arial" w:cs="Arial"/>
          <w:b/>
          <w:bCs/>
          <w:kern w:val="0"/>
          <w:lang w:eastAsia="en-GB"/>
          <w14:ligatures w14:val="none"/>
        </w:rPr>
        <w:fldChar w:fldCharType="begin"/>
      </w:r>
      <w:r>
        <w:rPr>
          <w:rFonts w:ascii="Arial" w:eastAsia="Times New Roman" w:hAnsi="Arial" w:cs="Arial"/>
          <w:b/>
          <w:bCs/>
          <w:kern w:val="0"/>
          <w:lang w:eastAsia="en-GB"/>
          <w14:ligatures w14:val="none"/>
        </w:rPr>
        <w:instrText>HYPERLINK  \l "C112"</w:instrText>
      </w:r>
      <w:r>
        <w:rPr>
          <w:rFonts w:ascii="Arial" w:eastAsia="Times New Roman" w:hAnsi="Arial" w:cs="Arial"/>
          <w:b/>
          <w:bCs/>
          <w:kern w:val="0"/>
          <w:lang w:eastAsia="en-GB"/>
          <w14:ligatures w14:val="none"/>
        </w:rPr>
      </w:r>
      <w:r>
        <w:rPr>
          <w:rFonts w:ascii="Arial" w:eastAsia="Times New Roman" w:hAnsi="Arial" w:cs="Arial"/>
          <w:b/>
          <w:bCs/>
          <w:kern w:val="0"/>
          <w:lang w:eastAsia="en-GB"/>
          <w14:ligatures w14:val="none"/>
        </w:rPr>
        <w:fldChar w:fldCharType="separate"/>
      </w:r>
      <w:r w:rsidR="00620F22" w:rsidRPr="009A706E">
        <w:rPr>
          <w:rStyle w:val="Hyperlink"/>
          <w:rFonts w:ascii="Arial" w:eastAsia="Times New Roman" w:hAnsi="Arial" w:cs="Arial"/>
          <w:b/>
          <w:bCs/>
          <w:kern w:val="0"/>
          <w:lang w:eastAsia="en-GB"/>
          <w14:ligatures w14:val="none"/>
        </w:rPr>
        <w:t xml:space="preserve">4.5.4.3 </w:t>
      </w:r>
      <w:bookmarkEnd w:id="762"/>
      <w:r w:rsidR="00620F22" w:rsidRPr="009A706E">
        <w:rPr>
          <w:rStyle w:val="Hyperlink"/>
          <w:rFonts w:ascii="Arial" w:eastAsia="Times New Roman" w:hAnsi="Arial" w:cs="Arial"/>
          <w:b/>
          <w:bCs/>
          <w:kern w:val="0"/>
          <w:lang w:eastAsia="en-GB"/>
          <w14:ligatures w14:val="none"/>
        </w:rPr>
        <w:t xml:space="preserve">Secure </w:t>
      </w:r>
      <w:r w:rsidR="008C1EE1">
        <w:rPr>
          <w:rStyle w:val="Hyperlink"/>
          <w:rFonts w:ascii="Arial" w:eastAsia="Times New Roman" w:hAnsi="Arial" w:cs="Arial"/>
          <w:b/>
          <w:bCs/>
          <w:kern w:val="0"/>
          <w:lang w:eastAsia="en-GB"/>
          <w14:ligatures w14:val="none"/>
        </w:rPr>
        <w:t>C</w:t>
      </w:r>
      <w:r w:rsidR="00620F22" w:rsidRPr="009A706E">
        <w:rPr>
          <w:rStyle w:val="Hyperlink"/>
          <w:rFonts w:ascii="Arial" w:eastAsia="Times New Roman" w:hAnsi="Arial" w:cs="Arial"/>
          <w:b/>
          <w:bCs/>
          <w:kern w:val="0"/>
          <w:lang w:eastAsia="en-GB"/>
          <w14:ligatures w14:val="none"/>
        </w:rPr>
        <w:t>onfirmations</w:t>
      </w:r>
      <w:r>
        <w:rPr>
          <w:rFonts w:ascii="Arial" w:eastAsia="Times New Roman" w:hAnsi="Arial" w:cs="Arial"/>
          <w:b/>
          <w:bCs/>
          <w:kern w:val="0"/>
          <w:lang w:eastAsia="en-GB"/>
          <w14:ligatures w14:val="none"/>
        </w:rPr>
        <w:fldChar w:fldCharType="end"/>
      </w:r>
    </w:p>
    <w:bookmarkEnd w:id="763"/>
    <w:bookmarkEnd w:id="764"/>
    <w:p w14:paraId="50EB20A0"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The automation process allows the secure transmission and online request of confirmations without the requirement for unwieldy and prone to fraud, confirmations from traditional methods (Chu et al, 2020). There should be a higher likelihood of a response thanks to a global and simplified network of verified responders. Specifically, the firm will experience:</w:t>
      </w:r>
    </w:p>
    <w:p w14:paraId="674F7B61" w14:textId="77777777" w:rsidR="00620F22" w:rsidRPr="00620F22" w:rsidRDefault="00620F22" w:rsidP="00620F22">
      <w:pPr>
        <w:spacing w:line="480" w:lineRule="auto"/>
        <w:jc w:val="both"/>
        <w:rPr>
          <w:rFonts w:ascii="Arial" w:eastAsiaTheme="minorHAnsi" w:hAnsi="Arial" w:cs="Arial"/>
          <w:b/>
          <w:bCs/>
          <w:color w:val="000000" w:themeColor="text1"/>
          <w:kern w:val="0"/>
          <w:lang w:eastAsia="en-US"/>
          <w14:ligatures w14:val="none"/>
        </w:rPr>
      </w:pPr>
      <w:r w:rsidRPr="00620F22">
        <w:rPr>
          <w:rFonts w:ascii="Arial" w:eastAsiaTheme="minorHAnsi" w:hAnsi="Arial" w:cs="Arial"/>
          <w:b/>
          <w:bCs/>
          <w:color w:val="000000" w:themeColor="text1"/>
          <w:kern w:val="0"/>
          <w:lang w:eastAsia="en-US"/>
          <w14:ligatures w14:val="none"/>
        </w:rPr>
        <w:lastRenderedPageBreak/>
        <w:t>1. Automated support</w:t>
      </w:r>
      <w:r w:rsidRPr="00620F22">
        <w:rPr>
          <w:rFonts w:ascii="Arial" w:eastAsiaTheme="minorHAnsi" w:hAnsi="Arial" w:cs="Arial"/>
          <w:color w:val="000000" w:themeColor="text1"/>
          <w:kern w:val="0"/>
          <w:lang w:eastAsia="en-US"/>
          <w14:ligatures w14:val="none"/>
        </w:rPr>
        <w:t>. There will be an automated follow-up on the auditor's behalf ensures a response.</w:t>
      </w:r>
    </w:p>
    <w:p w14:paraId="6F3D2F99"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b/>
          <w:bCs/>
          <w:color w:val="000000" w:themeColor="text1"/>
          <w:kern w:val="0"/>
          <w:lang w:eastAsia="en-US"/>
          <w14:ligatures w14:val="none"/>
        </w:rPr>
        <w:t>2.</w:t>
      </w:r>
      <w:r w:rsidRPr="00620F22">
        <w:rPr>
          <w:rFonts w:ascii="Arial" w:eastAsiaTheme="minorHAnsi" w:hAnsi="Arial" w:cs="Arial"/>
          <w:color w:val="000000" w:themeColor="text1"/>
          <w:kern w:val="0"/>
          <w:lang w:eastAsia="en-US"/>
          <w14:ligatures w14:val="none"/>
        </w:rPr>
        <w:t xml:space="preserve"> </w:t>
      </w:r>
      <w:r w:rsidRPr="00620F22">
        <w:rPr>
          <w:rFonts w:ascii="Arial" w:eastAsiaTheme="minorHAnsi" w:hAnsi="Arial" w:cs="Arial"/>
          <w:b/>
          <w:bCs/>
          <w:color w:val="000000" w:themeColor="text1"/>
          <w:kern w:val="0"/>
          <w:lang w:eastAsia="en-US"/>
          <w14:ligatures w14:val="none"/>
        </w:rPr>
        <w:t>All-inclusive answers.</w:t>
      </w:r>
      <w:r w:rsidRPr="00620F22">
        <w:rPr>
          <w:rFonts w:ascii="Arial" w:eastAsiaTheme="minorHAnsi" w:hAnsi="Arial" w:cs="Arial"/>
          <w:color w:val="000000" w:themeColor="text1"/>
          <w:kern w:val="0"/>
          <w:lang w:eastAsia="en-US"/>
          <w14:ligatures w14:val="none"/>
        </w:rPr>
        <w:t xml:space="preserve"> Audit engagements can be managed from one central location and deliver confirmations.</w:t>
      </w:r>
    </w:p>
    <w:p w14:paraId="1957E7FC"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b/>
          <w:bCs/>
          <w:color w:val="000000" w:themeColor="text1"/>
          <w:kern w:val="0"/>
          <w:lang w:eastAsia="en-US"/>
          <w14:ligatures w14:val="none"/>
        </w:rPr>
        <w:t>3. Security that meets industry norms.</w:t>
      </w:r>
      <w:r w:rsidRPr="00620F22">
        <w:rPr>
          <w:rFonts w:ascii="Arial" w:eastAsiaTheme="minorHAnsi" w:hAnsi="Arial" w:cs="Arial"/>
          <w:color w:val="000000" w:themeColor="text1"/>
          <w:kern w:val="0"/>
          <w:lang w:eastAsia="en-US"/>
          <w14:ligatures w14:val="none"/>
        </w:rPr>
        <w:t xml:space="preserve"> The automation allows the secure transfer of customer account data within a robust system from year to year.</w:t>
      </w:r>
    </w:p>
    <w:p w14:paraId="5C6B7B7F" w14:textId="36B56265"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 xml:space="preserve">Ultimately, the </w:t>
      </w:r>
      <w:r w:rsidR="00485F20">
        <w:rPr>
          <w:rFonts w:ascii="Arial" w:hAnsi="Arial" w:cs="Arial"/>
          <w:color w:val="000000" w:themeColor="text1"/>
        </w:rPr>
        <w:t>researcher</w:t>
      </w:r>
      <w:r w:rsidRPr="00620F22">
        <w:rPr>
          <w:rFonts w:ascii="Arial" w:eastAsiaTheme="minorHAnsi" w:hAnsi="Arial" w:cs="Arial"/>
          <w:color w:val="000000" w:themeColor="text1"/>
          <w:kern w:val="0"/>
          <w:lang w:eastAsia="en-US"/>
          <w14:ligatures w14:val="none"/>
        </w:rPr>
        <w:t xml:space="preserve"> believes audit automation should improve customer satisfaction, reduces costs, enhance productivity, and tackle Accounting Fraud by expediting the audit confirmation process.</w:t>
      </w:r>
    </w:p>
    <w:p w14:paraId="226DA5E2" w14:textId="5035E855" w:rsidR="00620F22" w:rsidRPr="00620F22" w:rsidRDefault="00620F22" w:rsidP="00620F22">
      <w:pPr>
        <w:spacing w:after="300" w:line="480" w:lineRule="auto"/>
        <w:jc w:val="both"/>
        <w:rPr>
          <w:rFonts w:ascii="Arial" w:eastAsia="Times New Roman" w:hAnsi="Arial" w:cs="Arial"/>
          <w:color w:val="000000" w:themeColor="text1"/>
          <w:kern w:val="0"/>
          <w:lang w:eastAsia="en-GB"/>
          <w14:ligatures w14:val="none"/>
        </w:rPr>
      </w:pPr>
      <w:r w:rsidRPr="00620F22">
        <w:rPr>
          <w:rFonts w:ascii="Arial" w:eastAsiaTheme="minorHAnsi" w:hAnsi="Arial" w:cs="Arial"/>
          <w:color w:val="000000" w:themeColor="text1"/>
          <w:kern w:val="0"/>
          <w:lang w:eastAsia="en-US"/>
          <w14:ligatures w14:val="none"/>
        </w:rPr>
        <w:t xml:space="preserve">Before we briefly explore the </w:t>
      </w:r>
      <w:r w:rsidRPr="00620F22">
        <w:rPr>
          <w:rFonts w:ascii="Arial" w:eastAsia="Times New Roman" w:hAnsi="Arial" w:cs="Arial"/>
          <w:color w:val="000000" w:themeColor="text1"/>
          <w:kern w:val="0"/>
          <w:lang w:eastAsia="en-GB"/>
          <w14:ligatures w14:val="none"/>
        </w:rPr>
        <w:t xml:space="preserve">key technologies that ensure audit automation and make the audit function more efficient and effective. The </w:t>
      </w:r>
      <w:r w:rsidR="008C2D86">
        <w:rPr>
          <w:rFonts w:ascii="Arial" w:hAnsi="Arial" w:cs="Arial"/>
          <w:color w:val="000000" w:themeColor="text1"/>
        </w:rPr>
        <w:t>researcher</w:t>
      </w:r>
      <w:r w:rsidRPr="00620F22">
        <w:rPr>
          <w:rFonts w:ascii="Arial" w:eastAsia="Times New Roman" w:hAnsi="Arial" w:cs="Arial"/>
          <w:color w:val="000000" w:themeColor="text1"/>
          <w:kern w:val="0"/>
          <w:lang w:eastAsia="en-GB"/>
          <w14:ligatures w14:val="none"/>
        </w:rPr>
        <w:t xml:space="preserve"> believes it is important to reiterate the ways the external audit profession has and will continue to benefit from automation.</w:t>
      </w:r>
    </w:p>
    <w:bookmarkStart w:id="765" w:name="AT8"/>
    <w:bookmarkStart w:id="766" w:name="D113"/>
    <w:p w14:paraId="63819469" w14:textId="30B2800A" w:rsidR="00620F22" w:rsidRPr="00620F22" w:rsidRDefault="009A706E" w:rsidP="00B27CDF">
      <w:pPr>
        <w:pBdr>
          <w:top w:val="single" w:sz="4" w:space="1" w:color="auto"/>
          <w:left w:val="single" w:sz="4" w:space="4" w:color="auto"/>
          <w:bottom w:val="single" w:sz="4" w:space="1" w:color="auto"/>
          <w:right w:val="single" w:sz="4" w:space="4" w:color="auto"/>
        </w:pBdr>
        <w:spacing w:after="300" w:line="240" w:lineRule="auto"/>
        <w:jc w:val="both"/>
        <w:rPr>
          <w:rFonts w:ascii="Arial" w:eastAsia="Times New Roman" w:hAnsi="Arial" w:cs="Arial"/>
          <w:b/>
          <w:bCs/>
          <w:kern w:val="0"/>
          <w:lang w:eastAsia="en-GB"/>
          <w14:ligatures w14:val="none"/>
        </w:rPr>
      </w:pPr>
      <w:r>
        <w:rPr>
          <w:rFonts w:ascii="Arial" w:eastAsia="Times New Roman" w:hAnsi="Arial" w:cs="Arial"/>
          <w:b/>
          <w:bCs/>
          <w:kern w:val="0"/>
          <w:lang w:eastAsia="en-GB"/>
          <w14:ligatures w14:val="none"/>
        </w:rPr>
        <w:fldChar w:fldCharType="begin"/>
      </w:r>
      <w:r>
        <w:rPr>
          <w:rFonts w:ascii="Arial" w:eastAsia="Times New Roman" w:hAnsi="Arial" w:cs="Arial"/>
          <w:b/>
          <w:bCs/>
          <w:kern w:val="0"/>
          <w:lang w:eastAsia="en-GB"/>
          <w14:ligatures w14:val="none"/>
        </w:rPr>
        <w:instrText>HYPERLINK  \l "C113"</w:instrText>
      </w:r>
      <w:r>
        <w:rPr>
          <w:rFonts w:ascii="Arial" w:eastAsia="Times New Roman" w:hAnsi="Arial" w:cs="Arial"/>
          <w:b/>
          <w:bCs/>
          <w:kern w:val="0"/>
          <w:lang w:eastAsia="en-GB"/>
          <w14:ligatures w14:val="none"/>
        </w:rPr>
      </w:r>
      <w:r>
        <w:rPr>
          <w:rFonts w:ascii="Arial" w:eastAsia="Times New Roman" w:hAnsi="Arial" w:cs="Arial"/>
          <w:b/>
          <w:bCs/>
          <w:kern w:val="0"/>
          <w:lang w:eastAsia="en-GB"/>
          <w14:ligatures w14:val="none"/>
        </w:rPr>
        <w:fldChar w:fldCharType="separate"/>
      </w:r>
      <w:r w:rsidR="00620F22" w:rsidRPr="009A706E">
        <w:rPr>
          <w:rStyle w:val="Hyperlink"/>
          <w:rFonts w:ascii="Arial" w:eastAsia="Times New Roman" w:hAnsi="Arial" w:cs="Arial"/>
          <w:b/>
          <w:bCs/>
          <w:kern w:val="0"/>
          <w:lang w:eastAsia="en-GB"/>
          <w14:ligatures w14:val="none"/>
        </w:rPr>
        <w:t xml:space="preserve">4.5.5 Why </w:t>
      </w:r>
      <w:r w:rsidR="00CA5AB3">
        <w:rPr>
          <w:rStyle w:val="Hyperlink"/>
          <w:rFonts w:ascii="Arial" w:eastAsia="Times New Roman" w:hAnsi="Arial" w:cs="Arial"/>
          <w:b/>
          <w:bCs/>
          <w:kern w:val="0"/>
          <w:lang w:eastAsia="en-GB"/>
          <w14:ligatures w14:val="none"/>
        </w:rPr>
        <w:t>A</w:t>
      </w:r>
      <w:r w:rsidR="00620F22" w:rsidRPr="009A706E">
        <w:rPr>
          <w:rStyle w:val="Hyperlink"/>
          <w:rFonts w:ascii="Arial" w:eastAsia="Times New Roman" w:hAnsi="Arial" w:cs="Arial"/>
          <w:b/>
          <w:bCs/>
          <w:kern w:val="0"/>
          <w:lang w:eastAsia="en-GB"/>
          <w14:ligatures w14:val="none"/>
        </w:rPr>
        <w:t xml:space="preserve">udit </w:t>
      </w:r>
      <w:r w:rsidR="00CA5AB3">
        <w:rPr>
          <w:rStyle w:val="Hyperlink"/>
          <w:rFonts w:ascii="Arial" w:eastAsia="Times New Roman" w:hAnsi="Arial" w:cs="Arial"/>
          <w:b/>
          <w:bCs/>
          <w:kern w:val="0"/>
          <w:lang w:eastAsia="en-GB"/>
          <w14:ligatures w14:val="none"/>
        </w:rPr>
        <w:t>A</w:t>
      </w:r>
      <w:r w:rsidR="00620F22" w:rsidRPr="009A706E">
        <w:rPr>
          <w:rStyle w:val="Hyperlink"/>
          <w:rFonts w:ascii="Arial" w:eastAsia="Times New Roman" w:hAnsi="Arial" w:cs="Arial"/>
          <w:b/>
          <w:bCs/>
          <w:kern w:val="0"/>
          <w:lang w:eastAsia="en-GB"/>
          <w14:ligatures w14:val="none"/>
        </w:rPr>
        <w:t xml:space="preserve">utomation is a </w:t>
      </w:r>
      <w:r w:rsidR="00CA5AB3">
        <w:rPr>
          <w:rStyle w:val="Hyperlink"/>
          <w:rFonts w:ascii="Arial" w:eastAsia="Times New Roman" w:hAnsi="Arial" w:cs="Arial"/>
          <w:b/>
          <w:bCs/>
          <w:kern w:val="0"/>
          <w:lang w:eastAsia="en-GB"/>
          <w14:ligatures w14:val="none"/>
        </w:rPr>
        <w:t>W</w:t>
      </w:r>
      <w:r w:rsidR="00620F22" w:rsidRPr="009A706E">
        <w:rPr>
          <w:rStyle w:val="Hyperlink"/>
          <w:rFonts w:ascii="Arial" w:eastAsia="Times New Roman" w:hAnsi="Arial" w:cs="Arial"/>
          <w:b/>
          <w:bCs/>
          <w:kern w:val="0"/>
          <w:lang w:eastAsia="en-GB"/>
          <w14:ligatures w14:val="none"/>
        </w:rPr>
        <w:t xml:space="preserve">orkable </w:t>
      </w:r>
      <w:r w:rsidR="00CA5AB3">
        <w:rPr>
          <w:rStyle w:val="Hyperlink"/>
          <w:rFonts w:ascii="Arial" w:eastAsia="Times New Roman" w:hAnsi="Arial" w:cs="Arial"/>
          <w:b/>
          <w:bCs/>
          <w:kern w:val="0"/>
          <w:lang w:eastAsia="en-GB"/>
          <w14:ligatures w14:val="none"/>
        </w:rPr>
        <w:t>S</w:t>
      </w:r>
      <w:r w:rsidR="00620F22" w:rsidRPr="009A706E">
        <w:rPr>
          <w:rStyle w:val="Hyperlink"/>
          <w:rFonts w:ascii="Arial" w:eastAsia="Times New Roman" w:hAnsi="Arial" w:cs="Arial"/>
          <w:b/>
          <w:bCs/>
          <w:kern w:val="0"/>
          <w:lang w:eastAsia="en-GB"/>
          <w14:ligatures w14:val="none"/>
        </w:rPr>
        <w:t>olution</w:t>
      </w:r>
      <w:r>
        <w:rPr>
          <w:rFonts w:ascii="Arial" w:eastAsia="Times New Roman" w:hAnsi="Arial" w:cs="Arial"/>
          <w:b/>
          <w:bCs/>
          <w:kern w:val="0"/>
          <w:lang w:eastAsia="en-GB"/>
          <w14:ligatures w14:val="none"/>
        </w:rPr>
        <w:fldChar w:fldCharType="end"/>
      </w:r>
    </w:p>
    <w:bookmarkEnd w:id="765"/>
    <w:bookmarkEnd w:id="766"/>
    <w:p w14:paraId="7D275AA8" w14:textId="05D47BBA"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 xml:space="preserve">Automation allows the auditors to obtain deeper insights and analytics into an organisation's operations, study and analyse vast amounts of data using sophisticated analytical tools and look for fraudulent patterns. This assists in changing the fundamental principle of auditing, which formerly concentrated on the audit of a data sample to </w:t>
      </w:r>
      <w:r w:rsidRPr="00620F22">
        <w:rPr>
          <w:rFonts w:ascii="Arial" w:eastAsiaTheme="minorHAnsi" w:hAnsi="Arial" w:cs="Arial"/>
          <w:b/>
          <w:bCs/>
          <w:i/>
          <w:iCs/>
          <w:color w:val="000000" w:themeColor="text1"/>
          <w:kern w:val="0"/>
          <w:lang w:eastAsia="en-US"/>
          <w14:ligatures w14:val="none"/>
        </w:rPr>
        <w:t xml:space="preserve">now testing of whole data sets </w:t>
      </w:r>
      <w:r w:rsidRPr="00620F22">
        <w:rPr>
          <w:rFonts w:ascii="Arial" w:eastAsiaTheme="minorHAnsi" w:hAnsi="Arial" w:cs="Arial"/>
          <w:b/>
          <w:bCs/>
          <w:color w:val="000000" w:themeColor="text1"/>
          <w:kern w:val="0"/>
          <w:lang w:eastAsia="en-US"/>
          <w14:ligatures w14:val="none"/>
        </w:rPr>
        <w:t>(Sun, 2019)</w:t>
      </w:r>
      <w:r w:rsidRPr="00620F22">
        <w:rPr>
          <w:rFonts w:ascii="Arial" w:eastAsiaTheme="minorHAnsi" w:hAnsi="Arial" w:cs="Arial"/>
          <w:color w:val="000000" w:themeColor="text1"/>
          <w:kern w:val="0"/>
          <w:lang w:eastAsia="en-US"/>
          <w14:ligatures w14:val="none"/>
        </w:rPr>
        <w:t xml:space="preserve">. This insight allows organisations to explore increasing the frequency of statutory audit or using a continuous audit model (Hazar, 2020) so that they are constantly being furnished with potentially value-added operational insights. Thus, the </w:t>
      </w:r>
      <w:r w:rsidR="00436E05">
        <w:rPr>
          <w:rFonts w:ascii="Arial" w:hAnsi="Arial" w:cs="Arial"/>
          <w:color w:val="000000" w:themeColor="text1"/>
        </w:rPr>
        <w:t>researcher</w:t>
      </w:r>
      <w:r w:rsidRPr="00620F22">
        <w:rPr>
          <w:rFonts w:ascii="Arial" w:eastAsiaTheme="minorHAnsi" w:hAnsi="Arial" w:cs="Arial"/>
          <w:color w:val="000000" w:themeColor="text1"/>
          <w:kern w:val="0"/>
          <w:lang w:eastAsia="en-US"/>
          <w14:ligatures w14:val="none"/>
        </w:rPr>
        <w:t xml:space="preserve"> believes there will in fact be greater demand for assurance services as fresh insights will need to be </w:t>
      </w:r>
      <w:r w:rsidRPr="00620F22">
        <w:rPr>
          <w:rFonts w:ascii="Arial" w:eastAsiaTheme="minorHAnsi" w:hAnsi="Arial" w:cs="Arial"/>
          <w:color w:val="000000" w:themeColor="text1"/>
          <w:kern w:val="0"/>
          <w:lang w:eastAsia="en-US"/>
          <w14:ligatures w14:val="none"/>
        </w:rPr>
        <w:lastRenderedPageBreak/>
        <w:t>scrutinised and from an internal audit perspective aligned to organisational objectives. There will also be greater coverage, faster and cleaner insights, and superior reporting that will increase the organisations value.</w:t>
      </w:r>
    </w:p>
    <w:p w14:paraId="69CDC90D"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By replacing manual operations with an automated audit system, audit steps are completed more speedily, and fresh insights are continually produced. Resulting in lower organisational expenses, and business operations that are run more effectively.</w:t>
      </w:r>
    </w:p>
    <w:p w14:paraId="16A6F8D4"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Auditors can continuously track industry trends and keep an eye on workflows to check high-risk operations. Errors are simple to identify and correct since a continual auditing process maintains uniformity and effectiveness in the results creation process. Hence, error detection becomes more accurate, audit quality rises, and firms produce work of a higher quality (Chen and Rozario, 2019).</w:t>
      </w:r>
    </w:p>
    <w:p w14:paraId="1EA48F38"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As the technology facilitates greater speed and ease of processes, auditors should have more time to focus on more complex or specialised tasks that call for discretion especially on suspicious transactions and test the validity of judgements such as around revaluation of non-current assets which was clearly identified in the last chapter by participants as a problem with Blockchain Technology. Auditors should be able to establish deeper and more effective relationships with client teams, raising the standard of assurance reviews, producing additional insights, and making strategic recommendations. The operational effectiveness of the organisation increases with the allocation of essential time to such added-value activities.</w:t>
      </w:r>
    </w:p>
    <w:p w14:paraId="2A1725A5"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Before we move to ‘people-centric’ approaches we will briefly discuss the key technologies that support the current automation eco-system.</w:t>
      </w:r>
    </w:p>
    <w:p w14:paraId="550BFDA9"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p>
    <w:bookmarkStart w:id="767" w:name="AT9"/>
    <w:bookmarkStart w:id="768" w:name="D114"/>
    <w:p w14:paraId="480F2A9D" w14:textId="0F800FD9" w:rsidR="00620F22" w:rsidRPr="00620F22" w:rsidRDefault="009A706E" w:rsidP="00310B01">
      <w:pPr>
        <w:pBdr>
          <w:top w:val="single" w:sz="4" w:space="1" w:color="auto"/>
          <w:left w:val="single" w:sz="4" w:space="4" w:color="auto"/>
          <w:bottom w:val="single" w:sz="4" w:space="1" w:color="auto"/>
          <w:right w:val="single" w:sz="4" w:space="4" w:color="auto"/>
        </w:pBdr>
        <w:spacing w:after="300" w:line="240" w:lineRule="auto"/>
        <w:jc w:val="both"/>
        <w:rPr>
          <w:rFonts w:ascii="Arial" w:eastAsia="Times New Roman" w:hAnsi="Arial" w:cs="Arial"/>
          <w:b/>
          <w:bCs/>
          <w:kern w:val="0"/>
          <w:lang w:eastAsia="en-GB"/>
          <w14:ligatures w14:val="none"/>
        </w:rPr>
      </w:pPr>
      <w:r>
        <w:rPr>
          <w:rFonts w:ascii="Arial" w:eastAsia="Times New Roman" w:hAnsi="Arial" w:cs="Arial"/>
          <w:b/>
          <w:bCs/>
          <w:kern w:val="0"/>
          <w:lang w:eastAsia="en-GB"/>
          <w14:ligatures w14:val="none"/>
        </w:rPr>
        <w:lastRenderedPageBreak/>
        <w:fldChar w:fldCharType="begin"/>
      </w:r>
      <w:r w:rsidR="00C44886">
        <w:rPr>
          <w:rFonts w:ascii="Arial" w:eastAsia="Times New Roman" w:hAnsi="Arial" w:cs="Arial"/>
          <w:b/>
          <w:bCs/>
          <w:kern w:val="0"/>
          <w:lang w:eastAsia="en-GB"/>
          <w14:ligatures w14:val="none"/>
        </w:rPr>
        <w:instrText>HYPERLINK  \l "C114"</w:instrText>
      </w:r>
      <w:r>
        <w:rPr>
          <w:rFonts w:ascii="Arial" w:eastAsia="Times New Roman" w:hAnsi="Arial" w:cs="Arial"/>
          <w:b/>
          <w:bCs/>
          <w:kern w:val="0"/>
          <w:lang w:eastAsia="en-GB"/>
          <w14:ligatures w14:val="none"/>
        </w:rPr>
      </w:r>
      <w:r>
        <w:rPr>
          <w:rFonts w:ascii="Arial" w:eastAsia="Times New Roman" w:hAnsi="Arial" w:cs="Arial"/>
          <w:b/>
          <w:bCs/>
          <w:kern w:val="0"/>
          <w:lang w:eastAsia="en-GB"/>
          <w14:ligatures w14:val="none"/>
        </w:rPr>
        <w:fldChar w:fldCharType="separate"/>
      </w:r>
      <w:r w:rsidR="00620F22" w:rsidRPr="009A706E">
        <w:rPr>
          <w:rStyle w:val="Hyperlink"/>
          <w:rFonts w:ascii="Arial" w:eastAsia="Times New Roman" w:hAnsi="Arial" w:cs="Arial"/>
          <w:b/>
          <w:bCs/>
          <w:kern w:val="0"/>
          <w:lang w:eastAsia="en-GB"/>
          <w14:ligatures w14:val="none"/>
        </w:rPr>
        <w:t xml:space="preserve"> 4.5.6 Key Automation </w:t>
      </w:r>
      <w:r w:rsidR="00B961F6" w:rsidRPr="009A706E">
        <w:rPr>
          <w:rStyle w:val="Hyperlink"/>
          <w:rFonts w:ascii="Arial" w:eastAsia="Times New Roman" w:hAnsi="Arial" w:cs="Arial"/>
          <w:b/>
          <w:bCs/>
          <w:kern w:val="0"/>
          <w:lang w:eastAsia="en-GB"/>
          <w14:ligatures w14:val="none"/>
        </w:rPr>
        <w:t>Technologies:</w:t>
      </w:r>
      <w:r w:rsidR="00620F22" w:rsidRPr="009A706E">
        <w:rPr>
          <w:rStyle w:val="Hyperlink"/>
          <w:rFonts w:ascii="Arial" w:eastAsia="Times New Roman" w:hAnsi="Arial" w:cs="Arial"/>
          <w:b/>
          <w:bCs/>
          <w:kern w:val="0"/>
          <w:lang w:eastAsia="en-GB"/>
          <w14:ligatures w14:val="none"/>
        </w:rPr>
        <w:t xml:space="preserve"> Cloud Technologies</w:t>
      </w:r>
      <w:r>
        <w:rPr>
          <w:rFonts w:ascii="Arial" w:eastAsia="Times New Roman" w:hAnsi="Arial" w:cs="Arial"/>
          <w:b/>
          <w:bCs/>
          <w:kern w:val="0"/>
          <w:lang w:eastAsia="en-GB"/>
          <w14:ligatures w14:val="none"/>
        </w:rPr>
        <w:fldChar w:fldCharType="end"/>
      </w:r>
      <w:r w:rsidR="00620F22" w:rsidRPr="00620F22">
        <w:rPr>
          <w:rFonts w:ascii="Arial" w:eastAsia="Times New Roman" w:hAnsi="Arial" w:cs="Arial"/>
          <w:b/>
          <w:bCs/>
          <w:kern w:val="0"/>
          <w:lang w:eastAsia="en-GB"/>
          <w14:ligatures w14:val="none"/>
        </w:rPr>
        <w:t xml:space="preserve"> </w:t>
      </w:r>
    </w:p>
    <w:bookmarkEnd w:id="767"/>
    <w:bookmarkEnd w:id="768"/>
    <w:p w14:paraId="08E2AA4C"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 xml:space="preserve">Practically every industry (Sharma et al, 2020) in the world is touched by cloud technologies in some manner and this was starkly apparent during the global coronavirus pandemic (Alhomdy, 2021). </w:t>
      </w:r>
      <w:r w:rsidRPr="00620F22">
        <w:rPr>
          <w:rFonts w:ascii="Arial" w:eastAsiaTheme="minorHAnsi" w:hAnsi="Arial" w:cs="Arial"/>
          <w:color w:val="000000" w:themeColor="text1"/>
          <w:kern w:val="0"/>
          <w:shd w:val="clear" w:color="auto" w:fill="FFFFFF"/>
          <w:lang w:eastAsia="en-US"/>
          <w14:ligatures w14:val="none"/>
        </w:rPr>
        <w:t>The technology allows the ability to store and access data and programmes over the internet instead of on a hard drive.</w:t>
      </w:r>
      <w:r w:rsidRPr="00620F22">
        <w:rPr>
          <w:rFonts w:ascii="Arial" w:eastAsiaTheme="minorHAnsi" w:hAnsi="Arial" w:cs="Arial"/>
          <w:b/>
          <w:bCs/>
          <w:color w:val="000000" w:themeColor="text1"/>
          <w:kern w:val="0"/>
          <w:sz w:val="22"/>
          <w:szCs w:val="22"/>
          <w:shd w:val="clear" w:color="auto" w:fill="FFFFFF"/>
          <w:lang w:eastAsia="en-US"/>
          <w14:ligatures w14:val="none"/>
        </w:rPr>
        <w:t xml:space="preserve"> </w:t>
      </w:r>
      <w:r w:rsidRPr="00620F22">
        <w:rPr>
          <w:rFonts w:ascii="Arial" w:eastAsiaTheme="minorHAnsi" w:hAnsi="Arial" w:cs="Arial"/>
          <w:color w:val="000000" w:themeColor="text1"/>
          <w:kern w:val="0"/>
          <w:lang w:eastAsia="en-US"/>
          <w14:ligatures w14:val="none"/>
        </w:rPr>
        <w:t>Since, organisations usually retain a central data source for the auditors to reference and interrogate, cloud applications allow auditors to access and complete their duties quickly and accurately even remotely. Thereby freeing up time for more constructive dialogue with a client and helping them to make better strategic decisions resulting in a competitive advantage (Chang et al, 2019).</w:t>
      </w:r>
    </w:p>
    <w:p w14:paraId="7AABD03E"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On the other hand, auditors must ensure that cloud technologies are sufficient to make the engagement efficient and workable. Consequently, they must pay attention to the speed and agility of such an interface and that it is configured to accommodate any potential future advancements, preventing the need for additional labour during their integration. Given the concerns around the cybersecurity of cloud technologies auditors must choose the best cloud vendor that can offer efficient risk mitigation techniques to safeguard the highly sensitive data and information stored there (Hou et al, 2021).</w:t>
      </w:r>
    </w:p>
    <w:bookmarkStart w:id="769" w:name="AT10"/>
    <w:bookmarkStart w:id="770" w:name="D115"/>
    <w:p w14:paraId="2C60C1ED" w14:textId="6D56F9E7" w:rsidR="00620F22" w:rsidRPr="00620F22" w:rsidRDefault="00BE596A" w:rsidP="004D4806">
      <w:pPr>
        <w:pBdr>
          <w:top w:val="single" w:sz="4" w:space="1" w:color="auto"/>
          <w:left w:val="single" w:sz="4" w:space="4" w:color="auto"/>
          <w:bottom w:val="single" w:sz="4" w:space="1" w:color="auto"/>
          <w:right w:val="single" w:sz="4" w:space="4" w:color="auto"/>
        </w:pBdr>
        <w:spacing w:after="300" w:line="240" w:lineRule="auto"/>
        <w:jc w:val="both"/>
        <w:rPr>
          <w:rFonts w:ascii="Arial" w:eastAsia="Times New Roman" w:hAnsi="Arial" w:cs="Arial"/>
          <w:b/>
          <w:bCs/>
          <w:kern w:val="0"/>
          <w:lang w:eastAsia="en-GB"/>
          <w14:ligatures w14:val="none"/>
        </w:rPr>
      </w:pPr>
      <w:r>
        <w:rPr>
          <w:rFonts w:ascii="Arial" w:eastAsia="Times New Roman" w:hAnsi="Arial" w:cs="Arial"/>
          <w:b/>
          <w:bCs/>
          <w:kern w:val="0"/>
          <w:lang w:eastAsia="en-GB"/>
          <w14:ligatures w14:val="none"/>
        </w:rPr>
        <w:fldChar w:fldCharType="begin"/>
      </w:r>
      <w:r>
        <w:rPr>
          <w:rFonts w:ascii="Arial" w:eastAsia="Times New Roman" w:hAnsi="Arial" w:cs="Arial"/>
          <w:b/>
          <w:bCs/>
          <w:kern w:val="0"/>
          <w:lang w:eastAsia="en-GB"/>
          <w14:ligatures w14:val="none"/>
        </w:rPr>
        <w:instrText>HYPERLINK  \l "C115"</w:instrText>
      </w:r>
      <w:r>
        <w:rPr>
          <w:rFonts w:ascii="Arial" w:eastAsia="Times New Roman" w:hAnsi="Arial" w:cs="Arial"/>
          <w:b/>
          <w:bCs/>
          <w:kern w:val="0"/>
          <w:lang w:eastAsia="en-GB"/>
          <w14:ligatures w14:val="none"/>
        </w:rPr>
      </w:r>
      <w:r>
        <w:rPr>
          <w:rFonts w:ascii="Arial" w:eastAsia="Times New Roman" w:hAnsi="Arial" w:cs="Arial"/>
          <w:b/>
          <w:bCs/>
          <w:kern w:val="0"/>
          <w:lang w:eastAsia="en-GB"/>
          <w14:ligatures w14:val="none"/>
        </w:rPr>
        <w:fldChar w:fldCharType="separate"/>
      </w:r>
      <w:r w:rsidR="00620F22" w:rsidRPr="00BE596A">
        <w:rPr>
          <w:rStyle w:val="Hyperlink"/>
          <w:rFonts w:ascii="Arial" w:eastAsia="Times New Roman" w:hAnsi="Arial" w:cs="Arial"/>
          <w:b/>
          <w:bCs/>
          <w:kern w:val="0"/>
          <w:lang w:eastAsia="en-GB"/>
          <w14:ligatures w14:val="none"/>
        </w:rPr>
        <w:t xml:space="preserve"> 4.5.6.1 Robotic </w:t>
      </w:r>
      <w:r w:rsidR="003C15A5">
        <w:rPr>
          <w:rStyle w:val="Hyperlink"/>
          <w:rFonts w:ascii="Arial" w:eastAsia="Times New Roman" w:hAnsi="Arial" w:cs="Arial"/>
          <w:b/>
          <w:bCs/>
          <w:kern w:val="0"/>
          <w:lang w:eastAsia="en-GB"/>
          <w14:ligatures w14:val="none"/>
        </w:rPr>
        <w:t>P</w:t>
      </w:r>
      <w:r w:rsidR="00620F22" w:rsidRPr="00BE596A">
        <w:rPr>
          <w:rStyle w:val="Hyperlink"/>
          <w:rFonts w:ascii="Arial" w:eastAsia="Times New Roman" w:hAnsi="Arial" w:cs="Arial"/>
          <w:b/>
          <w:bCs/>
          <w:kern w:val="0"/>
          <w:lang w:eastAsia="en-GB"/>
          <w14:ligatures w14:val="none"/>
        </w:rPr>
        <w:t xml:space="preserve">rocess </w:t>
      </w:r>
      <w:r w:rsidR="003C15A5">
        <w:rPr>
          <w:rStyle w:val="Hyperlink"/>
          <w:rFonts w:ascii="Arial" w:eastAsia="Times New Roman" w:hAnsi="Arial" w:cs="Arial"/>
          <w:b/>
          <w:bCs/>
          <w:kern w:val="0"/>
          <w:lang w:eastAsia="en-GB"/>
          <w14:ligatures w14:val="none"/>
        </w:rPr>
        <w:t>A</w:t>
      </w:r>
      <w:r w:rsidR="00620F22" w:rsidRPr="00BE596A">
        <w:rPr>
          <w:rStyle w:val="Hyperlink"/>
          <w:rFonts w:ascii="Arial" w:eastAsia="Times New Roman" w:hAnsi="Arial" w:cs="Arial"/>
          <w:b/>
          <w:bCs/>
          <w:kern w:val="0"/>
          <w:lang w:eastAsia="en-GB"/>
          <w14:ligatures w14:val="none"/>
        </w:rPr>
        <w:t>utomation</w:t>
      </w:r>
      <w:r>
        <w:rPr>
          <w:rFonts w:ascii="Arial" w:eastAsia="Times New Roman" w:hAnsi="Arial" w:cs="Arial"/>
          <w:b/>
          <w:bCs/>
          <w:kern w:val="0"/>
          <w:lang w:eastAsia="en-GB"/>
          <w14:ligatures w14:val="none"/>
        </w:rPr>
        <w:fldChar w:fldCharType="end"/>
      </w:r>
    </w:p>
    <w:bookmarkEnd w:id="769"/>
    <w:bookmarkEnd w:id="770"/>
    <w:p w14:paraId="16FC6E0D" w14:textId="77777777" w:rsidR="00620F22" w:rsidRPr="00620F22" w:rsidRDefault="00620F22" w:rsidP="00620F22">
      <w:pPr>
        <w:spacing w:after="300" w:line="480" w:lineRule="auto"/>
        <w:jc w:val="both"/>
        <w:rPr>
          <w:rFonts w:ascii="Arial" w:eastAsia="Times New Roman" w:hAnsi="Arial" w:cs="Arial"/>
          <w:color w:val="000000" w:themeColor="text1"/>
          <w:kern w:val="0"/>
          <w:lang w:eastAsia="en-GB"/>
          <w14:ligatures w14:val="none"/>
        </w:rPr>
      </w:pPr>
      <w:r w:rsidRPr="00620F22">
        <w:rPr>
          <w:rFonts w:ascii="Arial" w:eastAsiaTheme="minorHAnsi" w:hAnsi="Arial" w:cs="Arial"/>
          <w:color w:val="000000" w:themeColor="text1"/>
          <w:kern w:val="0"/>
          <w:shd w:val="clear" w:color="auto" w:fill="FFFFFF"/>
          <w:lang w:eastAsia="en-US"/>
          <w14:ligatures w14:val="none"/>
        </w:rPr>
        <w:t xml:space="preserve">Robotic process automation (RPA) utilises automation technologies to imitate back-office tasks of human workers, such as extracting data and these processes must be </w:t>
      </w:r>
      <w:r w:rsidRPr="00620F22">
        <w:rPr>
          <w:rFonts w:ascii="Arial" w:eastAsiaTheme="minorHAnsi" w:hAnsi="Arial" w:cs="Arial"/>
          <w:color w:val="000000" w:themeColor="text1"/>
          <w:kern w:val="0"/>
          <w:lang w:eastAsia="en-US"/>
          <w14:ligatures w14:val="none"/>
        </w:rPr>
        <w:t>repeatable, structured, and governed by rules.</w:t>
      </w:r>
    </w:p>
    <w:p w14:paraId="1A1D95EA" w14:textId="41EA6202" w:rsidR="00E66A4F" w:rsidRPr="00620F22" w:rsidRDefault="00620F22" w:rsidP="00715CDF">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 xml:space="preserve">RPA enables the auditors to consider all the audit's processes, redesign any that are ineffective, and rearrange the steps for better outcomes. Hence, the key steps of the </w:t>
      </w:r>
      <w:r w:rsidRPr="00620F22">
        <w:rPr>
          <w:rFonts w:ascii="Arial" w:eastAsiaTheme="minorHAnsi" w:hAnsi="Arial" w:cs="Arial"/>
          <w:color w:val="000000" w:themeColor="text1"/>
          <w:kern w:val="0"/>
          <w:lang w:eastAsia="en-US"/>
          <w14:ligatures w14:val="none"/>
        </w:rPr>
        <w:lastRenderedPageBreak/>
        <w:t>audit process including confirmations, reconciliations, email production, and email automation, can be simplified by RPA. Again, freeing up time for more productive contact with a client and helping them to make better strategic decisions resulting in a competitive advantage (</w:t>
      </w:r>
      <w:r w:rsidRPr="00620F22">
        <w:rPr>
          <w:rFonts w:ascii="Arial" w:eastAsiaTheme="minorHAnsi" w:hAnsi="Arial" w:cs="Arial"/>
          <w:color w:val="000000" w:themeColor="text1"/>
          <w:kern w:val="0"/>
          <w:shd w:val="clear" w:color="auto" w:fill="FFFFFF"/>
          <w:lang w:eastAsia="en-US"/>
          <w14:ligatures w14:val="none"/>
        </w:rPr>
        <w:t>Tømmervåg et al, 2022)</w:t>
      </w:r>
      <w:r w:rsidRPr="00620F22">
        <w:rPr>
          <w:rFonts w:ascii="Arial" w:eastAsiaTheme="minorHAnsi" w:hAnsi="Arial" w:cs="Arial"/>
          <w:color w:val="000000" w:themeColor="text1"/>
          <w:kern w:val="0"/>
          <w:lang w:eastAsia="en-US"/>
          <w14:ligatures w14:val="none"/>
        </w:rPr>
        <w:t>.</w:t>
      </w:r>
    </w:p>
    <w:bookmarkStart w:id="771" w:name="AT11"/>
    <w:bookmarkStart w:id="772" w:name="D116"/>
    <w:p w14:paraId="1A951E1F" w14:textId="465DCBA6" w:rsidR="00620F22" w:rsidRPr="00620F22" w:rsidRDefault="009A706E" w:rsidP="00715CDF">
      <w:pPr>
        <w:pBdr>
          <w:top w:val="single" w:sz="4" w:space="1" w:color="auto"/>
          <w:left w:val="single" w:sz="4" w:space="4" w:color="auto"/>
          <w:bottom w:val="single" w:sz="4" w:space="1" w:color="auto"/>
          <w:right w:val="single" w:sz="4" w:space="4" w:color="auto"/>
        </w:pBdr>
        <w:spacing w:after="300" w:line="240" w:lineRule="auto"/>
        <w:jc w:val="both"/>
        <w:rPr>
          <w:rFonts w:ascii="Arial" w:eastAsia="Times New Roman" w:hAnsi="Arial" w:cs="Arial"/>
          <w:b/>
          <w:bCs/>
          <w:kern w:val="0"/>
          <w:lang w:eastAsia="en-GB"/>
          <w14:ligatures w14:val="none"/>
        </w:rPr>
      </w:pPr>
      <w:r>
        <w:rPr>
          <w:rFonts w:ascii="Arial" w:eastAsia="Times New Roman" w:hAnsi="Arial" w:cs="Arial"/>
          <w:b/>
          <w:bCs/>
          <w:kern w:val="0"/>
          <w:lang w:eastAsia="en-GB"/>
          <w14:ligatures w14:val="none"/>
        </w:rPr>
        <w:fldChar w:fldCharType="begin"/>
      </w:r>
      <w:r w:rsidR="006E5762">
        <w:rPr>
          <w:rFonts w:ascii="Arial" w:eastAsia="Times New Roman" w:hAnsi="Arial" w:cs="Arial"/>
          <w:b/>
          <w:bCs/>
          <w:kern w:val="0"/>
          <w:lang w:eastAsia="en-GB"/>
          <w14:ligatures w14:val="none"/>
        </w:rPr>
        <w:instrText>HYPERLINK  \l "C116"</w:instrText>
      </w:r>
      <w:r>
        <w:rPr>
          <w:rFonts w:ascii="Arial" w:eastAsia="Times New Roman" w:hAnsi="Arial" w:cs="Arial"/>
          <w:b/>
          <w:bCs/>
          <w:kern w:val="0"/>
          <w:lang w:eastAsia="en-GB"/>
          <w14:ligatures w14:val="none"/>
        </w:rPr>
      </w:r>
      <w:r>
        <w:rPr>
          <w:rFonts w:ascii="Arial" w:eastAsia="Times New Roman" w:hAnsi="Arial" w:cs="Arial"/>
          <w:b/>
          <w:bCs/>
          <w:kern w:val="0"/>
          <w:lang w:eastAsia="en-GB"/>
          <w14:ligatures w14:val="none"/>
        </w:rPr>
        <w:fldChar w:fldCharType="separate"/>
      </w:r>
      <w:r w:rsidR="00620F22" w:rsidRPr="009A706E">
        <w:rPr>
          <w:rStyle w:val="Hyperlink"/>
          <w:rFonts w:ascii="Arial" w:eastAsia="Times New Roman" w:hAnsi="Arial" w:cs="Arial"/>
          <w:b/>
          <w:bCs/>
          <w:kern w:val="0"/>
          <w:lang w:eastAsia="en-GB"/>
          <w14:ligatures w14:val="none"/>
        </w:rPr>
        <w:t>4.5.6.2 Artificial intelligence (AI) </w:t>
      </w:r>
      <w:r>
        <w:rPr>
          <w:rFonts w:ascii="Arial" w:eastAsia="Times New Roman" w:hAnsi="Arial" w:cs="Arial"/>
          <w:b/>
          <w:bCs/>
          <w:kern w:val="0"/>
          <w:lang w:eastAsia="en-GB"/>
          <w14:ligatures w14:val="none"/>
        </w:rPr>
        <w:fldChar w:fldCharType="end"/>
      </w:r>
    </w:p>
    <w:bookmarkEnd w:id="771"/>
    <w:bookmarkEnd w:id="772"/>
    <w:p w14:paraId="65B13F7C"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 xml:space="preserve">To make machines think and function like humans, AI is used to simulate human intelligence in machines. The primary objective is to enable machines to undertake mental functions that people accomplish such as problem-solving, decision-making, empathy, and other intellectual operations. </w:t>
      </w:r>
    </w:p>
    <w:p w14:paraId="5BDD690A"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Auditing functions such as data feeding, developing tests to assess datasets, and generating scripts can now be successfully undertaken by AI. Deep knowledge of ledgers and the detection of discrepancies is another activity where AI can be useful, consequently, the assurance process is more efficient and productive (Han et al, 2022).</w:t>
      </w:r>
    </w:p>
    <w:p w14:paraId="36BFF03B" w14:textId="4055E4CE" w:rsidR="00E66A4F" w:rsidRDefault="00620F22" w:rsidP="00E66A4F">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 xml:space="preserve">Previously, risk-based assurance services were prone to error such as missing items or over auditing. However, AI can better support risk-based auditing as it can peruse vast amounts of structured and unstructured data searching for anomalies including fraudulent transactions and comparing against benchmark data (Bao et al, 2022). Additionally, AI eliminates the need for the customer to act as a constant point of reference for many queries regarding ledgers, leading to a more effective procedure. As AI enables auditors to evaluate a deeper swathe of data and information it allows better risk management as well. </w:t>
      </w:r>
    </w:p>
    <w:p w14:paraId="0102902D" w14:textId="77777777" w:rsidR="00E66A4F" w:rsidRDefault="00E66A4F" w:rsidP="00E66A4F">
      <w:pPr>
        <w:spacing w:line="480" w:lineRule="auto"/>
        <w:jc w:val="both"/>
        <w:rPr>
          <w:rFonts w:ascii="Arial" w:eastAsiaTheme="minorHAnsi" w:hAnsi="Arial" w:cs="Arial"/>
          <w:color w:val="000000" w:themeColor="text1"/>
          <w:kern w:val="0"/>
          <w:lang w:eastAsia="en-US"/>
          <w14:ligatures w14:val="none"/>
        </w:rPr>
      </w:pPr>
    </w:p>
    <w:p w14:paraId="61F27B05" w14:textId="77777777" w:rsidR="00260DCE" w:rsidRPr="00620F22" w:rsidRDefault="00260DCE" w:rsidP="00E66A4F">
      <w:pPr>
        <w:spacing w:line="480" w:lineRule="auto"/>
        <w:jc w:val="both"/>
        <w:rPr>
          <w:rFonts w:ascii="Arial" w:eastAsiaTheme="minorHAnsi" w:hAnsi="Arial" w:cs="Arial"/>
          <w:color w:val="000000" w:themeColor="text1"/>
          <w:kern w:val="0"/>
          <w:lang w:eastAsia="en-US"/>
          <w14:ligatures w14:val="none"/>
        </w:rPr>
      </w:pPr>
    </w:p>
    <w:bookmarkStart w:id="773" w:name="AT12"/>
    <w:bookmarkStart w:id="774" w:name="D117"/>
    <w:p w14:paraId="7E693F51" w14:textId="1353960A" w:rsidR="00620F22" w:rsidRPr="006E5762" w:rsidRDefault="006E5762" w:rsidP="004B427D">
      <w:pPr>
        <w:pBdr>
          <w:top w:val="single" w:sz="4" w:space="1" w:color="auto"/>
          <w:left w:val="single" w:sz="4" w:space="4" w:color="auto"/>
          <w:bottom w:val="single" w:sz="4" w:space="1" w:color="auto"/>
          <w:right w:val="single" w:sz="4" w:space="4" w:color="auto"/>
        </w:pBdr>
        <w:spacing w:after="300" w:line="240" w:lineRule="auto"/>
        <w:rPr>
          <w:rStyle w:val="Hyperlink"/>
          <w:rFonts w:ascii="Arial" w:eastAsia="Times New Roman" w:hAnsi="Arial" w:cs="Arial"/>
          <w:b/>
          <w:bCs/>
          <w:kern w:val="0"/>
          <w:lang w:eastAsia="en-GB"/>
          <w14:ligatures w14:val="none"/>
        </w:rPr>
      </w:pPr>
      <w:r>
        <w:rPr>
          <w:rFonts w:ascii="Arial" w:eastAsia="Times New Roman" w:hAnsi="Arial" w:cs="Arial"/>
          <w:b/>
          <w:bCs/>
          <w:kern w:val="0"/>
          <w:lang w:eastAsia="en-GB"/>
          <w14:ligatures w14:val="none"/>
        </w:rPr>
        <w:lastRenderedPageBreak/>
        <w:fldChar w:fldCharType="begin"/>
      </w:r>
      <w:r>
        <w:rPr>
          <w:rFonts w:ascii="Arial" w:eastAsia="Times New Roman" w:hAnsi="Arial" w:cs="Arial"/>
          <w:b/>
          <w:bCs/>
          <w:kern w:val="0"/>
          <w:lang w:eastAsia="en-GB"/>
          <w14:ligatures w14:val="none"/>
        </w:rPr>
        <w:instrText>HYPERLINK  \l "C117"</w:instrText>
      </w:r>
      <w:r>
        <w:rPr>
          <w:rFonts w:ascii="Arial" w:eastAsia="Times New Roman" w:hAnsi="Arial" w:cs="Arial"/>
          <w:b/>
          <w:bCs/>
          <w:kern w:val="0"/>
          <w:lang w:eastAsia="en-GB"/>
          <w14:ligatures w14:val="none"/>
        </w:rPr>
      </w:r>
      <w:r>
        <w:rPr>
          <w:rFonts w:ascii="Arial" w:eastAsia="Times New Roman" w:hAnsi="Arial" w:cs="Arial"/>
          <w:b/>
          <w:bCs/>
          <w:kern w:val="0"/>
          <w:lang w:eastAsia="en-GB"/>
          <w14:ligatures w14:val="none"/>
        </w:rPr>
        <w:fldChar w:fldCharType="separate"/>
      </w:r>
      <w:r w:rsidR="00620F22" w:rsidRPr="006E5762">
        <w:rPr>
          <w:rStyle w:val="Hyperlink"/>
          <w:rFonts w:ascii="Arial" w:eastAsia="Times New Roman" w:hAnsi="Arial" w:cs="Arial"/>
          <w:b/>
          <w:bCs/>
          <w:kern w:val="0"/>
          <w:lang w:eastAsia="en-GB"/>
          <w14:ligatures w14:val="none"/>
        </w:rPr>
        <w:t>4.5.6.3 Predictive analytics </w:t>
      </w:r>
    </w:p>
    <w:bookmarkEnd w:id="773"/>
    <w:bookmarkEnd w:id="774"/>
    <w:p w14:paraId="26AEFBB1" w14:textId="15BD8745" w:rsidR="00620F22" w:rsidRPr="00620F22" w:rsidRDefault="006E5762" w:rsidP="00620F22">
      <w:pPr>
        <w:spacing w:after="300" w:line="480" w:lineRule="auto"/>
        <w:jc w:val="both"/>
        <w:rPr>
          <w:rFonts w:ascii="Arial" w:eastAsia="Times New Roman" w:hAnsi="Arial" w:cs="Arial"/>
          <w:b/>
          <w:bCs/>
          <w:color w:val="000000" w:themeColor="text1"/>
          <w:kern w:val="0"/>
          <w:lang w:eastAsia="en-GB"/>
          <w14:ligatures w14:val="none"/>
        </w:rPr>
      </w:pPr>
      <w:r>
        <w:rPr>
          <w:rFonts w:ascii="Arial" w:eastAsia="Times New Roman" w:hAnsi="Arial" w:cs="Arial"/>
          <w:b/>
          <w:bCs/>
          <w:kern w:val="0"/>
          <w:lang w:eastAsia="en-GB"/>
          <w14:ligatures w14:val="none"/>
        </w:rPr>
        <w:fldChar w:fldCharType="end"/>
      </w:r>
      <w:r w:rsidR="00620F22" w:rsidRPr="00620F22">
        <w:rPr>
          <w:rFonts w:ascii="Arial" w:eastAsiaTheme="minorHAnsi" w:hAnsi="Arial" w:cs="Arial"/>
          <w:color w:val="000000" w:themeColor="text1"/>
          <w:kern w:val="0"/>
          <w:shd w:val="clear" w:color="auto" w:fill="FFFFFF"/>
          <w:lang w:eastAsia="en-US"/>
          <w14:ligatures w14:val="none"/>
        </w:rPr>
        <w:t xml:space="preserve">Predictive analytics is the use of advanced statistical methods where data is used to predict future trends and events. It uses historical data to forecast potential circumstances and </w:t>
      </w:r>
      <w:r w:rsidR="00620F22" w:rsidRPr="00620F22">
        <w:rPr>
          <w:rFonts w:ascii="Arial" w:eastAsiaTheme="minorHAnsi" w:hAnsi="Arial" w:cs="Arial"/>
          <w:color w:val="000000" w:themeColor="text1"/>
          <w:kern w:val="0"/>
          <w:lang w:eastAsia="en-US"/>
          <w14:ligatures w14:val="none"/>
        </w:rPr>
        <w:t>produces a list most likely outcomes and the probability associated with them</w:t>
      </w:r>
      <w:r w:rsidR="00620F22" w:rsidRPr="00620F22">
        <w:rPr>
          <w:rFonts w:ascii="Arial" w:eastAsiaTheme="minorHAnsi" w:hAnsi="Arial" w:cs="Arial"/>
          <w:color w:val="000000" w:themeColor="text1"/>
          <w:kern w:val="0"/>
          <w:shd w:val="clear" w:color="auto" w:fill="FFFFFF"/>
          <w:lang w:eastAsia="en-US"/>
          <w14:ligatures w14:val="none"/>
        </w:rPr>
        <w:t xml:space="preserve"> which can assist in strategic decision making.</w:t>
      </w:r>
    </w:p>
    <w:p w14:paraId="21FA731E"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Predictive analytics is used by auditors to ascertain patterns in data obtained from the organisation they are auditing. These patterns can enable auditors to understand the operational risks, financial risks, operational hazards, and other risks that could affect an organisation and make a better assessment of going concern which is probably the trickiest part of the audit engagement (Chung et al, 2019). Since, the auditor will gain an insight into the client organisations likely future condition through comparison with industry data or data from other organisations in similar industries, thereby, raising the quality of the audit.</w:t>
      </w:r>
    </w:p>
    <w:p w14:paraId="201F1A1F" w14:textId="77777777" w:rsidR="00620F22" w:rsidRPr="00620F22" w:rsidRDefault="00620F22" w:rsidP="00620F22">
      <w:pPr>
        <w:spacing w:line="480" w:lineRule="auto"/>
        <w:jc w:val="both"/>
        <w:rPr>
          <w:rFonts w:ascii="Arial" w:eastAsia="Times New Roman" w:hAnsi="Arial" w:cs="Arial"/>
          <w:color w:val="000000" w:themeColor="text1"/>
          <w:kern w:val="0"/>
          <w:lang w:eastAsia="en-GB"/>
          <w14:ligatures w14:val="none"/>
        </w:rPr>
      </w:pPr>
      <w:r w:rsidRPr="00620F22">
        <w:rPr>
          <w:rFonts w:ascii="Arial" w:eastAsia="Times New Roman" w:hAnsi="Arial" w:cs="Arial"/>
          <w:color w:val="000000" w:themeColor="text1"/>
          <w:kern w:val="0"/>
          <w:lang w:eastAsia="en-GB"/>
          <w14:ligatures w14:val="none"/>
        </w:rPr>
        <w:t>Collectively these technologies are part of ecosystem which if used properly can make the audit process more scalable, adaptable, and, crucially, ‘</w:t>
      </w:r>
      <w:r w:rsidRPr="00620F22">
        <w:rPr>
          <w:rFonts w:ascii="Arial" w:eastAsia="Times New Roman" w:hAnsi="Arial" w:cs="Arial"/>
          <w:b/>
          <w:bCs/>
          <w:i/>
          <w:iCs/>
          <w:color w:val="000000" w:themeColor="text1"/>
          <w:kern w:val="0"/>
          <w:lang w:eastAsia="en-GB"/>
          <w14:ligatures w14:val="none"/>
        </w:rPr>
        <w:t xml:space="preserve">intelligent’ </w:t>
      </w:r>
      <w:r w:rsidRPr="00620F22">
        <w:rPr>
          <w:rFonts w:ascii="Arial" w:eastAsia="Times New Roman" w:hAnsi="Arial" w:cs="Arial"/>
          <w:b/>
          <w:bCs/>
          <w:color w:val="000000" w:themeColor="text1"/>
          <w:kern w:val="0"/>
          <w:lang w:eastAsia="en-GB"/>
          <w14:ligatures w14:val="none"/>
        </w:rPr>
        <w:t>(Zhang, 2019).</w:t>
      </w:r>
      <w:r w:rsidRPr="00620F22">
        <w:rPr>
          <w:rFonts w:ascii="Arial" w:eastAsia="Times New Roman" w:hAnsi="Arial" w:cs="Arial"/>
          <w:color w:val="000000" w:themeColor="text1"/>
          <w:kern w:val="0"/>
          <w:lang w:eastAsia="en-GB"/>
          <w14:ligatures w14:val="none"/>
        </w:rPr>
        <w:t xml:space="preserve"> i.e., </w:t>
      </w:r>
      <w:r w:rsidRPr="00620F22">
        <w:rPr>
          <w:rFonts w:ascii="Arial" w:eastAsia="Times New Roman" w:hAnsi="Arial" w:cs="Arial"/>
          <w:b/>
          <w:bCs/>
          <w:i/>
          <w:iCs/>
          <w:color w:val="000000" w:themeColor="text1"/>
          <w:kern w:val="0"/>
          <w:lang w:eastAsia="en-GB"/>
          <w14:ligatures w14:val="none"/>
        </w:rPr>
        <w:t>Evolving.</w:t>
      </w:r>
      <w:r w:rsidRPr="00620F22">
        <w:rPr>
          <w:rFonts w:ascii="Arial" w:eastAsia="Times New Roman" w:hAnsi="Arial" w:cs="Arial"/>
          <w:color w:val="000000" w:themeColor="text1"/>
          <w:kern w:val="0"/>
          <w:lang w:eastAsia="en-GB"/>
          <w14:ligatures w14:val="none"/>
        </w:rPr>
        <w:t xml:space="preserve"> These technologies can investigate data patterns including suspicious or fraudulent transactions, undertake intricate analysis, engage with people, and pivot according to circumstances. Furthermore, these technologies can also automate non-repetitive, non-standardized, unstructured, and rule-free procedures, that will produce innovative audit insights enabling savvy auditors to offer a far more lucrative and value-added service and possibly curbing the </w:t>
      </w:r>
      <w:r w:rsidRPr="00620F22">
        <w:rPr>
          <w:rFonts w:ascii="Arial" w:eastAsiaTheme="minorHAnsi" w:hAnsi="Arial" w:cs="Arial"/>
          <w:color w:val="000000" w:themeColor="text1"/>
          <w:kern w:val="0"/>
          <w:lang w:eastAsia="en-US"/>
          <w14:ligatures w14:val="none"/>
        </w:rPr>
        <w:t>Corporate Psychopath Accountant</w:t>
      </w:r>
      <w:r w:rsidRPr="00620F22">
        <w:rPr>
          <w:rFonts w:ascii="Arial" w:eastAsia="Times New Roman" w:hAnsi="Arial" w:cs="Arial"/>
          <w:color w:val="000000" w:themeColor="text1"/>
          <w:kern w:val="0"/>
          <w:lang w:eastAsia="en-GB"/>
          <w14:ligatures w14:val="none"/>
        </w:rPr>
        <w:t xml:space="preserve">.  </w:t>
      </w:r>
    </w:p>
    <w:p w14:paraId="6439D108" w14:textId="375B1D55" w:rsid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imes New Roman" w:hAnsi="Arial" w:cs="Arial"/>
          <w:color w:val="000000" w:themeColor="text1"/>
          <w:kern w:val="0"/>
          <w:lang w:eastAsia="en-GB"/>
          <w14:ligatures w14:val="none"/>
        </w:rPr>
        <w:t xml:space="preserve">The </w:t>
      </w:r>
      <w:r w:rsidR="00D46A52">
        <w:rPr>
          <w:rFonts w:ascii="Arial" w:hAnsi="Arial" w:cs="Arial"/>
          <w:color w:val="000000" w:themeColor="text1"/>
        </w:rPr>
        <w:t>researcher</w:t>
      </w:r>
      <w:r w:rsidRPr="00620F22">
        <w:rPr>
          <w:rFonts w:ascii="Arial" w:eastAsia="Times New Roman" w:hAnsi="Arial" w:cs="Arial"/>
          <w:color w:val="000000" w:themeColor="text1"/>
          <w:kern w:val="0"/>
          <w:lang w:eastAsia="en-GB"/>
          <w14:ligatures w14:val="none"/>
        </w:rPr>
        <w:t xml:space="preserve"> will now explore ‘people-centric’ approaches that may</w:t>
      </w:r>
      <w:r w:rsidRPr="00620F22">
        <w:rPr>
          <w:rFonts w:ascii="Arial" w:eastAsiaTheme="minorHAnsi" w:hAnsi="Arial" w:cs="Arial"/>
          <w:color w:val="000000" w:themeColor="text1"/>
          <w:kern w:val="0"/>
          <w:lang w:eastAsia="en-US"/>
          <w14:ligatures w14:val="none"/>
        </w:rPr>
        <w:t xml:space="preserve"> diminish Accounting Fraud and potentially curtail the Corporate Psychopath Accountant.</w:t>
      </w:r>
    </w:p>
    <w:p w14:paraId="5AA070B0" w14:textId="77777777" w:rsidR="00745D65" w:rsidRPr="00620F22" w:rsidRDefault="00745D65" w:rsidP="00620F22">
      <w:pPr>
        <w:spacing w:line="480" w:lineRule="auto"/>
        <w:jc w:val="both"/>
        <w:rPr>
          <w:rFonts w:ascii="Arial" w:eastAsia="Times New Roman" w:hAnsi="Arial" w:cs="Arial"/>
          <w:color w:val="000000" w:themeColor="text1"/>
          <w:kern w:val="0"/>
          <w:lang w:eastAsia="en-GB"/>
          <w14:ligatures w14:val="none"/>
        </w:rPr>
      </w:pPr>
    </w:p>
    <w:bookmarkStart w:id="775" w:name="AT13"/>
    <w:bookmarkStart w:id="776" w:name="D118"/>
    <w:p w14:paraId="1914FB79" w14:textId="565A0A64" w:rsidR="00620F22" w:rsidRPr="00FB4ADC" w:rsidRDefault="00FB4ADC" w:rsidP="000B1280">
      <w:pPr>
        <w:pBdr>
          <w:top w:val="single" w:sz="4" w:space="1" w:color="auto"/>
          <w:left w:val="single" w:sz="4" w:space="4" w:color="auto"/>
          <w:bottom w:val="single" w:sz="4" w:space="1" w:color="auto"/>
          <w:right w:val="single" w:sz="4" w:space="4" w:color="auto"/>
        </w:pBdr>
        <w:spacing w:line="240" w:lineRule="auto"/>
        <w:jc w:val="both"/>
        <w:rPr>
          <w:rStyle w:val="Hyperlink"/>
          <w:rFonts w:ascii="Arial" w:eastAsia="Times New Roman" w:hAnsi="Arial" w:cs="Arial"/>
          <w:b/>
          <w:bCs/>
          <w:kern w:val="0"/>
          <w:lang w:eastAsia="en-GB"/>
          <w14:ligatures w14:val="none"/>
        </w:rPr>
      </w:pPr>
      <w:r>
        <w:rPr>
          <w:rFonts w:ascii="Arial" w:eastAsia="Times New Roman" w:hAnsi="Arial" w:cs="Arial"/>
          <w:b/>
          <w:bCs/>
          <w:kern w:val="0"/>
          <w:lang w:eastAsia="en-GB"/>
          <w14:ligatures w14:val="none"/>
        </w:rPr>
        <w:lastRenderedPageBreak/>
        <w:fldChar w:fldCharType="begin"/>
      </w:r>
      <w:r>
        <w:rPr>
          <w:rFonts w:ascii="Arial" w:eastAsia="Times New Roman" w:hAnsi="Arial" w:cs="Arial"/>
          <w:b/>
          <w:bCs/>
          <w:kern w:val="0"/>
          <w:lang w:eastAsia="en-GB"/>
          <w14:ligatures w14:val="none"/>
        </w:rPr>
        <w:instrText>HYPERLINK  \l "C118"</w:instrText>
      </w:r>
      <w:r>
        <w:rPr>
          <w:rFonts w:ascii="Arial" w:eastAsia="Times New Roman" w:hAnsi="Arial" w:cs="Arial"/>
          <w:b/>
          <w:bCs/>
          <w:kern w:val="0"/>
          <w:lang w:eastAsia="en-GB"/>
          <w14:ligatures w14:val="none"/>
        </w:rPr>
      </w:r>
      <w:r>
        <w:rPr>
          <w:rFonts w:ascii="Arial" w:eastAsia="Times New Roman" w:hAnsi="Arial" w:cs="Arial"/>
          <w:b/>
          <w:bCs/>
          <w:kern w:val="0"/>
          <w:lang w:eastAsia="en-GB"/>
          <w14:ligatures w14:val="none"/>
        </w:rPr>
        <w:fldChar w:fldCharType="separate"/>
      </w:r>
      <w:r w:rsidR="00620F22" w:rsidRPr="00FB4ADC">
        <w:rPr>
          <w:rStyle w:val="Hyperlink"/>
          <w:rFonts w:ascii="Arial" w:eastAsia="Times New Roman" w:hAnsi="Arial" w:cs="Arial"/>
          <w:b/>
          <w:bCs/>
          <w:kern w:val="0"/>
          <w:lang w:eastAsia="en-GB"/>
          <w14:ligatures w14:val="none"/>
        </w:rPr>
        <w:t>4.5.7 ‘People-centric’ approaches</w:t>
      </w:r>
    </w:p>
    <w:bookmarkEnd w:id="775"/>
    <w:bookmarkEnd w:id="776"/>
    <w:p w14:paraId="55000315" w14:textId="67FA659F" w:rsidR="00620F22" w:rsidRPr="00620F22" w:rsidRDefault="00FB4ADC" w:rsidP="00620F22">
      <w:pPr>
        <w:spacing w:line="480" w:lineRule="auto"/>
        <w:jc w:val="both"/>
        <w:rPr>
          <w:rFonts w:ascii="Arial" w:eastAsiaTheme="minorHAnsi" w:hAnsi="Arial" w:cs="Arial"/>
          <w:color w:val="000000" w:themeColor="text1"/>
          <w:kern w:val="0"/>
          <w:lang w:eastAsia="en-US"/>
          <w14:ligatures w14:val="none"/>
        </w:rPr>
      </w:pPr>
      <w:r>
        <w:rPr>
          <w:rFonts w:ascii="Arial" w:eastAsia="Times New Roman" w:hAnsi="Arial" w:cs="Arial"/>
          <w:b/>
          <w:bCs/>
          <w:kern w:val="0"/>
          <w:lang w:eastAsia="en-GB"/>
          <w14:ligatures w14:val="none"/>
        </w:rPr>
        <w:fldChar w:fldCharType="end"/>
      </w:r>
      <w:r w:rsidR="00620F22" w:rsidRPr="00620F22">
        <w:rPr>
          <w:rFonts w:ascii="Arial" w:eastAsiaTheme="minorHAnsi" w:hAnsi="Arial" w:cs="Arial"/>
          <w:color w:val="000000" w:themeColor="text1"/>
          <w:kern w:val="0"/>
          <w:shd w:val="clear" w:color="auto" w:fill="FFFFFF"/>
          <w:lang w:eastAsia="en-US"/>
          <w14:ligatures w14:val="none"/>
        </w:rPr>
        <w:t xml:space="preserve">To be ‘people-centric’ is to put an organisations worker at the centre of everything they undertake from sales to day-to-day housekeeping. </w:t>
      </w:r>
      <w:r w:rsidR="00620F22" w:rsidRPr="00620F22">
        <w:rPr>
          <w:rFonts w:ascii="Arial" w:eastAsiaTheme="minorHAnsi" w:hAnsi="Arial" w:cs="Arial"/>
          <w:color w:val="000000" w:themeColor="text1"/>
          <w:kern w:val="0"/>
          <w:lang w:eastAsia="en-US"/>
          <w14:ligatures w14:val="none"/>
        </w:rPr>
        <w:t xml:space="preserve">This approach requires a mini paradigm shift calls which may even require a change in processes, procedures, and protocols especially when it comes to decision-making. To become people-centric necessitates a staunch commitment, as it requires buy in from senior management who probably not be the major beneficiary.  </w:t>
      </w:r>
      <w:r w:rsidR="00620F22" w:rsidRPr="006328D6">
        <w:rPr>
          <w:rFonts w:ascii="Arial" w:eastAsiaTheme="minorHAnsi" w:hAnsi="Arial" w:cs="Arial"/>
          <w:color w:val="000000" w:themeColor="text1"/>
          <w:kern w:val="0"/>
          <w:lang w:eastAsia="en-US"/>
          <w14:ligatures w14:val="none"/>
        </w:rPr>
        <w:t>Bitner (2023) lists</w:t>
      </w:r>
      <w:r w:rsidR="00620F22" w:rsidRPr="00620F22">
        <w:rPr>
          <w:rFonts w:ascii="Arial" w:eastAsiaTheme="minorHAnsi" w:hAnsi="Arial" w:cs="Arial"/>
          <w:color w:val="000000" w:themeColor="text1"/>
          <w:kern w:val="0"/>
          <w:lang w:eastAsia="en-US"/>
          <w14:ligatures w14:val="none"/>
        </w:rPr>
        <w:t xml:space="preserve"> the following 21 attributes of a people-centric organisation:</w:t>
      </w:r>
    </w:p>
    <w:p w14:paraId="7C832A52" w14:textId="4E00C361" w:rsidR="00620F22" w:rsidRPr="00620F22" w:rsidRDefault="00620F22">
      <w:pPr>
        <w:numPr>
          <w:ilvl w:val="0"/>
          <w:numId w:val="32"/>
        </w:numPr>
        <w:shd w:val="clear" w:color="auto" w:fill="FFFFFF"/>
        <w:spacing w:before="100" w:beforeAutospacing="1" w:after="100" w:afterAutospacing="1" w:line="480" w:lineRule="auto"/>
        <w:rPr>
          <w:rFonts w:ascii="Roboto" w:eastAsia="Times New Roman" w:hAnsi="Roboto" w:cs="Times New Roman"/>
          <w:color w:val="000000" w:themeColor="text1"/>
          <w:kern w:val="0"/>
          <w:lang w:eastAsia="en-GB"/>
          <w14:ligatures w14:val="none"/>
        </w:rPr>
      </w:pPr>
      <w:r w:rsidRPr="00620F22">
        <w:rPr>
          <w:rFonts w:ascii="Arial" w:eastAsiaTheme="minorHAnsi" w:hAnsi="Arial" w:cs="Arial"/>
          <w:color w:val="000000" w:themeColor="text1"/>
          <w:kern w:val="0"/>
          <w:lang w:eastAsia="en-US"/>
          <w14:ligatures w14:val="none"/>
        </w:rPr>
        <w:t>‘</w:t>
      </w:r>
      <w:r w:rsidRPr="00620F22">
        <w:rPr>
          <w:rFonts w:ascii="Roboto" w:eastAsia="Times New Roman" w:hAnsi="Roboto" w:cs="Times New Roman"/>
          <w:color w:val="000000" w:themeColor="text1"/>
          <w:kern w:val="0"/>
          <w:lang w:eastAsia="en-GB"/>
          <w14:ligatures w14:val="none"/>
        </w:rPr>
        <w:t xml:space="preserve">Put employees at the </w:t>
      </w:r>
      <w:r w:rsidR="00C74A04" w:rsidRPr="00620F22">
        <w:rPr>
          <w:rFonts w:ascii="Roboto" w:eastAsia="Times New Roman" w:hAnsi="Roboto" w:cs="Times New Roman"/>
          <w:color w:val="000000" w:themeColor="text1"/>
          <w:kern w:val="0"/>
          <w:lang w:eastAsia="en-GB"/>
          <w14:ligatures w14:val="none"/>
        </w:rPr>
        <w:t>centre</w:t>
      </w:r>
      <w:r w:rsidRPr="00620F22">
        <w:rPr>
          <w:rFonts w:ascii="Roboto" w:eastAsia="Times New Roman" w:hAnsi="Roboto" w:cs="Times New Roman"/>
          <w:color w:val="000000" w:themeColor="text1"/>
          <w:kern w:val="0"/>
          <w:lang w:eastAsia="en-GB"/>
          <w14:ligatures w14:val="none"/>
        </w:rPr>
        <w:t xml:space="preserve"> of everything.</w:t>
      </w:r>
    </w:p>
    <w:p w14:paraId="4EFB88FE" w14:textId="77777777" w:rsidR="00620F22" w:rsidRPr="00620F22" w:rsidRDefault="00620F22">
      <w:pPr>
        <w:numPr>
          <w:ilvl w:val="0"/>
          <w:numId w:val="32"/>
        </w:numPr>
        <w:shd w:val="clear" w:color="auto" w:fill="FFFFFF"/>
        <w:spacing w:before="100" w:beforeAutospacing="1" w:after="100" w:afterAutospacing="1" w:line="480" w:lineRule="auto"/>
        <w:rPr>
          <w:rFonts w:ascii="Roboto" w:eastAsia="Times New Roman" w:hAnsi="Roboto" w:cs="Times New Roman"/>
          <w:color w:val="000000" w:themeColor="text1"/>
          <w:kern w:val="0"/>
          <w:lang w:eastAsia="en-GB"/>
          <w14:ligatures w14:val="none"/>
        </w:rPr>
      </w:pPr>
      <w:r w:rsidRPr="00620F22">
        <w:rPr>
          <w:rFonts w:ascii="Roboto" w:eastAsia="Times New Roman" w:hAnsi="Roboto" w:cs="Times New Roman"/>
          <w:color w:val="000000" w:themeColor="text1"/>
          <w:kern w:val="0"/>
          <w:lang w:eastAsia="en-GB"/>
          <w14:ligatures w14:val="none"/>
        </w:rPr>
        <w:t>Deliver great experiences from the beginning. Are you onboarding like a champ?</w:t>
      </w:r>
    </w:p>
    <w:p w14:paraId="22C36632" w14:textId="77777777" w:rsidR="00620F22" w:rsidRPr="00620F22" w:rsidRDefault="00620F22">
      <w:pPr>
        <w:numPr>
          <w:ilvl w:val="0"/>
          <w:numId w:val="32"/>
        </w:numPr>
        <w:shd w:val="clear" w:color="auto" w:fill="FFFFFF"/>
        <w:spacing w:before="100" w:beforeAutospacing="1" w:after="100" w:afterAutospacing="1" w:line="480" w:lineRule="auto"/>
        <w:rPr>
          <w:rFonts w:ascii="Roboto" w:eastAsia="Times New Roman" w:hAnsi="Roboto" w:cs="Times New Roman"/>
          <w:color w:val="000000" w:themeColor="text1"/>
          <w:kern w:val="0"/>
          <w:lang w:eastAsia="en-GB"/>
          <w14:ligatures w14:val="none"/>
        </w:rPr>
      </w:pPr>
      <w:r w:rsidRPr="00620F22">
        <w:rPr>
          <w:rFonts w:ascii="Roboto" w:eastAsia="Times New Roman" w:hAnsi="Roboto" w:cs="Times New Roman"/>
          <w:color w:val="000000" w:themeColor="text1"/>
          <w:kern w:val="0"/>
          <w:lang w:eastAsia="en-GB"/>
          <w14:ligatures w14:val="none"/>
        </w:rPr>
        <w:t>Look for ways to foster connections. Take time to know your people and build relationships.</w:t>
      </w:r>
    </w:p>
    <w:p w14:paraId="3D34518C" w14:textId="77777777" w:rsidR="00620F22" w:rsidRPr="00620F22" w:rsidRDefault="00620F22">
      <w:pPr>
        <w:numPr>
          <w:ilvl w:val="0"/>
          <w:numId w:val="32"/>
        </w:numPr>
        <w:shd w:val="clear" w:color="auto" w:fill="FFFFFF"/>
        <w:spacing w:before="100" w:beforeAutospacing="1" w:after="100" w:afterAutospacing="1" w:line="480" w:lineRule="auto"/>
        <w:rPr>
          <w:rFonts w:ascii="Roboto" w:eastAsia="Times New Roman" w:hAnsi="Roboto" w:cs="Times New Roman"/>
          <w:color w:val="000000" w:themeColor="text1"/>
          <w:kern w:val="0"/>
          <w:lang w:eastAsia="en-GB"/>
          <w14:ligatures w14:val="none"/>
        </w:rPr>
      </w:pPr>
      <w:r w:rsidRPr="00620F22">
        <w:rPr>
          <w:rFonts w:ascii="Roboto" w:eastAsia="Times New Roman" w:hAnsi="Roboto" w:cs="Times New Roman"/>
          <w:color w:val="000000" w:themeColor="text1"/>
          <w:kern w:val="0"/>
          <w:lang w:eastAsia="en-GB"/>
          <w14:ligatures w14:val="none"/>
        </w:rPr>
        <w:t>Enable flexible team and work design. Where can you be more flexible?</w:t>
      </w:r>
    </w:p>
    <w:p w14:paraId="1B294958" w14:textId="77777777" w:rsidR="00620F22" w:rsidRPr="00620F22" w:rsidRDefault="00620F22">
      <w:pPr>
        <w:numPr>
          <w:ilvl w:val="0"/>
          <w:numId w:val="32"/>
        </w:numPr>
        <w:shd w:val="clear" w:color="auto" w:fill="FFFFFF"/>
        <w:spacing w:before="100" w:beforeAutospacing="1" w:after="100" w:afterAutospacing="1" w:line="480" w:lineRule="auto"/>
        <w:rPr>
          <w:rFonts w:ascii="Roboto" w:eastAsia="Times New Roman" w:hAnsi="Roboto" w:cs="Times New Roman"/>
          <w:color w:val="000000" w:themeColor="text1"/>
          <w:kern w:val="0"/>
          <w:lang w:eastAsia="en-GB"/>
          <w14:ligatures w14:val="none"/>
        </w:rPr>
      </w:pPr>
      <w:r w:rsidRPr="00620F22">
        <w:rPr>
          <w:rFonts w:ascii="Roboto" w:eastAsia="Times New Roman" w:hAnsi="Roboto" w:cs="Times New Roman"/>
          <w:color w:val="000000" w:themeColor="text1"/>
          <w:kern w:val="0"/>
          <w:lang w:eastAsia="en-GB"/>
          <w14:ligatures w14:val="none"/>
        </w:rPr>
        <w:t>Master communication. It takes 5-7 times for someone to hear and understand a message.</w:t>
      </w:r>
    </w:p>
    <w:p w14:paraId="19EF7483" w14:textId="77777777" w:rsidR="00620F22" w:rsidRPr="00620F22" w:rsidRDefault="00620F22">
      <w:pPr>
        <w:numPr>
          <w:ilvl w:val="0"/>
          <w:numId w:val="32"/>
        </w:numPr>
        <w:shd w:val="clear" w:color="auto" w:fill="FFFFFF"/>
        <w:spacing w:before="100" w:beforeAutospacing="1" w:after="100" w:afterAutospacing="1" w:line="480" w:lineRule="auto"/>
        <w:rPr>
          <w:rFonts w:ascii="Roboto" w:eastAsia="Times New Roman" w:hAnsi="Roboto" w:cs="Times New Roman"/>
          <w:color w:val="000000" w:themeColor="text1"/>
          <w:kern w:val="0"/>
          <w:lang w:eastAsia="en-GB"/>
          <w14:ligatures w14:val="none"/>
        </w:rPr>
      </w:pPr>
      <w:r w:rsidRPr="00620F22">
        <w:rPr>
          <w:rFonts w:ascii="Roboto" w:eastAsia="Times New Roman" w:hAnsi="Roboto" w:cs="Times New Roman"/>
          <w:color w:val="000000" w:themeColor="text1"/>
          <w:kern w:val="0"/>
          <w:lang w:eastAsia="en-GB"/>
          <w14:ligatures w14:val="none"/>
        </w:rPr>
        <w:t>Listen to hear and understand. Are you practicing active listening and considering non-verbal signals as well?</w:t>
      </w:r>
    </w:p>
    <w:p w14:paraId="12557A44" w14:textId="77777777" w:rsidR="00620F22" w:rsidRPr="00620F22" w:rsidRDefault="00620F22">
      <w:pPr>
        <w:numPr>
          <w:ilvl w:val="0"/>
          <w:numId w:val="32"/>
        </w:numPr>
        <w:shd w:val="clear" w:color="auto" w:fill="FFFFFF"/>
        <w:spacing w:before="100" w:beforeAutospacing="1" w:after="100" w:afterAutospacing="1" w:line="480" w:lineRule="auto"/>
        <w:rPr>
          <w:rFonts w:ascii="Roboto" w:eastAsia="Times New Roman" w:hAnsi="Roboto" w:cs="Times New Roman"/>
          <w:color w:val="000000" w:themeColor="text1"/>
          <w:kern w:val="0"/>
          <w:lang w:eastAsia="en-GB"/>
          <w14:ligatures w14:val="none"/>
        </w:rPr>
      </w:pPr>
      <w:r w:rsidRPr="00620F22">
        <w:rPr>
          <w:rFonts w:ascii="Roboto" w:eastAsia="Times New Roman" w:hAnsi="Roboto" w:cs="Times New Roman"/>
          <w:color w:val="000000" w:themeColor="text1"/>
          <w:kern w:val="0"/>
          <w:lang w:eastAsia="en-GB"/>
          <w14:ligatures w14:val="none"/>
        </w:rPr>
        <w:t>Pour on genuine gratitude and appreciation. What opportunities are you missing to recognize your people?</w:t>
      </w:r>
    </w:p>
    <w:p w14:paraId="744050C7" w14:textId="77777777" w:rsidR="00620F22" w:rsidRPr="00620F22" w:rsidRDefault="00620F22">
      <w:pPr>
        <w:numPr>
          <w:ilvl w:val="0"/>
          <w:numId w:val="32"/>
        </w:numPr>
        <w:shd w:val="clear" w:color="auto" w:fill="FFFFFF"/>
        <w:spacing w:before="100" w:beforeAutospacing="1" w:after="100" w:afterAutospacing="1" w:line="480" w:lineRule="auto"/>
        <w:rPr>
          <w:rFonts w:ascii="Roboto" w:eastAsia="Times New Roman" w:hAnsi="Roboto" w:cs="Times New Roman"/>
          <w:color w:val="000000" w:themeColor="text1"/>
          <w:kern w:val="0"/>
          <w:lang w:eastAsia="en-GB"/>
          <w14:ligatures w14:val="none"/>
        </w:rPr>
      </w:pPr>
      <w:r w:rsidRPr="00620F22">
        <w:rPr>
          <w:rFonts w:ascii="Roboto" w:eastAsia="Times New Roman" w:hAnsi="Roboto" w:cs="Times New Roman"/>
          <w:color w:val="000000" w:themeColor="text1"/>
          <w:kern w:val="0"/>
          <w:lang w:eastAsia="en-GB"/>
          <w14:ligatures w14:val="none"/>
        </w:rPr>
        <w:t>Resolve conflicts. We know these conversations are difficult, however, resolving conflicts in a timely manner is the best way to build a safe place where everyone feels heard and respected.</w:t>
      </w:r>
    </w:p>
    <w:p w14:paraId="6267C678" w14:textId="77777777" w:rsidR="00620F22" w:rsidRPr="00620F22" w:rsidRDefault="00620F22">
      <w:pPr>
        <w:numPr>
          <w:ilvl w:val="0"/>
          <w:numId w:val="32"/>
        </w:numPr>
        <w:shd w:val="clear" w:color="auto" w:fill="FFFFFF"/>
        <w:spacing w:before="100" w:beforeAutospacing="1" w:after="100" w:afterAutospacing="1" w:line="480" w:lineRule="auto"/>
        <w:rPr>
          <w:rFonts w:ascii="Roboto" w:eastAsia="Times New Roman" w:hAnsi="Roboto" w:cs="Times New Roman"/>
          <w:color w:val="000000" w:themeColor="text1"/>
          <w:kern w:val="0"/>
          <w:lang w:eastAsia="en-GB"/>
          <w14:ligatures w14:val="none"/>
        </w:rPr>
      </w:pPr>
      <w:r w:rsidRPr="00620F22">
        <w:rPr>
          <w:rFonts w:ascii="Roboto" w:eastAsia="Times New Roman" w:hAnsi="Roboto" w:cs="Times New Roman"/>
          <w:color w:val="000000" w:themeColor="text1"/>
          <w:kern w:val="0"/>
          <w:lang w:eastAsia="en-GB"/>
          <w14:ligatures w14:val="none"/>
        </w:rPr>
        <w:lastRenderedPageBreak/>
        <w:t>Include your people in innovative efforts. Don’t forget Whirlpool’s mantra, “Innovation comes from everyone, everywhere.”</w:t>
      </w:r>
    </w:p>
    <w:p w14:paraId="4235E440" w14:textId="77777777" w:rsidR="00620F22" w:rsidRPr="00620F22" w:rsidRDefault="00620F22">
      <w:pPr>
        <w:numPr>
          <w:ilvl w:val="0"/>
          <w:numId w:val="32"/>
        </w:numPr>
        <w:shd w:val="clear" w:color="auto" w:fill="FFFFFF"/>
        <w:spacing w:before="100" w:beforeAutospacing="1" w:after="100" w:afterAutospacing="1" w:line="480" w:lineRule="auto"/>
        <w:rPr>
          <w:rFonts w:ascii="Roboto" w:eastAsia="Times New Roman" w:hAnsi="Roboto" w:cs="Times New Roman"/>
          <w:color w:val="000000" w:themeColor="text1"/>
          <w:kern w:val="0"/>
          <w:lang w:eastAsia="en-GB"/>
          <w14:ligatures w14:val="none"/>
        </w:rPr>
      </w:pPr>
      <w:r w:rsidRPr="00620F22">
        <w:rPr>
          <w:rFonts w:ascii="Roboto" w:eastAsia="Times New Roman" w:hAnsi="Roboto" w:cs="Times New Roman"/>
          <w:color w:val="000000" w:themeColor="text1"/>
          <w:kern w:val="0"/>
          <w:lang w:eastAsia="en-GB"/>
          <w14:ligatures w14:val="none"/>
        </w:rPr>
        <w:t>Inspire your people and build motivation through shared purpose.</w:t>
      </w:r>
    </w:p>
    <w:p w14:paraId="2882525A" w14:textId="77777777" w:rsidR="00620F22" w:rsidRPr="00620F22" w:rsidRDefault="00620F22">
      <w:pPr>
        <w:numPr>
          <w:ilvl w:val="0"/>
          <w:numId w:val="32"/>
        </w:numPr>
        <w:shd w:val="clear" w:color="auto" w:fill="FFFFFF"/>
        <w:spacing w:before="100" w:beforeAutospacing="1" w:after="100" w:afterAutospacing="1" w:line="480" w:lineRule="auto"/>
        <w:rPr>
          <w:rFonts w:ascii="Roboto" w:eastAsia="Times New Roman" w:hAnsi="Roboto" w:cs="Times New Roman"/>
          <w:color w:val="000000" w:themeColor="text1"/>
          <w:kern w:val="0"/>
          <w:lang w:eastAsia="en-GB"/>
          <w14:ligatures w14:val="none"/>
        </w:rPr>
      </w:pPr>
      <w:r w:rsidRPr="00620F22">
        <w:rPr>
          <w:rFonts w:ascii="Roboto" w:eastAsia="Times New Roman" w:hAnsi="Roboto" w:cs="Times New Roman"/>
          <w:color w:val="000000" w:themeColor="text1"/>
          <w:kern w:val="0"/>
          <w:lang w:eastAsia="en-GB"/>
          <w14:ligatures w14:val="none"/>
        </w:rPr>
        <w:t>Minimize ambiguity. Are you being clear and concise? Do your people have a clear understanding of the value they bring to the organization, and how their contributions align with company strategy and goals?</w:t>
      </w:r>
    </w:p>
    <w:p w14:paraId="2A9E1E23" w14:textId="77777777" w:rsidR="00620F22" w:rsidRPr="00620F22" w:rsidRDefault="00620F22">
      <w:pPr>
        <w:numPr>
          <w:ilvl w:val="0"/>
          <w:numId w:val="32"/>
        </w:numPr>
        <w:shd w:val="clear" w:color="auto" w:fill="FFFFFF"/>
        <w:spacing w:before="100" w:beforeAutospacing="1" w:after="100" w:afterAutospacing="1" w:line="480" w:lineRule="auto"/>
        <w:rPr>
          <w:rFonts w:ascii="Roboto" w:eastAsia="Times New Roman" w:hAnsi="Roboto" w:cs="Times New Roman"/>
          <w:color w:val="000000" w:themeColor="text1"/>
          <w:kern w:val="0"/>
          <w:lang w:eastAsia="en-GB"/>
          <w14:ligatures w14:val="none"/>
        </w:rPr>
      </w:pPr>
      <w:r w:rsidRPr="00620F22">
        <w:rPr>
          <w:rFonts w:ascii="Roboto" w:eastAsia="Times New Roman" w:hAnsi="Roboto" w:cs="Times New Roman"/>
          <w:color w:val="000000" w:themeColor="text1"/>
          <w:kern w:val="0"/>
          <w:lang w:eastAsia="en-GB"/>
          <w14:ligatures w14:val="none"/>
        </w:rPr>
        <w:t>Set clear expectations and listen to theirs.</w:t>
      </w:r>
    </w:p>
    <w:p w14:paraId="0EF6FD95" w14:textId="77777777" w:rsidR="00620F22" w:rsidRPr="00620F22" w:rsidRDefault="00620F22">
      <w:pPr>
        <w:numPr>
          <w:ilvl w:val="0"/>
          <w:numId w:val="32"/>
        </w:numPr>
        <w:shd w:val="clear" w:color="auto" w:fill="FFFFFF"/>
        <w:spacing w:before="100" w:beforeAutospacing="1" w:after="100" w:afterAutospacing="1" w:line="480" w:lineRule="auto"/>
        <w:rPr>
          <w:rFonts w:ascii="Roboto" w:eastAsia="Times New Roman" w:hAnsi="Roboto" w:cs="Times New Roman"/>
          <w:color w:val="000000" w:themeColor="text1"/>
          <w:kern w:val="0"/>
          <w:lang w:eastAsia="en-GB"/>
          <w14:ligatures w14:val="none"/>
        </w:rPr>
      </w:pPr>
      <w:r w:rsidRPr="00620F22">
        <w:rPr>
          <w:rFonts w:ascii="Roboto" w:eastAsia="Times New Roman" w:hAnsi="Roboto" w:cs="Times New Roman"/>
          <w:color w:val="000000" w:themeColor="text1"/>
          <w:kern w:val="0"/>
          <w:lang w:eastAsia="en-GB"/>
          <w14:ligatures w14:val="none"/>
        </w:rPr>
        <w:t>Trust your people.</w:t>
      </w:r>
    </w:p>
    <w:p w14:paraId="346B00F1" w14:textId="77777777" w:rsidR="00620F22" w:rsidRPr="00620F22" w:rsidRDefault="00620F22">
      <w:pPr>
        <w:numPr>
          <w:ilvl w:val="0"/>
          <w:numId w:val="32"/>
        </w:numPr>
        <w:shd w:val="clear" w:color="auto" w:fill="FFFFFF"/>
        <w:spacing w:before="100" w:beforeAutospacing="1" w:after="100" w:afterAutospacing="1" w:line="480" w:lineRule="auto"/>
        <w:rPr>
          <w:rFonts w:ascii="Roboto" w:eastAsia="Times New Roman" w:hAnsi="Roboto" w:cs="Times New Roman"/>
          <w:color w:val="000000" w:themeColor="text1"/>
          <w:kern w:val="0"/>
          <w:lang w:eastAsia="en-GB"/>
          <w14:ligatures w14:val="none"/>
        </w:rPr>
      </w:pPr>
      <w:r w:rsidRPr="00620F22">
        <w:rPr>
          <w:rFonts w:ascii="Roboto" w:eastAsia="Times New Roman" w:hAnsi="Roboto" w:cs="Times New Roman"/>
          <w:color w:val="000000" w:themeColor="text1"/>
          <w:kern w:val="0"/>
          <w:lang w:eastAsia="en-GB"/>
          <w14:ligatures w14:val="none"/>
        </w:rPr>
        <w:t>Be respectful and inclusive.</w:t>
      </w:r>
    </w:p>
    <w:p w14:paraId="080FDFCB" w14:textId="77777777" w:rsidR="00620F22" w:rsidRPr="00620F22" w:rsidRDefault="00620F22">
      <w:pPr>
        <w:numPr>
          <w:ilvl w:val="0"/>
          <w:numId w:val="32"/>
        </w:numPr>
        <w:shd w:val="clear" w:color="auto" w:fill="FFFFFF"/>
        <w:spacing w:before="100" w:beforeAutospacing="1" w:after="100" w:afterAutospacing="1" w:line="480" w:lineRule="auto"/>
        <w:rPr>
          <w:rFonts w:ascii="Roboto" w:eastAsia="Times New Roman" w:hAnsi="Roboto" w:cs="Times New Roman"/>
          <w:color w:val="000000" w:themeColor="text1"/>
          <w:kern w:val="0"/>
          <w:lang w:eastAsia="en-GB"/>
          <w14:ligatures w14:val="none"/>
        </w:rPr>
      </w:pPr>
      <w:r w:rsidRPr="00620F22">
        <w:rPr>
          <w:rFonts w:ascii="Roboto" w:eastAsia="Times New Roman" w:hAnsi="Roboto" w:cs="Times New Roman"/>
          <w:color w:val="000000" w:themeColor="text1"/>
          <w:kern w:val="0"/>
          <w:lang w:eastAsia="en-GB"/>
          <w14:ligatures w14:val="none"/>
        </w:rPr>
        <w:t>Demonstrate empathy.</w:t>
      </w:r>
    </w:p>
    <w:p w14:paraId="640911BC" w14:textId="77777777" w:rsidR="00620F22" w:rsidRPr="00620F22" w:rsidRDefault="00620F22">
      <w:pPr>
        <w:numPr>
          <w:ilvl w:val="0"/>
          <w:numId w:val="32"/>
        </w:numPr>
        <w:shd w:val="clear" w:color="auto" w:fill="FFFFFF"/>
        <w:spacing w:before="100" w:beforeAutospacing="1" w:after="100" w:afterAutospacing="1" w:line="480" w:lineRule="auto"/>
        <w:rPr>
          <w:rFonts w:ascii="Roboto" w:eastAsia="Times New Roman" w:hAnsi="Roboto" w:cs="Times New Roman"/>
          <w:color w:val="000000" w:themeColor="text1"/>
          <w:kern w:val="0"/>
          <w:lang w:eastAsia="en-GB"/>
          <w14:ligatures w14:val="none"/>
        </w:rPr>
      </w:pPr>
      <w:r w:rsidRPr="00620F22">
        <w:rPr>
          <w:rFonts w:ascii="Roboto" w:eastAsia="Times New Roman" w:hAnsi="Roboto" w:cs="Times New Roman"/>
          <w:color w:val="000000" w:themeColor="text1"/>
          <w:kern w:val="0"/>
          <w:lang w:eastAsia="en-GB"/>
          <w14:ligatures w14:val="none"/>
        </w:rPr>
        <w:t>Help your people thrive by giving them opportunities to grow and develop.</w:t>
      </w:r>
    </w:p>
    <w:p w14:paraId="4AFA52D5" w14:textId="77777777" w:rsidR="00620F22" w:rsidRPr="00620F22" w:rsidRDefault="00620F22">
      <w:pPr>
        <w:numPr>
          <w:ilvl w:val="0"/>
          <w:numId w:val="32"/>
        </w:numPr>
        <w:shd w:val="clear" w:color="auto" w:fill="FFFFFF"/>
        <w:spacing w:before="100" w:beforeAutospacing="1" w:after="100" w:afterAutospacing="1" w:line="480" w:lineRule="auto"/>
        <w:rPr>
          <w:rFonts w:ascii="Roboto" w:eastAsia="Times New Roman" w:hAnsi="Roboto" w:cs="Times New Roman"/>
          <w:color w:val="000000" w:themeColor="text1"/>
          <w:kern w:val="0"/>
          <w:lang w:eastAsia="en-GB"/>
          <w14:ligatures w14:val="none"/>
        </w:rPr>
      </w:pPr>
      <w:r w:rsidRPr="00620F22">
        <w:rPr>
          <w:rFonts w:ascii="Roboto" w:eastAsia="Times New Roman" w:hAnsi="Roboto" w:cs="Times New Roman"/>
          <w:color w:val="000000" w:themeColor="text1"/>
          <w:kern w:val="0"/>
          <w:lang w:eastAsia="en-GB"/>
          <w14:ligatures w14:val="none"/>
        </w:rPr>
        <w:t>Make sure their well-being is a priority.</w:t>
      </w:r>
    </w:p>
    <w:p w14:paraId="004880B0" w14:textId="77777777" w:rsidR="00620F22" w:rsidRPr="00620F22" w:rsidRDefault="00620F22">
      <w:pPr>
        <w:numPr>
          <w:ilvl w:val="0"/>
          <w:numId w:val="32"/>
        </w:numPr>
        <w:shd w:val="clear" w:color="auto" w:fill="FFFFFF"/>
        <w:spacing w:before="100" w:beforeAutospacing="1" w:after="100" w:afterAutospacing="1" w:line="480" w:lineRule="auto"/>
        <w:rPr>
          <w:rFonts w:ascii="Roboto" w:eastAsia="Times New Roman" w:hAnsi="Roboto" w:cs="Times New Roman"/>
          <w:color w:val="000000" w:themeColor="text1"/>
          <w:kern w:val="0"/>
          <w:lang w:eastAsia="en-GB"/>
          <w14:ligatures w14:val="none"/>
        </w:rPr>
      </w:pPr>
      <w:r w:rsidRPr="00620F22">
        <w:rPr>
          <w:rFonts w:ascii="Roboto" w:eastAsia="Times New Roman" w:hAnsi="Roboto" w:cs="Times New Roman"/>
          <w:color w:val="000000" w:themeColor="text1"/>
          <w:kern w:val="0"/>
          <w:lang w:eastAsia="en-GB"/>
          <w14:ligatures w14:val="none"/>
        </w:rPr>
        <w:t>Make others feel important and valued. Foster a sense of belonging.</w:t>
      </w:r>
    </w:p>
    <w:p w14:paraId="787D821A" w14:textId="77777777" w:rsidR="00620F22" w:rsidRPr="00620F22" w:rsidRDefault="00620F22">
      <w:pPr>
        <w:numPr>
          <w:ilvl w:val="0"/>
          <w:numId w:val="32"/>
        </w:numPr>
        <w:shd w:val="clear" w:color="auto" w:fill="FFFFFF"/>
        <w:spacing w:before="100" w:beforeAutospacing="1" w:after="100" w:afterAutospacing="1" w:line="480" w:lineRule="auto"/>
        <w:rPr>
          <w:rFonts w:ascii="Roboto" w:eastAsia="Times New Roman" w:hAnsi="Roboto" w:cs="Times New Roman"/>
          <w:color w:val="000000" w:themeColor="text1"/>
          <w:kern w:val="0"/>
          <w:lang w:eastAsia="en-GB"/>
          <w14:ligatures w14:val="none"/>
        </w:rPr>
      </w:pPr>
      <w:r w:rsidRPr="00620F22">
        <w:rPr>
          <w:rFonts w:ascii="Roboto" w:eastAsia="Times New Roman" w:hAnsi="Roboto" w:cs="Times New Roman"/>
          <w:color w:val="000000" w:themeColor="text1"/>
          <w:kern w:val="0"/>
          <w:lang w:eastAsia="en-GB"/>
          <w14:ligatures w14:val="none"/>
        </w:rPr>
        <w:t>Acknowledge mistakes. Celebrate learnings and successes.</w:t>
      </w:r>
    </w:p>
    <w:p w14:paraId="01F5190F" w14:textId="77777777" w:rsidR="00620F22" w:rsidRPr="00620F22" w:rsidRDefault="00620F22">
      <w:pPr>
        <w:numPr>
          <w:ilvl w:val="0"/>
          <w:numId w:val="32"/>
        </w:numPr>
        <w:shd w:val="clear" w:color="auto" w:fill="FFFFFF"/>
        <w:spacing w:before="100" w:beforeAutospacing="1" w:after="100" w:afterAutospacing="1" w:line="480" w:lineRule="auto"/>
        <w:rPr>
          <w:rFonts w:ascii="Roboto" w:eastAsia="Times New Roman" w:hAnsi="Roboto" w:cs="Times New Roman"/>
          <w:color w:val="000000" w:themeColor="text1"/>
          <w:kern w:val="0"/>
          <w:lang w:eastAsia="en-GB"/>
          <w14:ligatures w14:val="none"/>
        </w:rPr>
      </w:pPr>
      <w:r w:rsidRPr="00620F22">
        <w:rPr>
          <w:rFonts w:ascii="Roboto" w:eastAsia="Times New Roman" w:hAnsi="Roboto" w:cs="Times New Roman"/>
          <w:color w:val="000000" w:themeColor="text1"/>
          <w:kern w:val="0"/>
          <w:lang w:eastAsia="en-GB"/>
          <w14:ligatures w14:val="none"/>
        </w:rPr>
        <w:t>Live the company values. Are you consistently walking the walk?</w:t>
      </w:r>
    </w:p>
    <w:p w14:paraId="32CF0ED2" w14:textId="77777777" w:rsidR="00620F22" w:rsidRPr="00620F22" w:rsidRDefault="00620F22">
      <w:pPr>
        <w:numPr>
          <w:ilvl w:val="0"/>
          <w:numId w:val="32"/>
        </w:numPr>
        <w:shd w:val="clear" w:color="auto" w:fill="FFFFFF"/>
        <w:spacing w:before="100" w:beforeAutospacing="1" w:after="100" w:afterAutospacing="1" w:line="480" w:lineRule="auto"/>
        <w:rPr>
          <w:rFonts w:ascii="Roboto" w:eastAsia="Times New Roman" w:hAnsi="Roboto" w:cs="Times New Roman"/>
          <w:color w:val="000000" w:themeColor="text1"/>
          <w:kern w:val="0"/>
          <w:lang w:eastAsia="en-GB"/>
          <w14:ligatures w14:val="none"/>
        </w:rPr>
      </w:pPr>
      <w:r w:rsidRPr="00620F22">
        <w:rPr>
          <w:rFonts w:ascii="Roboto" w:eastAsia="Times New Roman" w:hAnsi="Roboto" w:cs="Times New Roman"/>
          <w:color w:val="000000" w:themeColor="text1"/>
          <w:kern w:val="0"/>
          <w:lang w:eastAsia="en-GB"/>
          <w14:ligatures w14:val="none"/>
        </w:rPr>
        <w:t>Keep your promises.’</w:t>
      </w:r>
    </w:p>
    <w:p w14:paraId="4C7854E0" w14:textId="77777777" w:rsidR="00620F22" w:rsidRPr="00620F22" w:rsidRDefault="00620F22" w:rsidP="00620F22">
      <w:pPr>
        <w:shd w:val="clear" w:color="auto" w:fill="FFFFFF"/>
        <w:spacing w:before="100" w:beforeAutospacing="1" w:after="100" w:afterAutospacing="1" w:line="480" w:lineRule="auto"/>
        <w:jc w:val="both"/>
        <w:rPr>
          <w:rFonts w:ascii="Arial" w:eastAsia="Times New Roman" w:hAnsi="Arial" w:cs="Arial"/>
          <w:color w:val="000000" w:themeColor="text1"/>
          <w:kern w:val="0"/>
          <w:lang w:eastAsia="en-GB"/>
          <w14:ligatures w14:val="none"/>
        </w:rPr>
      </w:pPr>
      <w:r w:rsidRPr="00620F22">
        <w:rPr>
          <w:rFonts w:ascii="Arial" w:eastAsia="Times New Roman" w:hAnsi="Arial" w:cs="Arial"/>
          <w:color w:val="000000" w:themeColor="text1"/>
          <w:kern w:val="0"/>
          <w:lang w:eastAsia="en-GB"/>
          <w14:ligatures w14:val="none"/>
        </w:rPr>
        <w:t xml:space="preserve">Thus, the researcher believes that an organisation that dares to put their people at the heart of everything they undertake is an organisation that will thrive from the </w:t>
      </w:r>
      <w:r w:rsidRPr="00620F22">
        <w:rPr>
          <w:rFonts w:ascii="Arial" w:eastAsia="Times New Roman" w:hAnsi="Arial" w:cs="Arial"/>
          <w:b/>
          <w:bCs/>
          <w:i/>
          <w:iCs/>
          <w:color w:val="000000" w:themeColor="text1"/>
          <w:kern w:val="0"/>
          <w:lang w:eastAsia="en-GB"/>
          <w14:ligatures w14:val="none"/>
        </w:rPr>
        <w:t>inside out.</w:t>
      </w:r>
      <w:r w:rsidRPr="00620F22">
        <w:rPr>
          <w:rFonts w:ascii="Arial" w:eastAsia="Times New Roman" w:hAnsi="Arial" w:cs="Arial"/>
          <w:color w:val="000000" w:themeColor="text1"/>
          <w:kern w:val="0"/>
          <w:lang w:eastAsia="en-GB"/>
          <w14:ligatures w14:val="none"/>
        </w:rPr>
        <w:t xml:space="preserve"> It is acknowledged that the major reputational advantages enjoyed by a people-centric organisation are attracting and keeping quality talent and obtaining customer loyalty through enhanced brand reputation, crucially creating high-performance teams, enhancing productivity, reducing staff turnover and absenteeism, generating greater revenue, and becoming industry leaders (Robertson, 2022). This will all dampen if not eradicate Accounting Fraud as it will potentially reduce the causes of employee </w:t>
      </w:r>
      <w:r w:rsidRPr="00620F22">
        <w:rPr>
          <w:rFonts w:ascii="Arial" w:eastAsia="Times New Roman" w:hAnsi="Arial" w:cs="Arial"/>
          <w:color w:val="000000" w:themeColor="text1"/>
          <w:kern w:val="0"/>
          <w:lang w:eastAsia="en-GB"/>
          <w14:ligatures w14:val="none"/>
        </w:rPr>
        <w:lastRenderedPageBreak/>
        <w:t xml:space="preserve">pressure, opportunity and rationalisation or the Fraud Triangle and potentially make Corporate Psychopath Accountant more accountable. The researcher will now offer concrete suggestions in the context of fraud prevention. </w:t>
      </w:r>
    </w:p>
    <w:bookmarkStart w:id="777" w:name="AT14"/>
    <w:bookmarkStart w:id="778" w:name="D119"/>
    <w:p w14:paraId="3F5CE3E6" w14:textId="38EB83DA" w:rsidR="00620F22" w:rsidRPr="006408AD" w:rsidRDefault="006408AD" w:rsidP="00572D00">
      <w:pPr>
        <w:pBdr>
          <w:top w:val="single" w:sz="4" w:space="1" w:color="auto"/>
          <w:left w:val="single" w:sz="4" w:space="4" w:color="auto"/>
          <w:bottom w:val="single" w:sz="4" w:space="1" w:color="auto"/>
          <w:right w:val="single" w:sz="4" w:space="4" w:color="auto"/>
        </w:pBdr>
        <w:shd w:val="clear" w:color="auto" w:fill="FFFFFF"/>
        <w:spacing w:before="100" w:beforeAutospacing="1" w:after="100" w:afterAutospacing="1" w:line="240" w:lineRule="auto"/>
        <w:jc w:val="both"/>
        <w:rPr>
          <w:rStyle w:val="Hyperlink"/>
          <w:rFonts w:ascii="Arial" w:eastAsia="Times New Roman" w:hAnsi="Arial" w:cs="Arial"/>
          <w:b/>
          <w:bCs/>
          <w:kern w:val="0"/>
          <w:lang w:eastAsia="en-GB"/>
          <w14:ligatures w14:val="none"/>
        </w:rPr>
      </w:pPr>
      <w:r>
        <w:rPr>
          <w:rFonts w:ascii="Arial" w:eastAsia="Times New Roman" w:hAnsi="Arial" w:cs="Arial"/>
          <w:b/>
          <w:bCs/>
          <w:kern w:val="0"/>
          <w:lang w:eastAsia="en-GB"/>
          <w14:ligatures w14:val="none"/>
        </w:rPr>
        <w:fldChar w:fldCharType="begin"/>
      </w:r>
      <w:r>
        <w:rPr>
          <w:rFonts w:ascii="Arial" w:eastAsia="Times New Roman" w:hAnsi="Arial" w:cs="Arial"/>
          <w:b/>
          <w:bCs/>
          <w:kern w:val="0"/>
          <w:lang w:eastAsia="en-GB"/>
          <w14:ligatures w14:val="none"/>
        </w:rPr>
        <w:instrText>HYPERLINK  \l "C119"</w:instrText>
      </w:r>
      <w:r>
        <w:rPr>
          <w:rFonts w:ascii="Arial" w:eastAsia="Times New Roman" w:hAnsi="Arial" w:cs="Arial"/>
          <w:b/>
          <w:bCs/>
          <w:kern w:val="0"/>
          <w:lang w:eastAsia="en-GB"/>
          <w14:ligatures w14:val="none"/>
        </w:rPr>
      </w:r>
      <w:r>
        <w:rPr>
          <w:rFonts w:ascii="Arial" w:eastAsia="Times New Roman" w:hAnsi="Arial" w:cs="Arial"/>
          <w:b/>
          <w:bCs/>
          <w:kern w:val="0"/>
          <w:lang w:eastAsia="en-GB"/>
          <w14:ligatures w14:val="none"/>
        </w:rPr>
        <w:fldChar w:fldCharType="separate"/>
      </w:r>
      <w:r w:rsidR="00620F22" w:rsidRPr="006408AD">
        <w:rPr>
          <w:rStyle w:val="Hyperlink"/>
          <w:rFonts w:ascii="Arial" w:eastAsia="Times New Roman" w:hAnsi="Arial" w:cs="Arial"/>
          <w:b/>
          <w:bCs/>
          <w:kern w:val="0"/>
          <w:lang w:eastAsia="en-GB"/>
          <w14:ligatures w14:val="none"/>
        </w:rPr>
        <w:t xml:space="preserve"> </w:t>
      </w:r>
      <w:bookmarkStart w:id="779" w:name="_Hlk172040772"/>
      <w:r w:rsidR="00620F22" w:rsidRPr="006408AD">
        <w:rPr>
          <w:rStyle w:val="Hyperlink"/>
          <w:rFonts w:ascii="Arial" w:eastAsia="Times New Roman" w:hAnsi="Arial" w:cs="Arial"/>
          <w:b/>
          <w:bCs/>
          <w:kern w:val="0"/>
          <w:lang w:eastAsia="en-GB"/>
          <w14:ligatures w14:val="none"/>
        </w:rPr>
        <w:t xml:space="preserve">4.5.7.1 Accounting Ethics </w:t>
      </w:r>
      <w:bookmarkEnd w:id="779"/>
    </w:p>
    <w:bookmarkEnd w:id="777"/>
    <w:bookmarkEnd w:id="778"/>
    <w:p w14:paraId="699FD62E" w14:textId="71C00F4D" w:rsidR="00620F22" w:rsidRPr="00620F22" w:rsidRDefault="006408AD" w:rsidP="00620F22">
      <w:pPr>
        <w:shd w:val="clear" w:color="auto" w:fill="FFFFFF"/>
        <w:spacing w:before="100" w:beforeAutospacing="1" w:after="100" w:afterAutospacing="1" w:line="480" w:lineRule="auto"/>
        <w:jc w:val="both"/>
        <w:rPr>
          <w:rFonts w:ascii="Arial" w:eastAsia="Times New Roman" w:hAnsi="Arial" w:cs="Arial"/>
          <w:b/>
          <w:bCs/>
          <w:color w:val="000000" w:themeColor="text1"/>
          <w:kern w:val="0"/>
          <w:lang w:eastAsia="en-GB"/>
          <w14:ligatures w14:val="none"/>
        </w:rPr>
      </w:pPr>
      <w:r>
        <w:rPr>
          <w:rFonts w:ascii="Arial" w:eastAsia="Times New Roman" w:hAnsi="Arial" w:cs="Arial"/>
          <w:b/>
          <w:bCs/>
          <w:kern w:val="0"/>
          <w:lang w:eastAsia="en-GB"/>
          <w14:ligatures w14:val="none"/>
        </w:rPr>
        <w:fldChar w:fldCharType="end"/>
      </w:r>
      <w:r w:rsidR="00620F22" w:rsidRPr="00620F22">
        <w:rPr>
          <w:rFonts w:ascii="Arial" w:eastAsia="Times New Roman" w:hAnsi="Arial" w:cs="Arial"/>
          <w:color w:val="000000" w:themeColor="text1"/>
          <w:kern w:val="0"/>
          <w:shd w:val="clear" w:color="auto" w:fill="FFFFFF"/>
          <w:lang w:eastAsia="en-GB"/>
          <w14:ligatures w14:val="none"/>
        </w:rPr>
        <w:t xml:space="preserve">Ethics is based on substantiated and agreed standards of right and wrong that recommend what humans </w:t>
      </w:r>
      <w:r w:rsidR="00620F22" w:rsidRPr="00620F22">
        <w:rPr>
          <w:rFonts w:ascii="Arial" w:eastAsia="Times New Roman" w:hAnsi="Arial" w:cs="Arial"/>
          <w:b/>
          <w:bCs/>
          <w:i/>
          <w:iCs/>
          <w:color w:val="000000" w:themeColor="text1"/>
          <w:kern w:val="0"/>
          <w:shd w:val="clear" w:color="auto" w:fill="FFFFFF"/>
          <w:lang w:eastAsia="en-GB"/>
          <w14:ligatures w14:val="none"/>
        </w:rPr>
        <w:t xml:space="preserve">should </w:t>
      </w:r>
      <w:r w:rsidR="00620F22" w:rsidRPr="00620F22">
        <w:rPr>
          <w:rFonts w:ascii="Arial" w:eastAsia="Times New Roman" w:hAnsi="Arial" w:cs="Arial"/>
          <w:color w:val="000000" w:themeColor="text1"/>
          <w:kern w:val="0"/>
          <w:shd w:val="clear" w:color="auto" w:fill="FFFFFF"/>
          <w:lang w:eastAsia="en-GB"/>
          <w14:ligatures w14:val="none"/>
        </w:rPr>
        <w:t>do, with respect to rights, responsibilities, benefits to society, equity, or specific virtues (Sepasi, 2019). It is important to note that being ethical is not the same as adhering to the law (Mintz and Morris, 2022). The law often combines ethical standards to which most people will subscribe however, laws, like feelings, can diverge from what is ethical. For example, the old apartheid laws of present-day South Africa are disturbing examples of laws that radically digress from what is universally ethical.</w:t>
      </w:r>
    </w:p>
    <w:p w14:paraId="33E88491" w14:textId="77777777" w:rsidR="00620F22" w:rsidRPr="00620F22" w:rsidRDefault="00620F22" w:rsidP="00620F22">
      <w:pPr>
        <w:shd w:val="clear" w:color="auto" w:fill="FFFFFF"/>
        <w:spacing w:after="0" w:line="480" w:lineRule="auto"/>
        <w:jc w:val="both"/>
        <w:textAlignment w:val="top"/>
        <w:rPr>
          <w:rFonts w:ascii="Arial" w:eastAsia="Times New Roman" w:hAnsi="Arial" w:cs="Arial"/>
          <w:color w:val="000000" w:themeColor="text1"/>
          <w:kern w:val="0"/>
          <w:lang w:eastAsia="en-GB"/>
          <w14:ligatures w14:val="none"/>
        </w:rPr>
      </w:pPr>
      <w:r w:rsidRPr="00620F22">
        <w:rPr>
          <w:rFonts w:ascii="Arial" w:eastAsia="Times New Roman" w:hAnsi="Arial" w:cs="Arial"/>
          <w:color w:val="000000" w:themeColor="text1"/>
          <w:kern w:val="0"/>
          <w:lang w:eastAsia="en-GB"/>
          <w14:ligatures w14:val="none"/>
        </w:rPr>
        <w:t>In the context of professional accounting which is equally applicable to auditors, the IFAC (2019) dispensed a revised </w:t>
      </w:r>
      <w:hyperlink r:id="rId51" w:history="1">
        <w:r w:rsidRPr="00620F22">
          <w:rPr>
            <w:rFonts w:ascii="Arial" w:eastAsia="Times New Roman" w:hAnsi="Arial" w:cs="Arial"/>
            <w:b/>
            <w:bCs/>
            <w:i/>
            <w:iCs/>
            <w:color w:val="000000" w:themeColor="text1"/>
            <w:kern w:val="0"/>
            <w:lang w:eastAsia="en-GB"/>
            <w14:ligatures w14:val="none"/>
          </w:rPr>
          <w:t>Code of Ethics for Professional Accountants</w:t>
        </w:r>
      </w:hyperlink>
      <w:r w:rsidRPr="00620F22">
        <w:rPr>
          <w:rFonts w:ascii="Arial" w:eastAsia="Times New Roman" w:hAnsi="Arial" w:cs="Arial"/>
          <w:b/>
          <w:bCs/>
          <w:color w:val="000000" w:themeColor="text1"/>
          <w:kern w:val="0"/>
          <w:lang w:eastAsia="en-GB"/>
          <w14:ligatures w14:val="none"/>
        </w:rPr>
        <w:t>.</w:t>
      </w:r>
      <w:r w:rsidRPr="00620F22">
        <w:rPr>
          <w:rFonts w:ascii="Arial" w:eastAsia="Times New Roman" w:hAnsi="Arial" w:cs="Arial"/>
          <w:color w:val="000000" w:themeColor="text1"/>
          <w:kern w:val="0"/>
          <w:lang w:eastAsia="en-GB"/>
          <w14:ligatures w14:val="none"/>
        </w:rPr>
        <w:t xml:space="preserve"> The revised Code highlights a conceptual framework for all professional accountants to ensure compliance with the five basic principles of ethics:</w:t>
      </w:r>
    </w:p>
    <w:p w14:paraId="7A32910E" w14:textId="77777777" w:rsidR="00620F22" w:rsidRPr="00620F22" w:rsidRDefault="00620F22" w:rsidP="00620F22">
      <w:pPr>
        <w:shd w:val="clear" w:color="auto" w:fill="FFFFFF"/>
        <w:spacing w:after="0" w:line="480" w:lineRule="auto"/>
        <w:jc w:val="both"/>
        <w:textAlignment w:val="top"/>
        <w:rPr>
          <w:rFonts w:ascii="Arial" w:eastAsia="Times New Roman" w:hAnsi="Arial" w:cs="Arial"/>
          <w:color w:val="000000" w:themeColor="text1"/>
          <w:kern w:val="0"/>
          <w:lang w:eastAsia="en-GB"/>
          <w14:ligatures w14:val="none"/>
        </w:rPr>
      </w:pPr>
      <w:r w:rsidRPr="00620F22">
        <w:rPr>
          <w:rFonts w:ascii="Arial" w:eastAsia="Times New Roman" w:hAnsi="Arial" w:cs="Arial"/>
          <w:b/>
          <w:bCs/>
          <w:color w:val="000000" w:themeColor="text1"/>
          <w:kern w:val="0"/>
          <w:lang w:eastAsia="en-GB"/>
          <w14:ligatures w14:val="none"/>
        </w:rPr>
        <w:t>‘Integrity.</w:t>
      </w:r>
    </w:p>
    <w:p w14:paraId="00F3B2E3" w14:textId="77777777" w:rsidR="00620F22" w:rsidRPr="00620F22" w:rsidRDefault="00620F22" w:rsidP="00620F22">
      <w:pPr>
        <w:shd w:val="clear" w:color="auto" w:fill="FFFFFF"/>
        <w:spacing w:before="150" w:after="0" w:line="480" w:lineRule="auto"/>
        <w:jc w:val="both"/>
        <w:rPr>
          <w:rFonts w:ascii="Arial" w:eastAsia="Times New Roman" w:hAnsi="Arial" w:cs="Arial"/>
          <w:color w:val="000000" w:themeColor="text1"/>
          <w:kern w:val="0"/>
          <w:lang w:eastAsia="en-GB"/>
          <w14:ligatures w14:val="none"/>
        </w:rPr>
      </w:pPr>
      <w:r w:rsidRPr="00620F22">
        <w:rPr>
          <w:rFonts w:ascii="Arial" w:eastAsia="Times New Roman" w:hAnsi="Arial" w:cs="Arial"/>
          <w:color w:val="000000" w:themeColor="text1"/>
          <w:kern w:val="0"/>
          <w:lang w:eastAsia="en-GB"/>
          <w14:ligatures w14:val="none"/>
        </w:rPr>
        <w:t>A professional accountant should be straightforward and honest in all professional and business relationships</w:t>
      </w:r>
    </w:p>
    <w:p w14:paraId="2022580D" w14:textId="77777777" w:rsidR="00620F22" w:rsidRPr="00620F22" w:rsidRDefault="00620F22" w:rsidP="00620F22">
      <w:pPr>
        <w:shd w:val="clear" w:color="auto" w:fill="FFFFFF"/>
        <w:spacing w:after="0" w:line="480" w:lineRule="auto"/>
        <w:jc w:val="both"/>
        <w:textAlignment w:val="top"/>
        <w:rPr>
          <w:rFonts w:ascii="Arial" w:eastAsia="Times New Roman" w:hAnsi="Arial" w:cs="Arial"/>
          <w:color w:val="000000" w:themeColor="text1"/>
          <w:kern w:val="0"/>
          <w:lang w:eastAsia="en-GB"/>
          <w14:ligatures w14:val="none"/>
        </w:rPr>
      </w:pPr>
      <w:r w:rsidRPr="00620F22">
        <w:rPr>
          <w:rFonts w:ascii="Arial" w:eastAsia="Times New Roman" w:hAnsi="Arial" w:cs="Arial"/>
          <w:b/>
          <w:bCs/>
          <w:color w:val="000000" w:themeColor="text1"/>
          <w:kern w:val="0"/>
          <w:lang w:eastAsia="en-GB"/>
          <w14:ligatures w14:val="none"/>
        </w:rPr>
        <w:t>Objectivity.</w:t>
      </w:r>
    </w:p>
    <w:p w14:paraId="6098BD4B" w14:textId="77777777" w:rsidR="00620F22" w:rsidRPr="00620F22" w:rsidRDefault="00620F22" w:rsidP="00620F22">
      <w:pPr>
        <w:shd w:val="clear" w:color="auto" w:fill="FFFFFF"/>
        <w:spacing w:before="150" w:after="0" w:line="480" w:lineRule="auto"/>
        <w:jc w:val="both"/>
        <w:rPr>
          <w:rFonts w:ascii="Arial" w:eastAsia="Times New Roman" w:hAnsi="Arial" w:cs="Arial"/>
          <w:color w:val="000000" w:themeColor="text1"/>
          <w:kern w:val="0"/>
          <w:lang w:eastAsia="en-GB"/>
          <w14:ligatures w14:val="none"/>
        </w:rPr>
      </w:pPr>
      <w:r w:rsidRPr="00620F22">
        <w:rPr>
          <w:rFonts w:ascii="Arial" w:eastAsia="Times New Roman" w:hAnsi="Arial" w:cs="Arial"/>
          <w:color w:val="000000" w:themeColor="text1"/>
          <w:kern w:val="0"/>
          <w:lang w:eastAsia="en-GB"/>
          <w14:ligatures w14:val="none"/>
        </w:rPr>
        <w:t>A professional accountant should not allow bias, conflict of interest or undue influence of others.</w:t>
      </w:r>
    </w:p>
    <w:p w14:paraId="5EA2D207" w14:textId="77777777" w:rsidR="00620F22" w:rsidRPr="00620F22" w:rsidRDefault="00620F22" w:rsidP="00620F22">
      <w:pPr>
        <w:shd w:val="clear" w:color="auto" w:fill="FFFFFF"/>
        <w:spacing w:after="0" w:line="480" w:lineRule="auto"/>
        <w:jc w:val="both"/>
        <w:textAlignment w:val="top"/>
        <w:rPr>
          <w:rFonts w:ascii="Arial" w:eastAsia="Times New Roman" w:hAnsi="Arial" w:cs="Arial"/>
          <w:color w:val="000000" w:themeColor="text1"/>
          <w:kern w:val="0"/>
          <w:lang w:eastAsia="en-GB"/>
          <w14:ligatures w14:val="none"/>
        </w:rPr>
      </w:pPr>
      <w:r w:rsidRPr="00620F22">
        <w:rPr>
          <w:rFonts w:ascii="Arial" w:eastAsia="Times New Roman" w:hAnsi="Arial" w:cs="Arial"/>
          <w:b/>
          <w:bCs/>
          <w:color w:val="000000" w:themeColor="text1"/>
          <w:kern w:val="0"/>
          <w:lang w:eastAsia="en-GB"/>
          <w14:ligatures w14:val="none"/>
        </w:rPr>
        <w:t>Professional Competence and Due Care.</w:t>
      </w:r>
    </w:p>
    <w:p w14:paraId="27604EBB" w14:textId="77777777" w:rsidR="00620F22" w:rsidRPr="00620F22" w:rsidRDefault="00620F22" w:rsidP="00620F22">
      <w:pPr>
        <w:shd w:val="clear" w:color="auto" w:fill="FFFFFF"/>
        <w:spacing w:before="150" w:after="0" w:line="480" w:lineRule="auto"/>
        <w:jc w:val="both"/>
        <w:rPr>
          <w:rFonts w:ascii="Arial" w:eastAsia="Times New Roman" w:hAnsi="Arial" w:cs="Arial"/>
          <w:b/>
          <w:bCs/>
          <w:color w:val="000000" w:themeColor="text1"/>
          <w:kern w:val="0"/>
          <w:lang w:eastAsia="en-GB"/>
          <w14:ligatures w14:val="none"/>
        </w:rPr>
      </w:pPr>
      <w:r w:rsidRPr="00620F22">
        <w:rPr>
          <w:rFonts w:ascii="Arial" w:eastAsia="Times New Roman" w:hAnsi="Arial" w:cs="Arial"/>
          <w:color w:val="000000" w:themeColor="text1"/>
          <w:kern w:val="0"/>
          <w:lang w:eastAsia="en-GB"/>
          <w14:ligatures w14:val="none"/>
        </w:rPr>
        <w:lastRenderedPageBreak/>
        <w:t>A professional accountant has a continuing duty to maintain professional knowledge and skill at the level required to ensure that a client or employer receives competent professional services based on current developments in practice, legislation and techniques. A professional accountant should act diligently and in accordance with applicable technical and professional standards when providing professional services.</w:t>
      </w:r>
    </w:p>
    <w:p w14:paraId="34B91CE6" w14:textId="77777777" w:rsidR="00620F22" w:rsidRPr="00620F22" w:rsidRDefault="00620F22" w:rsidP="00620F22">
      <w:pPr>
        <w:shd w:val="clear" w:color="auto" w:fill="FFFFFF"/>
        <w:spacing w:before="150" w:after="0" w:line="480" w:lineRule="auto"/>
        <w:jc w:val="both"/>
        <w:rPr>
          <w:rFonts w:ascii="Arial" w:eastAsia="Times New Roman" w:hAnsi="Arial" w:cs="Arial"/>
          <w:color w:val="000000" w:themeColor="text1"/>
          <w:kern w:val="0"/>
          <w:lang w:eastAsia="en-GB"/>
          <w14:ligatures w14:val="none"/>
        </w:rPr>
      </w:pPr>
      <w:r w:rsidRPr="00620F22">
        <w:rPr>
          <w:rFonts w:ascii="Arial" w:eastAsia="Times New Roman" w:hAnsi="Arial" w:cs="Arial"/>
          <w:b/>
          <w:bCs/>
          <w:color w:val="000000" w:themeColor="text1"/>
          <w:kern w:val="0"/>
          <w:lang w:eastAsia="en-GB"/>
          <w14:ligatures w14:val="none"/>
        </w:rPr>
        <w:t>Confidentiality.</w:t>
      </w:r>
    </w:p>
    <w:p w14:paraId="3C96698A" w14:textId="77777777" w:rsidR="00620F22" w:rsidRPr="00620F22" w:rsidRDefault="00620F22" w:rsidP="00620F22">
      <w:pPr>
        <w:shd w:val="clear" w:color="auto" w:fill="FFFFFF"/>
        <w:spacing w:before="150" w:after="0" w:line="480" w:lineRule="auto"/>
        <w:jc w:val="both"/>
        <w:rPr>
          <w:rFonts w:ascii="Arial" w:eastAsia="Times New Roman" w:hAnsi="Arial" w:cs="Arial"/>
          <w:b/>
          <w:bCs/>
          <w:color w:val="000000" w:themeColor="text1"/>
          <w:kern w:val="0"/>
          <w:lang w:eastAsia="en-GB"/>
          <w14:ligatures w14:val="none"/>
        </w:rPr>
      </w:pPr>
      <w:r w:rsidRPr="00620F22">
        <w:rPr>
          <w:rFonts w:ascii="Arial" w:eastAsia="Times New Roman" w:hAnsi="Arial" w:cs="Arial"/>
          <w:color w:val="000000" w:themeColor="text1"/>
          <w:kern w:val="0"/>
          <w:lang w:eastAsia="en-GB"/>
          <w14:ligatures w14:val="none"/>
        </w:rPr>
        <w:t>A professional accountant should respect the confidentiality of information acquired as a result of professional and business relationships and should not disclose any such information to third parties without proper and specific authority unless there is a legal or professional right or duty to disclose. Confidential information acquired as a result of professional and business relationships should not be used for the personal advantage of the professional accountant or third parties.</w:t>
      </w:r>
    </w:p>
    <w:p w14:paraId="715B9FA2" w14:textId="77777777" w:rsidR="00620F22" w:rsidRPr="00620F22" w:rsidRDefault="00620F22" w:rsidP="00620F22">
      <w:pPr>
        <w:shd w:val="clear" w:color="auto" w:fill="FFFFFF"/>
        <w:spacing w:before="150" w:after="0" w:line="480" w:lineRule="auto"/>
        <w:jc w:val="both"/>
        <w:rPr>
          <w:rFonts w:ascii="Arial" w:eastAsia="Times New Roman" w:hAnsi="Arial" w:cs="Arial"/>
          <w:color w:val="000000" w:themeColor="text1"/>
          <w:kern w:val="0"/>
          <w:lang w:eastAsia="en-GB"/>
          <w14:ligatures w14:val="none"/>
        </w:rPr>
      </w:pPr>
      <w:r w:rsidRPr="00620F22">
        <w:rPr>
          <w:rFonts w:ascii="Arial" w:eastAsia="Times New Roman" w:hAnsi="Arial" w:cs="Arial"/>
          <w:b/>
          <w:bCs/>
          <w:color w:val="000000" w:themeColor="text1"/>
          <w:kern w:val="0"/>
          <w:lang w:eastAsia="en-GB"/>
          <w14:ligatures w14:val="none"/>
        </w:rPr>
        <w:t>Professional Behaviour.</w:t>
      </w:r>
    </w:p>
    <w:p w14:paraId="6307F526" w14:textId="77777777" w:rsidR="00620F22" w:rsidRPr="00620F22" w:rsidRDefault="00620F22" w:rsidP="00620F22">
      <w:pPr>
        <w:shd w:val="clear" w:color="auto" w:fill="FFFFFF"/>
        <w:spacing w:before="150" w:after="0" w:line="480" w:lineRule="auto"/>
        <w:jc w:val="both"/>
        <w:rPr>
          <w:rFonts w:ascii="PT Serif" w:eastAsia="Times New Roman" w:hAnsi="PT Serif" w:cs="Times New Roman"/>
          <w:color w:val="000000" w:themeColor="text1"/>
          <w:kern w:val="0"/>
          <w:lang w:eastAsia="en-GB"/>
          <w14:ligatures w14:val="none"/>
        </w:rPr>
      </w:pPr>
      <w:r w:rsidRPr="00620F22">
        <w:rPr>
          <w:rFonts w:ascii="Arial" w:eastAsia="Times New Roman" w:hAnsi="Arial" w:cs="Arial"/>
          <w:color w:val="000000" w:themeColor="text1"/>
          <w:kern w:val="0"/>
          <w:lang w:eastAsia="en-GB"/>
          <w14:ligatures w14:val="none"/>
        </w:rPr>
        <w:t>A professional accountant should comply with the relevant laws and regulations and should avoid any action that discredits the profession</w:t>
      </w:r>
      <w:r w:rsidRPr="00620F22">
        <w:rPr>
          <w:rFonts w:ascii="PT Serif" w:eastAsia="Times New Roman" w:hAnsi="PT Serif" w:cs="Times New Roman"/>
          <w:color w:val="000000" w:themeColor="text1"/>
          <w:kern w:val="0"/>
          <w:lang w:eastAsia="en-GB"/>
          <w14:ligatures w14:val="none"/>
        </w:rPr>
        <w:t>.’</w:t>
      </w:r>
    </w:p>
    <w:p w14:paraId="435490D7" w14:textId="6BF57315"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shd w:val="clear" w:color="auto" w:fill="FFFFFF"/>
          <w:lang w:eastAsia="en-US"/>
          <w14:ligatures w14:val="none"/>
        </w:rPr>
        <w:t xml:space="preserve">Unfortunately, the five basic ethical principles are not a shield from the </w:t>
      </w:r>
      <w:r w:rsidRPr="00620F22">
        <w:rPr>
          <w:rFonts w:ascii="Arial" w:eastAsiaTheme="minorHAnsi" w:hAnsi="Arial" w:cs="Arial"/>
          <w:color w:val="000000" w:themeColor="text1"/>
          <w:kern w:val="0"/>
          <w:lang w:eastAsia="en-US"/>
          <w14:ligatures w14:val="none"/>
        </w:rPr>
        <w:t>Corporate Psychopath Accountant</w:t>
      </w:r>
      <w:r w:rsidRPr="00620F22">
        <w:rPr>
          <w:rFonts w:ascii="Arial" w:eastAsiaTheme="minorHAnsi" w:hAnsi="Arial" w:cs="Arial"/>
          <w:color w:val="000000" w:themeColor="text1"/>
          <w:kern w:val="0"/>
          <w:shd w:val="clear" w:color="auto" w:fill="FFFFFF"/>
          <w:lang w:eastAsia="en-US"/>
          <w14:ligatures w14:val="none"/>
        </w:rPr>
        <w:t xml:space="preserve"> </w:t>
      </w:r>
      <w:r w:rsidRPr="00620F22">
        <w:rPr>
          <w:rFonts w:ascii="Arial" w:eastAsiaTheme="minorHAnsi" w:hAnsi="Arial" w:cs="Arial"/>
          <w:color w:val="000000" w:themeColor="text1"/>
          <w:kern w:val="0"/>
          <w:lang w:eastAsia="en-US"/>
          <w14:ligatures w14:val="none"/>
        </w:rPr>
        <w:t>and Accounting Fraud is becoming more prevalent due to the ongoing global cost of living crisis (Hossain &amp; Hollack, 2022). However, the</w:t>
      </w:r>
      <w:r w:rsidR="0055067D" w:rsidRPr="0055067D">
        <w:rPr>
          <w:rFonts w:ascii="Arial" w:hAnsi="Arial" w:cs="Arial"/>
          <w:color w:val="000000" w:themeColor="text1"/>
        </w:rPr>
        <w:t xml:space="preserve"> </w:t>
      </w:r>
      <w:r w:rsidR="0055067D">
        <w:rPr>
          <w:rFonts w:ascii="Arial" w:hAnsi="Arial" w:cs="Arial"/>
          <w:color w:val="000000" w:themeColor="text1"/>
        </w:rPr>
        <w:t>researcher</w:t>
      </w:r>
      <w:r w:rsidRPr="00620F22">
        <w:rPr>
          <w:rFonts w:ascii="Arial" w:eastAsiaTheme="minorHAnsi" w:hAnsi="Arial" w:cs="Arial"/>
          <w:color w:val="000000" w:themeColor="text1"/>
          <w:kern w:val="0"/>
          <w:lang w:eastAsia="en-US"/>
          <w14:ligatures w14:val="none"/>
        </w:rPr>
        <w:t xml:space="preserve"> argues that it can be minimised if the following 10 principles are actively implemented into the workplace:</w:t>
      </w:r>
    </w:p>
    <w:p w14:paraId="1E456060" w14:textId="77777777" w:rsidR="00620F22" w:rsidRPr="00620F22" w:rsidRDefault="00620F22" w:rsidP="00620F22">
      <w:pPr>
        <w:spacing w:line="480" w:lineRule="auto"/>
        <w:jc w:val="both"/>
        <w:rPr>
          <w:rFonts w:ascii="Arial" w:eastAsiaTheme="minorHAnsi" w:hAnsi="Arial" w:cs="Arial"/>
          <w:b/>
          <w:bCs/>
          <w:color w:val="000000" w:themeColor="text1"/>
          <w:kern w:val="0"/>
          <w:lang w:eastAsia="en-US"/>
          <w14:ligatures w14:val="none"/>
        </w:rPr>
      </w:pPr>
      <w:r w:rsidRPr="00620F22">
        <w:rPr>
          <w:rFonts w:ascii="Arial" w:eastAsiaTheme="minorHAnsi" w:hAnsi="Arial" w:cs="Arial"/>
          <w:b/>
          <w:bCs/>
          <w:color w:val="000000" w:themeColor="text1"/>
          <w:kern w:val="0"/>
          <w:lang w:eastAsia="en-US"/>
          <w14:ligatures w14:val="none"/>
        </w:rPr>
        <w:t>1. Outline clear and strong moral principles.</w:t>
      </w:r>
    </w:p>
    <w:p w14:paraId="668EF54D"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 xml:space="preserve">An organisations principles, rules, and goal-achieving tactics are all clearly outlined in its written and unwritten ethical standards, setting the tone and direction for the entire </w:t>
      </w:r>
      <w:r w:rsidRPr="00620F22">
        <w:rPr>
          <w:rFonts w:ascii="Arial" w:eastAsiaTheme="minorHAnsi" w:hAnsi="Arial" w:cs="Arial"/>
          <w:color w:val="000000" w:themeColor="text1"/>
          <w:kern w:val="0"/>
          <w:lang w:eastAsia="en-US"/>
          <w14:ligatures w14:val="none"/>
        </w:rPr>
        <w:lastRenderedPageBreak/>
        <w:t>organisation. This can be further cemented by using a code of conduct or credo, which is an aspirational declaration of the objectives necessary to satisfy the interests of all stakeholder groups. For example, McDonalds (2019) code of ethics is:</w:t>
      </w:r>
    </w:p>
    <w:p w14:paraId="15656E2E"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shd w:val="clear" w:color="auto" w:fill="FFFFFF"/>
          <w:lang w:eastAsia="en-US"/>
          <w14:ligatures w14:val="none"/>
        </w:rPr>
        <w:t>‘At McDonald's we hold ourselves and conduct our business to high standards of fairness, honesty, and integrity. We are individually accountable and collectively responsible. We take seriously the responsibilities that come with being a leader.’</w:t>
      </w:r>
    </w:p>
    <w:p w14:paraId="6F40A111" w14:textId="77777777" w:rsidR="00620F22" w:rsidRPr="00620F22" w:rsidRDefault="00620F22" w:rsidP="00620F22">
      <w:pPr>
        <w:spacing w:line="480" w:lineRule="auto"/>
        <w:jc w:val="both"/>
        <w:rPr>
          <w:rFonts w:ascii="Arial" w:eastAsiaTheme="minorHAnsi" w:hAnsi="Arial" w:cs="Arial"/>
          <w:b/>
          <w:bCs/>
          <w:color w:val="000000" w:themeColor="text1"/>
          <w:kern w:val="0"/>
          <w:lang w:eastAsia="en-US"/>
          <w14:ligatures w14:val="none"/>
        </w:rPr>
      </w:pPr>
      <w:r w:rsidRPr="00620F22">
        <w:rPr>
          <w:rFonts w:ascii="Arial" w:eastAsiaTheme="minorHAnsi" w:hAnsi="Arial" w:cs="Arial"/>
          <w:b/>
          <w:bCs/>
          <w:color w:val="000000" w:themeColor="text1"/>
          <w:kern w:val="0"/>
          <w:lang w:eastAsia="en-US"/>
          <w14:ligatures w14:val="none"/>
        </w:rPr>
        <w:t>2. Lead by example and live the standards.</w:t>
      </w:r>
    </w:p>
    <w:p w14:paraId="1D6FF886"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If there is no buy-in and adoption from senior management those standards as a guidance for their own behaviour, ethical norms and values become redundant and potentially harmful. Thus, it is imperative if not critical for top management to "walk the talk" when it comes to ethics including the environment (Coen, 2022) since, actions speak louder than words especially in the workplace.</w:t>
      </w:r>
    </w:p>
    <w:p w14:paraId="6B9DDD28" w14:textId="77777777" w:rsidR="00620F22" w:rsidRPr="00620F22" w:rsidRDefault="00620F22" w:rsidP="00620F22">
      <w:pPr>
        <w:spacing w:line="480" w:lineRule="auto"/>
        <w:jc w:val="both"/>
        <w:rPr>
          <w:rFonts w:ascii="Arial" w:eastAsiaTheme="minorHAnsi" w:hAnsi="Arial" w:cs="Arial"/>
          <w:b/>
          <w:bCs/>
          <w:color w:val="000000" w:themeColor="text1"/>
          <w:kern w:val="0"/>
          <w:lang w:eastAsia="en-US"/>
          <w14:ligatures w14:val="none"/>
        </w:rPr>
      </w:pPr>
      <w:r w:rsidRPr="00620F22">
        <w:rPr>
          <w:rFonts w:ascii="Arial" w:eastAsiaTheme="minorHAnsi" w:hAnsi="Arial" w:cs="Arial"/>
          <w:b/>
          <w:bCs/>
          <w:color w:val="000000" w:themeColor="text1"/>
          <w:kern w:val="0"/>
          <w:lang w:eastAsia="en-US"/>
          <w14:ligatures w14:val="none"/>
        </w:rPr>
        <w:t>3. Emphasize the importance of organisational standards at key career moments.</w:t>
      </w:r>
    </w:p>
    <w:p w14:paraId="223A3561"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 xml:space="preserve">When new hires are employed and current employees are reviewed for performance appraisal, ethical standards must be accentuated (Jeske and Olson, 2021). Hence, good behaviour should be rewarded if not celebrated. </w:t>
      </w:r>
    </w:p>
    <w:p w14:paraId="2E1E88CE" w14:textId="77777777" w:rsidR="00620F22" w:rsidRPr="00620F22" w:rsidRDefault="00620F22" w:rsidP="00620F22">
      <w:pPr>
        <w:spacing w:line="480" w:lineRule="auto"/>
        <w:jc w:val="both"/>
        <w:rPr>
          <w:rFonts w:ascii="Arial" w:eastAsiaTheme="minorHAnsi" w:hAnsi="Arial" w:cs="Arial"/>
          <w:b/>
          <w:bCs/>
          <w:color w:val="000000" w:themeColor="text1"/>
          <w:kern w:val="0"/>
          <w:lang w:eastAsia="en-US"/>
          <w14:ligatures w14:val="none"/>
        </w:rPr>
      </w:pPr>
      <w:r w:rsidRPr="00620F22">
        <w:rPr>
          <w:rFonts w:ascii="Arial" w:eastAsiaTheme="minorHAnsi" w:hAnsi="Arial" w:cs="Arial"/>
          <w:b/>
          <w:bCs/>
          <w:color w:val="000000" w:themeColor="text1"/>
          <w:kern w:val="0"/>
          <w:lang w:eastAsia="en-US"/>
          <w14:ligatures w14:val="none"/>
        </w:rPr>
        <w:t>4. Utilise meticulous supervision to mitigate for less checks and balances</w:t>
      </w:r>
    </w:p>
    <w:p w14:paraId="64731403"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Many organisations suffer from deficient internal controls and do not have the budget to employ sophisticated systems to monitor oversight and identify early warning signs of potential Accounting Fraud (</w:t>
      </w:r>
      <w:r w:rsidRPr="00620F22">
        <w:rPr>
          <w:rFonts w:ascii="Arial" w:eastAsiaTheme="minorHAnsi" w:hAnsi="Arial" w:cs="Arial"/>
          <w:color w:val="000000" w:themeColor="text1"/>
          <w:kern w:val="0"/>
          <w:shd w:val="clear" w:color="auto" w:fill="FFFFFF"/>
          <w:lang w:eastAsia="en-US"/>
          <w14:ligatures w14:val="none"/>
        </w:rPr>
        <w:t>Setyaningsih, 2020)</w:t>
      </w:r>
      <w:r w:rsidRPr="00620F22">
        <w:rPr>
          <w:rFonts w:ascii="Arial" w:eastAsiaTheme="minorHAnsi" w:hAnsi="Arial" w:cs="Arial"/>
          <w:color w:val="000000" w:themeColor="text1"/>
          <w:kern w:val="0"/>
          <w:lang w:eastAsia="en-US"/>
          <w14:ligatures w14:val="none"/>
        </w:rPr>
        <w:t xml:space="preserve">. Therefore, rigorous oversight and regular meetings are essential in smaller organisations to ensure clear channels of </w:t>
      </w:r>
      <w:r w:rsidRPr="00620F22">
        <w:rPr>
          <w:rFonts w:ascii="Arial" w:eastAsiaTheme="minorHAnsi" w:hAnsi="Arial" w:cs="Arial"/>
          <w:color w:val="000000" w:themeColor="text1"/>
          <w:kern w:val="0"/>
          <w:lang w:eastAsia="en-US"/>
          <w14:ligatures w14:val="none"/>
        </w:rPr>
        <w:lastRenderedPageBreak/>
        <w:t xml:space="preserve">communication which may encourage workers to report misbehaviour or strange incidents. </w:t>
      </w:r>
    </w:p>
    <w:p w14:paraId="2DD39461" w14:textId="77777777" w:rsidR="00620F22" w:rsidRPr="00620F22" w:rsidRDefault="00620F22" w:rsidP="00620F22">
      <w:pPr>
        <w:spacing w:line="480" w:lineRule="auto"/>
        <w:jc w:val="both"/>
        <w:rPr>
          <w:rFonts w:ascii="Arial" w:eastAsiaTheme="minorHAnsi" w:hAnsi="Arial" w:cs="Arial"/>
          <w:b/>
          <w:bCs/>
          <w:color w:val="000000" w:themeColor="text1"/>
          <w:kern w:val="0"/>
          <w:lang w:eastAsia="en-US"/>
          <w14:ligatures w14:val="none"/>
        </w:rPr>
      </w:pPr>
      <w:r w:rsidRPr="00620F22">
        <w:rPr>
          <w:rFonts w:ascii="Arial" w:eastAsiaTheme="minorHAnsi" w:hAnsi="Arial" w:cs="Arial"/>
          <w:b/>
          <w:bCs/>
          <w:color w:val="000000" w:themeColor="text1"/>
          <w:kern w:val="0"/>
          <w:lang w:eastAsia="en-US"/>
          <w14:ligatures w14:val="none"/>
        </w:rPr>
        <w:t>5. Ensure staff take their annual leave</w:t>
      </w:r>
    </w:p>
    <w:p w14:paraId="28F0062F"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 xml:space="preserve">This keeps staff fresh and gives the opportunity to middle management to assess an employee's work and look for potential fraud (Treadwell, 2021). A compulsory vacation policy conveys the message that a staff member cannot work to cover up fraud since, it can and will be detected in their absence. </w:t>
      </w:r>
    </w:p>
    <w:p w14:paraId="1B2A14B7"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b/>
          <w:bCs/>
          <w:color w:val="000000" w:themeColor="text1"/>
          <w:kern w:val="0"/>
          <w:lang w:eastAsia="en-US"/>
          <w14:ligatures w14:val="none"/>
        </w:rPr>
        <w:t>6. Establish a cash log, monitor workers who approve payments, and record all transactions</w:t>
      </w:r>
      <w:r w:rsidRPr="00620F22">
        <w:rPr>
          <w:rFonts w:ascii="Arial" w:eastAsiaTheme="minorHAnsi" w:hAnsi="Arial" w:cs="Arial"/>
          <w:color w:val="000000" w:themeColor="text1"/>
          <w:kern w:val="0"/>
          <w:lang w:eastAsia="en-US"/>
          <w14:ligatures w14:val="none"/>
        </w:rPr>
        <w:t>.</w:t>
      </w:r>
    </w:p>
    <w:p w14:paraId="38696994"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When there is a lack of segregation of duties (Davis, 2019), fraudsters usually target cash. Unfortunately, the entire cash cycle beginning with opening the mail, arranging checks for payment of services, producing a bank deposit slip, going to the bank to deposit the checks, recording, and comparing cash transactions in the ledger to bank statements may all fall under the remit of one worker. Consequently, workers who have the authority to initiate and record payment transactions are subject to rigorous and regular checks and balances.</w:t>
      </w:r>
    </w:p>
    <w:p w14:paraId="3F0415FA" w14:textId="77777777" w:rsidR="00620F22" w:rsidRPr="00620F22" w:rsidRDefault="00620F22" w:rsidP="00620F22">
      <w:pPr>
        <w:spacing w:line="480" w:lineRule="auto"/>
        <w:jc w:val="both"/>
        <w:rPr>
          <w:rFonts w:ascii="Arial" w:eastAsiaTheme="minorHAnsi" w:hAnsi="Arial" w:cs="Arial"/>
          <w:b/>
          <w:bCs/>
          <w:color w:val="000000" w:themeColor="text1"/>
          <w:kern w:val="0"/>
          <w:lang w:eastAsia="en-US"/>
          <w14:ligatures w14:val="none"/>
        </w:rPr>
      </w:pPr>
      <w:r w:rsidRPr="00620F22">
        <w:rPr>
          <w:rFonts w:ascii="Arial" w:eastAsiaTheme="minorHAnsi" w:hAnsi="Arial" w:cs="Arial"/>
          <w:b/>
          <w:bCs/>
          <w:color w:val="000000" w:themeColor="text1"/>
          <w:kern w:val="0"/>
          <w:lang w:eastAsia="en-US"/>
          <w14:ligatures w14:val="none"/>
        </w:rPr>
        <w:t>7. Consider utilising experts such as forensic accountants or auditors to periodically review the organisations books and records and accounting information systems.</w:t>
      </w:r>
    </w:p>
    <w:p w14:paraId="1ACBEF0A"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Experts such as auditors, can offer deep insights on what can potentially go wrong and suggest improvements to internal controls that will mitigate those risks. They can also evaluate the accuracy of systems and ask challenging questions because of their unbiased perspective</w:t>
      </w:r>
      <w:r w:rsidRPr="00620F22">
        <w:rPr>
          <w:rFonts w:ascii="Arial" w:eastAsiaTheme="minorHAnsi" w:hAnsi="Arial" w:cs="Arial"/>
          <w:color w:val="000000" w:themeColor="text1"/>
          <w:kern w:val="0"/>
          <w:shd w:val="clear" w:color="auto" w:fill="FFFFFF"/>
          <w:lang w:eastAsia="en-US"/>
          <w14:ligatures w14:val="none"/>
        </w:rPr>
        <w:t xml:space="preserve"> (Wahidahwati and Asyik</w:t>
      </w:r>
      <w:r w:rsidRPr="00620F22">
        <w:rPr>
          <w:rFonts w:ascii="Arial" w:eastAsiaTheme="minorHAnsi" w:hAnsi="Arial" w:cs="Arial"/>
          <w:color w:val="000000" w:themeColor="text1"/>
          <w:kern w:val="0"/>
          <w:lang w:eastAsia="en-US"/>
          <w14:ligatures w14:val="none"/>
        </w:rPr>
        <w:t>, 2022).</w:t>
      </w:r>
    </w:p>
    <w:p w14:paraId="1C9E1698" w14:textId="77777777" w:rsidR="00620F22" w:rsidRPr="00620F22" w:rsidRDefault="00620F22" w:rsidP="00620F22">
      <w:pPr>
        <w:spacing w:line="480" w:lineRule="auto"/>
        <w:jc w:val="both"/>
        <w:rPr>
          <w:rFonts w:ascii="Arial" w:eastAsiaTheme="minorHAnsi" w:hAnsi="Arial" w:cs="Arial"/>
          <w:b/>
          <w:bCs/>
          <w:color w:val="000000" w:themeColor="text1"/>
          <w:kern w:val="0"/>
          <w:lang w:eastAsia="en-US"/>
          <w14:ligatures w14:val="none"/>
        </w:rPr>
      </w:pPr>
      <w:r w:rsidRPr="00620F22">
        <w:rPr>
          <w:rFonts w:ascii="Arial" w:eastAsiaTheme="minorHAnsi" w:hAnsi="Arial" w:cs="Arial"/>
          <w:b/>
          <w:bCs/>
          <w:color w:val="000000" w:themeColor="text1"/>
          <w:kern w:val="0"/>
          <w:lang w:eastAsia="en-US"/>
          <w14:ligatures w14:val="none"/>
        </w:rPr>
        <w:lastRenderedPageBreak/>
        <w:t>8. Create and promote a confidential whistle blowers’ hot line.</w:t>
      </w:r>
    </w:p>
    <w:p w14:paraId="77D59564"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The fear of retaliation prevents many workers from reporting ethical dilemmas they are facing. It is possible that workers could also be reluctant to go to their management regarding a co-worker out of fear of repercussions and losing face. The creation of a confidential hot line will ensure a robust and relatively cheap reporting system that will ensure timely action and prevention (</w:t>
      </w:r>
      <w:r w:rsidRPr="00620F22">
        <w:rPr>
          <w:rFonts w:ascii="Arial" w:eastAsiaTheme="minorHAnsi" w:hAnsi="Arial" w:cs="Arial"/>
          <w:color w:val="000000" w:themeColor="text1"/>
          <w:kern w:val="0"/>
          <w:shd w:val="clear" w:color="auto" w:fill="FFFFFF"/>
          <w:lang w:eastAsia="en-US"/>
          <w14:ligatures w14:val="none"/>
        </w:rPr>
        <w:t>Maulida, W.Y. and Bayunitri</w:t>
      </w:r>
      <w:r w:rsidRPr="00620F22">
        <w:rPr>
          <w:rFonts w:ascii="Arial" w:eastAsiaTheme="minorHAnsi" w:hAnsi="Arial" w:cs="Arial"/>
          <w:color w:val="000000" w:themeColor="text1"/>
          <w:kern w:val="0"/>
          <w:lang w:eastAsia="en-US"/>
          <w14:ligatures w14:val="none"/>
        </w:rPr>
        <w:t xml:space="preserve">, 2021). </w:t>
      </w:r>
    </w:p>
    <w:p w14:paraId="57D104CE" w14:textId="77777777" w:rsidR="00620F22" w:rsidRPr="00620F22" w:rsidRDefault="00620F22" w:rsidP="00620F22">
      <w:pPr>
        <w:spacing w:line="480" w:lineRule="auto"/>
        <w:jc w:val="both"/>
        <w:rPr>
          <w:rFonts w:ascii="Arial" w:eastAsiaTheme="minorHAnsi" w:hAnsi="Arial" w:cs="Arial"/>
          <w:b/>
          <w:bCs/>
          <w:color w:val="000000" w:themeColor="text1"/>
          <w:kern w:val="0"/>
          <w:lang w:eastAsia="en-US"/>
          <w14:ligatures w14:val="none"/>
        </w:rPr>
      </w:pPr>
      <w:r w:rsidRPr="00620F22">
        <w:rPr>
          <w:rFonts w:ascii="Arial" w:eastAsiaTheme="minorHAnsi" w:hAnsi="Arial" w:cs="Arial"/>
          <w:b/>
          <w:bCs/>
          <w:color w:val="000000" w:themeColor="text1"/>
          <w:kern w:val="0"/>
          <w:lang w:eastAsia="en-US"/>
          <w14:ligatures w14:val="none"/>
        </w:rPr>
        <w:t>9. Praise good behaviour</w:t>
      </w:r>
    </w:p>
    <w:p w14:paraId="08B226D6"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Singling out and celebrating ethical and good employee behaviour is simple and boosts morale and productivity (</w:t>
      </w:r>
      <w:r w:rsidRPr="00620F22">
        <w:rPr>
          <w:rFonts w:ascii="Arial" w:eastAsiaTheme="minorHAnsi" w:hAnsi="Arial" w:cs="Arial"/>
          <w:color w:val="000000" w:themeColor="text1"/>
          <w:kern w:val="0"/>
          <w:shd w:val="clear" w:color="auto" w:fill="FFFFFF"/>
          <w:lang w:eastAsia="en-US"/>
          <w14:ligatures w14:val="none"/>
        </w:rPr>
        <w:t>Williams and Smith, 2020</w:t>
      </w:r>
      <w:r w:rsidRPr="00620F22">
        <w:rPr>
          <w:rFonts w:ascii="Arial" w:eastAsiaTheme="minorHAnsi" w:hAnsi="Arial" w:cs="Arial"/>
          <w:color w:val="000000" w:themeColor="text1"/>
          <w:kern w:val="0"/>
          <w:lang w:eastAsia="en-US"/>
          <w14:ligatures w14:val="none"/>
        </w:rPr>
        <w:t>). However, it must be genuine, otherwise, it will lack efficacy and merely become a tool to promote sycophancy. In contrast poor and fraudulent behaviour must be tackled forthrightly and swiftly or it damage workplace dynamics and breed even more fraudulent behaviour (</w:t>
      </w:r>
      <w:r w:rsidRPr="00620F22">
        <w:rPr>
          <w:rFonts w:ascii="Arial" w:eastAsiaTheme="minorHAnsi" w:hAnsi="Arial" w:cs="Arial"/>
          <w:color w:val="000000" w:themeColor="text1"/>
          <w:kern w:val="0"/>
          <w:shd w:val="clear" w:color="auto" w:fill="FFFFFF"/>
          <w:lang w:eastAsia="en-US"/>
          <w14:ligatures w14:val="none"/>
        </w:rPr>
        <w:t>Nicholls et al, 2021).</w:t>
      </w:r>
    </w:p>
    <w:p w14:paraId="3588849C" w14:textId="77777777" w:rsidR="00620F22" w:rsidRPr="00620F22" w:rsidRDefault="00620F22" w:rsidP="00620F22">
      <w:pPr>
        <w:spacing w:line="480" w:lineRule="auto"/>
        <w:jc w:val="both"/>
        <w:rPr>
          <w:rFonts w:ascii="Arial" w:eastAsiaTheme="minorHAnsi" w:hAnsi="Arial" w:cs="Arial"/>
          <w:b/>
          <w:bCs/>
          <w:color w:val="000000" w:themeColor="text1"/>
          <w:kern w:val="0"/>
          <w:lang w:eastAsia="en-US"/>
          <w14:ligatures w14:val="none"/>
        </w:rPr>
      </w:pPr>
      <w:r w:rsidRPr="00620F22">
        <w:rPr>
          <w:rFonts w:ascii="Arial" w:eastAsiaTheme="minorHAnsi" w:hAnsi="Arial" w:cs="Arial"/>
          <w:b/>
          <w:bCs/>
          <w:color w:val="000000" w:themeColor="text1"/>
          <w:kern w:val="0"/>
          <w:lang w:eastAsia="en-US"/>
          <w14:ligatures w14:val="none"/>
        </w:rPr>
        <w:t>10. Regularly analyse data to identify potentially fraudulent behaviour</w:t>
      </w:r>
    </w:p>
    <w:p w14:paraId="5154163C" w14:textId="77777777" w:rsidR="00620F22" w:rsidRP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Fraudulent transactions leave a distinctive electronic trail or signature in comparison to bona fide organisational activities. For example, they may be processed when no one is looking, at strange hours such as late at night or on weekends, or in unusually large quantities or batches that are slightly beyond approval thresholds. Accountants and auditors have tools at their disposal that can mine data for these anomalies (</w:t>
      </w:r>
      <w:r w:rsidRPr="00620F22">
        <w:rPr>
          <w:rFonts w:ascii="Arial" w:eastAsiaTheme="minorHAnsi" w:hAnsi="Arial" w:cs="Arial"/>
          <w:color w:val="000000" w:themeColor="text1"/>
          <w:kern w:val="0"/>
          <w:shd w:val="clear" w:color="auto" w:fill="FFFFFF"/>
          <w:lang w:eastAsia="en-US"/>
          <w14:ligatures w14:val="none"/>
        </w:rPr>
        <w:t>Al-Hashedi and Magalingam, 2021).</w:t>
      </w:r>
    </w:p>
    <w:p w14:paraId="21E5D32A" w14:textId="6FBC2CB2" w:rsidR="00620F22" w:rsidRPr="00620F22" w:rsidRDefault="00620F22" w:rsidP="00620F22">
      <w:pPr>
        <w:spacing w:line="480" w:lineRule="auto"/>
        <w:jc w:val="both"/>
        <w:rPr>
          <w:rFonts w:ascii="Arial" w:eastAsiaTheme="minorHAnsi" w:hAnsi="Arial" w:cs="Arial"/>
          <w:b/>
          <w:bCs/>
          <w:i/>
          <w:iCs/>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It has been stated that ‘</w:t>
      </w:r>
      <w:r w:rsidRPr="00620F22">
        <w:rPr>
          <w:rFonts w:ascii="Arial" w:eastAsiaTheme="minorHAnsi" w:hAnsi="Arial" w:cs="Arial"/>
          <w:b/>
          <w:bCs/>
          <w:i/>
          <w:iCs/>
          <w:color w:val="000000" w:themeColor="text1"/>
          <w:kern w:val="0"/>
          <w:lang w:eastAsia="en-US"/>
          <w14:ligatures w14:val="none"/>
        </w:rPr>
        <w:t xml:space="preserve">ethical behaviour contributes to successful company’ </w:t>
      </w:r>
      <w:r w:rsidRPr="00620F22">
        <w:rPr>
          <w:rFonts w:ascii="Arial" w:eastAsiaTheme="minorHAnsi" w:hAnsi="Arial" w:cs="Arial"/>
          <w:color w:val="000000" w:themeColor="text1"/>
          <w:kern w:val="0"/>
          <w:lang w:eastAsia="en-US"/>
          <w14:ligatures w14:val="none"/>
        </w:rPr>
        <w:t>(</w:t>
      </w:r>
      <w:r w:rsidRPr="00620F22">
        <w:rPr>
          <w:rFonts w:ascii="Arial" w:eastAsiaTheme="minorHAnsi" w:hAnsi="Arial" w:cs="Arial"/>
          <w:color w:val="000000" w:themeColor="text1"/>
          <w:kern w:val="0"/>
          <w:shd w:val="clear" w:color="auto" w:fill="FFFFFF"/>
          <w:lang w:eastAsia="en-US"/>
          <w14:ligatures w14:val="none"/>
        </w:rPr>
        <w:t>Melé, 2019</w:t>
      </w:r>
      <w:r w:rsidRPr="00620F22">
        <w:rPr>
          <w:rFonts w:ascii="Arial" w:eastAsiaTheme="minorHAnsi" w:hAnsi="Arial" w:cs="Arial"/>
          <w:color w:val="000000" w:themeColor="text1"/>
          <w:kern w:val="0"/>
          <w:lang w:eastAsia="en-US"/>
          <w14:ligatures w14:val="none"/>
        </w:rPr>
        <w:t xml:space="preserve">). It is the job of senior management to create an </w:t>
      </w:r>
      <w:r w:rsidRPr="00620F22">
        <w:rPr>
          <w:rFonts w:ascii="Arial" w:eastAsiaTheme="minorHAnsi" w:hAnsi="Arial" w:cs="Arial"/>
          <w:b/>
          <w:bCs/>
          <w:i/>
          <w:iCs/>
          <w:color w:val="000000" w:themeColor="text1"/>
          <w:kern w:val="0"/>
          <w:lang w:eastAsia="en-US"/>
          <w14:ligatures w14:val="none"/>
        </w:rPr>
        <w:t>ethical culture</w:t>
      </w:r>
      <w:r w:rsidRPr="00620F22">
        <w:rPr>
          <w:rFonts w:ascii="Arial" w:eastAsiaTheme="minorHAnsi" w:hAnsi="Arial" w:cs="Arial"/>
          <w:color w:val="000000" w:themeColor="text1"/>
          <w:kern w:val="0"/>
          <w:lang w:eastAsia="en-US"/>
          <w14:ligatures w14:val="none"/>
        </w:rPr>
        <w:t xml:space="preserve"> that will positively impact all behaviours and actions, including relationships with suppliers, customers, employees, shareholders, and creditors, hence, right conduct action </w:t>
      </w:r>
      <w:r w:rsidRPr="00620F22">
        <w:rPr>
          <w:rFonts w:ascii="Arial" w:eastAsiaTheme="minorHAnsi" w:hAnsi="Arial" w:cs="Arial"/>
          <w:color w:val="000000" w:themeColor="text1"/>
          <w:kern w:val="0"/>
          <w:lang w:eastAsia="en-US"/>
          <w14:ligatures w14:val="none"/>
        </w:rPr>
        <w:lastRenderedPageBreak/>
        <w:t>should be undertaken for its own sake rather than for the benefit of others</w:t>
      </w:r>
      <w:r w:rsidRPr="00620F22">
        <w:rPr>
          <w:rFonts w:ascii="Arial" w:eastAsiaTheme="minorHAnsi" w:hAnsi="Arial" w:cs="Arial"/>
          <w:color w:val="000000" w:themeColor="text1"/>
          <w:kern w:val="0"/>
          <w:sz w:val="20"/>
          <w:szCs w:val="20"/>
          <w:shd w:val="clear" w:color="auto" w:fill="FFFFFF"/>
          <w:lang w:eastAsia="en-US"/>
          <w14:ligatures w14:val="none"/>
        </w:rPr>
        <w:t xml:space="preserve"> </w:t>
      </w:r>
      <w:r w:rsidRPr="00620F22">
        <w:rPr>
          <w:rFonts w:ascii="Arial" w:eastAsiaTheme="minorHAnsi" w:hAnsi="Arial" w:cs="Arial"/>
          <w:color w:val="000000" w:themeColor="text1"/>
          <w:kern w:val="0"/>
          <w:shd w:val="clear" w:color="auto" w:fill="FFFFFF"/>
          <w:lang w:eastAsia="en-US"/>
          <w14:ligatures w14:val="none"/>
        </w:rPr>
        <w:t>(Kuenzi et al, 2020)</w:t>
      </w:r>
      <w:r w:rsidRPr="00620F22">
        <w:rPr>
          <w:rFonts w:ascii="Arial" w:eastAsiaTheme="minorHAnsi" w:hAnsi="Arial" w:cs="Arial"/>
          <w:color w:val="000000" w:themeColor="text1"/>
          <w:kern w:val="0"/>
          <w:lang w:eastAsia="en-US"/>
          <w14:ligatures w14:val="none"/>
        </w:rPr>
        <w:t xml:space="preserve">. The </w:t>
      </w:r>
      <w:r w:rsidR="00485F20">
        <w:rPr>
          <w:rFonts w:ascii="Arial" w:hAnsi="Arial" w:cs="Arial"/>
          <w:color w:val="000000" w:themeColor="text1"/>
        </w:rPr>
        <w:t>researcher</w:t>
      </w:r>
      <w:r w:rsidRPr="00620F22">
        <w:rPr>
          <w:rFonts w:ascii="Arial" w:eastAsiaTheme="minorHAnsi" w:hAnsi="Arial" w:cs="Arial"/>
          <w:color w:val="000000" w:themeColor="text1"/>
          <w:kern w:val="0"/>
          <w:lang w:eastAsia="en-US"/>
          <w14:ligatures w14:val="none"/>
        </w:rPr>
        <w:t xml:space="preserve"> will now explore how this </w:t>
      </w:r>
      <w:r w:rsidRPr="00620F22">
        <w:rPr>
          <w:rFonts w:ascii="Arial" w:eastAsiaTheme="minorHAnsi" w:hAnsi="Arial" w:cs="Arial"/>
          <w:b/>
          <w:bCs/>
          <w:i/>
          <w:iCs/>
          <w:color w:val="000000" w:themeColor="text1"/>
          <w:kern w:val="0"/>
          <w:lang w:eastAsia="en-US"/>
          <w14:ligatures w14:val="none"/>
        </w:rPr>
        <w:t xml:space="preserve">ethical culture can be fostered. </w:t>
      </w:r>
    </w:p>
    <w:bookmarkStart w:id="780" w:name="AT15"/>
    <w:bookmarkStart w:id="781" w:name="D120"/>
    <w:p w14:paraId="08E2C428" w14:textId="3AB06ECF" w:rsidR="00620F22" w:rsidRPr="00620F22" w:rsidRDefault="009A706E" w:rsidP="00C3178F">
      <w:pPr>
        <w:pBdr>
          <w:top w:val="single" w:sz="4" w:space="1" w:color="auto"/>
          <w:left w:val="single" w:sz="4" w:space="4" w:color="auto"/>
          <w:bottom w:val="single" w:sz="4" w:space="1" w:color="auto"/>
          <w:right w:val="single" w:sz="4" w:space="4" w:color="auto"/>
        </w:pBdr>
        <w:shd w:val="clear" w:color="auto" w:fill="FFFFFF"/>
        <w:spacing w:before="150" w:after="0" w:line="240" w:lineRule="auto"/>
        <w:jc w:val="both"/>
        <w:rPr>
          <w:rFonts w:ascii="Arial" w:eastAsia="Times New Roman" w:hAnsi="Arial" w:cs="Arial"/>
          <w:b/>
          <w:bCs/>
          <w:kern w:val="0"/>
          <w:lang w:eastAsia="en-GB"/>
          <w14:ligatures w14:val="none"/>
        </w:rPr>
      </w:pPr>
      <w:r>
        <w:rPr>
          <w:rFonts w:ascii="Arial" w:eastAsia="Times New Roman" w:hAnsi="Arial" w:cs="Arial"/>
          <w:b/>
          <w:bCs/>
          <w:kern w:val="0"/>
          <w:lang w:eastAsia="en-GB"/>
          <w14:ligatures w14:val="none"/>
        </w:rPr>
        <w:fldChar w:fldCharType="begin"/>
      </w:r>
      <w:r>
        <w:rPr>
          <w:rFonts w:ascii="Arial" w:eastAsia="Times New Roman" w:hAnsi="Arial" w:cs="Arial"/>
          <w:b/>
          <w:bCs/>
          <w:kern w:val="0"/>
          <w:lang w:eastAsia="en-GB"/>
          <w14:ligatures w14:val="none"/>
        </w:rPr>
        <w:instrText>HYPERLINK  \l "C120"</w:instrText>
      </w:r>
      <w:r>
        <w:rPr>
          <w:rFonts w:ascii="Arial" w:eastAsia="Times New Roman" w:hAnsi="Arial" w:cs="Arial"/>
          <w:b/>
          <w:bCs/>
          <w:kern w:val="0"/>
          <w:lang w:eastAsia="en-GB"/>
          <w14:ligatures w14:val="none"/>
        </w:rPr>
      </w:r>
      <w:r>
        <w:rPr>
          <w:rFonts w:ascii="Arial" w:eastAsia="Times New Roman" w:hAnsi="Arial" w:cs="Arial"/>
          <w:b/>
          <w:bCs/>
          <w:kern w:val="0"/>
          <w:lang w:eastAsia="en-GB"/>
          <w14:ligatures w14:val="none"/>
        </w:rPr>
        <w:fldChar w:fldCharType="separate"/>
      </w:r>
      <w:r w:rsidR="00620F22" w:rsidRPr="009A706E">
        <w:rPr>
          <w:rStyle w:val="Hyperlink"/>
          <w:rFonts w:ascii="Arial" w:eastAsia="Times New Roman" w:hAnsi="Arial" w:cs="Arial"/>
          <w:b/>
          <w:bCs/>
          <w:kern w:val="0"/>
          <w:lang w:eastAsia="en-GB"/>
          <w14:ligatures w14:val="none"/>
        </w:rPr>
        <w:t xml:space="preserve">  </w:t>
      </w:r>
      <w:bookmarkStart w:id="782" w:name="_Hlk170037411"/>
      <w:r w:rsidR="00620F22" w:rsidRPr="009A706E">
        <w:rPr>
          <w:rStyle w:val="Hyperlink"/>
          <w:rFonts w:ascii="Arial" w:eastAsia="Times New Roman" w:hAnsi="Arial" w:cs="Arial"/>
          <w:b/>
          <w:bCs/>
          <w:kern w:val="0"/>
          <w:lang w:eastAsia="en-GB"/>
          <w14:ligatures w14:val="none"/>
        </w:rPr>
        <w:t xml:space="preserve">4.5.7.2 </w:t>
      </w:r>
      <w:bookmarkEnd w:id="782"/>
      <w:r w:rsidR="00620F22" w:rsidRPr="009A706E">
        <w:rPr>
          <w:rStyle w:val="Hyperlink"/>
          <w:rFonts w:ascii="Arial" w:eastAsia="Times New Roman" w:hAnsi="Arial" w:cs="Arial"/>
          <w:b/>
          <w:bCs/>
          <w:kern w:val="0"/>
          <w:lang w:eastAsia="en-GB"/>
          <w14:ligatures w14:val="none"/>
        </w:rPr>
        <w:t xml:space="preserve">Creating an </w:t>
      </w:r>
      <w:r w:rsidR="00A913CA">
        <w:rPr>
          <w:rStyle w:val="Hyperlink"/>
          <w:rFonts w:ascii="Arial" w:eastAsia="Times New Roman" w:hAnsi="Arial" w:cs="Arial"/>
          <w:b/>
          <w:bCs/>
          <w:kern w:val="0"/>
          <w:lang w:eastAsia="en-GB"/>
          <w14:ligatures w14:val="none"/>
        </w:rPr>
        <w:t>E</w:t>
      </w:r>
      <w:r w:rsidR="00620F22" w:rsidRPr="009A706E">
        <w:rPr>
          <w:rStyle w:val="Hyperlink"/>
          <w:rFonts w:ascii="Arial" w:eastAsia="Times New Roman" w:hAnsi="Arial" w:cs="Arial"/>
          <w:b/>
          <w:bCs/>
          <w:kern w:val="0"/>
          <w:lang w:eastAsia="en-GB"/>
          <w14:ligatures w14:val="none"/>
        </w:rPr>
        <w:t xml:space="preserve">thical </w:t>
      </w:r>
      <w:r w:rsidR="00A913CA">
        <w:rPr>
          <w:rStyle w:val="Hyperlink"/>
          <w:rFonts w:ascii="Arial" w:eastAsia="Times New Roman" w:hAnsi="Arial" w:cs="Arial"/>
          <w:b/>
          <w:bCs/>
          <w:kern w:val="0"/>
          <w:lang w:eastAsia="en-GB"/>
          <w14:ligatures w14:val="none"/>
        </w:rPr>
        <w:t>C</w:t>
      </w:r>
      <w:r w:rsidR="00620F22" w:rsidRPr="009A706E">
        <w:rPr>
          <w:rStyle w:val="Hyperlink"/>
          <w:rFonts w:ascii="Arial" w:eastAsia="Times New Roman" w:hAnsi="Arial" w:cs="Arial"/>
          <w:b/>
          <w:bCs/>
          <w:kern w:val="0"/>
          <w:lang w:eastAsia="en-GB"/>
          <w14:ligatures w14:val="none"/>
        </w:rPr>
        <w:t>ulture</w:t>
      </w:r>
      <w:r>
        <w:rPr>
          <w:rFonts w:ascii="Arial" w:eastAsia="Times New Roman" w:hAnsi="Arial" w:cs="Arial"/>
          <w:b/>
          <w:bCs/>
          <w:kern w:val="0"/>
          <w:lang w:eastAsia="en-GB"/>
          <w14:ligatures w14:val="none"/>
        </w:rPr>
        <w:fldChar w:fldCharType="end"/>
      </w:r>
    </w:p>
    <w:bookmarkEnd w:id="780"/>
    <w:bookmarkEnd w:id="781"/>
    <w:p w14:paraId="60E66763" w14:textId="77777777" w:rsidR="00C3178F" w:rsidRDefault="00C3178F" w:rsidP="00C3178F">
      <w:pPr>
        <w:spacing w:after="240" w:line="240" w:lineRule="auto"/>
        <w:jc w:val="both"/>
        <w:rPr>
          <w:rFonts w:asciiTheme="minorBidi" w:eastAsia="Times New Roman" w:hAnsiTheme="minorBidi"/>
          <w:kern w:val="0"/>
          <w14:ligatures w14:val="none"/>
        </w:rPr>
      </w:pPr>
    </w:p>
    <w:p w14:paraId="7E8BFA75" w14:textId="16ABF37D" w:rsidR="00620F22" w:rsidRPr="00620F22" w:rsidRDefault="00620F22" w:rsidP="00620F22">
      <w:pPr>
        <w:spacing w:after="240" w:line="480" w:lineRule="auto"/>
        <w:jc w:val="both"/>
        <w:rPr>
          <w:rFonts w:asciiTheme="minorBidi" w:eastAsia="Times New Roman" w:hAnsiTheme="minorBidi"/>
          <w:kern w:val="0"/>
          <w14:ligatures w14:val="none"/>
        </w:rPr>
      </w:pPr>
      <w:r w:rsidRPr="00620F22">
        <w:rPr>
          <w:rFonts w:asciiTheme="minorBidi" w:eastAsia="Times New Roman" w:hAnsiTheme="minorBidi"/>
          <w:kern w:val="0"/>
          <w14:ligatures w14:val="none"/>
        </w:rPr>
        <w:t xml:space="preserve">Fraud can occur in every organization and that it can only be reduced, not completely eliminated, consequently, it is important in order to build a strong ethical and anti-fraud culture inside that organization (Al Haq and Rochayatun, 2023). This realisation should serve as the cornerstone for proactive measures to stop and identify fraud. Although organisations risk reputational damage when they uncover Accounting Fraud since, external stakeholders, such as the media and the general public, will probably respond negatively. It is probable that the organisation will potentially suffer financial losses, a reduction in investor confidence, and a loss of customer trust. On the other </w:t>
      </w:r>
      <w:r w:rsidR="00F2488E" w:rsidRPr="00620F22">
        <w:rPr>
          <w:rFonts w:asciiTheme="minorBidi" w:eastAsia="Times New Roman" w:hAnsiTheme="minorBidi"/>
          <w:kern w:val="0"/>
          <w14:ligatures w14:val="none"/>
        </w:rPr>
        <w:t>hand,</w:t>
      </w:r>
      <w:r w:rsidRPr="00620F22">
        <w:rPr>
          <w:rFonts w:asciiTheme="minorBidi" w:eastAsia="Times New Roman" w:hAnsiTheme="minorBidi"/>
          <w:kern w:val="0"/>
          <w14:ligatures w14:val="none"/>
        </w:rPr>
        <w:t xml:space="preserve"> failing to stop and identify Accounting Fraud can have far reaching consequences, such as mounting financial losses, further loss of reputation, and maintenance of a toxic workplace (Rehman &amp; Hashim, 2022) </w:t>
      </w:r>
    </w:p>
    <w:p w14:paraId="5B146917" w14:textId="77777777" w:rsidR="00620F22" w:rsidRPr="00620F22" w:rsidRDefault="00620F22" w:rsidP="00620F22">
      <w:pPr>
        <w:spacing w:after="240" w:line="480" w:lineRule="auto"/>
        <w:jc w:val="both"/>
        <w:rPr>
          <w:rFonts w:asciiTheme="minorBidi" w:eastAsia="Times New Roman" w:hAnsiTheme="minorBidi"/>
          <w:kern w:val="0"/>
          <w14:ligatures w14:val="none"/>
        </w:rPr>
      </w:pPr>
      <w:r w:rsidRPr="00620F22">
        <w:rPr>
          <w:rFonts w:asciiTheme="minorBidi" w:eastAsia="Times New Roman" w:hAnsiTheme="minorBidi"/>
          <w:kern w:val="0"/>
          <w14:ligatures w14:val="none"/>
        </w:rPr>
        <w:t xml:space="preserve">Early fraud discovery is critical because it can save additional losses, lessen the effects of deteriorating reputational damage, and possibly even eliminate a poisonous work environment that may have encouraged fraudulent activity or Accounting Farud. An organisation's commitment to accountability and integrity can be demonstrated through prompt response, which increases stakeholder trust. </w:t>
      </w:r>
    </w:p>
    <w:p w14:paraId="39108AAC" w14:textId="321FE3F1" w:rsidR="00620F22" w:rsidRPr="00620F22" w:rsidRDefault="00620F22" w:rsidP="00620F22">
      <w:pPr>
        <w:spacing w:after="240" w:line="480" w:lineRule="auto"/>
        <w:jc w:val="both"/>
        <w:rPr>
          <w:rFonts w:asciiTheme="minorBidi" w:eastAsia="Times New Roman" w:hAnsiTheme="minorBidi"/>
          <w:kern w:val="0"/>
          <w14:ligatures w14:val="none"/>
        </w:rPr>
      </w:pPr>
      <w:r w:rsidRPr="00620F22">
        <w:rPr>
          <w:rFonts w:asciiTheme="minorBidi" w:eastAsia="Times New Roman" w:hAnsiTheme="minorBidi"/>
          <w:kern w:val="0"/>
          <w14:ligatures w14:val="none"/>
        </w:rPr>
        <w:t xml:space="preserve">The foundation of effective fraud prevention, detection, and response tactics is underpinned by a company culture based on moral values, integrity, and open accountability. Creating a culture of ethics like this encourages all internal stakeholders to actively participate in preserving organizational resources and assets, including intangibles like proprietary know-how and intellectual property. </w:t>
      </w:r>
      <w:r w:rsidR="00F2488E" w:rsidRPr="00620F22">
        <w:rPr>
          <w:rFonts w:asciiTheme="minorBidi" w:eastAsia="Times New Roman" w:hAnsiTheme="minorBidi"/>
          <w:kern w:val="0"/>
          <w14:ligatures w14:val="none"/>
        </w:rPr>
        <w:t>Moreover,</w:t>
      </w:r>
      <w:r w:rsidRPr="00620F22">
        <w:rPr>
          <w:rFonts w:asciiTheme="minorBidi" w:eastAsia="Times New Roman" w:hAnsiTheme="minorBidi"/>
          <w:kern w:val="0"/>
          <w14:ligatures w14:val="none"/>
        </w:rPr>
        <w:t xml:space="preserve"> an </w:t>
      </w:r>
      <w:r w:rsidRPr="00620F22">
        <w:rPr>
          <w:rFonts w:asciiTheme="minorBidi" w:eastAsia="Times New Roman" w:hAnsiTheme="minorBidi"/>
          <w:kern w:val="0"/>
          <w14:ligatures w14:val="none"/>
        </w:rPr>
        <w:lastRenderedPageBreak/>
        <w:t xml:space="preserve">ethical culture encourages employees to be vigilant and responsible, which increases the likelihood that they will report questionable behaviours and adhere to personal and professional moral standards. </w:t>
      </w:r>
    </w:p>
    <w:p w14:paraId="2B21F9F5" w14:textId="791EDCEA" w:rsidR="00620F22" w:rsidRPr="00620F22" w:rsidRDefault="00620F22" w:rsidP="00E66A4F">
      <w:pPr>
        <w:spacing w:after="0" w:line="480" w:lineRule="auto"/>
        <w:jc w:val="both"/>
        <w:rPr>
          <w:rFonts w:asciiTheme="minorBidi" w:eastAsia="Times New Roman" w:hAnsiTheme="minorBidi"/>
          <w:kern w:val="0"/>
          <w14:ligatures w14:val="none"/>
        </w:rPr>
      </w:pPr>
      <w:r w:rsidRPr="00620F22">
        <w:rPr>
          <w:rFonts w:asciiTheme="minorBidi" w:eastAsia="Times New Roman" w:hAnsiTheme="minorBidi"/>
          <w:kern w:val="0"/>
          <w14:ligatures w14:val="none"/>
        </w:rPr>
        <w:t>The creation and implementation of an extensive code of conduct are essential steps in cultivating an ethical culture. All staff members should be properly informed about this code, and it should be ingrained in the organisation's culture. It should specify acceptable conduct, offer standards for moral judgment, and list the repercussions for transgressions. To make sure that every employee is aware of and internalises the organisation's ethical standards, regular training and reinforcement of these values are crucial.</w:t>
      </w:r>
    </w:p>
    <w:p w14:paraId="1129DFFB" w14:textId="74B67267" w:rsidR="00620F22" w:rsidRPr="00620F22" w:rsidRDefault="00620F22" w:rsidP="00745D65">
      <w:pPr>
        <w:spacing w:after="0" w:line="480" w:lineRule="auto"/>
        <w:jc w:val="both"/>
        <w:rPr>
          <w:rFonts w:asciiTheme="minorBidi" w:eastAsia="Times New Roman" w:hAnsiTheme="minorBidi"/>
          <w:kern w:val="0"/>
          <w14:ligatures w14:val="none"/>
        </w:rPr>
      </w:pPr>
      <w:r w:rsidRPr="00620F22">
        <w:rPr>
          <w:rFonts w:asciiTheme="minorBidi" w:eastAsia="Times New Roman" w:hAnsiTheme="minorBidi"/>
          <w:kern w:val="0"/>
          <w14:ligatures w14:val="none"/>
        </w:rPr>
        <w:t>Every level of staff and management is essential to maintaining an ethical culture in their organisations. It is the duty of leaders to establish the tone at the top, to act morally, and to give integrity first priority when making decisions. It is the responsibility of managers to maintain the culture by putting policies into place, keeping an eye on compliance, and quickly handling any ethical issues. On the other hand, via their regular interactions and acts, workers establish the ethical environment and influence their sense of belonging. The researcher argues that:</w:t>
      </w:r>
    </w:p>
    <w:p w14:paraId="38EFEAA5" w14:textId="580FE44E" w:rsidR="00620F22" w:rsidRPr="00745D65" w:rsidRDefault="00620F22" w:rsidP="00745D65">
      <w:pPr>
        <w:spacing w:line="480" w:lineRule="auto"/>
        <w:jc w:val="center"/>
        <w:rPr>
          <w:rFonts w:ascii="Arial" w:eastAsiaTheme="minorHAnsi" w:hAnsi="Arial" w:cs="Arial"/>
          <w:b/>
          <w:bCs/>
          <w:i/>
          <w:iCs/>
          <w:color w:val="000000" w:themeColor="text1"/>
          <w:kern w:val="0"/>
          <w:shd w:val="clear" w:color="auto" w:fill="FFFFFF"/>
          <w:lang w:eastAsia="en-US"/>
          <w14:ligatures w14:val="none"/>
        </w:rPr>
      </w:pPr>
      <w:r w:rsidRPr="00620F22">
        <w:rPr>
          <w:rFonts w:ascii="Arial" w:eastAsiaTheme="minorHAnsi" w:hAnsi="Arial" w:cs="Arial"/>
          <w:b/>
          <w:bCs/>
          <w:i/>
          <w:iCs/>
          <w:color w:val="000000" w:themeColor="text1"/>
          <w:kern w:val="0"/>
          <w:shd w:val="clear" w:color="auto" w:fill="FFFFFF"/>
          <w:lang w:eastAsia="en-US"/>
          <w14:ligatures w14:val="none"/>
        </w:rPr>
        <w:t>Leaders set climate</w:t>
      </w:r>
      <w:r w:rsidRPr="00620F22">
        <w:rPr>
          <w:rFonts w:ascii="Arial" w:eastAsiaTheme="minorHAnsi" w:hAnsi="Arial" w:cs="Arial"/>
          <w:b/>
          <w:bCs/>
          <w:i/>
          <w:iCs/>
          <w:color w:val="000000" w:themeColor="text1"/>
          <w:kern w:val="0"/>
          <w:lang w:eastAsia="en-US"/>
          <w14:ligatures w14:val="none"/>
        </w:rPr>
        <w:t xml:space="preserve">, </w:t>
      </w:r>
      <w:r w:rsidRPr="00620F22">
        <w:rPr>
          <w:rFonts w:ascii="Arial" w:eastAsiaTheme="minorHAnsi" w:hAnsi="Arial" w:cs="Arial"/>
          <w:b/>
          <w:bCs/>
          <w:i/>
          <w:iCs/>
          <w:color w:val="000000" w:themeColor="text1"/>
          <w:kern w:val="0"/>
          <w:shd w:val="clear" w:color="auto" w:fill="FFFFFF"/>
          <w:lang w:eastAsia="en-US"/>
          <w14:ligatures w14:val="none"/>
        </w:rPr>
        <w:t>Managers uphold culture,</w:t>
      </w:r>
      <w:r w:rsidRPr="00620F22">
        <w:rPr>
          <w:rFonts w:ascii="Arial" w:eastAsiaTheme="minorHAnsi" w:hAnsi="Arial" w:cs="Arial"/>
          <w:b/>
          <w:bCs/>
          <w:i/>
          <w:iCs/>
          <w:color w:val="000000" w:themeColor="text1"/>
          <w:kern w:val="0"/>
          <w:lang w:eastAsia="en-US"/>
          <w14:ligatures w14:val="none"/>
        </w:rPr>
        <w:t xml:space="preserve"> </w:t>
      </w:r>
      <w:r w:rsidRPr="00620F22">
        <w:rPr>
          <w:rFonts w:ascii="Arial" w:eastAsiaTheme="minorHAnsi" w:hAnsi="Arial" w:cs="Arial"/>
          <w:b/>
          <w:bCs/>
          <w:i/>
          <w:iCs/>
          <w:color w:val="000000" w:themeColor="text1"/>
          <w:kern w:val="0"/>
          <w:shd w:val="clear" w:color="auto" w:fill="FFFFFF"/>
          <w:lang w:eastAsia="en-US"/>
          <w14:ligatures w14:val="none"/>
        </w:rPr>
        <w:t>Workers determine belonging.</w:t>
      </w:r>
    </w:p>
    <w:p w14:paraId="67098E5C" w14:textId="77777777" w:rsidR="00620F22" w:rsidRPr="00620F22" w:rsidRDefault="00620F22" w:rsidP="00620F22">
      <w:pPr>
        <w:spacing w:after="240" w:line="480" w:lineRule="auto"/>
        <w:jc w:val="both"/>
        <w:rPr>
          <w:rFonts w:asciiTheme="minorBidi" w:eastAsia="Times New Roman" w:hAnsiTheme="minorBidi"/>
          <w:kern w:val="0"/>
          <w14:ligatures w14:val="none"/>
        </w:rPr>
      </w:pPr>
      <w:r w:rsidRPr="00620F22">
        <w:rPr>
          <w:rFonts w:asciiTheme="minorBidi" w:eastAsia="Times New Roman" w:hAnsiTheme="minorBidi"/>
          <w:kern w:val="0"/>
          <w14:ligatures w14:val="none"/>
        </w:rPr>
        <w:t xml:space="preserve">Leaders set climate: Leaders need to set an example of moral conduct and honesty. As they establish a standard for the entire company with their choices and behaviours. A culture where ethical behaviour is expected and rewarded can be fostered by leaders by emphasising ethical norms and transparent processes. </w:t>
      </w:r>
    </w:p>
    <w:p w14:paraId="74A75821" w14:textId="77777777" w:rsidR="00620F22" w:rsidRPr="00620F22" w:rsidRDefault="00620F22" w:rsidP="00620F22">
      <w:pPr>
        <w:spacing w:after="240" w:line="480" w:lineRule="auto"/>
        <w:jc w:val="both"/>
        <w:rPr>
          <w:rFonts w:asciiTheme="minorBidi" w:eastAsia="Times New Roman" w:hAnsiTheme="minorBidi"/>
          <w:kern w:val="0"/>
          <w14:ligatures w14:val="none"/>
        </w:rPr>
      </w:pPr>
      <w:r w:rsidRPr="00620F22">
        <w:rPr>
          <w:rFonts w:asciiTheme="minorBidi" w:eastAsia="Times New Roman" w:hAnsiTheme="minorBidi"/>
          <w:kern w:val="0"/>
          <w14:ligatures w14:val="none"/>
        </w:rPr>
        <w:t xml:space="preserve">Managers uphold culture: They play a critical role in ensuring that the moral tone established by leaders is reflected in daily operations. They handle any ethical </w:t>
      </w:r>
      <w:r w:rsidRPr="00620F22">
        <w:rPr>
          <w:rFonts w:asciiTheme="minorBidi" w:eastAsia="Times New Roman" w:hAnsiTheme="minorBidi"/>
          <w:kern w:val="0"/>
          <w14:ligatures w14:val="none"/>
        </w:rPr>
        <w:lastRenderedPageBreak/>
        <w:t xml:space="preserve">transgressions, make sure that rules and regulations are adhered to, and offer assistance and resources for moral decision-making. Additionally, managers are crucial in upholding the code of conduct and promoting a culture that encourages staff members to report unethical activity. </w:t>
      </w:r>
    </w:p>
    <w:p w14:paraId="52ECDBBB" w14:textId="77777777" w:rsidR="00620F22" w:rsidRPr="00620F22" w:rsidRDefault="00620F22" w:rsidP="00620F22">
      <w:pPr>
        <w:spacing w:after="240" w:line="480" w:lineRule="auto"/>
        <w:jc w:val="both"/>
        <w:rPr>
          <w:rFonts w:asciiTheme="minorBidi" w:eastAsia="Times New Roman" w:hAnsiTheme="minorBidi"/>
          <w:kern w:val="0"/>
          <w14:ligatures w14:val="none"/>
        </w:rPr>
      </w:pPr>
      <w:r w:rsidRPr="00620F22">
        <w:rPr>
          <w:rFonts w:asciiTheme="minorBidi" w:eastAsia="Times New Roman" w:hAnsiTheme="minorBidi"/>
          <w:kern w:val="0"/>
          <w14:ligatures w14:val="none"/>
        </w:rPr>
        <w:t>Employees determine belonging: The foundation of an ethical culture is its workforce. The maintenance of an ethical climate depends on their dedication to moral behaviour and observance of the code of conduct. By creating a welcoming atmosphere and promoting candid communication, employees help to create a culture where moral behaviour is expected.</w:t>
      </w:r>
    </w:p>
    <w:p w14:paraId="63B66495" w14:textId="32AFFD85" w:rsidR="00620F22" w:rsidRPr="00620F22" w:rsidRDefault="00620F22" w:rsidP="00620F22">
      <w:pPr>
        <w:spacing w:after="240" w:line="480" w:lineRule="auto"/>
        <w:jc w:val="both"/>
        <w:rPr>
          <w:rFonts w:asciiTheme="minorBidi" w:eastAsia="Times New Roman" w:hAnsiTheme="minorBidi"/>
          <w:kern w:val="0"/>
          <w14:ligatures w14:val="none"/>
        </w:rPr>
      </w:pPr>
      <w:r w:rsidRPr="00620F22">
        <w:rPr>
          <w:rFonts w:asciiTheme="minorBidi" w:eastAsia="Times New Roman" w:hAnsiTheme="minorBidi"/>
          <w:kern w:val="0"/>
          <w14:ligatures w14:val="none"/>
        </w:rPr>
        <w:t>The researcher argues that these assertions are supported by literature. For example, Ariail and Crumbley (2021) highlights how crucial moral leadership is to establishing corporate culture and combating fraud in general and Accounting F</w:t>
      </w:r>
      <w:r w:rsidR="00390D02">
        <w:rPr>
          <w:rFonts w:asciiTheme="minorBidi" w:eastAsia="Times New Roman" w:hAnsiTheme="minorBidi"/>
          <w:kern w:val="0"/>
          <w14:ligatures w14:val="none"/>
        </w:rPr>
        <w:t>rau</w:t>
      </w:r>
      <w:r w:rsidRPr="00620F22">
        <w:rPr>
          <w:rFonts w:asciiTheme="minorBidi" w:eastAsia="Times New Roman" w:hAnsiTheme="minorBidi"/>
          <w:kern w:val="0"/>
          <w14:ligatures w14:val="none"/>
        </w:rPr>
        <w:t>d. Similarly, Murphy and Free (2022) study emphasises the value of thorough fraud risk management frameworks in identifying and stopping fraudulent activity. These frameworks are essential for reducing the risk of fraud because they incorporate robust internal controls, ongoing monitoring, and an ethical culture.</w:t>
      </w:r>
    </w:p>
    <w:p w14:paraId="673D8530" w14:textId="77777777" w:rsidR="00620F22" w:rsidRPr="00620F22" w:rsidRDefault="00620F22" w:rsidP="00620F22">
      <w:pPr>
        <w:spacing w:line="480" w:lineRule="auto"/>
        <w:jc w:val="both"/>
        <w:rPr>
          <w:rFonts w:asciiTheme="minorBidi" w:eastAsia="Times New Roman" w:hAnsiTheme="minorBidi"/>
          <w:kern w:val="0"/>
          <w14:ligatures w14:val="none"/>
        </w:rPr>
      </w:pPr>
      <w:r w:rsidRPr="00620F22">
        <w:rPr>
          <w:rFonts w:asciiTheme="minorBidi" w:eastAsia="Times New Roman" w:hAnsiTheme="minorBidi"/>
          <w:kern w:val="0"/>
          <w14:ligatures w14:val="none"/>
        </w:rPr>
        <w:t>It takes a team effort to create a strong ethical and anti-fraud culture, and managers, employees, and leaders must all play a part. Organisations may greatly lower the likelihood of Accounting Fraud and fraud in general and the detrimental effects that go along with it by accepting the possibility of fraud, building a solid ethical basis, and making sure that ethical ideals are ingrained in the organisational culture.</w:t>
      </w:r>
    </w:p>
    <w:p w14:paraId="73611979" w14:textId="164FD31B" w:rsidR="00C3178F" w:rsidRPr="00620F22" w:rsidRDefault="00620F22" w:rsidP="00745D65">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color w:val="000000" w:themeColor="text1"/>
          <w:kern w:val="0"/>
          <w:lang w:eastAsia="en-US"/>
          <w14:ligatures w14:val="none"/>
        </w:rPr>
        <w:t xml:space="preserve">In the final chapter the </w:t>
      </w:r>
      <w:r w:rsidR="00B10B81">
        <w:rPr>
          <w:rFonts w:ascii="Arial" w:hAnsi="Arial" w:cs="Arial"/>
          <w:color w:val="000000" w:themeColor="text1"/>
        </w:rPr>
        <w:t>researcher</w:t>
      </w:r>
      <w:r w:rsidR="00B10B81" w:rsidRPr="00620F22">
        <w:rPr>
          <w:rFonts w:ascii="Arial" w:eastAsiaTheme="minorHAnsi" w:hAnsi="Arial" w:cs="Arial"/>
          <w:color w:val="000000" w:themeColor="text1"/>
          <w:kern w:val="0"/>
          <w:lang w:eastAsia="en-US"/>
          <w14:ligatures w14:val="none"/>
        </w:rPr>
        <w:t xml:space="preserve"> </w:t>
      </w:r>
      <w:r w:rsidRPr="00620F22">
        <w:rPr>
          <w:rFonts w:ascii="Arial" w:eastAsiaTheme="minorHAnsi" w:hAnsi="Arial" w:cs="Arial"/>
          <w:color w:val="000000" w:themeColor="text1"/>
          <w:kern w:val="0"/>
          <w:lang w:eastAsia="en-US"/>
          <w14:ligatures w14:val="none"/>
        </w:rPr>
        <w:t>wi</w:t>
      </w:r>
      <w:r w:rsidR="00B10B81">
        <w:rPr>
          <w:rFonts w:ascii="Arial" w:eastAsiaTheme="minorHAnsi" w:hAnsi="Arial" w:cs="Arial"/>
          <w:color w:val="000000" w:themeColor="text1"/>
          <w:kern w:val="0"/>
          <w:lang w:eastAsia="en-US"/>
          <w14:ligatures w14:val="none"/>
        </w:rPr>
        <w:t>ll</w:t>
      </w:r>
      <w:r w:rsidRPr="00620F22">
        <w:rPr>
          <w:rFonts w:ascii="Arial" w:eastAsiaTheme="minorHAnsi" w:hAnsi="Arial" w:cs="Arial"/>
          <w:color w:val="000000" w:themeColor="text1"/>
          <w:kern w:val="0"/>
          <w:lang w:eastAsia="en-US"/>
          <w14:ligatures w14:val="none"/>
        </w:rPr>
        <w:t xml:space="preserve"> summarise the key findings, highlight the unique contributions to the literature, discuss limitations of the study and offer suggestions </w:t>
      </w:r>
      <w:r w:rsidRPr="00620F22">
        <w:rPr>
          <w:rFonts w:ascii="Arial" w:eastAsiaTheme="minorHAnsi" w:hAnsi="Arial" w:cs="Arial"/>
          <w:color w:val="000000" w:themeColor="text1"/>
          <w:kern w:val="0"/>
          <w:lang w:eastAsia="en-US"/>
          <w14:ligatures w14:val="none"/>
        </w:rPr>
        <w:lastRenderedPageBreak/>
        <w:t xml:space="preserve">including a ‘’people-centric’’ model that will address the final Research Objective and Question – number six. </w:t>
      </w:r>
    </w:p>
    <w:bookmarkStart w:id="783" w:name="SUM1"/>
    <w:bookmarkStart w:id="784" w:name="_Hlk172040848"/>
    <w:bookmarkStart w:id="785" w:name="D121"/>
    <w:p w14:paraId="23EF79E5" w14:textId="117249A1" w:rsidR="00620F22" w:rsidRPr="00620F22" w:rsidRDefault="00BE596A" w:rsidP="00C3178F">
      <w:pPr>
        <w:pBdr>
          <w:top w:val="single" w:sz="4" w:space="1" w:color="auto"/>
          <w:left w:val="single" w:sz="4" w:space="4" w:color="auto"/>
          <w:bottom w:val="single" w:sz="4" w:space="1" w:color="auto"/>
          <w:right w:val="single" w:sz="4" w:space="4" w:color="auto"/>
        </w:pBdr>
        <w:spacing w:line="240" w:lineRule="auto"/>
        <w:rPr>
          <w:rFonts w:asciiTheme="minorBidi" w:eastAsiaTheme="minorHAnsi" w:hAnsiTheme="minorBidi"/>
          <w:b/>
          <w:bCs/>
          <w:kern w:val="0"/>
          <w:lang w:eastAsia="en-US"/>
          <w14:ligatures w14:val="none"/>
        </w:rPr>
      </w:pPr>
      <w:r>
        <w:rPr>
          <w:rFonts w:asciiTheme="minorBidi" w:eastAsiaTheme="minorHAnsi" w:hAnsiTheme="minorBidi"/>
          <w:b/>
          <w:bCs/>
          <w:kern w:val="0"/>
          <w:lang w:eastAsia="en-US"/>
          <w14:ligatures w14:val="none"/>
        </w:rPr>
        <w:fldChar w:fldCharType="begin"/>
      </w:r>
      <w:r>
        <w:rPr>
          <w:rFonts w:asciiTheme="minorBidi" w:eastAsiaTheme="minorHAnsi" w:hAnsiTheme="minorBidi"/>
          <w:b/>
          <w:bCs/>
          <w:kern w:val="0"/>
          <w:lang w:eastAsia="en-US"/>
          <w14:ligatures w14:val="none"/>
        </w:rPr>
        <w:instrText>HYPERLINK  \l "C121"</w:instrText>
      </w:r>
      <w:r>
        <w:rPr>
          <w:rFonts w:asciiTheme="minorBidi" w:eastAsiaTheme="minorHAnsi" w:hAnsiTheme="minorBidi"/>
          <w:b/>
          <w:bCs/>
          <w:kern w:val="0"/>
          <w:lang w:eastAsia="en-US"/>
          <w14:ligatures w14:val="none"/>
        </w:rPr>
      </w:r>
      <w:r>
        <w:rPr>
          <w:rFonts w:asciiTheme="minorBidi" w:eastAsiaTheme="minorHAnsi" w:hAnsiTheme="minorBidi"/>
          <w:b/>
          <w:bCs/>
          <w:kern w:val="0"/>
          <w:lang w:eastAsia="en-US"/>
          <w14:ligatures w14:val="none"/>
        </w:rPr>
        <w:fldChar w:fldCharType="separate"/>
      </w:r>
      <w:r w:rsidR="00620F22" w:rsidRPr="00BE596A">
        <w:rPr>
          <w:rStyle w:val="Hyperlink"/>
          <w:rFonts w:asciiTheme="minorBidi" w:eastAsiaTheme="minorHAnsi" w:hAnsiTheme="minorBidi"/>
          <w:b/>
          <w:bCs/>
          <w:kern w:val="0"/>
          <w:lang w:eastAsia="en-US"/>
          <w14:ligatures w14:val="none"/>
        </w:rPr>
        <w:t>4.6 Chapter Summary</w:t>
      </w:r>
      <w:r>
        <w:rPr>
          <w:rFonts w:asciiTheme="minorBidi" w:eastAsiaTheme="minorHAnsi" w:hAnsiTheme="minorBidi"/>
          <w:b/>
          <w:bCs/>
          <w:kern w:val="0"/>
          <w:lang w:eastAsia="en-US"/>
          <w14:ligatures w14:val="none"/>
        </w:rPr>
        <w:fldChar w:fldCharType="end"/>
      </w:r>
      <w:r w:rsidR="00620F22" w:rsidRPr="00620F22">
        <w:rPr>
          <w:rFonts w:asciiTheme="minorBidi" w:eastAsiaTheme="minorHAnsi" w:hAnsiTheme="minorBidi"/>
          <w:b/>
          <w:bCs/>
          <w:kern w:val="0"/>
          <w:lang w:eastAsia="en-US"/>
          <w14:ligatures w14:val="none"/>
        </w:rPr>
        <w:t xml:space="preserve"> </w:t>
      </w:r>
      <w:bookmarkEnd w:id="783"/>
    </w:p>
    <w:bookmarkEnd w:id="784"/>
    <w:bookmarkEnd w:id="785"/>
    <w:p w14:paraId="3523FE2A" w14:textId="77777777" w:rsidR="00620F22" w:rsidRPr="00620F22" w:rsidRDefault="00620F22" w:rsidP="00620F22">
      <w:pPr>
        <w:spacing w:line="480" w:lineRule="auto"/>
        <w:jc w:val="both"/>
        <w:rPr>
          <w:rFonts w:ascii="Arial" w:eastAsia="Times New Roman" w:hAnsi="Arial" w:cs="Arial"/>
          <w:kern w:val="0"/>
          <w14:ligatures w14:val="none"/>
        </w:rPr>
      </w:pPr>
      <w:r w:rsidRPr="00620F22">
        <w:rPr>
          <w:rFonts w:ascii="Arial" w:eastAsia="Times New Roman" w:hAnsi="Arial" w:cs="Arial"/>
          <w:kern w:val="0"/>
          <w14:ligatures w14:val="none"/>
        </w:rPr>
        <w:t>In summary chapter four covered the research findings, analysis, and discussion of the quantitative data from the practitioner and student samples (part one), qualitative results from the semi-structured interviews with subject matter experts and auditors (part two), the results and findings from part one and part two were triangulated in part three and part four made a foray into the automation and ‘’people-centric’ approaches to establish whether they could influence Accounting Fraud and The Corporate Psychopath Accountant. This stage of the research cycle addressed Research Objective and Question Five see below and Fig 4.2 The Thesis Research Framework.</w:t>
      </w:r>
    </w:p>
    <w:tbl>
      <w:tblPr>
        <w:tblStyle w:val="TableGrid"/>
        <w:tblW w:w="0" w:type="auto"/>
        <w:tblLook w:val="04A0" w:firstRow="1" w:lastRow="0" w:firstColumn="1" w:lastColumn="0" w:noHBand="0" w:noVBand="1"/>
      </w:tblPr>
      <w:tblGrid>
        <w:gridCol w:w="603"/>
        <w:gridCol w:w="8413"/>
      </w:tblGrid>
      <w:tr w:rsidR="00620F22" w:rsidRPr="00620F22" w14:paraId="1CB96A72" w14:textId="77777777" w:rsidTr="001D4222">
        <w:tc>
          <w:tcPr>
            <w:tcW w:w="603" w:type="dxa"/>
          </w:tcPr>
          <w:p w14:paraId="40DA5F09" w14:textId="77777777" w:rsidR="00620F22" w:rsidRPr="00620F22" w:rsidRDefault="00620F22" w:rsidP="00620F22">
            <w:pPr>
              <w:spacing w:line="480" w:lineRule="auto"/>
              <w:contextualSpacing/>
              <w:jc w:val="both"/>
              <w:rPr>
                <w:rFonts w:ascii="Arial" w:hAnsi="Arial" w:cs="Arial"/>
                <w:i/>
                <w:iCs/>
              </w:rPr>
            </w:pPr>
            <w:r w:rsidRPr="00620F22">
              <w:rPr>
                <w:rFonts w:ascii="Arial" w:hAnsi="Arial" w:cs="Arial"/>
                <w:i/>
                <w:iCs/>
              </w:rPr>
              <w:t>5</w:t>
            </w:r>
          </w:p>
        </w:tc>
        <w:tc>
          <w:tcPr>
            <w:tcW w:w="8413" w:type="dxa"/>
          </w:tcPr>
          <w:p w14:paraId="147CA494" w14:textId="77777777" w:rsidR="00620F22" w:rsidRPr="00620F22" w:rsidRDefault="00620F22" w:rsidP="00620F22">
            <w:pPr>
              <w:spacing w:line="480" w:lineRule="auto"/>
              <w:jc w:val="both"/>
              <w:rPr>
                <w:rFonts w:ascii="Arial" w:hAnsi="Arial" w:cs="Arial"/>
              </w:rPr>
            </w:pPr>
            <w:r w:rsidRPr="00620F22">
              <w:rPr>
                <w:rFonts w:ascii="Arial" w:hAnsi="Arial" w:cs="Arial"/>
                <w:b/>
                <w:bCs/>
                <w:u w:val="single"/>
              </w:rPr>
              <w:t>Objective 5:</w:t>
            </w:r>
            <w:r w:rsidRPr="00620F22">
              <w:rPr>
                <w:rFonts w:ascii="Arial" w:hAnsi="Arial" w:cs="Arial"/>
              </w:rPr>
              <w:t xml:space="preserve"> To investigate the mechanisms by which Blockchain Technology can monitor and constrain Accounting Fraud in organisations led by a CPA. </w:t>
            </w:r>
          </w:p>
          <w:p w14:paraId="0CC2801C" w14:textId="77777777" w:rsidR="00620F22" w:rsidRPr="00620F22" w:rsidRDefault="00620F22" w:rsidP="00620F22">
            <w:pPr>
              <w:spacing w:line="480" w:lineRule="auto"/>
              <w:jc w:val="both"/>
              <w:rPr>
                <w:rFonts w:ascii="Arial" w:hAnsi="Arial" w:cs="Arial"/>
                <w:u w:val="single"/>
              </w:rPr>
            </w:pPr>
            <w:r w:rsidRPr="00620F22">
              <w:rPr>
                <w:rFonts w:ascii="Arial" w:hAnsi="Arial" w:cs="Arial"/>
                <w:b/>
                <w:bCs/>
                <w:u w:val="single"/>
              </w:rPr>
              <w:t>Question 5:</w:t>
            </w:r>
            <w:r w:rsidRPr="00620F22">
              <w:rPr>
                <w:rFonts w:ascii="Arial" w:hAnsi="Arial" w:cs="Arial"/>
              </w:rPr>
              <w:t xml:space="preserve"> What role would Blockchain Technology play in monitoring and preventing Accounting Fraud managed by psychopathic leaders?</w:t>
            </w:r>
          </w:p>
        </w:tc>
      </w:tr>
    </w:tbl>
    <w:p w14:paraId="10355AB4" w14:textId="77777777" w:rsidR="00620F22" w:rsidRPr="00620F22" w:rsidRDefault="00620F22" w:rsidP="00620F22">
      <w:pPr>
        <w:spacing w:line="480" w:lineRule="auto"/>
        <w:jc w:val="both"/>
        <w:rPr>
          <w:rFonts w:ascii="Arial" w:hAnsi="Arial" w:cs="Arial"/>
          <w:b/>
          <w:bCs/>
          <w:color w:val="000000" w:themeColor="text1"/>
        </w:rPr>
      </w:pPr>
    </w:p>
    <w:p w14:paraId="201BF4D2" w14:textId="77777777" w:rsidR="00620F22" w:rsidRDefault="00620F22" w:rsidP="00620F22">
      <w:pPr>
        <w:spacing w:line="480" w:lineRule="auto"/>
        <w:rPr>
          <w:rFonts w:asciiTheme="minorBidi" w:hAnsiTheme="minorBidi"/>
        </w:rPr>
      </w:pPr>
    </w:p>
    <w:p w14:paraId="36ABB059" w14:textId="77777777" w:rsidR="0010769E" w:rsidRDefault="0010769E" w:rsidP="00620F22">
      <w:pPr>
        <w:spacing w:line="480" w:lineRule="auto"/>
        <w:rPr>
          <w:rFonts w:asciiTheme="minorBidi" w:hAnsiTheme="minorBidi"/>
          <w:color w:val="000000" w:themeColor="text1"/>
        </w:rPr>
      </w:pPr>
    </w:p>
    <w:p w14:paraId="51606D17" w14:textId="77777777" w:rsidR="0010769E" w:rsidRDefault="0010769E" w:rsidP="00620F22">
      <w:pPr>
        <w:spacing w:line="480" w:lineRule="auto"/>
        <w:rPr>
          <w:rFonts w:asciiTheme="minorBidi" w:hAnsiTheme="minorBidi"/>
          <w:color w:val="000000" w:themeColor="text1"/>
        </w:rPr>
      </w:pPr>
    </w:p>
    <w:p w14:paraId="45E364E7" w14:textId="77777777" w:rsidR="0010769E" w:rsidRDefault="0010769E" w:rsidP="00620F22">
      <w:pPr>
        <w:spacing w:line="480" w:lineRule="auto"/>
        <w:rPr>
          <w:rFonts w:asciiTheme="minorBidi" w:hAnsiTheme="minorBidi"/>
          <w:color w:val="000000" w:themeColor="text1"/>
        </w:rPr>
      </w:pPr>
    </w:p>
    <w:p w14:paraId="6239311D" w14:textId="77777777" w:rsidR="0010769E" w:rsidRDefault="0010769E" w:rsidP="00620F22">
      <w:pPr>
        <w:spacing w:line="480" w:lineRule="auto"/>
        <w:rPr>
          <w:rFonts w:asciiTheme="minorBidi" w:hAnsiTheme="minorBidi"/>
          <w:color w:val="000000" w:themeColor="text1"/>
        </w:rPr>
      </w:pPr>
    </w:p>
    <w:p w14:paraId="683EF07D" w14:textId="77777777" w:rsidR="0010769E" w:rsidRDefault="0010769E" w:rsidP="00620F22">
      <w:pPr>
        <w:spacing w:line="480" w:lineRule="auto"/>
        <w:rPr>
          <w:rFonts w:asciiTheme="minorBidi" w:hAnsiTheme="minorBidi"/>
          <w:color w:val="000000" w:themeColor="text1"/>
        </w:rPr>
      </w:pPr>
    </w:p>
    <w:p w14:paraId="096CD5B7" w14:textId="77777777" w:rsidR="0010769E" w:rsidRPr="00620F22" w:rsidRDefault="0010769E" w:rsidP="00620F22">
      <w:pPr>
        <w:spacing w:line="480" w:lineRule="auto"/>
        <w:rPr>
          <w:rFonts w:ascii="Arial" w:hAnsi="Arial" w:cs="Arial"/>
          <w:b/>
          <w:bCs/>
          <w:color w:val="000000" w:themeColor="text1"/>
        </w:rPr>
      </w:pPr>
    </w:p>
    <w:tbl>
      <w:tblPr>
        <w:tblStyle w:val="TableGrid"/>
        <w:tblW w:w="0" w:type="auto"/>
        <w:tblLook w:val="04A0" w:firstRow="1" w:lastRow="0" w:firstColumn="1" w:lastColumn="0" w:noHBand="0" w:noVBand="1"/>
      </w:tblPr>
      <w:tblGrid>
        <w:gridCol w:w="2689"/>
        <w:gridCol w:w="425"/>
        <w:gridCol w:w="3204"/>
        <w:gridCol w:w="340"/>
        <w:gridCol w:w="2358"/>
      </w:tblGrid>
      <w:tr w:rsidR="00620F22" w:rsidRPr="00620F22" w14:paraId="7209B1B2" w14:textId="77777777" w:rsidTr="001D4222">
        <w:tc>
          <w:tcPr>
            <w:tcW w:w="9016" w:type="dxa"/>
            <w:gridSpan w:val="5"/>
            <w:tcBorders>
              <w:top w:val="nil"/>
              <w:left w:val="nil"/>
              <w:bottom w:val="nil"/>
              <w:right w:val="nil"/>
            </w:tcBorders>
            <w:shd w:val="clear" w:color="auto" w:fill="D9D9D9" w:themeFill="background1" w:themeFillShade="D9"/>
          </w:tcPr>
          <w:p w14:paraId="6B8BECD6" w14:textId="77777777" w:rsidR="00620F22" w:rsidRPr="00620F22" w:rsidRDefault="00620F22" w:rsidP="00620F22">
            <w:pPr>
              <w:spacing w:line="480" w:lineRule="auto"/>
              <w:jc w:val="center"/>
              <w:rPr>
                <w:rFonts w:asciiTheme="minorBidi" w:hAnsiTheme="minorBidi"/>
                <w:b/>
                <w:bCs/>
                <w:sz w:val="20"/>
                <w:szCs w:val="20"/>
              </w:rPr>
            </w:pPr>
            <w:r w:rsidRPr="00620F22">
              <w:rPr>
                <w:rFonts w:asciiTheme="minorBidi" w:hAnsiTheme="minorBidi"/>
                <w:b/>
                <w:bCs/>
                <w:sz w:val="20"/>
                <w:szCs w:val="20"/>
              </w:rPr>
              <w:lastRenderedPageBreak/>
              <w:t>Thesis Framework</w:t>
            </w:r>
          </w:p>
        </w:tc>
      </w:tr>
      <w:tr w:rsidR="00620F22" w:rsidRPr="00620F22" w14:paraId="1874B8EC" w14:textId="77777777" w:rsidTr="001D4222">
        <w:tc>
          <w:tcPr>
            <w:tcW w:w="9016" w:type="dxa"/>
            <w:gridSpan w:val="5"/>
            <w:tcBorders>
              <w:top w:val="nil"/>
              <w:left w:val="nil"/>
              <w:bottom w:val="nil"/>
              <w:right w:val="nil"/>
            </w:tcBorders>
          </w:tcPr>
          <w:p w14:paraId="78F2DF7D" w14:textId="77777777" w:rsidR="00620F22" w:rsidRPr="00620F22" w:rsidRDefault="00620F22" w:rsidP="00620F22">
            <w:pPr>
              <w:spacing w:line="480" w:lineRule="auto"/>
              <w:jc w:val="center"/>
              <w:rPr>
                <w:rFonts w:asciiTheme="minorBidi" w:hAnsiTheme="minorBidi"/>
                <w:b/>
                <w:bCs/>
                <w:sz w:val="20"/>
                <w:szCs w:val="20"/>
              </w:rPr>
            </w:pPr>
          </w:p>
        </w:tc>
      </w:tr>
      <w:tr w:rsidR="00620F22" w:rsidRPr="00620F22" w14:paraId="08468D28" w14:textId="77777777" w:rsidTr="001D4222">
        <w:tc>
          <w:tcPr>
            <w:tcW w:w="2689" w:type="dxa"/>
            <w:tcBorders>
              <w:top w:val="nil"/>
              <w:left w:val="nil"/>
              <w:bottom w:val="nil"/>
              <w:right w:val="nil"/>
            </w:tcBorders>
            <w:shd w:val="clear" w:color="auto" w:fill="D9D9D9" w:themeFill="background1" w:themeFillShade="D9"/>
          </w:tcPr>
          <w:p w14:paraId="50E6E89C" w14:textId="77777777" w:rsidR="00620F22" w:rsidRPr="00620F22" w:rsidRDefault="00620F22" w:rsidP="00620F22">
            <w:pPr>
              <w:spacing w:line="480" w:lineRule="auto"/>
              <w:jc w:val="center"/>
              <w:rPr>
                <w:rFonts w:asciiTheme="minorBidi" w:hAnsiTheme="minorBidi"/>
                <w:b/>
                <w:bCs/>
                <w:sz w:val="20"/>
                <w:szCs w:val="20"/>
              </w:rPr>
            </w:pPr>
            <w:r w:rsidRPr="00620F22">
              <w:rPr>
                <w:rFonts w:asciiTheme="minorBidi" w:hAnsiTheme="minorBidi"/>
                <w:b/>
                <w:bCs/>
                <w:sz w:val="20"/>
                <w:szCs w:val="20"/>
              </w:rPr>
              <w:t>Research</w:t>
            </w:r>
          </w:p>
          <w:p w14:paraId="45768F53" w14:textId="77777777" w:rsidR="00620F22" w:rsidRPr="00620F22" w:rsidRDefault="00620F22" w:rsidP="00620F22">
            <w:pPr>
              <w:spacing w:line="480" w:lineRule="auto"/>
              <w:jc w:val="center"/>
              <w:rPr>
                <w:rFonts w:asciiTheme="minorBidi" w:hAnsiTheme="minorBidi"/>
                <w:b/>
                <w:bCs/>
                <w:sz w:val="20"/>
                <w:szCs w:val="20"/>
              </w:rPr>
            </w:pPr>
            <w:r w:rsidRPr="00620F22">
              <w:rPr>
                <w:rFonts w:asciiTheme="minorBidi" w:hAnsiTheme="minorBidi"/>
                <w:b/>
                <w:bCs/>
                <w:sz w:val="20"/>
                <w:szCs w:val="20"/>
              </w:rPr>
              <w:t>Objectives (RO)</w:t>
            </w:r>
          </w:p>
        </w:tc>
        <w:tc>
          <w:tcPr>
            <w:tcW w:w="425" w:type="dxa"/>
            <w:tcBorders>
              <w:top w:val="nil"/>
              <w:left w:val="nil"/>
              <w:bottom w:val="nil"/>
              <w:right w:val="nil"/>
            </w:tcBorders>
            <w:shd w:val="clear" w:color="auto" w:fill="auto"/>
          </w:tcPr>
          <w:p w14:paraId="70653725" w14:textId="77777777" w:rsidR="00620F22" w:rsidRPr="00620F22" w:rsidRDefault="00620F22" w:rsidP="00620F22">
            <w:pPr>
              <w:spacing w:line="480" w:lineRule="auto"/>
              <w:jc w:val="center"/>
              <w:rPr>
                <w:rFonts w:asciiTheme="minorBidi" w:hAnsiTheme="minorBidi"/>
                <w:b/>
                <w:bCs/>
                <w:sz w:val="20"/>
                <w:szCs w:val="20"/>
              </w:rPr>
            </w:pPr>
          </w:p>
        </w:tc>
        <w:tc>
          <w:tcPr>
            <w:tcW w:w="3204" w:type="dxa"/>
            <w:tcBorders>
              <w:top w:val="nil"/>
              <w:left w:val="nil"/>
              <w:bottom w:val="nil"/>
              <w:right w:val="nil"/>
            </w:tcBorders>
            <w:shd w:val="clear" w:color="auto" w:fill="D9D9D9" w:themeFill="background1" w:themeFillShade="D9"/>
          </w:tcPr>
          <w:p w14:paraId="76017808" w14:textId="77777777" w:rsidR="00620F22" w:rsidRPr="00620F22" w:rsidRDefault="00620F22" w:rsidP="00620F22">
            <w:pPr>
              <w:spacing w:line="480" w:lineRule="auto"/>
              <w:ind w:left="-253"/>
              <w:jc w:val="center"/>
              <w:rPr>
                <w:rFonts w:asciiTheme="minorBidi" w:hAnsiTheme="minorBidi"/>
                <w:b/>
                <w:bCs/>
                <w:sz w:val="20"/>
                <w:szCs w:val="20"/>
              </w:rPr>
            </w:pPr>
            <w:r w:rsidRPr="00620F22">
              <w:rPr>
                <w:rFonts w:asciiTheme="minorBidi" w:hAnsiTheme="minorBidi"/>
                <w:b/>
                <w:bCs/>
                <w:sz w:val="20"/>
                <w:szCs w:val="20"/>
              </w:rPr>
              <w:t>Thesis Chapters</w:t>
            </w:r>
          </w:p>
        </w:tc>
        <w:tc>
          <w:tcPr>
            <w:tcW w:w="340" w:type="dxa"/>
            <w:tcBorders>
              <w:top w:val="nil"/>
              <w:left w:val="nil"/>
              <w:bottom w:val="nil"/>
              <w:right w:val="nil"/>
            </w:tcBorders>
            <w:shd w:val="clear" w:color="auto" w:fill="auto"/>
          </w:tcPr>
          <w:p w14:paraId="3166B2D5" w14:textId="77777777" w:rsidR="00620F22" w:rsidRPr="00620F22" w:rsidRDefault="00620F22" w:rsidP="00620F22">
            <w:pPr>
              <w:spacing w:line="480" w:lineRule="auto"/>
              <w:jc w:val="center"/>
              <w:rPr>
                <w:rFonts w:asciiTheme="minorBidi" w:hAnsiTheme="minorBidi"/>
                <w:b/>
                <w:bCs/>
                <w:sz w:val="20"/>
                <w:szCs w:val="20"/>
              </w:rPr>
            </w:pPr>
          </w:p>
        </w:tc>
        <w:tc>
          <w:tcPr>
            <w:tcW w:w="2358" w:type="dxa"/>
            <w:tcBorders>
              <w:top w:val="nil"/>
              <w:left w:val="nil"/>
              <w:bottom w:val="nil"/>
              <w:right w:val="nil"/>
            </w:tcBorders>
            <w:shd w:val="clear" w:color="auto" w:fill="D9D9D9" w:themeFill="background1" w:themeFillShade="D9"/>
          </w:tcPr>
          <w:p w14:paraId="4BE76CD2" w14:textId="77777777" w:rsidR="00620F22" w:rsidRPr="00620F22" w:rsidRDefault="00620F22" w:rsidP="00620F22">
            <w:pPr>
              <w:spacing w:line="480" w:lineRule="auto"/>
              <w:jc w:val="center"/>
              <w:rPr>
                <w:rFonts w:asciiTheme="minorBidi" w:hAnsiTheme="minorBidi"/>
                <w:b/>
                <w:bCs/>
                <w:sz w:val="20"/>
                <w:szCs w:val="20"/>
              </w:rPr>
            </w:pPr>
            <w:r w:rsidRPr="00620F22">
              <w:rPr>
                <w:rFonts w:asciiTheme="minorBidi" w:hAnsiTheme="minorBidi"/>
                <w:b/>
                <w:bCs/>
                <w:sz w:val="20"/>
                <w:szCs w:val="20"/>
              </w:rPr>
              <w:t>Research Questions (RQ)</w:t>
            </w:r>
          </w:p>
        </w:tc>
      </w:tr>
      <w:tr w:rsidR="00620F22" w:rsidRPr="00620F22" w14:paraId="02342136" w14:textId="77777777" w:rsidTr="001D4222">
        <w:tc>
          <w:tcPr>
            <w:tcW w:w="9016" w:type="dxa"/>
            <w:gridSpan w:val="5"/>
            <w:tcBorders>
              <w:top w:val="nil"/>
              <w:left w:val="nil"/>
              <w:bottom w:val="nil"/>
              <w:right w:val="nil"/>
            </w:tcBorders>
          </w:tcPr>
          <w:p w14:paraId="15A1FB58" w14:textId="77777777" w:rsidR="00620F22" w:rsidRPr="00620F22" w:rsidRDefault="00620F22" w:rsidP="00620F22">
            <w:pPr>
              <w:spacing w:line="480" w:lineRule="auto"/>
              <w:jc w:val="center"/>
              <w:rPr>
                <w:rFonts w:asciiTheme="minorBidi" w:hAnsiTheme="minorBidi"/>
                <w:b/>
                <w:bCs/>
                <w:sz w:val="20"/>
                <w:szCs w:val="20"/>
              </w:rPr>
            </w:pPr>
          </w:p>
        </w:tc>
      </w:tr>
      <w:tr w:rsidR="00620F22" w:rsidRPr="00620F22" w14:paraId="5B92AED8" w14:textId="77777777" w:rsidTr="001D4222">
        <w:tc>
          <w:tcPr>
            <w:tcW w:w="9016" w:type="dxa"/>
            <w:gridSpan w:val="5"/>
            <w:tcBorders>
              <w:top w:val="nil"/>
              <w:left w:val="nil"/>
              <w:bottom w:val="nil"/>
              <w:right w:val="nil"/>
            </w:tcBorders>
            <w:shd w:val="clear" w:color="auto" w:fill="D9D9D9" w:themeFill="background1" w:themeFillShade="D9"/>
          </w:tcPr>
          <w:p w14:paraId="24EAB79C" w14:textId="77777777" w:rsidR="00620F22" w:rsidRPr="00620F22" w:rsidRDefault="00620F22" w:rsidP="00620F22">
            <w:pPr>
              <w:spacing w:line="480" w:lineRule="auto"/>
              <w:ind w:left="316"/>
              <w:jc w:val="center"/>
              <w:rPr>
                <w:rFonts w:asciiTheme="minorBidi" w:hAnsiTheme="minorBidi"/>
                <w:b/>
                <w:bCs/>
                <w:sz w:val="20"/>
                <w:szCs w:val="20"/>
              </w:rPr>
            </w:pPr>
            <w:r w:rsidRPr="00620F22">
              <w:rPr>
                <w:rFonts w:asciiTheme="minorBidi" w:hAnsiTheme="minorBidi"/>
                <w:b/>
                <w:bCs/>
                <w:sz w:val="20"/>
                <w:szCs w:val="20"/>
              </w:rPr>
              <w:t>Chapter 1</w:t>
            </w:r>
          </w:p>
        </w:tc>
      </w:tr>
      <w:tr w:rsidR="00620F22" w:rsidRPr="00620F22" w14:paraId="34BB6FC2" w14:textId="77777777" w:rsidTr="001D4222">
        <w:tc>
          <w:tcPr>
            <w:tcW w:w="9016" w:type="dxa"/>
            <w:gridSpan w:val="5"/>
            <w:tcBorders>
              <w:top w:val="nil"/>
              <w:left w:val="nil"/>
              <w:bottom w:val="nil"/>
              <w:right w:val="nil"/>
            </w:tcBorders>
          </w:tcPr>
          <w:p w14:paraId="254A76C7" w14:textId="77777777" w:rsidR="00620F22" w:rsidRPr="00620F22" w:rsidRDefault="00620F22" w:rsidP="00620F22">
            <w:pPr>
              <w:spacing w:line="480" w:lineRule="auto"/>
              <w:jc w:val="center"/>
              <w:rPr>
                <w:rFonts w:asciiTheme="minorBidi" w:hAnsiTheme="minorBidi"/>
                <w:b/>
                <w:bCs/>
                <w:sz w:val="20"/>
                <w:szCs w:val="20"/>
              </w:rPr>
            </w:pPr>
            <w:r w:rsidRPr="00620F22">
              <w:rPr>
                <w:rFonts w:asciiTheme="minorBidi" w:hAnsiTheme="minorBidi"/>
                <w:b/>
                <w:bCs/>
                <w:noProof/>
                <w:sz w:val="20"/>
                <w:szCs w:val="20"/>
              </w:rPr>
              <mc:AlternateContent>
                <mc:Choice Requires="wps">
                  <w:drawing>
                    <wp:anchor distT="0" distB="0" distL="114300" distR="114300" simplePos="0" relativeHeight="251714560" behindDoc="0" locked="0" layoutInCell="1" allowOverlap="1" wp14:anchorId="4C643769" wp14:editId="3BAE8BBD">
                      <wp:simplePos x="0" y="0"/>
                      <wp:positionH relativeFrom="column">
                        <wp:posOffset>2350770</wp:posOffset>
                      </wp:positionH>
                      <wp:positionV relativeFrom="paragraph">
                        <wp:posOffset>24130</wp:posOffset>
                      </wp:positionV>
                      <wp:extent cx="909955" cy="539750"/>
                      <wp:effectExtent l="38100" t="0" r="23495" b="31750"/>
                      <wp:wrapNone/>
                      <wp:docPr id="1721423216" name="Arrow: Down 6"/>
                      <wp:cNvGraphicFramePr/>
                      <a:graphic xmlns:a="http://schemas.openxmlformats.org/drawingml/2006/main">
                        <a:graphicData uri="http://schemas.microsoft.com/office/word/2010/wordprocessingShape">
                          <wps:wsp>
                            <wps:cNvSpPr/>
                            <wps:spPr>
                              <a:xfrm>
                                <a:off x="0" y="0"/>
                                <a:ext cx="909955" cy="53975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9DC0F7" id="Arrow: Down 6" o:spid="_x0000_s1026" type="#_x0000_t67" style="position:absolute;margin-left:185.1pt;margin-top:1.9pt;width:71.65pt;height:42.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" adj="10800" fillcolor="#156082" strokecolor="#042433" strokeweight="1pt"/>
                  </w:pict>
                </mc:Fallback>
              </mc:AlternateContent>
            </w:r>
          </w:p>
        </w:tc>
      </w:tr>
      <w:tr w:rsidR="00620F22" w:rsidRPr="00620F22" w14:paraId="4A9B820E" w14:textId="77777777" w:rsidTr="001D4222">
        <w:tc>
          <w:tcPr>
            <w:tcW w:w="9016" w:type="dxa"/>
            <w:gridSpan w:val="5"/>
            <w:tcBorders>
              <w:top w:val="nil"/>
              <w:left w:val="nil"/>
              <w:bottom w:val="nil"/>
              <w:right w:val="nil"/>
            </w:tcBorders>
          </w:tcPr>
          <w:p w14:paraId="15BB398D" w14:textId="77777777" w:rsidR="00620F22" w:rsidRPr="00620F22" w:rsidRDefault="00620F22" w:rsidP="00620F22">
            <w:pPr>
              <w:spacing w:line="480" w:lineRule="auto"/>
              <w:jc w:val="center"/>
              <w:rPr>
                <w:rFonts w:asciiTheme="minorBidi" w:hAnsiTheme="minorBidi"/>
                <w:b/>
                <w:bCs/>
                <w:sz w:val="20"/>
                <w:szCs w:val="20"/>
              </w:rPr>
            </w:pPr>
          </w:p>
        </w:tc>
      </w:tr>
      <w:tr w:rsidR="00620F22" w:rsidRPr="00620F22" w14:paraId="789F5AF8" w14:textId="77777777" w:rsidTr="001D4222">
        <w:tc>
          <w:tcPr>
            <w:tcW w:w="2689" w:type="dxa"/>
            <w:tcBorders>
              <w:top w:val="nil"/>
              <w:left w:val="nil"/>
              <w:bottom w:val="nil"/>
              <w:right w:val="nil"/>
            </w:tcBorders>
            <w:shd w:val="clear" w:color="auto" w:fill="D9D9D9" w:themeFill="background1" w:themeFillShade="D9"/>
          </w:tcPr>
          <w:p w14:paraId="4AD936E4" w14:textId="77777777" w:rsidR="00620F22" w:rsidRPr="00620F22" w:rsidRDefault="00620F22" w:rsidP="00620F22">
            <w:pPr>
              <w:spacing w:line="480" w:lineRule="auto"/>
              <w:jc w:val="center"/>
              <w:rPr>
                <w:rFonts w:asciiTheme="minorBidi" w:hAnsiTheme="minorBidi"/>
                <w:b/>
                <w:bCs/>
                <w:sz w:val="20"/>
                <w:szCs w:val="20"/>
              </w:rPr>
            </w:pPr>
            <w:r w:rsidRPr="00620F22">
              <w:rPr>
                <w:rFonts w:asciiTheme="minorBidi" w:hAnsiTheme="minorBidi"/>
                <w:b/>
                <w:bCs/>
                <w:sz w:val="20"/>
                <w:szCs w:val="20"/>
              </w:rPr>
              <w:t>RO 1 - 4</w:t>
            </w:r>
          </w:p>
        </w:tc>
        <w:tc>
          <w:tcPr>
            <w:tcW w:w="425" w:type="dxa"/>
            <w:tcBorders>
              <w:top w:val="nil"/>
              <w:left w:val="nil"/>
              <w:bottom w:val="nil"/>
              <w:right w:val="nil"/>
            </w:tcBorders>
          </w:tcPr>
          <w:p w14:paraId="0A1BA093" w14:textId="77777777" w:rsidR="00620F22" w:rsidRPr="00620F22" w:rsidRDefault="00620F22" w:rsidP="00620F22">
            <w:pPr>
              <w:spacing w:line="480" w:lineRule="auto"/>
              <w:jc w:val="center"/>
              <w:rPr>
                <w:rFonts w:asciiTheme="minorBidi" w:hAnsiTheme="minorBidi"/>
                <w:b/>
                <w:bCs/>
                <w:sz w:val="20"/>
                <w:szCs w:val="20"/>
              </w:rPr>
            </w:pPr>
          </w:p>
        </w:tc>
        <w:tc>
          <w:tcPr>
            <w:tcW w:w="3204" w:type="dxa"/>
            <w:tcBorders>
              <w:top w:val="nil"/>
              <w:left w:val="nil"/>
              <w:bottom w:val="nil"/>
              <w:right w:val="nil"/>
            </w:tcBorders>
            <w:shd w:val="clear" w:color="auto" w:fill="D9D9D9" w:themeFill="background1" w:themeFillShade="D9"/>
          </w:tcPr>
          <w:p w14:paraId="60EBCF6A" w14:textId="77777777" w:rsidR="00620F22" w:rsidRPr="00620F22" w:rsidRDefault="00620F22" w:rsidP="00620F22">
            <w:pPr>
              <w:spacing w:line="480" w:lineRule="auto"/>
              <w:jc w:val="center"/>
              <w:rPr>
                <w:rFonts w:asciiTheme="minorBidi" w:hAnsiTheme="minorBidi"/>
                <w:b/>
                <w:bCs/>
                <w:sz w:val="20"/>
                <w:szCs w:val="20"/>
              </w:rPr>
            </w:pPr>
            <w:r w:rsidRPr="00620F22">
              <w:rPr>
                <w:rFonts w:asciiTheme="minorBidi" w:hAnsiTheme="minorBidi"/>
                <w:b/>
                <w:bCs/>
                <w:noProof/>
                <w:sz w:val="20"/>
                <w:szCs w:val="20"/>
              </w:rPr>
              <mc:AlternateContent>
                <mc:Choice Requires="wps">
                  <w:drawing>
                    <wp:anchor distT="0" distB="0" distL="114300" distR="114300" simplePos="0" relativeHeight="251715584" behindDoc="0" locked="0" layoutInCell="1" allowOverlap="1" wp14:anchorId="3233AE46" wp14:editId="03B17A64">
                      <wp:simplePos x="0" y="0"/>
                      <wp:positionH relativeFrom="column">
                        <wp:posOffset>1617980</wp:posOffset>
                      </wp:positionH>
                      <wp:positionV relativeFrom="paragraph">
                        <wp:posOffset>290830</wp:posOffset>
                      </wp:positionV>
                      <wp:extent cx="838200" cy="577850"/>
                      <wp:effectExtent l="0" t="19050" r="38100" b="31750"/>
                      <wp:wrapNone/>
                      <wp:docPr id="1757100270" name="Arrow: Right 3"/>
                      <wp:cNvGraphicFramePr/>
                      <a:graphic xmlns:a="http://schemas.openxmlformats.org/drawingml/2006/main">
                        <a:graphicData uri="http://schemas.microsoft.com/office/word/2010/wordprocessingShape">
                          <wps:wsp>
                            <wps:cNvSpPr/>
                            <wps:spPr>
                              <a:xfrm>
                                <a:off x="0" y="0"/>
                                <a:ext cx="838200" cy="577850"/>
                              </a:xfrm>
                              <a:prstGeom prst="rightArrow">
                                <a:avLst>
                                  <a:gd name="adj1" fmla="val 50000"/>
                                  <a:gd name="adj2" fmla="val 45349"/>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6B8E39" id="Arrow: Right 3" o:spid="_x0000_s1026" type="#_x0000_t13" style="position:absolute;margin-left:127.4pt;margin-top:22.9pt;width:66pt;height:45.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" adj="14847" fillcolor="#156082" strokecolor="#042433" strokeweight="1pt"/>
                  </w:pict>
                </mc:Fallback>
              </mc:AlternateContent>
            </w:r>
            <w:r w:rsidRPr="00620F22">
              <w:rPr>
                <w:rFonts w:asciiTheme="minorBidi" w:hAnsiTheme="minorBidi"/>
                <w:b/>
                <w:bCs/>
                <w:sz w:val="20"/>
                <w:szCs w:val="20"/>
              </w:rPr>
              <w:t>Chapter 2</w:t>
            </w:r>
          </w:p>
        </w:tc>
        <w:tc>
          <w:tcPr>
            <w:tcW w:w="340" w:type="dxa"/>
            <w:tcBorders>
              <w:top w:val="nil"/>
              <w:left w:val="nil"/>
              <w:bottom w:val="nil"/>
              <w:right w:val="nil"/>
            </w:tcBorders>
          </w:tcPr>
          <w:p w14:paraId="5180EF32" w14:textId="77777777" w:rsidR="00620F22" w:rsidRPr="00620F22" w:rsidRDefault="00620F22" w:rsidP="00620F22">
            <w:pPr>
              <w:spacing w:line="480" w:lineRule="auto"/>
              <w:jc w:val="center"/>
              <w:rPr>
                <w:rFonts w:asciiTheme="minorBidi" w:hAnsiTheme="minorBidi"/>
                <w:b/>
                <w:bCs/>
                <w:sz w:val="20"/>
                <w:szCs w:val="20"/>
              </w:rPr>
            </w:pPr>
          </w:p>
        </w:tc>
        <w:tc>
          <w:tcPr>
            <w:tcW w:w="2358" w:type="dxa"/>
            <w:tcBorders>
              <w:top w:val="nil"/>
              <w:left w:val="nil"/>
              <w:bottom w:val="nil"/>
              <w:right w:val="nil"/>
            </w:tcBorders>
            <w:shd w:val="clear" w:color="auto" w:fill="D9D9D9" w:themeFill="background1" w:themeFillShade="D9"/>
          </w:tcPr>
          <w:p w14:paraId="5A653B43" w14:textId="77777777" w:rsidR="00620F22" w:rsidRPr="00620F22" w:rsidRDefault="00620F22" w:rsidP="00620F22">
            <w:pPr>
              <w:spacing w:line="480" w:lineRule="auto"/>
              <w:jc w:val="center"/>
              <w:rPr>
                <w:rFonts w:asciiTheme="minorBidi" w:hAnsiTheme="minorBidi"/>
                <w:b/>
                <w:bCs/>
                <w:sz w:val="20"/>
                <w:szCs w:val="20"/>
              </w:rPr>
            </w:pPr>
            <w:r w:rsidRPr="00620F22">
              <w:rPr>
                <w:rFonts w:asciiTheme="minorBidi" w:hAnsiTheme="minorBidi"/>
                <w:b/>
                <w:bCs/>
                <w:sz w:val="20"/>
                <w:szCs w:val="20"/>
              </w:rPr>
              <w:t>RQ 1 - 4</w:t>
            </w:r>
          </w:p>
        </w:tc>
      </w:tr>
      <w:tr w:rsidR="00620F22" w:rsidRPr="00620F22" w14:paraId="6D42D6C4" w14:textId="77777777" w:rsidTr="001D4222">
        <w:tc>
          <w:tcPr>
            <w:tcW w:w="9016" w:type="dxa"/>
            <w:gridSpan w:val="5"/>
            <w:tcBorders>
              <w:top w:val="nil"/>
              <w:left w:val="nil"/>
              <w:bottom w:val="nil"/>
              <w:right w:val="nil"/>
            </w:tcBorders>
          </w:tcPr>
          <w:p w14:paraId="1471CFF0" w14:textId="77777777" w:rsidR="00620F22" w:rsidRPr="00620F22" w:rsidRDefault="00620F22" w:rsidP="00620F22">
            <w:pPr>
              <w:spacing w:line="480" w:lineRule="auto"/>
              <w:jc w:val="center"/>
              <w:rPr>
                <w:rFonts w:asciiTheme="minorBidi" w:hAnsiTheme="minorBidi"/>
                <w:b/>
                <w:bCs/>
                <w:noProof/>
                <w:sz w:val="20"/>
                <w:szCs w:val="20"/>
              </w:rPr>
            </w:pPr>
            <w:r w:rsidRPr="00620F22">
              <w:rPr>
                <w:rFonts w:asciiTheme="minorBidi" w:hAnsiTheme="minorBidi"/>
                <w:b/>
                <w:bCs/>
                <w:noProof/>
                <w:sz w:val="20"/>
                <w:szCs w:val="20"/>
              </w:rPr>
              <mc:AlternateContent>
                <mc:Choice Requires="wps">
                  <w:drawing>
                    <wp:anchor distT="0" distB="0" distL="114300" distR="114300" simplePos="0" relativeHeight="251716608" behindDoc="0" locked="0" layoutInCell="1" allowOverlap="1" wp14:anchorId="4AB10254" wp14:editId="03B32C9B">
                      <wp:simplePos x="0" y="0"/>
                      <wp:positionH relativeFrom="column">
                        <wp:posOffset>1366520</wp:posOffset>
                      </wp:positionH>
                      <wp:positionV relativeFrom="paragraph">
                        <wp:posOffset>24130</wp:posOffset>
                      </wp:positionV>
                      <wp:extent cx="800100" cy="520700"/>
                      <wp:effectExtent l="19050" t="19050" r="19050" b="31750"/>
                      <wp:wrapNone/>
                      <wp:docPr id="1441198793" name="Arrow: Left 4"/>
                      <wp:cNvGraphicFramePr/>
                      <a:graphic xmlns:a="http://schemas.openxmlformats.org/drawingml/2006/main">
                        <a:graphicData uri="http://schemas.microsoft.com/office/word/2010/wordprocessingShape">
                          <wps:wsp>
                            <wps:cNvSpPr/>
                            <wps:spPr>
                              <a:xfrm>
                                <a:off x="0" y="0"/>
                                <a:ext cx="800100" cy="520700"/>
                              </a:xfrm>
                              <a:prstGeom prst="left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B0487A" id="Arrow: Left 4" o:spid="_x0000_s1026" type="#_x0000_t66" style="position:absolute;margin-left:107.6pt;margin-top:1.9pt;width:63pt;height:41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" adj="7029" fillcolor="#156082" strokecolor="#042433" strokeweight="1pt"/>
                  </w:pict>
                </mc:Fallback>
              </mc:AlternateContent>
            </w:r>
          </w:p>
        </w:tc>
      </w:tr>
      <w:tr w:rsidR="00620F22" w:rsidRPr="00620F22" w14:paraId="0F830B90" w14:textId="77777777" w:rsidTr="001D4222">
        <w:tc>
          <w:tcPr>
            <w:tcW w:w="9016" w:type="dxa"/>
            <w:gridSpan w:val="5"/>
            <w:tcBorders>
              <w:top w:val="nil"/>
              <w:left w:val="nil"/>
              <w:bottom w:val="nil"/>
              <w:right w:val="nil"/>
            </w:tcBorders>
          </w:tcPr>
          <w:p w14:paraId="38362054" w14:textId="77777777" w:rsidR="00620F22" w:rsidRPr="00620F22" w:rsidRDefault="00620F22" w:rsidP="00620F22">
            <w:pPr>
              <w:spacing w:line="480" w:lineRule="auto"/>
              <w:jc w:val="center"/>
              <w:rPr>
                <w:rFonts w:asciiTheme="minorBidi" w:hAnsiTheme="minorBidi"/>
                <w:b/>
                <w:bCs/>
                <w:sz w:val="20"/>
                <w:szCs w:val="20"/>
              </w:rPr>
            </w:pPr>
            <w:r w:rsidRPr="00620F22">
              <w:rPr>
                <w:rFonts w:asciiTheme="minorBidi" w:hAnsiTheme="minorBidi"/>
                <w:b/>
                <w:bCs/>
                <w:noProof/>
                <w:sz w:val="20"/>
                <w:szCs w:val="20"/>
              </w:rPr>
              <mc:AlternateContent>
                <mc:Choice Requires="wps">
                  <w:drawing>
                    <wp:anchor distT="0" distB="0" distL="114300" distR="114300" simplePos="0" relativeHeight="251717632" behindDoc="0" locked="0" layoutInCell="1" allowOverlap="1" wp14:anchorId="0BC2F2DB" wp14:editId="50EB660B">
                      <wp:simplePos x="0" y="0"/>
                      <wp:positionH relativeFrom="column">
                        <wp:posOffset>2388870</wp:posOffset>
                      </wp:positionH>
                      <wp:positionV relativeFrom="paragraph">
                        <wp:posOffset>-241935</wp:posOffset>
                      </wp:positionV>
                      <wp:extent cx="909955" cy="774700"/>
                      <wp:effectExtent l="19050" t="0" r="23495" b="44450"/>
                      <wp:wrapNone/>
                      <wp:docPr id="410674630" name="Arrow: Down 6"/>
                      <wp:cNvGraphicFramePr/>
                      <a:graphic xmlns:a="http://schemas.openxmlformats.org/drawingml/2006/main">
                        <a:graphicData uri="http://schemas.microsoft.com/office/word/2010/wordprocessingShape">
                          <wps:wsp>
                            <wps:cNvSpPr/>
                            <wps:spPr>
                              <a:xfrm>
                                <a:off x="0" y="0"/>
                                <a:ext cx="909955" cy="77470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6775DB" id="Arrow: Down 6" o:spid="_x0000_s1026" type="#_x0000_t67" style="position:absolute;margin-left:188.1pt;margin-top:-19.05pt;width:71.65pt;height:61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" adj="10800" fillcolor="#156082" strokecolor="#042433" strokeweight="1pt"/>
                  </w:pict>
                </mc:Fallback>
              </mc:AlternateContent>
            </w:r>
          </w:p>
        </w:tc>
      </w:tr>
      <w:tr w:rsidR="00620F22" w:rsidRPr="00620F22" w14:paraId="301A1A52" w14:textId="77777777" w:rsidTr="001D4222">
        <w:tc>
          <w:tcPr>
            <w:tcW w:w="9016" w:type="dxa"/>
            <w:gridSpan w:val="5"/>
            <w:tcBorders>
              <w:top w:val="nil"/>
              <w:left w:val="nil"/>
              <w:bottom w:val="nil"/>
              <w:right w:val="nil"/>
            </w:tcBorders>
          </w:tcPr>
          <w:p w14:paraId="315F4D02" w14:textId="77777777" w:rsidR="00620F22" w:rsidRPr="00620F22" w:rsidRDefault="00620F22" w:rsidP="00620F22">
            <w:pPr>
              <w:spacing w:line="480" w:lineRule="auto"/>
              <w:jc w:val="center"/>
              <w:rPr>
                <w:rFonts w:asciiTheme="minorBidi" w:hAnsiTheme="minorBidi"/>
                <w:b/>
                <w:bCs/>
                <w:noProof/>
                <w:sz w:val="20"/>
                <w:szCs w:val="20"/>
              </w:rPr>
            </w:pPr>
            <w:r w:rsidRPr="00620F22">
              <w:rPr>
                <w:rFonts w:asciiTheme="minorBidi" w:hAnsiTheme="minorBidi"/>
                <w:b/>
                <w:bCs/>
                <w:noProof/>
                <w:sz w:val="20"/>
                <w:szCs w:val="20"/>
              </w:rPr>
              <mc:AlternateContent>
                <mc:Choice Requires="wps">
                  <w:drawing>
                    <wp:anchor distT="0" distB="0" distL="114300" distR="114300" simplePos="0" relativeHeight="251718656" behindDoc="0" locked="0" layoutInCell="1" allowOverlap="1" wp14:anchorId="71B68D75" wp14:editId="035DBD11">
                      <wp:simplePos x="0" y="0"/>
                      <wp:positionH relativeFrom="column">
                        <wp:posOffset>134620</wp:posOffset>
                      </wp:positionH>
                      <wp:positionV relativeFrom="paragraph">
                        <wp:posOffset>-521970</wp:posOffset>
                      </wp:positionV>
                      <wp:extent cx="819150" cy="1581150"/>
                      <wp:effectExtent l="19050" t="0" r="38100" b="38100"/>
                      <wp:wrapNone/>
                      <wp:docPr id="398949916" name="Arrow: Down 6"/>
                      <wp:cNvGraphicFramePr/>
                      <a:graphic xmlns:a="http://schemas.openxmlformats.org/drawingml/2006/main">
                        <a:graphicData uri="http://schemas.microsoft.com/office/word/2010/wordprocessingShape">
                          <wps:wsp>
                            <wps:cNvSpPr/>
                            <wps:spPr>
                              <a:xfrm>
                                <a:off x="0" y="0"/>
                                <a:ext cx="819150" cy="158115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A6B020" id="Arrow: Down 6" o:spid="_x0000_s1026" type="#_x0000_t67" style="position:absolute;margin-left:10.6pt;margin-top:-41.1pt;width:64.5pt;height:124.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" adj="16005" fillcolor="#156082" strokecolor="#042433" strokeweight="1pt"/>
                  </w:pict>
                </mc:Fallback>
              </mc:AlternateContent>
            </w:r>
          </w:p>
        </w:tc>
      </w:tr>
      <w:tr w:rsidR="00620F22" w:rsidRPr="00620F22" w14:paraId="6B03671E" w14:textId="77777777" w:rsidTr="001D4222">
        <w:tc>
          <w:tcPr>
            <w:tcW w:w="3114" w:type="dxa"/>
            <w:gridSpan w:val="2"/>
            <w:tcBorders>
              <w:top w:val="nil"/>
              <w:left w:val="nil"/>
              <w:bottom w:val="nil"/>
              <w:right w:val="nil"/>
            </w:tcBorders>
          </w:tcPr>
          <w:p w14:paraId="74709866" w14:textId="77777777" w:rsidR="00620F22" w:rsidRPr="00620F22" w:rsidRDefault="00620F22" w:rsidP="00620F22">
            <w:pPr>
              <w:spacing w:line="480" w:lineRule="auto"/>
              <w:jc w:val="center"/>
              <w:rPr>
                <w:rFonts w:asciiTheme="minorBidi" w:hAnsiTheme="minorBidi"/>
                <w:b/>
                <w:bCs/>
                <w:sz w:val="20"/>
                <w:szCs w:val="20"/>
              </w:rPr>
            </w:pPr>
          </w:p>
        </w:tc>
        <w:tc>
          <w:tcPr>
            <w:tcW w:w="3204" w:type="dxa"/>
            <w:tcBorders>
              <w:top w:val="nil"/>
              <w:left w:val="nil"/>
              <w:bottom w:val="nil"/>
              <w:right w:val="nil"/>
            </w:tcBorders>
            <w:shd w:val="clear" w:color="auto" w:fill="D9D9D9" w:themeFill="background1" w:themeFillShade="D9"/>
          </w:tcPr>
          <w:p w14:paraId="1E936E61" w14:textId="77777777" w:rsidR="00620F22" w:rsidRPr="00620F22" w:rsidRDefault="00620F22" w:rsidP="00620F22">
            <w:pPr>
              <w:spacing w:line="480" w:lineRule="auto"/>
              <w:jc w:val="center"/>
              <w:rPr>
                <w:rFonts w:asciiTheme="minorBidi" w:hAnsiTheme="minorBidi"/>
                <w:b/>
                <w:bCs/>
                <w:sz w:val="20"/>
                <w:szCs w:val="20"/>
              </w:rPr>
            </w:pPr>
            <w:r w:rsidRPr="00620F22">
              <w:rPr>
                <w:rFonts w:asciiTheme="minorBidi" w:hAnsiTheme="minorBidi"/>
                <w:b/>
                <w:bCs/>
                <w:sz w:val="20"/>
                <w:szCs w:val="20"/>
              </w:rPr>
              <w:t>Chapter 3</w:t>
            </w:r>
          </w:p>
        </w:tc>
        <w:tc>
          <w:tcPr>
            <w:tcW w:w="2698" w:type="dxa"/>
            <w:gridSpan w:val="2"/>
            <w:tcBorders>
              <w:top w:val="nil"/>
              <w:left w:val="nil"/>
              <w:bottom w:val="nil"/>
              <w:right w:val="nil"/>
            </w:tcBorders>
          </w:tcPr>
          <w:p w14:paraId="18FE3351" w14:textId="77777777" w:rsidR="00620F22" w:rsidRPr="00620F22" w:rsidRDefault="00620F22" w:rsidP="00620F22">
            <w:pPr>
              <w:spacing w:line="480" w:lineRule="auto"/>
              <w:jc w:val="center"/>
              <w:rPr>
                <w:rFonts w:asciiTheme="minorBidi" w:hAnsiTheme="minorBidi"/>
                <w:b/>
                <w:bCs/>
                <w:sz w:val="20"/>
                <w:szCs w:val="20"/>
              </w:rPr>
            </w:pPr>
          </w:p>
        </w:tc>
      </w:tr>
      <w:tr w:rsidR="00620F22" w:rsidRPr="00620F22" w14:paraId="65FAB2DF" w14:textId="77777777" w:rsidTr="001D4222">
        <w:tc>
          <w:tcPr>
            <w:tcW w:w="9016" w:type="dxa"/>
            <w:gridSpan w:val="5"/>
            <w:tcBorders>
              <w:top w:val="nil"/>
              <w:left w:val="nil"/>
              <w:bottom w:val="nil"/>
              <w:right w:val="nil"/>
            </w:tcBorders>
          </w:tcPr>
          <w:p w14:paraId="7C97C8AE" w14:textId="77777777" w:rsidR="00620F22" w:rsidRPr="00620F22" w:rsidRDefault="00620F22" w:rsidP="00620F22">
            <w:pPr>
              <w:spacing w:line="480" w:lineRule="auto"/>
              <w:jc w:val="center"/>
              <w:rPr>
                <w:rFonts w:asciiTheme="minorBidi" w:hAnsiTheme="minorBidi"/>
                <w:b/>
                <w:bCs/>
                <w:noProof/>
                <w:sz w:val="20"/>
                <w:szCs w:val="20"/>
              </w:rPr>
            </w:pPr>
            <w:r w:rsidRPr="00620F22">
              <w:rPr>
                <w:rFonts w:asciiTheme="minorBidi" w:hAnsiTheme="minorBidi"/>
                <w:b/>
                <w:bCs/>
                <w:noProof/>
                <w:sz w:val="20"/>
                <w:szCs w:val="20"/>
              </w:rPr>
              <mc:AlternateContent>
                <mc:Choice Requires="wps">
                  <w:drawing>
                    <wp:anchor distT="0" distB="0" distL="114300" distR="114300" simplePos="0" relativeHeight="251719680" behindDoc="0" locked="0" layoutInCell="1" allowOverlap="1" wp14:anchorId="3E2AD685" wp14:editId="0C747FA4">
                      <wp:simplePos x="0" y="0"/>
                      <wp:positionH relativeFrom="column">
                        <wp:posOffset>2306320</wp:posOffset>
                      </wp:positionH>
                      <wp:positionV relativeFrom="paragraph">
                        <wp:posOffset>50165</wp:posOffset>
                      </wp:positionV>
                      <wp:extent cx="1174750" cy="488950"/>
                      <wp:effectExtent l="38100" t="0" r="44450" b="44450"/>
                      <wp:wrapNone/>
                      <wp:docPr id="1981972730" name="Arrow: Down 6"/>
                      <wp:cNvGraphicFramePr/>
                      <a:graphic xmlns:a="http://schemas.openxmlformats.org/drawingml/2006/main">
                        <a:graphicData uri="http://schemas.microsoft.com/office/word/2010/wordprocessingShape">
                          <wps:wsp>
                            <wps:cNvSpPr/>
                            <wps:spPr>
                              <a:xfrm>
                                <a:off x="0" y="0"/>
                                <a:ext cx="1174750" cy="48895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8A90E3" id="Arrow: Down 6" o:spid="_x0000_s1026" type="#_x0000_t67" style="position:absolute;margin-left:181.6pt;margin-top:3.95pt;width:92.5pt;height:38.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" adj="10800" fillcolor="#156082" strokecolor="#042433" strokeweight="1pt"/>
                  </w:pict>
                </mc:Fallback>
              </mc:AlternateContent>
            </w:r>
          </w:p>
        </w:tc>
      </w:tr>
      <w:tr w:rsidR="00620F22" w:rsidRPr="00620F22" w14:paraId="4ECCAD6F" w14:textId="77777777" w:rsidTr="001D4222">
        <w:tc>
          <w:tcPr>
            <w:tcW w:w="9016" w:type="dxa"/>
            <w:gridSpan w:val="5"/>
            <w:tcBorders>
              <w:top w:val="nil"/>
              <w:left w:val="nil"/>
              <w:bottom w:val="nil"/>
              <w:right w:val="nil"/>
            </w:tcBorders>
          </w:tcPr>
          <w:p w14:paraId="5DACF1FF" w14:textId="77777777" w:rsidR="00620F22" w:rsidRPr="00620F22" w:rsidRDefault="00620F22" w:rsidP="00620F22">
            <w:pPr>
              <w:spacing w:line="480" w:lineRule="auto"/>
              <w:jc w:val="center"/>
              <w:rPr>
                <w:rFonts w:asciiTheme="minorBidi" w:hAnsiTheme="minorBidi"/>
                <w:b/>
                <w:bCs/>
                <w:sz w:val="20"/>
                <w:szCs w:val="20"/>
              </w:rPr>
            </w:pPr>
          </w:p>
        </w:tc>
      </w:tr>
      <w:tr w:rsidR="00620F22" w:rsidRPr="00620F22" w14:paraId="0E676A10" w14:textId="77777777" w:rsidTr="001D4222">
        <w:tc>
          <w:tcPr>
            <w:tcW w:w="2689" w:type="dxa"/>
            <w:tcBorders>
              <w:top w:val="nil"/>
              <w:left w:val="nil"/>
              <w:bottom w:val="nil"/>
              <w:right w:val="nil"/>
            </w:tcBorders>
            <w:shd w:val="clear" w:color="auto" w:fill="D9D9D9" w:themeFill="background1" w:themeFillShade="D9"/>
          </w:tcPr>
          <w:p w14:paraId="1D266773" w14:textId="77777777" w:rsidR="00620F22" w:rsidRPr="00620F22" w:rsidRDefault="00620F22" w:rsidP="00620F22">
            <w:pPr>
              <w:spacing w:line="480" w:lineRule="auto"/>
              <w:jc w:val="center"/>
              <w:rPr>
                <w:rFonts w:asciiTheme="minorBidi" w:hAnsiTheme="minorBidi"/>
                <w:b/>
                <w:bCs/>
                <w:sz w:val="20"/>
                <w:szCs w:val="20"/>
              </w:rPr>
            </w:pPr>
            <w:r w:rsidRPr="00620F22">
              <w:rPr>
                <w:rFonts w:asciiTheme="minorBidi" w:hAnsiTheme="minorBidi"/>
                <w:b/>
                <w:bCs/>
                <w:sz w:val="20"/>
                <w:szCs w:val="20"/>
              </w:rPr>
              <w:t>RO 5</w:t>
            </w:r>
          </w:p>
        </w:tc>
        <w:tc>
          <w:tcPr>
            <w:tcW w:w="425" w:type="dxa"/>
            <w:tcBorders>
              <w:top w:val="nil"/>
              <w:left w:val="nil"/>
              <w:bottom w:val="nil"/>
              <w:right w:val="nil"/>
            </w:tcBorders>
          </w:tcPr>
          <w:p w14:paraId="655B5E5F" w14:textId="77777777" w:rsidR="00620F22" w:rsidRPr="00620F22" w:rsidRDefault="00620F22" w:rsidP="00620F22">
            <w:pPr>
              <w:spacing w:line="480" w:lineRule="auto"/>
              <w:jc w:val="center"/>
              <w:rPr>
                <w:rFonts w:asciiTheme="minorBidi" w:hAnsiTheme="minorBidi"/>
                <w:b/>
                <w:bCs/>
                <w:sz w:val="20"/>
                <w:szCs w:val="20"/>
              </w:rPr>
            </w:pPr>
          </w:p>
        </w:tc>
        <w:tc>
          <w:tcPr>
            <w:tcW w:w="3204" w:type="dxa"/>
            <w:tcBorders>
              <w:top w:val="nil"/>
              <w:left w:val="nil"/>
              <w:bottom w:val="nil"/>
              <w:right w:val="nil"/>
            </w:tcBorders>
            <w:shd w:val="clear" w:color="auto" w:fill="D9D9D9" w:themeFill="background1" w:themeFillShade="D9"/>
          </w:tcPr>
          <w:p w14:paraId="7D405A2B" w14:textId="77777777" w:rsidR="00620F22" w:rsidRPr="00620F22" w:rsidRDefault="00620F22" w:rsidP="00620F22">
            <w:pPr>
              <w:spacing w:line="480" w:lineRule="auto"/>
              <w:jc w:val="center"/>
              <w:rPr>
                <w:rFonts w:asciiTheme="minorBidi" w:hAnsiTheme="minorBidi"/>
                <w:b/>
                <w:bCs/>
                <w:sz w:val="20"/>
                <w:szCs w:val="20"/>
              </w:rPr>
            </w:pPr>
            <w:r w:rsidRPr="00620F22">
              <w:rPr>
                <w:rFonts w:asciiTheme="minorBidi" w:hAnsiTheme="minorBidi"/>
                <w:b/>
                <w:bCs/>
                <w:sz w:val="20"/>
                <w:szCs w:val="20"/>
              </w:rPr>
              <w:t>Chapter 4</w:t>
            </w:r>
          </w:p>
        </w:tc>
        <w:tc>
          <w:tcPr>
            <w:tcW w:w="340" w:type="dxa"/>
            <w:tcBorders>
              <w:top w:val="nil"/>
              <w:left w:val="nil"/>
              <w:bottom w:val="nil"/>
              <w:right w:val="nil"/>
            </w:tcBorders>
          </w:tcPr>
          <w:p w14:paraId="28D026E6" w14:textId="77777777" w:rsidR="00620F22" w:rsidRPr="00620F22" w:rsidRDefault="00620F22" w:rsidP="00620F22">
            <w:pPr>
              <w:spacing w:line="480" w:lineRule="auto"/>
              <w:jc w:val="center"/>
              <w:rPr>
                <w:rFonts w:asciiTheme="minorBidi" w:hAnsiTheme="minorBidi"/>
                <w:b/>
                <w:bCs/>
                <w:sz w:val="20"/>
                <w:szCs w:val="20"/>
              </w:rPr>
            </w:pPr>
          </w:p>
        </w:tc>
        <w:tc>
          <w:tcPr>
            <w:tcW w:w="2358" w:type="dxa"/>
            <w:tcBorders>
              <w:top w:val="nil"/>
              <w:left w:val="nil"/>
              <w:bottom w:val="nil"/>
              <w:right w:val="nil"/>
            </w:tcBorders>
            <w:shd w:val="clear" w:color="auto" w:fill="D9D9D9" w:themeFill="background1" w:themeFillShade="D9"/>
          </w:tcPr>
          <w:p w14:paraId="54710205" w14:textId="77777777" w:rsidR="00620F22" w:rsidRPr="00620F22" w:rsidRDefault="00620F22" w:rsidP="00620F22">
            <w:pPr>
              <w:spacing w:line="480" w:lineRule="auto"/>
              <w:jc w:val="center"/>
              <w:rPr>
                <w:rFonts w:asciiTheme="minorBidi" w:hAnsiTheme="minorBidi"/>
                <w:b/>
                <w:bCs/>
                <w:sz w:val="20"/>
                <w:szCs w:val="20"/>
              </w:rPr>
            </w:pPr>
            <w:r w:rsidRPr="00620F22">
              <w:rPr>
                <w:rFonts w:asciiTheme="minorBidi" w:hAnsiTheme="minorBidi"/>
                <w:b/>
                <w:bCs/>
                <w:sz w:val="20"/>
                <w:szCs w:val="20"/>
              </w:rPr>
              <w:t>RQ 5</w:t>
            </w:r>
          </w:p>
        </w:tc>
      </w:tr>
      <w:tr w:rsidR="00620F22" w:rsidRPr="00620F22" w14:paraId="6C4DF116" w14:textId="77777777" w:rsidTr="001D4222">
        <w:tc>
          <w:tcPr>
            <w:tcW w:w="9016" w:type="dxa"/>
            <w:gridSpan w:val="5"/>
            <w:tcBorders>
              <w:top w:val="nil"/>
              <w:left w:val="nil"/>
              <w:bottom w:val="nil"/>
              <w:right w:val="nil"/>
            </w:tcBorders>
          </w:tcPr>
          <w:p w14:paraId="305C9F09" w14:textId="77777777" w:rsidR="00620F22" w:rsidRPr="00620F22" w:rsidRDefault="00620F22" w:rsidP="00620F22">
            <w:pPr>
              <w:spacing w:line="480" w:lineRule="auto"/>
              <w:jc w:val="center"/>
              <w:rPr>
                <w:rFonts w:asciiTheme="minorBidi" w:hAnsiTheme="minorBidi"/>
                <w:b/>
                <w:bCs/>
                <w:noProof/>
                <w:sz w:val="20"/>
                <w:szCs w:val="20"/>
              </w:rPr>
            </w:pPr>
            <w:r w:rsidRPr="00620F22">
              <w:rPr>
                <w:rFonts w:asciiTheme="minorBidi" w:hAnsiTheme="minorBidi"/>
                <w:b/>
                <w:bCs/>
                <w:noProof/>
                <w:sz w:val="20"/>
                <w:szCs w:val="20"/>
              </w:rPr>
              <mc:AlternateContent>
                <mc:Choice Requires="wps">
                  <w:drawing>
                    <wp:anchor distT="0" distB="0" distL="114300" distR="114300" simplePos="0" relativeHeight="251720704" behindDoc="0" locked="0" layoutInCell="1" allowOverlap="1" wp14:anchorId="6C516974" wp14:editId="0A476DCC">
                      <wp:simplePos x="0" y="0"/>
                      <wp:positionH relativeFrom="column">
                        <wp:posOffset>2293620</wp:posOffset>
                      </wp:positionH>
                      <wp:positionV relativeFrom="paragraph">
                        <wp:posOffset>43815</wp:posOffset>
                      </wp:positionV>
                      <wp:extent cx="1155700" cy="806450"/>
                      <wp:effectExtent l="38100" t="0" r="6350" b="31750"/>
                      <wp:wrapNone/>
                      <wp:docPr id="748335060" name="Arrow: Down 6"/>
                      <wp:cNvGraphicFramePr/>
                      <a:graphic xmlns:a="http://schemas.openxmlformats.org/drawingml/2006/main">
                        <a:graphicData uri="http://schemas.microsoft.com/office/word/2010/wordprocessingShape">
                          <wps:wsp>
                            <wps:cNvSpPr/>
                            <wps:spPr>
                              <a:xfrm>
                                <a:off x="0" y="0"/>
                                <a:ext cx="1155700" cy="80645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A1FCAC" id="Arrow: Down 6" o:spid="_x0000_s1026" type="#_x0000_t67" style="position:absolute;margin-left:180.6pt;margin-top:3.45pt;width:91pt;height:63.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" adj="10800" fillcolor="#156082" strokecolor="#042433" strokeweight="1pt"/>
                  </w:pict>
                </mc:Fallback>
              </mc:AlternateContent>
            </w:r>
          </w:p>
        </w:tc>
      </w:tr>
      <w:tr w:rsidR="00620F22" w:rsidRPr="00620F22" w14:paraId="3C33BE42" w14:textId="77777777" w:rsidTr="001D4222">
        <w:tc>
          <w:tcPr>
            <w:tcW w:w="9016" w:type="dxa"/>
            <w:gridSpan w:val="5"/>
            <w:tcBorders>
              <w:top w:val="nil"/>
              <w:left w:val="nil"/>
              <w:bottom w:val="nil"/>
              <w:right w:val="nil"/>
            </w:tcBorders>
          </w:tcPr>
          <w:p w14:paraId="0526CA83" w14:textId="77777777" w:rsidR="00620F22" w:rsidRPr="00620F22" w:rsidRDefault="00620F22" w:rsidP="00620F22">
            <w:pPr>
              <w:spacing w:line="480" w:lineRule="auto"/>
              <w:jc w:val="center"/>
              <w:rPr>
                <w:rFonts w:asciiTheme="minorBidi" w:hAnsiTheme="minorBidi"/>
                <w:b/>
                <w:bCs/>
                <w:sz w:val="20"/>
                <w:szCs w:val="20"/>
              </w:rPr>
            </w:pPr>
            <w:r w:rsidRPr="00620F22">
              <w:rPr>
                <w:rFonts w:asciiTheme="minorBidi" w:hAnsiTheme="minorBidi"/>
                <w:b/>
                <w:bCs/>
                <w:noProof/>
                <w:sz w:val="20"/>
                <w:szCs w:val="20"/>
              </w:rPr>
              <mc:AlternateContent>
                <mc:Choice Requires="wps">
                  <w:drawing>
                    <wp:anchor distT="0" distB="0" distL="114300" distR="114300" simplePos="0" relativeHeight="251722752" behindDoc="0" locked="0" layoutInCell="1" allowOverlap="1" wp14:anchorId="714BD8E3" wp14:editId="05CC7BFF">
                      <wp:simplePos x="0" y="0"/>
                      <wp:positionH relativeFrom="column">
                        <wp:posOffset>1297940</wp:posOffset>
                      </wp:positionH>
                      <wp:positionV relativeFrom="paragraph">
                        <wp:posOffset>-266700</wp:posOffset>
                      </wp:positionV>
                      <wp:extent cx="863600" cy="654050"/>
                      <wp:effectExtent l="19050" t="19050" r="12700" b="31750"/>
                      <wp:wrapNone/>
                      <wp:docPr id="275762856" name="Arrow: Left 4"/>
                      <wp:cNvGraphicFramePr/>
                      <a:graphic xmlns:a="http://schemas.openxmlformats.org/drawingml/2006/main">
                        <a:graphicData uri="http://schemas.microsoft.com/office/word/2010/wordprocessingShape">
                          <wps:wsp>
                            <wps:cNvSpPr/>
                            <wps:spPr>
                              <a:xfrm>
                                <a:off x="0" y="0"/>
                                <a:ext cx="863600" cy="654050"/>
                              </a:xfrm>
                              <a:prstGeom prst="left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AFAD05" id="Arrow: Left 4" o:spid="_x0000_s1026" type="#_x0000_t66" style="position:absolute;margin-left:102.2pt;margin-top:-21pt;width:68pt;height:51.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" adj="8179" fillcolor="#156082" strokecolor="#042433" strokeweight="1pt"/>
                  </w:pict>
                </mc:Fallback>
              </mc:AlternateContent>
            </w:r>
            <w:r w:rsidRPr="00620F22">
              <w:rPr>
                <w:rFonts w:asciiTheme="minorBidi" w:hAnsiTheme="minorBidi"/>
                <w:b/>
                <w:bCs/>
                <w:noProof/>
                <w:sz w:val="20"/>
                <w:szCs w:val="20"/>
              </w:rPr>
              <mc:AlternateContent>
                <mc:Choice Requires="wps">
                  <w:drawing>
                    <wp:anchor distT="0" distB="0" distL="114300" distR="114300" simplePos="0" relativeHeight="251721728" behindDoc="0" locked="0" layoutInCell="1" allowOverlap="1" wp14:anchorId="10BD9F1C" wp14:editId="558DB4DC">
                      <wp:simplePos x="0" y="0"/>
                      <wp:positionH relativeFrom="column">
                        <wp:posOffset>3647440</wp:posOffset>
                      </wp:positionH>
                      <wp:positionV relativeFrom="paragraph">
                        <wp:posOffset>-260350</wp:posOffset>
                      </wp:positionV>
                      <wp:extent cx="869950" cy="698500"/>
                      <wp:effectExtent l="0" t="19050" r="44450" b="44450"/>
                      <wp:wrapNone/>
                      <wp:docPr id="326137243" name="Arrow: Right 3"/>
                      <wp:cNvGraphicFramePr/>
                      <a:graphic xmlns:a="http://schemas.openxmlformats.org/drawingml/2006/main">
                        <a:graphicData uri="http://schemas.microsoft.com/office/word/2010/wordprocessingShape">
                          <wps:wsp>
                            <wps:cNvSpPr/>
                            <wps:spPr>
                              <a:xfrm>
                                <a:off x="0" y="0"/>
                                <a:ext cx="869950" cy="698500"/>
                              </a:xfrm>
                              <a:prstGeom prst="right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F4E03A" id="Arrow: Right 3" o:spid="_x0000_s1026" type="#_x0000_t13" style="position:absolute;margin-left:287.2pt;margin-top:-20.5pt;width:68.5pt;height:5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" adj="12928" fillcolor="#156082" strokecolor="#042433" strokeweight="1pt"/>
                  </w:pict>
                </mc:Fallback>
              </mc:AlternateContent>
            </w:r>
            <w:r w:rsidRPr="00620F22">
              <w:rPr>
                <w:rFonts w:asciiTheme="minorBidi" w:hAnsiTheme="minorBidi"/>
                <w:b/>
                <w:bCs/>
                <w:noProof/>
                <w:sz w:val="20"/>
                <w:szCs w:val="20"/>
              </w:rPr>
              <mc:AlternateContent>
                <mc:Choice Requires="wps">
                  <w:drawing>
                    <wp:anchor distT="0" distB="0" distL="114300" distR="114300" simplePos="0" relativeHeight="251723776" behindDoc="0" locked="0" layoutInCell="1" allowOverlap="1" wp14:anchorId="386044E6" wp14:editId="603FF163">
                      <wp:simplePos x="0" y="0"/>
                      <wp:positionH relativeFrom="column">
                        <wp:posOffset>1270</wp:posOffset>
                      </wp:positionH>
                      <wp:positionV relativeFrom="paragraph">
                        <wp:posOffset>-203835</wp:posOffset>
                      </wp:positionV>
                      <wp:extent cx="1155700" cy="704850"/>
                      <wp:effectExtent l="38100" t="0" r="6350" b="38100"/>
                      <wp:wrapNone/>
                      <wp:docPr id="912046422" name="Arrow: Down 6"/>
                      <wp:cNvGraphicFramePr/>
                      <a:graphic xmlns:a="http://schemas.openxmlformats.org/drawingml/2006/main">
                        <a:graphicData uri="http://schemas.microsoft.com/office/word/2010/wordprocessingShape">
                          <wps:wsp>
                            <wps:cNvSpPr/>
                            <wps:spPr>
                              <a:xfrm>
                                <a:off x="0" y="0"/>
                                <a:ext cx="1155700" cy="70485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A30B64" id="Arrow: Down 6" o:spid="_x0000_s1026" type="#_x0000_t67" style="position:absolute;margin-left:.1pt;margin-top:-16.05pt;width:91pt;height:55.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" adj="10800" fillcolor="#156082" strokecolor="#042433" strokeweight="1pt"/>
                  </w:pict>
                </mc:Fallback>
              </mc:AlternateContent>
            </w:r>
          </w:p>
        </w:tc>
      </w:tr>
      <w:tr w:rsidR="00620F22" w:rsidRPr="00620F22" w14:paraId="0DAD8BBB" w14:textId="77777777" w:rsidTr="001D4222">
        <w:tc>
          <w:tcPr>
            <w:tcW w:w="9016" w:type="dxa"/>
            <w:gridSpan w:val="5"/>
            <w:tcBorders>
              <w:top w:val="nil"/>
              <w:left w:val="nil"/>
              <w:bottom w:val="nil"/>
              <w:right w:val="nil"/>
            </w:tcBorders>
          </w:tcPr>
          <w:p w14:paraId="2816CC6F" w14:textId="77777777" w:rsidR="00620F22" w:rsidRPr="00620F22" w:rsidRDefault="00620F22" w:rsidP="00620F22">
            <w:pPr>
              <w:spacing w:line="480" w:lineRule="auto"/>
              <w:jc w:val="center"/>
              <w:rPr>
                <w:rFonts w:asciiTheme="minorBidi" w:hAnsiTheme="minorBidi"/>
                <w:b/>
                <w:bCs/>
                <w:noProof/>
                <w:sz w:val="20"/>
                <w:szCs w:val="20"/>
              </w:rPr>
            </w:pPr>
          </w:p>
        </w:tc>
      </w:tr>
      <w:tr w:rsidR="00620F22" w:rsidRPr="00620F22" w14:paraId="43C94A94" w14:textId="77777777" w:rsidTr="001D4222">
        <w:tc>
          <w:tcPr>
            <w:tcW w:w="2689" w:type="dxa"/>
            <w:tcBorders>
              <w:top w:val="nil"/>
              <w:left w:val="nil"/>
              <w:bottom w:val="nil"/>
              <w:right w:val="nil"/>
            </w:tcBorders>
            <w:shd w:val="clear" w:color="auto" w:fill="D9D9D9" w:themeFill="background1" w:themeFillShade="D9"/>
          </w:tcPr>
          <w:p w14:paraId="55D62A66" w14:textId="77777777" w:rsidR="00620F22" w:rsidRPr="00620F22" w:rsidRDefault="00620F22" w:rsidP="00620F22">
            <w:pPr>
              <w:spacing w:line="480" w:lineRule="auto"/>
              <w:jc w:val="center"/>
              <w:rPr>
                <w:rFonts w:asciiTheme="minorBidi" w:hAnsiTheme="minorBidi"/>
                <w:b/>
                <w:bCs/>
                <w:sz w:val="20"/>
                <w:szCs w:val="20"/>
              </w:rPr>
            </w:pPr>
            <w:r w:rsidRPr="00620F22">
              <w:rPr>
                <w:rFonts w:asciiTheme="minorBidi" w:hAnsiTheme="minorBidi"/>
                <w:b/>
                <w:bCs/>
                <w:sz w:val="20"/>
                <w:szCs w:val="20"/>
              </w:rPr>
              <w:t>RO 6</w:t>
            </w:r>
          </w:p>
        </w:tc>
        <w:tc>
          <w:tcPr>
            <w:tcW w:w="425" w:type="dxa"/>
            <w:tcBorders>
              <w:top w:val="nil"/>
              <w:left w:val="nil"/>
              <w:bottom w:val="nil"/>
              <w:right w:val="nil"/>
            </w:tcBorders>
          </w:tcPr>
          <w:p w14:paraId="14255E01" w14:textId="77777777" w:rsidR="00620F22" w:rsidRPr="00620F22" w:rsidRDefault="00620F22" w:rsidP="00620F22">
            <w:pPr>
              <w:spacing w:line="480" w:lineRule="auto"/>
              <w:jc w:val="center"/>
              <w:rPr>
                <w:rFonts w:asciiTheme="minorBidi" w:hAnsiTheme="minorBidi"/>
                <w:b/>
                <w:bCs/>
                <w:sz w:val="20"/>
                <w:szCs w:val="20"/>
              </w:rPr>
            </w:pPr>
          </w:p>
        </w:tc>
        <w:tc>
          <w:tcPr>
            <w:tcW w:w="3204" w:type="dxa"/>
            <w:tcBorders>
              <w:top w:val="nil"/>
              <w:left w:val="nil"/>
              <w:bottom w:val="nil"/>
              <w:right w:val="nil"/>
            </w:tcBorders>
            <w:shd w:val="clear" w:color="auto" w:fill="D9D9D9" w:themeFill="background1" w:themeFillShade="D9"/>
          </w:tcPr>
          <w:p w14:paraId="789402C2" w14:textId="77777777" w:rsidR="00620F22" w:rsidRPr="00620F22" w:rsidRDefault="00620F22" w:rsidP="00620F22">
            <w:pPr>
              <w:spacing w:line="480" w:lineRule="auto"/>
              <w:jc w:val="center"/>
              <w:rPr>
                <w:rFonts w:asciiTheme="minorBidi" w:hAnsiTheme="minorBidi"/>
                <w:b/>
                <w:bCs/>
                <w:sz w:val="20"/>
                <w:szCs w:val="20"/>
              </w:rPr>
            </w:pPr>
            <w:r w:rsidRPr="00620F22">
              <w:rPr>
                <w:rFonts w:asciiTheme="minorBidi" w:hAnsiTheme="minorBidi"/>
                <w:b/>
                <w:bCs/>
                <w:sz w:val="20"/>
                <w:szCs w:val="20"/>
              </w:rPr>
              <w:t>Chapter 5</w:t>
            </w:r>
          </w:p>
        </w:tc>
        <w:tc>
          <w:tcPr>
            <w:tcW w:w="340" w:type="dxa"/>
            <w:tcBorders>
              <w:top w:val="nil"/>
              <w:left w:val="nil"/>
              <w:bottom w:val="nil"/>
              <w:right w:val="nil"/>
            </w:tcBorders>
          </w:tcPr>
          <w:p w14:paraId="613AC7BB" w14:textId="77777777" w:rsidR="00620F22" w:rsidRPr="00620F22" w:rsidRDefault="00620F22" w:rsidP="00620F22">
            <w:pPr>
              <w:spacing w:line="480" w:lineRule="auto"/>
              <w:jc w:val="center"/>
              <w:rPr>
                <w:rFonts w:asciiTheme="minorBidi" w:hAnsiTheme="minorBidi"/>
                <w:b/>
                <w:bCs/>
                <w:sz w:val="20"/>
                <w:szCs w:val="20"/>
              </w:rPr>
            </w:pPr>
          </w:p>
        </w:tc>
        <w:tc>
          <w:tcPr>
            <w:tcW w:w="2358" w:type="dxa"/>
            <w:tcBorders>
              <w:top w:val="nil"/>
              <w:left w:val="nil"/>
              <w:bottom w:val="nil"/>
              <w:right w:val="nil"/>
            </w:tcBorders>
            <w:shd w:val="clear" w:color="auto" w:fill="D9D9D9" w:themeFill="background1" w:themeFillShade="D9"/>
          </w:tcPr>
          <w:p w14:paraId="270D497F" w14:textId="77777777" w:rsidR="00620F22" w:rsidRPr="00620F22" w:rsidRDefault="00620F22" w:rsidP="00620F22">
            <w:pPr>
              <w:spacing w:line="480" w:lineRule="auto"/>
              <w:jc w:val="center"/>
              <w:rPr>
                <w:rFonts w:asciiTheme="minorBidi" w:hAnsiTheme="minorBidi"/>
                <w:b/>
                <w:bCs/>
                <w:sz w:val="20"/>
                <w:szCs w:val="20"/>
              </w:rPr>
            </w:pPr>
            <w:r w:rsidRPr="00620F22">
              <w:rPr>
                <w:rFonts w:asciiTheme="minorBidi" w:hAnsiTheme="minorBidi"/>
                <w:b/>
                <w:bCs/>
                <w:sz w:val="20"/>
                <w:szCs w:val="20"/>
              </w:rPr>
              <w:t>RQ 6</w:t>
            </w:r>
          </w:p>
        </w:tc>
      </w:tr>
      <w:tr w:rsidR="00620F22" w:rsidRPr="00620F22" w14:paraId="3444349A" w14:textId="77777777" w:rsidTr="001D4222">
        <w:tc>
          <w:tcPr>
            <w:tcW w:w="9016" w:type="dxa"/>
            <w:gridSpan w:val="5"/>
            <w:tcBorders>
              <w:top w:val="nil"/>
              <w:left w:val="nil"/>
              <w:bottom w:val="nil"/>
              <w:right w:val="nil"/>
            </w:tcBorders>
          </w:tcPr>
          <w:p w14:paraId="1C3EE782" w14:textId="77777777" w:rsidR="00620F22" w:rsidRPr="00620F22" w:rsidRDefault="00620F22" w:rsidP="00620F22">
            <w:pPr>
              <w:spacing w:line="480" w:lineRule="auto"/>
              <w:jc w:val="center"/>
              <w:rPr>
                <w:rFonts w:asciiTheme="minorBidi" w:hAnsiTheme="minorBidi"/>
                <w:b/>
                <w:bCs/>
                <w:noProof/>
                <w:sz w:val="20"/>
                <w:szCs w:val="20"/>
              </w:rPr>
            </w:pPr>
          </w:p>
        </w:tc>
      </w:tr>
      <w:tr w:rsidR="00620F22" w:rsidRPr="00620F22" w14:paraId="7C511DF2" w14:textId="77777777" w:rsidTr="001D4222">
        <w:tc>
          <w:tcPr>
            <w:tcW w:w="9016" w:type="dxa"/>
            <w:gridSpan w:val="5"/>
            <w:tcBorders>
              <w:top w:val="nil"/>
              <w:left w:val="nil"/>
              <w:bottom w:val="nil"/>
              <w:right w:val="nil"/>
            </w:tcBorders>
          </w:tcPr>
          <w:p w14:paraId="37A2D1A3" w14:textId="77777777" w:rsidR="00620F22" w:rsidRPr="00620F22" w:rsidRDefault="00620F22" w:rsidP="00620F22">
            <w:pPr>
              <w:spacing w:line="480" w:lineRule="auto"/>
              <w:jc w:val="center"/>
              <w:rPr>
                <w:rFonts w:asciiTheme="minorBidi" w:hAnsiTheme="minorBidi"/>
                <w:b/>
                <w:bCs/>
                <w:sz w:val="20"/>
                <w:szCs w:val="20"/>
              </w:rPr>
            </w:pPr>
            <w:r w:rsidRPr="00620F22">
              <w:rPr>
                <w:rFonts w:asciiTheme="minorBidi" w:hAnsiTheme="minorBidi"/>
                <w:b/>
                <w:bCs/>
                <w:noProof/>
                <w:sz w:val="20"/>
                <w:szCs w:val="20"/>
              </w:rPr>
              <mc:AlternateContent>
                <mc:Choice Requires="wps">
                  <w:drawing>
                    <wp:anchor distT="0" distB="0" distL="114300" distR="114300" simplePos="0" relativeHeight="251726848" behindDoc="0" locked="0" layoutInCell="1" allowOverlap="1" wp14:anchorId="101C47E6" wp14:editId="27FEE95F">
                      <wp:simplePos x="0" y="0"/>
                      <wp:positionH relativeFrom="column">
                        <wp:posOffset>2293620</wp:posOffset>
                      </wp:positionH>
                      <wp:positionV relativeFrom="paragraph">
                        <wp:posOffset>5715</wp:posOffset>
                      </wp:positionV>
                      <wp:extent cx="1136650" cy="812800"/>
                      <wp:effectExtent l="38100" t="0" r="6350" b="44450"/>
                      <wp:wrapNone/>
                      <wp:docPr id="1369665189" name="Arrow: Down 6"/>
                      <wp:cNvGraphicFramePr/>
                      <a:graphic xmlns:a="http://schemas.openxmlformats.org/drawingml/2006/main">
                        <a:graphicData uri="http://schemas.microsoft.com/office/word/2010/wordprocessingShape">
                          <wps:wsp>
                            <wps:cNvSpPr/>
                            <wps:spPr>
                              <a:xfrm>
                                <a:off x="0" y="0"/>
                                <a:ext cx="1136650" cy="81280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49A99E" id="Arrow: Down 6" o:spid="_x0000_s1026" type="#_x0000_t67" style="position:absolute;margin-left:180.6pt;margin-top:.45pt;width:89.5pt;height:64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" adj="10800" fillcolor="#156082" strokecolor="#042433" strokeweight="1pt"/>
                  </w:pict>
                </mc:Fallback>
              </mc:AlternateContent>
            </w:r>
            <w:r w:rsidRPr="00620F22">
              <w:rPr>
                <w:rFonts w:asciiTheme="minorBidi" w:hAnsiTheme="minorBidi"/>
                <w:b/>
                <w:bCs/>
                <w:noProof/>
                <w:sz w:val="20"/>
                <w:szCs w:val="20"/>
              </w:rPr>
              <mc:AlternateContent>
                <mc:Choice Requires="wps">
                  <w:drawing>
                    <wp:anchor distT="0" distB="0" distL="114300" distR="114300" simplePos="0" relativeHeight="251725824" behindDoc="0" locked="0" layoutInCell="1" allowOverlap="1" wp14:anchorId="794B986E" wp14:editId="6423B9A2">
                      <wp:simplePos x="0" y="0"/>
                      <wp:positionH relativeFrom="column">
                        <wp:posOffset>3493770</wp:posOffset>
                      </wp:positionH>
                      <wp:positionV relativeFrom="paragraph">
                        <wp:posOffset>-216535</wp:posOffset>
                      </wp:positionV>
                      <wp:extent cx="984250" cy="673100"/>
                      <wp:effectExtent l="0" t="19050" r="44450" b="31750"/>
                      <wp:wrapNone/>
                      <wp:docPr id="1783783334" name="Arrow: Right 3"/>
                      <wp:cNvGraphicFramePr/>
                      <a:graphic xmlns:a="http://schemas.openxmlformats.org/drawingml/2006/main">
                        <a:graphicData uri="http://schemas.microsoft.com/office/word/2010/wordprocessingShape">
                          <wps:wsp>
                            <wps:cNvSpPr/>
                            <wps:spPr>
                              <a:xfrm>
                                <a:off x="0" y="0"/>
                                <a:ext cx="984250" cy="673100"/>
                              </a:xfrm>
                              <a:prstGeom prst="right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BBE376" id="Arrow: Right 3" o:spid="_x0000_s1026" type="#_x0000_t13" style="position:absolute;margin-left:275.1pt;margin-top:-17.05pt;width:77.5pt;height:53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" adj="14214" fillcolor="#156082" strokecolor="#042433" strokeweight="1pt"/>
                  </w:pict>
                </mc:Fallback>
              </mc:AlternateContent>
            </w:r>
            <w:r w:rsidRPr="00620F22">
              <w:rPr>
                <w:rFonts w:asciiTheme="minorBidi" w:hAnsiTheme="minorBidi"/>
                <w:b/>
                <w:bCs/>
                <w:noProof/>
                <w:sz w:val="20"/>
                <w:szCs w:val="20"/>
              </w:rPr>
              <mc:AlternateContent>
                <mc:Choice Requires="wps">
                  <w:drawing>
                    <wp:anchor distT="0" distB="0" distL="114300" distR="114300" simplePos="0" relativeHeight="251727872" behindDoc="0" locked="0" layoutInCell="1" allowOverlap="1" wp14:anchorId="4995577D" wp14:editId="014A35DF">
                      <wp:simplePos x="0" y="0"/>
                      <wp:positionH relativeFrom="column">
                        <wp:posOffset>1270</wp:posOffset>
                      </wp:positionH>
                      <wp:positionV relativeFrom="paragraph">
                        <wp:posOffset>-229235</wp:posOffset>
                      </wp:positionV>
                      <wp:extent cx="1155700" cy="1035050"/>
                      <wp:effectExtent l="19050" t="0" r="44450" b="31750"/>
                      <wp:wrapNone/>
                      <wp:docPr id="1611969232" name="Arrow: Down 6"/>
                      <wp:cNvGraphicFramePr/>
                      <a:graphic xmlns:a="http://schemas.openxmlformats.org/drawingml/2006/main">
                        <a:graphicData uri="http://schemas.microsoft.com/office/word/2010/wordprocessingShape">
                          <wps:wsp>
                            <wps:cNvSpPr/>
                            <wps:spPr>
                              <a:xfrm>
                                <a:off x="0" y="0"/>
                                <a:ext cx="1155700" cy="103505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324ADF" id="Arrow: Down 6" o:spid="_x0000_s1026" type="#_x0000_t67" style="position:absolute;margin-left:.1pt;margin-top:-18.05pt;width:91pt;height:81.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" adj="10800" fillcolor="#156082" strokecolor="#042433" strokeweight="1pt"/>
                  </w:pict>
                </mc:Fallback>
              </mc:AlternateContent>
            </w:r>
            <w:r w:rsidRPr="00620F22">
              <w:rPr>
                <w:rFonts w:asciiTheme="minorBidi" w:hAnsiTheme="minorBidi"/>
                <w:b/>
                <w:bCs/>
                <w:noProof/>
                <w:sz w:val="20"/>
                <w:szCs w:val="20"/>
              </w:rPr>
              <mc:AlternateContent>
                <mc:Choice Requires="wps">
                  <w:drawing>
                    <wp:anchor distT="0" distB="0" distL="114300" distR="114300" simplePos="0" relativeHeight="251724800" behindDoc="0" locked="0" layoutInCell="1" allowOverlap="1" wp14:anchorId="17016F3A" wp14:editId="2D14B4ED">
                      <wp:simplePos x="0" y="0"/>
                      <wp:positionH relativeFrom="column">
                        <wp:posOffset>1283970</wp:posOffset>
                      </wp:positionH>
                      <wp:positionV relativeFrom="paragraph">
                        <wp:posOffset>-191135</wp:posOffset>
                      </wp:positionV>
                      <wp:extent cx="939800" cy="673100"/>
                      <wp:effectExtent l="19050" t="19050" r="12700" b="31750"/>
                      <wp:wrapNone/>
                      <wp:docPr id="442771393" name="Arrow: Left 4"/>
                      <wp:cNvGraphicFramePr/>
                      <a:graphic xmlns:a="http://schemas.openxmlformats.org/drawingml/2006/main">
                        <a:graphicData uri="http://schemas.microsoft.com/office/word/2010/wordprocessingShape">
                          <wps:wsp>
                            <wps:cNvSpPr/>
                            <wps:spPr>
                              <a:xfrm>
                                <a:off x="0" y="0"/>
                                <a:ext cx="939800" cy="673100"/>
                              </a:xfrm>
                              <a:prstGeom prst="left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E6E2B4" id="Arrow: Left 4" o:spid="_x0000_s1026" type="#_x0000_t66" style="position:absolute;margin-left:101.1pt;margin-top:-15.05pt;width:74pt;height:53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" adj="7735" fillcolor="#156082" strokecolor="#042433" strokeweight="1pt"/>
                  </w:pict>
                </mc:Fallback>
              </mc:AlternateContent>
            </w:r>
          </w:p>
        </w:tc>
      </w:tr>
      <w:tr w:rsidR="00620F22" w:rsidRPr="00620F22" w14:paraId="6E52BC31" w14:textId="77777777" w:rsidTr="001D4222">
        <w:tc>
          <w:tcPr>
            <w:tcW w:w="9016" w:type="dxa"/>
            <w:gridSpan w:val="5"/>
            <w:tcBorders>
              <w:top w:val="nil"/>
              <w:left w:val="nil"/>
              <w:bottom w:val="nil"/>
              <w:right w:val="nil"/>
            </w:tcBorders>
          </w:tcPr>
          <w:p w14:paraId="4EF6D4E9" w14:textId="77777777" w:rsidR="00620F22" w:rsidRPr="00620F22" w:rsidRDefault="00620F22" w:rsidP="00620F22">
            <w:pPr>
              <w:spacing w:line="480" w:lineRule="auto"/>
              <w:jc w:val="center"/>
              <w:rPr>
                <w:rFonts w:asciiTheme="minorBidi" w:hAnsiTheme="minorBidi"/>
                <w:b/>
                <w:bCs/>
                <w:noProof/>
                <w:sz w:val="20"/>
                <w:szCs w:val="20"/>
              </w:rPr>
            </w:pPr>
          </w:p>
        </w:tc>
      </w:tr>
      <w:tr w:rsidR="00620F22" w:rsidRPr="00620F22" w14:paraId="6E3FAC50" w14:textId="77777777" w:rsidTr="001D4222">
        <w:tc>
          <w:tcPr>
            <w:tcW w:w="9016" w:type="dxa"/>
            <w:gridSpan w:val="5"/>
            <w:tcBorders>
              <w:top w:val="nil"/>
              <w:left w:val="nil"/>
              <w:bottom w:val="nil"/>
              <w:right w:val="nil"/>
            </w:tcBorders>
          </w:tcPr>
          <w:p w14:paraId="770AA3ED" w14:textId="77777777" w:rsidR="00620F22" w:rsidRPr="00620F22" w:rsidRDefault="00620F22" w:rsidP="00620F22">
            <w:pPr>
              <w:spacing w:line="480" w:lineRule="auto"/>
              <w:jc w:val="center"/>
              <w:rPr>
                <w:rFonts w:asciiTheme="minorBidi" w:hAnsiTheme="minorBidi"/>
                <w:b/>
                <w:bCs/>
                <w:noProof/>
                <w:sz w:val="20"/>
                <w:szCs w:val="20"/>
              </w:rPr>
            </w:pPr>
          </w:p>
        </w:tc>
      </w:tr>
      <w:tr w:rsidR="00620F22" w:rsidRPr="00620F22" w14:paraId="0B999B26" w14:textId="77777777" w:rsidTr="001D4222">
        <w:tc>
          <w:tcPr>
            <w:tcW w:w="9016" w:type="dxa"/>
            <w:gridSpan w:val="5"/>
            <w:tcBorders>
              <w:top w:val="nil"/>
              <w:left w:val="nil"/>
              <w:bottom w:val="nil"/>
              <w:right w:val="nil"/>
            </w:tcBorders>
            <w:shd w:val="clear" w:color="auto" w:fill="D9D9D9" w:themeFill="background1" w:themeFillShade="D9"/>
          </w:tcPr>
          <w:p w14:paraId="1BC26496" w14:textId="77777777" w:rsidR="00620F22" w:rsidRPr="00620F22" w:rsidRDefault="00620F22" w:rsidP="00620F22">
            <w:pPr>
              <w:spacing w:line="480" w:lineRule="auto"/>
              <w:jc w:val="center"/>
              <w:rPr>
                <w:rFonts w:asciiTheme="minorBidi" w:hAnsiTheme="minorBidi"/>
                <w:b/>
                <w:bCs/>
                <w:sz w:val="20"/>
                <w:szCs w:val="20"/>
              </w:rPr>
            </w:pPr>
            <w:r w:rsidRPr="00620F22">
              <w:rPr>
                <w:rFonts w:asciiTheme="minorBidi" w:hAnsiTheme="minorBidi"/>
                <w:b/>
                <w:bCs/>
                <w:sz w:val="20"/>
                <w:szCs w:val="20"/>
              </w:rPr>
              <w:t>Research Aim</w:t>
            </w:r>
          </w:p>
        </w:tc>
      </w:tr>
    </w:tbl>
    <w:p w14:paraId="1EE1AD50" w14:textId="77777777" w:rsidR="00620F22" w:rsidRDefault="00620F22" w:rsidP="00620F22">
      <w:pPr>
        <w:spacing w:line="480" w:lineRule="auto"/>
        <w:rPr>
          <w:rFonts w:ascii="Arial" w:hAnsi="Arial" w:cs="Arial"/>
          <w:b/>
          <w:bCs/>
          <w:color w:val="000000" w:themeColor="text1"/>
        </w:rPr>
      </w:pPr>
    </w:p>
    <w:p w14:paraId="550300C4" w14:textId="77777777" w:rsidR="0010769E" w:rsidRPr="00620F22" w:rsidRDefault="0010769E" w:rsidP="0010769E">
      <w:pPr>
        <w:spacing w:line="480" w:lineRule="auto"/>
        <w:jc w:val="both"/>
        <w:rPr>
          <w:rFonts w:asciiTheme="minorBidi" w:hAnsiTheme="minorBidi"/>
        </w:rPr>
        <w:sectPr w:rsidR="0010769E" w:rsidRPr="00620F22" w:rsidSect="003E44A1">
          <w:pgSz w:w="11906" w:h="16838" w:code="9"/>
          <w:pgMar w:top="1440" w:right="1440" w:bottom="1440" w:left="1440" w:header="709" w:footer="709" w:gutter="0"/>
          <w:cols w:space="708"/>
          <w:titlePg/>
          <w:docGrid w:linePitch="360"/>
        </w:sectPr>
      </w:pPr>
      <w:r w:rsidRPr="00620F22">
        <w:rPr>
          <w:rFonts w:asciiTheme="minorBidi" w:hAnsiTheme="minorBidi"/>
        </w:rPr>
        <w:t xml:space="preserve">Figure 4.2 Thesis Framework </w:t>
      </w:r>
    </w:p>
    <w:p w14:paraId="52C2ABDB" w14:textId="77777777" w:rsidR="00620F22" w:rsidRDefault="00620F22" w:rsidP="00620F22">
      <w:pPr>
        <w:spacing w:after="0" w:line="480" w:lineRule="auto"/>
        <w:jc w:val="both"/>
        <w:rPr>
          <w:rFonts w:asciiTheme="minorBidi" w:eastAsiaTheme="minorHAnsi" w:hAnsiTheme="minorBidi"/>
          <w:iCs/>
          <w:kern w:val="0"/>
          <w:lang w:val="en-US" w:eastAsia="en-US"/>
          <w14:ligatures w14:val="none"/>
        </w:rPr>
      </w:pPr>
      <w:r w:rsidRPr="00620F22">
        <w:rPr>
          <w:rFonts w:asciiTheme="minorBidi" w:eastAsiaTheme="minorHAnsi" w:hAnsiTheme="minorBidi"/>
          <w:iCs/>
          <w:kern w:val="0"/>
          <w:lang w:val="en-US" w:eastAsia="en-US"/>
          <w14:ligatures w14:val="none"/>
        </w:rPr>
        <w:lastRenderedPageBreak/>
        <w:t xml:space="preserve">The researcher believes that given the constraints of time and budget he has sufficiently addressed Research Objectives (RO) number five, please section 4.3 and 4.4. </w:t>
      </w:r>
    </w:p>
    <w:p w14:paraId="77196D4D" w14:textId="77777777" w:rsidR="00493B0D" w:rsidRPr="00620F22" w:rsidRDefault="00493B0D" w:rsidP="00620F22">
      <w:pPr>
        <w:spacing w:after="0" w:line="480" w:lineRule="auto"/>
        <w:jc w:val="both"/>
        <w:rPr>
          <w:rFonts w:asciiTheme="minorBidi" w:eastAsiaTheme="minorHAnsi" w:hAnsiTheme="minorBidi"/>
          <w:iCs/>
          <w:kern w:val="0"/>
          <w:lang w:val="en-US" w:eastAsia="en-US"/>
          <w14:ligatures w14:val="none"/>
        </w:rPr>
      </w:pPr>
    </w:p>
    <w:p w14:paraId="1147C994" w14:textId="77777777" w:rsidR="00620F22" w:rsidRDefault="00620F22" w:rsidP="00620F22">
      <w:pPr>
        <w:spacing w:line="480" w:lineRule="auto"/>
        <w:jc w:val="both"/>
        <w:rPr>
          <w:rFonts w:ascii="Arial" w:eastAsia="Times New Roman" w:hAnsi="Arial" w:cs="Arial"/>
          <w:color w:val="000000" w:themeColor="text1"/>
          <w:kern w:val="0"/>
          <w:lang w:eastAsia="en-GB"/>
          <w14:ligatures w14:val="none"/>
        </w:rPr>
      </w:pPr>
      <w:r w:rsidRPr="00620F22">
        <w:rPr>
          <w:rFonts w:asciiTheme="minorBidi" w:hAnsiTheme="minorBidi"/>
          <w:color w:val="000000" w:themeColor="text1"/>
        </w:rPr>
        <w:t xml:space="preserve">In summary, part one discussed the quantitative results from the pilot study of </w:t>
      </w:r>
      <w:r w:rsidRPr="00620F22">
        <w:rPr>
          <w:rFonts w:ascii="Arial" w:eastAsia="Times New Roman" w:hAnsi="Arial" w:cs="Arial"/>
          <w:color w:val="000000" w:themeColor="text1"/>
          <w:kern w:val="0"/>
          <w:lang w:eastAsia="en-GB"/>
          <w14:ligatures w14:val="none"/>
        </w:rPr>
        <w:t xml:space="preserve">a small sample of Salford Business School students which yielded a satisfactory result and established validity and reliability. This was consolidated by conducting two further surveys with accountants / auditors and final year accounting and finance students. </w:t>
      </w:r>
      <w:r w:rsidRPr="00620F22">
        <w:rPr>
          <w:rFonts w:ascii="Arial" w:eastAsiaTheme="minorHAnsi" w:hAnsi="Arial" w:cs="Arial"/>
          <w:color w:val="000000" w:themeColor="text1"/>
          <w:kern w:val="0"/>
          <w:lang w:eastAsia="en-US"/>
          <w14:ligatures w14:val="none"/>
        </w:rPr>
        <w:t xml:space="preserve">It should be noted that this is the first time in the literature that professionals are taking a questionnaire which is explicitly attempting to model the Corporate Psychopath Accountant. </w:t>
      </w:r>
      <w:r w:rsidRPr="00620F22">
        <w:rPr>
          <w:rFonts w:ascii="Arial" w:eastAsia="Times New Roman" w:hAnsi="Arial" w:cs="Arial"/>
          <w:color w:val="000000" w:themeColor="text1"/>
          <w:kern w:val="0"/>
          <w:lang w:eastAsia="en-GB"/>
          <w14:ligatures w14:val="none"/>
        </w:rPr>
        <w:t xml:space="preserve"> </w:t>
      </w:r>
    </w:p>
    <w:p w14:paraId="117D9AC3" w14:textId="77777777" w:rsidR="00493B0D" w:rsidRPr="00620F22" w:rsidRDefault="00493B0D" w:rsidP="00620F22">
      <w:pPr>
        <w:spacing w:line="480" w:lineRule="auto"/>
        <w:jc w:val="both"/>
        <w:rPr>
          <w:rFonts w:ascii="Arial" w:eastAsia="Times New Roman" w:hAnsi="Arial" w:cs="Arial"/>
          <w:color w:val="000000" w:themeColor="text1"/>
          <w:kern w:val="0"/>
          <w:lang w:eastAsia="en-GB"/>
          <w14:ligatures w14:val="none"/>
        </w:rPr>
      </w:pPr>
    </w:p>
    <w:p w14:paraId="0A0CDE27" w14:textId="77777777" w:rsidR="00620F22" w:rsidRDefault="00620F22" w:rsidP="00620F22">
      <w:pPr>
        <w:spacing w:line="480" w:lineRule="auto"/>
        <w:jc w:val="both"/>
        <w:rPr>
          <w:rFonts w:ascii="Arial" w:eastAsia="Times New Roman" w:hAnsi="Arial" w:cs="Arial"/>
          <w:color w:val="000000" w:themeColor="text1"/>
          <w:kern w:val="0"/>
          <w:lang w:eastAsia="en-GB"/>
          <w14:ligatures w14:val="none"/>
        </w:rPr>
      </w:pPr>
      <w:r w:rsidRPr="00620F22">
        <w:rPr>
          <w:rFonts w:ascii="Arial" w:eastAsiaTheme="minorHAnsi" w:hAnsi="Arial" w:cs="Arial"/>
          <w:color w:val="000000" w:themeColor="text1"/>
          <w:kern w:val="0"/>
          <w:lang w:eastAsia="en-US"/>
          <w14:ligatures w14:val="none"/>
        </w:rPr>
        <w:t xml:space="preserve">The Multiple Regression for model, for working accountants / auditors, is 0.51 which </w:t>
      </w:r>
      <w:r w:rsidRPr="00620F22">
        <w:rPr>
          <w:rFonts w:ascii="Arial" w:eastAsia="Times New Roman" w:hAnsi="Arial" w:cs="Arial"/>
          <w:color w:val="000000" w:themeColor="text1"/>
          <w:kern w:val="0"/>
          <w:lang w:eastAsia="en-GB"/>
          <w14:ligatures w14:val="none"/>
        </w:rPr>
        <w:t>suggests that 51% of the variability in the dependent variables (X1-X4) can be explained by the model and X4 or professional experience of more than 10 years is the most appropriate explanatory variable of psychopathy. Moreover, neither culture or gender are significant explanatory variables of Corporate Psychopath Accountants, indicating that they may be potentially born psychopathic, and they will use the corporate environment to advance their career.</w:t>
      </w:r>
    </w:p>
    <w:p w14:paraId="326DAC95" w14:textId="77777777" w:rsidR="00493B0D" w:rsidRPr="00620F22" w:rsidRDefault="00493B0D" w:rsidP="00620F22">
      <w:pPr>
        <w:spacing w:line="480" w:lineRule="auto"/>
        <w:jc w:val="both"/>
        <w:rPr>
          <w:rFonts w:ascii="Arial" w:eastAsia="Times New Roman" w:hAnsi="Arial" w:cs="Arial"/>
          <w:color w:val="000000" w:themeColor="text1"/>
          <w:kern w:val="0"/>
          <w:lang w:eastAsia="en-GB"/>
          <w14:ligatures w14:val="none"/>
        </w:rPr>
      </w:pPr>
    </w:p>
    <w:p w14:paraId="2AB3382A" w14:textId="77777777" w:rsidR="00620F22" w:rsidRDefault="00620F22" w:rsidP="00620F22">
      <w:pPr>
        <w:spacing w:line="480" w:lineRule="auto"/>
        <w:jc w:val="both"/>
        <w:rPr>
          <w:rFonts w:ascii="Arial" w:eastAsia="Times New Roman" w:hAnsi="Arial" w:cs="Arial"/>
          <w:color w:val="000000" w:themeColor="text1"/>
          <w:kern w:val="0"/>
          <w:lang w:eastAsia="en-GB"/>
          <w14:ligatures w14:val="none"/>
        </w:rPr>
      </w:pPr>
      <w:r w:rsidRPr="00620F22">
        <w:rPr>
          <w:rFonts w:ascii="Arial" w:eastAsiaTheme="minorHAnsi" w:hAnsi="Arial" w:cs="Arial"/>
          <w:color w:val="000000" w:themeColor="text1"/>
          <w:kern w:val="0"/>
          <w:lang w:eastAsia="en-US"/>
          <w14:ligatures w14:val="none"/>
        </w:rPr>
        <w:t xml:space="preserve">The Multiple Regression for this model, for final year accounting and finance students, is 0.48 which </w:t>
      </w:r>
      <w:r w:rsidRPr="00620F22">
        <w:rPr>
          <w:rFonts w:ascii="Arial" w:eastAsia="Times New Roman" w:hAnsi="Arial" w:cs="Arial"/>
          <w:color w:val="000000" w:themeColor="text1"/>
          <w:kern w:val="0"/>
          <w:lang w:eastAsia="en-GB"/>
          <w14:ligatures w14:val="none"/>
        </w:rPr>
        <w:t xml:space="preserve">indicates that 48% of the variability in the dependent variables (X1-X11) can be explained by the model and X1 or mean disapproval is the best explanatory variable of psychopathy. As noted if we had the following situation where a student </w:t>
      </w:r>
      <w:r w:rsidRPr="00620F22">
        <w:rPr>
          <w:rFonts w:ascii="Arial" w:eastAsia="Times New Roman" w:hAnsi="Arial" w:cs="Arial"/>
          <w:color w:val="000000" w:themeColor="text1"/>
          <w:kern w:val="0"/>
          <w:lang w:eastAsia="en-GB"/>
          <w14:ligatures w14:val="none"/>
        </w:rPr>
        <w:lastRenderedPageBreak/>
        <w:t xml:space="preserve">was 21 years old, male, and had an average Mean Disapproval of 1 and responded 0 to the other variables the potential psychopathic score would be 54.46 or towards the top of the Mixed Group which is alarming (and there are seven male students who have scores in the psychopathic range of more than 57). Although, the male student has not started in his career however, based on the results from the other multiple regression model based on working accountants it is hoped that after 10 years of continuous experience the psychopathic tendencies may lessen or stabilise. </w:t>
      </w:r>
    </w:p>
    <w:p w14:paraId="120154B1" w14:textId="77777777" w:rsidR="00493B0D" w:rsidRPr="00620F22" w:rsidRDefault="00493B0D" w:rsidP="00620F22">
      <w:pPr>
        <w:spacing w:line="480" w:lineRule="auto"/>
        <w:jc w:val="both"/>
        <w:rPr>
          <w:rFonts w:ascii="Arial" w:eastAsiaTheme="minorHAnsi" w:hAnsi="Arial" w:cs="Arial"/>
          <w:color w:val="000000" w:themeColor="text1"/>
          <w:kern w:val="0"/>
          <w:lang w:eastAsia="en-US"/>
          <w14:ligatures w14:val="none"/>
        </w:rPr>
      </w:pPr>
    </w:p>
    <w:p w14:paraId="387E6D5D" w14:textId="1199BAC6" w:rsidR="00620F22" w:rsidRDefault="00620F22" w:rsidP="00620F22">
      <w:pPr>
        <w:spacing w:line="480" w:lineRule="auto"/>
        <w:jc w:val="both"/>
        <w:rPr>
          <w:rFonts w:ascii="Arial" w:eastAsiaTheme="minorHAnsi" w:hAnsi="Arial" w:cs="Arial"/>
          <w:b/>
          <w:bCs/>
          <w:color w:val="000000" w:themeColor="text1"/>
          <w:kern w:val="0"/>
          <w:lang w:eastAsia="en-US"/>
          <w14:ligatures w14:val="none"/>
        </w:rPr>
      </w:pPr>
      <w:r w:rsidRPr="00620F22">
        <w:rPr>
          <w:rFonts w:ascii="Arial" w:eastAsiaTheme="minorHAnsi" w:hAnsi="Arial" w:cs="Arial"/>
          <w:b/>
          <w:bCs/>
          <w:color w:val="000000" w:themeColor="text1"/>
          <w:kern w:val="0"/>
          <w:lang w:eastAsia="en-US"/>
          <w14:ligatures w14:val="none"/>
        </w:rPr>
        <w:t xml:space="preserve">In part two, the researcher </w:t>
      </w:r>
      <w:r w:rsidRPr="00620F22">
        <w:rPr>
          <w:rFonts w:ascii="Arial" w:eastAsiaTheme="minorHAnsi" w:hAnsi="Arial" w:cs="Arial"/>
          <w:color w:val="000000" w:themeColor="text1"/>
          <w:kern w:val="0"/>
          <w:lang w:eastAsia="en-US"/>
          <w14:ligatures w14:val="none"/>
        </w:rPr>
        <w:t xml:space="preserve">conducted six semi-structured interviews which comprised of three sections including base line questions, exploration of Corporate Psychopath Accountants and Blockchain Technology as an antidote to Corporate Accountant Psychopathy and Accounting Fraud.  All the sample were professionally qualified, at the top of the profession and even the Subject Matter Expert was an Audit Manager before they moved into academia. The average age of the sample is 59 which indicates that they are seasoned practitioners, thus, the </w:t>
      </w:r>
      <w:r w:rsidR="008122F3">
        <w:rPr>
          <w:rFonts w:ascii="Arial" w:hAnsi="Arial" w:cs="Arial"/>
          <w:color w:val="000000" w:themeColor="text1"/>
        </w:rPr>
        <w:t>researcher</w:t>
      </w:r>
      <w:r w:rsidRPr="00620F22">
        <w:rPr>
          <w:rFonts w:ascii="Arial" w:eastAsiaTheme="minorHAnsi" w:hAnsi="Arial" w:cs="Arial"/>
          <w:color w:val="000000" w:themeColor="text1"/>
          <w:kern w:val="0"/>
          <w:lang w:eastAsia="en-US"/>
          <w14:ligatures w14:val="none"/>
        </w:rPr>
        <w:t xml:space="preserve"> believes that it was a strong and representative sample of external auditors. After completing the interviews with the six participants it became apparent that for all its promise Blockchain Technology remains in its infancy and until it becomes ubiquitous automation and people-centric approaches may be precursors. </w:t>
      </w:r>
      <w:r w:rsidRPr="00620F22">
        <w:rPr>
          <w:rFonts w:ascii="Arial" w:eastAsiaTheme="minorHAnsi" w:hAnsi="Arial" w:cs="Arial"/>
          <w:b/>
          <w:bCs/>
          <w:color w:val="000000" w:themeColor="text1"/>
          <w:kern w:val="0"/>
          <w:lang w:eastAsia="en-US"/>
          <w14:ligatures w14:val="none"/>
        </w:rPr>
        <w:t>In part three triangulation was undertaken to achieve deeper understanding and insights.</w:t>
      </w:r>
    </w:p>
    <w:p w14:paraId="156AE768" w14:textId="77777777" w:rsidR="00493B0D" w:rsidRPr="00620F22" w:rsidRDefault="00493B0D" w:rsidP="00620F22">
      <w:pPr>
        <w:spacing w:line="480" w:lineRule="auto"/>
        <w:jc w:val="both"/>
        <w:rPr>
          <w:rFonts w:ascii="Arial" w:eastAsiaTheme="minorHAnsi" w:hAnsi="Arial" w:cs="Arial"/>
          <w:color w:val="000000" w:themeColor="text1"/>
          <w:kern w:val="0"/>
          <w:lang w:eastAsia="en-US"/>
          <w14:ligatures w14:val="none"/>
        </w:rPr>
      </w:pPr>
    </w:p>
    <w:p w14:paraId="653654E9" w14:textId="77777777" w:rsidR="00620F22" w:rsidRDefault="00620F22" w:rsidP="00620F22">
      <w:pPr>
        <w:spacing w:line="480" w:lineRule="auto"/>
        <w:jc w:val="both"/>
        <w:rPr>
          <w:rFonts w:ascii="Arial" w:eastAsiaTheme="minorHAnsi" w:hAnsi="Arial" w:cs="Arial"/>
          <w:color w:val="000000" w:themeColor="text1"/>
          <w:kern w:val="0"/>
          <w:lang w:eastAsia="en-US"/>
          <w14:ligatures w14:val="none"/>
        </w:rPr>
      </w:pPr>
      <w:r w:rsidRPr="00620F22">
        <w:rPr>
          <w:rFonts w:ascii="Arial" w:eastAsiaTheme="minorHAnsi" w:hAnsi="Arial" w:cs="Arial"/>
          <w:b/>
          <w:bCs/>
          <w:color w:val="000000" w:themeColor="text1"/>
          <w:kern w:val="0"/>
          <w:lang w:eastAsia="en-US"/>
          <w14:ligatures w14:val="none"/>
        </w:rPr>
        <w:t xml:space="preserve">In part four, </w:t>
      </w:r>
      <w:r w:rsidRPr="00620F22">
        <w:rPr>
          <w:rFonts w:ascii="Arial" w:eastAsiaTheme="minorHAnsi" w:hAnsi="Arial" w:cs="Arial"/>
          <w:color w:val="000000" w:themeColor="text1"/>
          <w:kern w:val="0"/>
          <w:lang w:eastAsia="en-US"/>
          <w14:ligatures w14:val="none"/>
        </w:rPr>
        <w:t xml:space="preserve">the researcher explored external audit </w:t>
      </w:r>
      <w:r w:rsidRPr="00620F22">
        <w:rPr>
          <w:rFonts w:ascii="Arial" w:eastAsiaTheme="minorHAnsi" w:hAnsi="Arial" w:cs="Arial"/>
          <w:b/>
          <w:bCs/>
          <w:color w:val="000000" w:themeColor="text1"/>
          <w:kern w:val="0"/>
          <w:lang w:eastAsia="en-US"/>
          <w14:ligatures w14:val="none"/>
        </w:rPr>
        <w:t>automation</w:t>
      </w:r>
      <w:r w:rsidRPr="00620F22">
        <w:rPr>
          <w:rFonts w:ascii="Arial" w:eastAsiaTheme="minorHAnsi" w:hAnsi="Arial" w:cs="Arial"/>
          <w:color w:val="000000" w:themeColor="text1"/>
          <w:kern w:val="0"/>
          <w:lang w:eastAsia="en-US"/>
          <w14:ligatures w14:val="none"/>
        </w:rPr>
        <w:t xml:space="preserve">, its importance in combatting Accounting Fraud and the Corporate Psychopath Accountant. The key automation technologies were outlined including Cloud Technologies, Robotic </w:t>
      </w:r>
      <w:r w:rsidRPr="00620F22">
        <w:rPr>
          <w:rFonts w:ascii="Arial" w:eastAsiaTheme="minorHAnsi" w:hAnsi="Arial" w:cs="Arial"/>
          <w:color w:val="000000" w:themeColor="text1"/>
          <w:kern w:val="0"/>
          <w:lang w:eastAsia="en-US"/>
          <w14:ligatures w14:val="none"/>
        </w:rPr>
        <w:lastRenderedPageBreak/>
        <w:t xml:space="preserve">Process Automation, Artificial Intelligence, and predictive analytics which should make the audit function more efficient, robust and allow the auditor to focus on areas of judgement in the financial statements and consciously investigate Accounting Fraud. </w:t>
      </w:r>
      <w:r w:rsidRPr="00620F22">
        <w:rPr>
          <w:rFonts w:ascii="Arial" w:eastAsia="Times New Roman" w:hAnsi="Arial" w:cs="Arial"/>
          <w:color w:val="000000" w:themeColor="text1"/>
          <w:kern w:val="0"/>
          <w:lang w:eastAsia="en-GB"/>
          <w14:ligatures w14:val="none"/>
        </w:rPr>
        <w:t xml:space="preserve">The researcher then explored </w:t>
      </w:r>
      <w:r w:rsidRPr="00620F22">
        <w:rPr>
          <w:rFonts w:ascii="Arial" w:eastAsia="Times New Roman" w:hAnsi="Arial" w:cs="Arial"/>
          <w:b/>
          <w:bCs/>
          <w:color w:val="000000" w:themeColor="text1"/>
          <w:kern w:val="0"/>
          <w:lang w:eastAsia="en-GB"/>
          <w14:ligatures w14:val="none"/>
        </w:rPr>
        <w:t>‘people-centric’ approaches</w:t>
      </w:r>
      <w:r w:rsidRPr="00620F22">
        <w:rPr>
          <w:rFonts w:ascii="Arial" w:eastAsia="Times New Roman" w:hAnsi="Arial" w:cs="Arial"/>
          <w:color w:val="000000" w:themeColor="text1"/>
          <w:kern w:val="0"/>
          <w:lang w:eastAsia="en-GB"/>
          <w14:ligatures w14:val="none"/>
        </w:rPr>
        <w:t xml:space="preserve"> which may</w:t>
      </w:r>
      <w:r w:rsidRPr="00620F22">
        <w:rPr>
          <w:rFonts w:ascii="Arial" w:eastAsiaTheme="minorHAnsi" w:hAnsi="Arial" w:cs="Arial"/>
          <w:color w:val="000000" w:themeColor="text1"/>
          <w:kern w:val="0"/>
          <w:lang w:eastAsia="en-US"/>
          <w14:ligatures w14:val="none"/>
        </w:rPr>
        <w:t xml:space="preserve"> diminish Accounting Fraud and potentially curtail the Corporate Psychopath Accountant. Accounting ethics were also outlined.</w:t>
      </w:r>
    </w:p>
    <w:p w14:paraId="3FCCE135" w14:textId="77777777" w:rsidR="00493B0D" w:rsidRDefault="00493B0D" w:rsidP="00620F22">
      <w:pPr>
        <w:spacing w:line="480" w:lineRule="auto"/>
        <w:jc w:val="both"/>
        <w:rPr>
          <w:rFonts w:ascii="Arial" w:eastAsiaTheme="minorHAnsi" w:hAnsi="Arial" w:cs="Arial"/>
          <w:color w:val="000000" w:themeColor="text1"/>
          <w:kern w:val="0"/>
          <w:lang w:eastAsia="en-US"/>
          <w14:ligatures w14:val="none"/>
        </w:rPr>
      </w:pPr>
    </w:p>
    <w:p w14:paraId="3EEB0736" w14:textId="77777777" w:rsidR="00493B0D" w:rsidRDefault="00493B0D" w:rsidP="00620F22">
      <w:pPr>
        <w:spacing w:line="480" w:lineRule="auto"/>
        <w:jc w:val="both"/>
        <w:rPr>
          <w:rFonts w:ascii="Arial" w:eastAsiaTheme="minorHAnsi" w:hAnsi="Arial" w:cs="Arial"/>
          <w:color w:val="000000" w:themeColor="text1"/>
          <w:kern w:val="0"/>
          <w:lang w:eastAsia="en-US"/>
          <w14:ligatures w14:val="none"/>
        </w:rPr>
      </w:pPr>
    </w:p>
    <w:p w14:paraId="6686F9B8" w14:textId="77777777" w:rsidR="00493B0D" w:rsidRDefault="00493B0D" w:rsidP="00620F22">
      <w:pPr>
        <w:spacing w:line="480" w:lineRule="auto"/>
        <w:jc w:val="both"/>
        <w:rPr>
          <w:rFonts w:ascii="Arial" w:eastAsiaTheme="minorHAnsi" w:hAnsi="Arial" w:cs="Arial"/>
          <w:color w:val="000000" w:themeColor="text1"/>
          <w:kern w:val="0"/>
          <w:lang w:eastAsia="en-US"/>
          <w14:ligatures w14:val="none"/>
        </w:rPr>
      </w:pPr>
    </w:p>
    <w:p w14:paraId="390662BD" w14:textId="77777777" w:rsidR="00493B0D" w:rsidRDefault="00493B0D" w:rsidP="00620F22">
      <w:pPr>
        <w:spacing w:line="480" w:lineRule="auto"/>
        <w:jc w:val="both"/>
        <w:rPr>
          <w:rFonts w:ascii="Arial" w:eastAsiaTheme="minorHAnsi" w:hAnsi="Arial" w:cs="Arial"/>
          <w:color w:val="000000" w:themeColor="text1"/>
          <w:kern w:val="0"/>
          <w:lang w:eastAsia="en-US"/>
          <w14:ligatures w14:val="none"/>
        </w:rPr>
      </w:pPr>
    </w:p>
    <w:p w14:paraId="74015795" w14:textId="77777777" w:rsidR="00493B0D" w:rsidRDefault="00493B0D" w:rsidP="00620F22">
      <w:pPr>
        <w:spacing w:line="480" w:lineRule="auto"/>
        <w:jc w:val="both"/>
        <w:rPr>
          <w:rFonts w:ascii="Arial" w:eastAsiaTheme="minorHAnsi" w:hAnsi="Arial" w:cs="Arial"/>
          <w:color w:val="000000" w:themeColor="text1"/>
          <w:kern w:val="0"/>
          <w:lang w:eastAsia="en-US"/>
          <w14:ligatures w14:val="none"/>
        </w:rPr>
      </w:pPr>
    </w:p>
    <w:p w14:paraId="7BF739BE" w14:textId="77777777" w:rsidR="00493B0D" w:rsidRDefault="00493B0D" w:rsidP="00620F22">
      <w:pPr>
        <w:spacing w:line="480" w:lineRule="auto"/>
        <w:jc w:val="both"/>
        <w:rPr>
          <w:rFonts w:ascii="Arial" w:eastAsiaTheme="minorHAnsi" w:hAnsi="Arial" w:cs="Arial"/>
          <w:color w:val="000000" w:themeColor="text1"/>
          <w:kern w:val="0"/>
          <w:lang w:eastAsia="en-US"/>
          <w14:ligatures w14:val="none"/>
        </w:rPr>
      </w:pPr>
    </w:p>
    <w:p w14:paraId="17D2CB21" w14:textId="77777777" w:rsidR="00493B0D" w:rsidRDefault="00493B0D" w:rsidP="00620F22">
      <w:pPr>
        <w:spacing w:line="480" w:lineRule="auto"/>
        <w:jc w:val="both"/>
        <w:rPr>
          <w:rFonts w:ascii="Arial" w:eastAsiaTheme="minorHAnsi" w:hAnsi="Arial" w:cs="Arial"/>
          <w:color w:val="000000" w:themeColor="text1"/>
          <w:kern w:val="0"/>
          <w:lang w:eastAsia="en-US"/>
          <w14:ligatures w14:val="none"/>
        </w:rPr>
      </w:pPr>
    </w:p>
    <w:p w14:paraId="6343017C" w14:textId="77777777" w:rsidR="00493B0D" w:rsidRDefault="00493B0D" w:rsidP="00620F22">
      <w:pPr>
        <w:spacing w:line="480" w:lineRule="auto"/>
        <w:jc w:val="both"/>
        <w:rPr>
          <w:rFonts w:ascii="Arial" w:eastAsiaTheme="minorHAnsi" w:hAnsi="Arial" w:cs="Arial"/>
          <w:color w:val="000000" w:themeColor="text1"/>
          <w:kern w:val="0"/>
          <w:lang w:eastAsia="en-US"/>
          <w14:ligatures w14:val="none"/>
        </w:rPr>
      </w:pPr>
    </w:p>
    <w:p w14:paraId="37BEF81C" w14:textId="77777777" w:rsidR="00493B0D" w:rsidRDefault="00493B0D" w:rsidP="00620F22">
      <w:pPr>
        <w:spacing w:line="480" w:lineRule="auto"/>
        <w:jc w:val="both"/>
        <w:rPr>
          <w:rFonts w:ascii="Arial" w:eastAsiaTheme="minorHAnsi" w:hAnsi="Arial" w:cs="Arial"/>
          <w:color w:val="000000" w:themeColor="text1"/>
          <w:kern w:val="0"/>
          <w:lang w:eastAsia="en-US"/>
          <w14:ligatures w14:val="none"/>
        </w:rPr>
      </w:pPr>
    </w:p>
    <w:p w14:paraId="423F12DA" w14:textId="77777777" w:rsidR="00493B0D" w:rsidRDefault="00493B0D" w:rsidP="00620F22">
      <w:pPr>
        <w:spacing w:line="480" w:lineRule="auto"/>
        <w:jc w:val="both"/>
        <w:rPr>
          <w:rFonts w:ascii="Arial" w:eastAsiaTheme="minorHAnsi" w:hAnsi="Arial" w:cs="Arial"/>
          <w:color w:val="000000" w:themeColor="text1"/>
          <w:kern w:val="0"/>
          <w:lang w:eastAsia="en-US"/>
          <w14:ligatures w14:val="none"/>
        </w:rPr>
      </w:pPr>
    </w:p>
    <w:p w14:paraId="3D3A28A6" w14:textId="77777777" w:rsidR="00493B0D" w:rsidRDefault="00493B0D" w:rsidP="00620F22">
      <w:pPr>
        <w:spacing w:line="480" w:lineRule="auto"/>
        <w:jc w:val="both"/>
        <w:rPr>
          <w:rFonts w:ascii="Arial" w:eastAsiaTheme="minorHAnsi" w:hAnsi="Arial" w:cs="Arial"/>
          <w:color w:val="000000" w:themeColor="text1"/>
          <w:kern w:val="0"/>
          <w:lang w:eastAsia="en-US"/>
          <w14:ligatures w14:val="none"/>
        </w:rPr>
      </w:pPr>
    </w:p>
    <w:p w14:paraId="0C38DBDF" w14:textId="77777777" w:rsidR="00493B0D" w:rsidRDefault="00493B0D" w:rsidP="00620F22">
      <w:pPr>
        <w:spacing w:line="480" w:lineRule="auto"/>
        <w:jc w:val="both"/>
        <w:rPr>
          <w:rFonts w:ascii="Arial" w:eastAsiaTheme="minorHAnsi" w:hAnsi="Arial" w:cs="Arial"/>
          <w:color w:val="000000" w:themeColor="text1"/>
          <w:kern w:val="0"/>
          <w:lang w:eastAsia="en-US"/>
          <w14:ligatures w14:val="none"/>
        </w:rPr>
      </w:pPr>
    </w:p>
    <w:p w14:paraId="36A430FC" w14:textId="77777777" w:rsidR="00493B0D" w:rsidRDefault="00493B0D" w:rsidP="00620F22">
      <w:pPr>
        <w:spacing w:line="480" w:lineRule="auto"/>
        <w:jc w:val="both"/>
        <w:rPr>
          <w:rFonts w:ascii="Arial" w:eastAsiaTheme="minorHAnsi" w:hAnsi="Arial" w:cs="Arial"/>
          <w:color w:val="000000" w:themeColor="text1"/>
          <w:kern w:val="0"/>
          <w:lang w:eastAsia="en-US"/>
          <w14:ligatures w14:val="none"/>
        </w:rPr>
      </w:pPr>
    </w:p>
    <w:p w14:paraId="3B797A0E" w14:textId="77777777" w:rsidR="00493B0D" w:rsidRDefault="00493B0D" w:rsidP="00620F22">
      <w:pPr>
        <w:spacing w:line="480" w:lineRule="auto"/>
        <w:jc w:val="both"/>
        <w:rPr>
          <w:rFonts w:ascii="Arial" w:eastAsiaTheme="minorHAnsi" w:hAnsi="Arial" w:cs="Arial"/>
          <w:color w:val="000000" w:themeColor="text1"/>
          <w:kern w:val="0"/>
          <w:lang w:eastAsia="en-US"/>
          <w14:ligatures w14:val="none"/>
        </w:rPr>
      </w:pPr>
    </w:p>
    <w:p w14:paraId="3435E190" w14:textId="77777777" w:rsidR="00493B0D" w:rsidRPr="00620F22" w:rsidRDefault="00493B0D" w:rsidP="00620F22">
      <w:pPr>
        <w:spacing w:line="480" w:lineRule="auto"/>
        <w:jc w:val="both"/>
        <w:rPr>
          <w:rFonts w:ascii="Arial" w:eastAsiaTheme="minorHAnsi" w:hAnsi="Arial" w:cs="Arial"/>
          <w:color w:val="000000" w:themeColor="text1"/>
          <w:kern w:val="0"/>
          <w:lang w:eastAsia="en-US"/>
          <w14:ligatures w14:val="none"/>
        </w:rPr>
      </w:pPr>
    </w:p>
    <w:bookmarkStart w:id="786" w:name="DH5"/>
    <w:p w14:paraId="4C5E0AFB" w14:textId="2B274548" w:rsidR="007C27A1" w:rsidRPr="007C27A1" w:rsidRDefault="006A594C" w:rsidP="00FE5BCE">
      <w:pPr>
        <w:pBdr>
          <w:top w:val="single" w:sz="4" w:space="1" w:color="auto"/>
          <w:left w:val="single" w:sz="4" w:space="4" w:color="auto"/>
          <w:bottom w:val="single" w:sz="4" w:space="1" w:color="auto"/>
          <w:right w:val="single" w:sz="4" w:space="4" w:color="auto"/>
        </w:pBdr>
        <w:spacing w:after="0" w:line="240" w:lineRule="auto"/>
        <w:rPr>
          <w:rFonts w:asciiTheme="minorBidi" w:eastAsiaTheme="minorHAnsi" w:hAnsiTheme="minorBidi"/>
          <w:b/>
          <w:bCs/>
          <w:kern w:val="0"/>
          <w:lang w:eastAsia="en-US"/>
          <w14:ligatures w14:val="none"/>
        </w:rPr>
      </w:pPr>
      <w:r>
        <w:rPr>
          <w:rFonts w:asciiTheme="minorBidi" w:eastAsiaTheme="minorHAnsi" w:hAnsiTheme="minorBidi"/>
          <w:b/>
          <w:bCs/>
          <w:kern w:val="0"/>
          <w:lang w:eastAsia="en-US"/>
          <w14:ligatures w14:val="none"/>
        </w:rPr>
        <w:lastRenderedPageBreak/>
        <w:fldChar w:fldCharType="begin"/>
      </w:r>
      <w:r>
        <w:rPr>
          <w:rFonts w:asciiTheme="minorBidi" w:eastAsiaTheme="minorHAnsi" w:hAnsiTheme="minorBidi"/>
          <w:b/>
          <w:bCs/>
          <w:kern w:val="0"/>
          <w:lang w:eastAsia="en-US"/>
          <w14:ligatures w14:val="none"/>
        </w:rPr>
        <w:instrText>HYPERLINK  \l "CH5"</w:instrText>
      </w:r>
      <w:r>
        <w:rPr>
          <w:rFonts w:asciiTheme="minorBidi" w:eastAsiaTheme="minorHAnsi" w:hAnsiTheme="minorBidi"/>
          <w:b/>
          <w:bCs/>
          <w:kern w:val="0"/>
          <w:lang w:eastAsia="en-US"/>
          <w14:ligatures w14:val="none"/>
        </w:rPr>
      </w:r>
      <w:r>
        <w:rPr>
          <w:rFonts w:asciiTheme="minorBidi" w:eastAsiaTheme="minorHAnsi" w:hAnsiTheme="minorBidi"/>
          <w:b/>
          <w:bCs/>
          <w:kern w:val="0"/>
          <w:lang w:eastAsia="en-US"/>
          <w14:ligatures w14:val="none"/>
        </w:rPr>
        <w:fldChar w:fldCharType="separate"/>
      </w:r>
      <w:r w:rsidR="007C27A1" w:rsidRPr="006A594C">
        <w:rPr>
          <w:rStyle w:val="Hyperlink"/>
          <w:rFonts w:asciiTheme="minorBidi" w:eastAsiaTheme="minorHAnsi" w:hAnsiTheme="minorBidi"/>
          <w:b/>
          <w:bCs/>
          <w:kern w:val="0"/>
          <w:lang w:eastAsia="en-US"/>
          <w14:ligatures w14:val="none"/>
        </w:rPr>
        <w:t>5.0 Research Conclusion, Contribution, &amp; Recommendations</w:t>
      </w:r>
      <w:r>
        <w:rPr>
          <w:rFonts w:asciiTheme="minorBidi" w:eastAsiaTheme="minorHAnsi" w:hAnsiTheme="minorBidi"/>
          <w:b/>
          <w:bCs/>
          <w:kern w:val="0"/>
          <w:lang w:eastAsia="en-US"/>
          <w14:ligatures w14:val="none"/>
        </w:rPr>
        <w:fldChar w:fldCharType="end"/>
      </w:r>
    </w:p>
    <w:bookmarkEnd w:id="786"/>
    <w:p w14:paraId="43ED94C5" w14:textId="77777777" w:rsidR="00FE5BCE" w:rsidRDefault="00FE5BCE" w:rsidP="00FE5BCE">
      <w:pPr>
        <w:spacing w:after="0" w:line="240" w:lineRule="auto"/>
        <w:jc w:val="both"/>
      </w:pPr>
    </w:p>
    <w:p w14:paraId="55D70F3C" w14:textId="30623DE7" w:rsidR="007C27A1" w:rsidRPr="007C27A1" w:rsidRDefault="007C27A1" w:rsidP="007C27A1">
      <w:pPr>
        <w:spacing w:after="0" w:line="480" w:lineRule="auto"/>
        <w:jc w:val="both"/>
        <w:rPr>
          <w:rFonts w:asciiTheme="minorBidi" w:eastAsia="Times New Roman" w:hAnsiTheme="minorBidi"/>
          <w:kern w:val="0"/>
          <w14:ligatures w14:val="none"/>
        </w:rPr>
      </w:pPr>
      <w:r w:rsidRPr="007C27A1">
        <w:rPr>
          <w:rFonts w:asciiTheme="minorBidi" w:eastAsia="Times New Roman" w:hAnsiTheme="minorBidi"/>
          <w:b/>
          <w:bCs/>
          <w:kern w:val="0"/>
          <w14:ligatures w14:val="none"/>
        </w:rPr>
        <w:t>Chapter five</w:t>
      </w:r>
      <w:r w:rsidRPr="007C27A1">
        <w:rPr>
          <w:rFonts w:asciiTheme="minorBidi" w:eastAsia="Times New Roman" w:hAnsiTheme="minorBidi"/>
          <w:kern w:val="0"/>
          <w14:ligatures w14:val="none"/>
        </w:rPr>
        <w:t xml:space="preserve"> covers the research cycle, see Table 5.</w:t>
      </w:r>
      <w:r w:rsidR="00E5500E">
        <w:rPr>
          <w:rFonts w:asciiTheme="minorBidi" w:eastAsia="Times New Roman" w:hAnsiTheme="minorBidi"/>
          <w:kern w:val="0"/>
          <w14:ligatures w14:val="none"/>
        </w:rPr>
        <w:t>1</w:t>
      </w:r>
      <w:r w:rsidRPr="007C27A1">
        <w:rPr>
          <w:rFonts w:asciiTheme="minorBidi" w:eastAsia="Times New Roman" w:hAnsiTheme="minorBidi"/>
          <w:kern w:val="0"/>
          <w14:ligatures w14:val="none"/>
        </w:rPr>
        <w:t>, the extent to how far the research objectives have addressed the research questions including the sub research questions, see Table 5.2. After which, the research's major contributions are and discussed in relation to earlier studies. Lastly, the research implications, restrictions, and suggestions for the future are outlined including a structured ‘’people-centric’’ model underpinned by Research Objective &amp; Research Six, see Table 5.2</w:t>
      </w:r>
    </w:p>
    <w:p w14:paraId="3670598C" w14:textId="77777777" w:rsidR="007C27A1" w:rsidRPr="007C27A1" w:rsidRDefault="007C27A1" w:rsidP="007C27A1">
      <w:pPr>
        <w:spacing w:after="0" w:line="480" w:lineRule="auto"/>
        <w:jc w:val="both"/>
        <w:rPr>
          <w:rFonts w:asciiTheme="minorBidi" w:eastAsia="Times New Roman" w:hAnsiTheme="minorBidi"/>
          <w:b/>
          <w:bCs/>
          <w:kern w:val="0"/>
          <w14:ligatures w14:val="none"/>
        </w:rPr>
      </w:pPr>
      <w:r w:rsidRPr="007C27A1">
        <w:rPr>
          <w:rFonts w:asciiTheme="minorBidi" w:eastAsia="Times New Roman" w:hAnsiTheme="minorBidi"/>
          <w:b/>
          <w:bCs/>
          <w:kern w:val="0"/>
          <w14:ligatures w14:val="none"/>
        </w:rPr>
        <w:t>Table 5.1 The Research Cycle</w:t>
      </w:r>
    </w:p>
    <w:tbl>
      <w:tblPr>
        <w:tblStyle w:val="TableGrid"/>
        <w:tblW w:w="0" w:type="auto"/>
        <w:tblLook w:val="04A0" w:firstRow="1" w:lastRow="0" w:firstColumn="1" w:lastColumn="0" w:noHBand="0" w:noVBand="1"/>
      </w:tblPr>
      <w:tblGrid>
        <w:gridCol w:w="2689"/>
        <w:gridCol w:w="425"/>
        <w:gridCol w:w="3204"/>
        <w:gridCol w:w="340"/>
        <w:gridCol w:w="2358"/>
      </w:tblGrid>
      <w:tr w:rsidR="007C27A1" w:rsidRPr="007C27A1" w14:paraId="1272CE19" w14:textId="77777777" w:rsidTr="001D4222">
        <w:tc>
          <w:tcPr>
            <w:tcW w:w="9016" w:type="dxa"/>
            <w:gridSpan w:val="5"/>
            <w:tcBorders>
              <w:top w:val="nil"/>
              <w:left w:val="nil"/>
              <w:bottom w:val="nil"/>
              <w:right w:val="nil"/>
            </w:tcBorders>
            <w:shd w:val="clear" w:color="auto" w:fill="D9D9D9" w:themeFill="background1" w:themeFillShade="D9"/>
          </w:tcPr>
          <w:p w14:paraId="0F282727"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r w:rsidRPr="007C27A1">
              <w:rPr>
                <w:rFonts w:asciiTheme="minorBidi" w:eastAsia="Times New Roman" w:hAnsiTheme="minorBidi"/>
                <w:b/>
                <w:bCs/>
                <w:kern w:val="0"/>
                <w:sz w:val="20"/>
                <w:szCs w:val="20"/>
                <w14:ligatures w14:val="none"/>
              </w:rPr>
              <w:t>Thesis Framework</w:t>
            </w:r>
          </w:p>
        </w:tc>
      </w:tr>
      <w:tr w:rsidR="007C27A1" w:rsidRPr="007C27A1" w14:paraId="54F03D34" w14:textId="77777777" w:rsidTr="001D4222">
        <w:tc>
          <w:tcPr>
            <w:tcW w:w="9016" w:type="dxa"/>
            <w:gridSpan w:val="5"/>
            <w:tcBorders>
              <w:top w:val="nil"/>
              <w:left w:val="nil"/>
              <w:bottom w:val="nil"/>
              <w:right w:val="nil"/>
            </w:tcBorders>
          </w:tcPr>
          <w:p w14:paraId="59596122"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p>
        </w:tc>
      </w:tr>
      <w:tr w:rsidR="007C27A1" w:rsidRPr="007C27A1" w14:paraId="36277C0C" w14:textId="77777777" w:rsidTr="001D4222">
        <w:tc>
          <w:tcPr>
            <w:tcW w:w="2689" w:type="dxa"/>
            <w:tcBorders>
              <w:top w:val="nil"/>
              <w:left w:val="nil"/>
              <w:bottom w:val="nil"/>
              <w:right w:val="nil"/>
            </w:tcBorders>
            <w:shd w:val="clear" w:color="auto" w:fill="D9D9D9" w:themeFill="background1" w:themeFillShade="D9"/>
          </w:tcPr>
          <w:p w14:paraId="1F68C44A"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r w:rsidRPr="007C27A1">
              <w:rPr>
                <w:rFonts w:asciiTheme="minorBidi" w:eastAsia="Times New Roman" w:hAnsiTheme="minorBidi"/>
                <w:b/>
                <w:bCs/>
                <w:kern w:val="0"/>
                <w:sz w:val="20"/>
                <w:szCs w:val="20"/>
                <w14:ligatures w14:val="none"/>
              </w:rPr>
              <w:t>Research</w:t>
            </w:r>
          </w:p>
          <w:p w14:paraId="113F20E7"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r w:rsidRPr="007C27A1">
              <w:rPr>
                <w:rFonts w:asciiTheme="minorBidi" w:eastAsia="Times New Roman" w:hAnsiTheme="minorBidi"/>
                <w:b/>
                <w:bCs/>
                <w:kern w:val="0"/>
                <w:sz w:val="20"/>
                <w:szCs w:val="20"/>
                <w14:ligatures w14:val="none"/>
              </w:rPr>
              <w:t>Objectives (RO)</w:t>
            </w:r>
          </w:p>
        </w:tc>
        <w:tc>
          <w:tcPr>
            <w:tcW w:w="425" w:type="dxa"/>
            <w:tcBorders>
              <w:top w:val="nil"/>
              <w:left w:val="nil"/>
              <w:bottom w:val="nil"/>
              <w:right w:val="nil"/>
            </w:tcBorders>
            <w:shd w:val="clear" w:color="auto" w:fill="auto"/>
          </w:tcPr>
          <w:p w14:paraId="3DDE057A"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p>
        </w:tc>
        <w:tc>
          <w:tcPr>
            <w:tcW w:w="3204" w:type="dxa"/>
            <w:tcBorders>
              <w:top w:val="nil"/>
              <w:left w:val="nil"/>
              <w:bottom w:val="nil"/>
              <w:right w:val="nil"/>
            </w:tcBorders>
            <w:shd w:val="clear" w:color="auto" w:fill="D9D9D9" w:themeFill="background1" w:themeFillShade="D9"/>
          </w:tcPr>
          <w:p w14:paraId="0984DEB5" w14:textId="77777777" w:rsidR="007C27A1" w:rsidRPr="007C27A1" w:rsidRDefault="007C27A1" w:rsidP="007C27A1">
            <w:pPr>
              <w:spacing w:line="480" w:lineRule="auto"/>
              <w:ind w:left="-253"/>
              <w:jc w:val="center"/>
              <w:rPr>
                <w:rFonts w:asciiTheme="minorBidi" w:eastAsia="Times New Roman" w:hAnsiTheme="minorBidi"/>
                <w:b/>
                <w:bCs/>
                <w:kern w:val="0"/>
                <w:sz w:val="20"/>
                <w:szCs w:val="20"/>
                <w14:ligatures w14:val="none"/>
              </w:rPr>
            </w:pPr>
            <w:r w:rsidRPr="007C27A1">
              <w:rPr>
                <w:rFonts w:asciiTheme="minorBidi" w:eastAsia="Times New Roman" w:hAnsiTheme="minorBidi"/>
                <w:b/>
                <w:bCs/>
                <w:kern w:val="0"/>
                <w:sz w:val="20"/>
                <w:szCs w:val="20"/>
                <w14:ligatures w14:val="none"/>
              </w:rPr>
              <w:t>Thesis Chapters</w:t>
            </w:r>
          </w:p>
        </w:tc>
        <w:tc>
          <w:tcPr>
            <w:tcW w:w="340" w:type="dxa"/>
            <w:tcBorders>
              <w:top w:val="nil"/>
              <w:left w:val="nil"/>
              <w:bottom w:val="nil"/>
              <w:right w:val="nil"/>
            </w:tcBorders>
            <w:shd w:val="clear" w:color="auto" w:fill="auto"/>
          </w:tcPr>
          <w:p w14:paraId="496080DF"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p>
        </w:tc>
        <w:tc>
          <w:tcPr>
            <w:tcW w:w="2358" w:type="dxa"/>
            <w:tcBorders>
              <w:top w:val="nil"/>
              <w:left w:val="nil"/>
              <w:bottom w:val="nil"/>
              <w:right w:val="nil"/>
            </w:tcBorders>
            <w:shd w:val="clear" w:color="auto" w:fill="D9D9D9" w:themeFill="background1" w:themeFillShade="D9"/>
          </w:tcPr>
          <w:p w14:paraId="163CD0EB"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r w:rsidRPr="007C27A1">
              <w:rPr>
                <w:rFonts w:asciiTheme="minorBidi" w:eastAsia="Times New Roman" w:hAnsiTheme="minorBidi"/>
                <w:b/>
                <w:bCs/>
                <w:kern w:val="0"/>
                <w:sz w:val="20"/>
                <w:szCs w:val="20"/>
                <w14:ligatures w14:val="none"/>
              </w:rPr>
              <w:t>Research Questions (RQ)</w:t>
            </w:r>
          </w:p>
        </w:tc>
      </w:tr>
      <w:tr w:rsidR="007C27A1" w:rsidRPr="007C27A1" w14:paraId="49D3D481" w14:textId="77777777" w:rsidTr="001D4222">
        <w:tc>
          <w:tcPr>
            <w:tcW w:w="9016" w:type="dxa"/>
            <w:gridSpan w:val="5"/>
            <w:tcBorders>
              <w:top w:val="nil"/>
              <w:left w:val="nil"/>
              <w:bottom w:val="nil"/>
              <w:right w:val="nil"/>
            </w:tcBorders>
          </w:tcPr>
          <w:p w14:paraId="23CEA670"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p>
        </w:tc>
      </w:tr>
      <w:tr w:rsidR="007C27A1" w:rsidRPr="007C27A1" w14:paraId="42AA5EC3" w14:textId="77777777" w:rsidTr="001D4222">
        <w:tc>
          <w:tcPr>
            <w:tcW w:w="9016" w:type="dxa"/>
            <w:gridSpan w:val="5"/>
            <w:tcBorders>
              <w:top w:val="nil"/>
              <w:left w:val="nil"/>
              <w:bottom w:val="nil"/>
              <w:right w:val="nil"/>
            </w:tcBorders>
            <w:shd w:val="clear" w:color="auto" w:fill="D9D9D9" w:themeFill="background1" w:themeFillShade="D9"/>
          </w:tcPr>
          <w:p w14:paraId="5E8C2D15" w14:textId="77777777" w:rsidR="007C27A1" w:rsidRPr="007C27A1" w:rsidRDefault="007C27A1" w:rsidP="007C27A1">
            <w:pPr>
              <w:spacing w:line="480" w:lineRule="auto"/>
              <w:ind w:left="316"/>
              <w:jc w:val="center"/>
              <w:rPr>
                <w:rFonts w:asciiTheme="minorBidi" w:eastAsia="Times New Roman" w:hAnsiTheme="minorBidi"/>
                <w:b/>
                <w:bCs/>
                <w:kern w:val="0"/>
                <w:sz w:val="20"/>
                <w:szCs w:val="20"/>
                <w14:ligatures w14:val="none"/>
              </w:rPr>
            </w:pPr>
            <w:r w:rsidRPr="007C27A1">
              <w:rPr>
                <w:rFonts w:asciiTheme="minorBidi" w:eastAsia="Times New Roman" w:hAnsiTheme="minorBidi"/>
                <w:b/>
                <w:bCs/>
                <w:kern w:val="0"/>
                <w:sz w:val="20"/>
                <w:szCs w:val="20"/>
                <w14:ligatures w14:val="none"/>
              </w:rPr>
              <w:t>Chapter 1</w:t>
            </w:r>
          </w:p>
        </w:tc>
      </w:tr>
      <w:tr w:rsidR="007C27A1" w:rsidRPr="007C27A1" w14:paraId="798759E8" w14:textId="77777777" w:rsidTr="001D4222">
        <w:tc>
          <w:tcPr>
            <w:tcW w:w="9016" w:type="dxa"/>
            <w:gridSpan w:val="5"/>
            <w:tcBorders>
              <w:top w:val="nil"/>
              <w:left w:val="nil"/>
              <w:bottom w:val="nil"/>
              <w:right w:val="nil"/>
            </w:tcBorders>
          </w:tcPr>
          <w:p w14:paraId="1D023A68"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r w:rsidRPr="007C27A1">
              <w:rPr>
                <w:rFonts w:asciiTheme="minorBidi" w:eastAsia="Times New Roman" w:hAnsiTheme="minorBidi"/>
                <w:b/>
                <w:bCs/>
                <w:noProof/>
                <w:kern w:val="0"/>
                <w:sz w:val="20"/>
                <w:szCs w:val="20"/>
              </w:rPr>
              <mc:AlternateContent>
                <mc:Choice Requires="wps">
                  <w:drawing>
                    <wp:anchor distT="0" distB="0" distL="114300" distR="114300" simplePos="0" relativeHeight="251736064" behindDoc="0" locked="0" layoutInCell="1" allowOverlap="1" wp14:anchorId="6B1C9DC1" wp14:editId="43DCDF36">
                      <wp:simplePos x="0" y="0"/>
                      <wp:positionH relativeFrom="column">
                        <wp:posOffset>2350770</wp:posOffset>
                      </wp:positionH>
                      <wp:positionV relativeFrom="paragraph">
                        <wp:posOffset>24130</wp:posOffset>
                      </wp:positionV>
                      <wp:extent cx="909955" cy="539750"/>
                      <wp:effectExtent l="38100" t="0" r="23495" b="31750"/>
                      <wp:wrapNone/>
                      <wp:docPr id="670477522" name="Arrow: Down 6"/>
                      <wp:cNvGraphicFramePr/>
                      <a:graphic xmlns:a="http://schemas.openxmlformats.org/drawingml/2006/main">
                        <a:graphicData uri="http://schemas.microsoft.com/office/word/2010/wordprocessingShape">
                          <wps:wsp>
                            <wps:cNvSpPr/>
                            <wps:spPr>
                              <a:xfrm>
                                <a:off x="0" y="0"/>
                                <a:ext cx="909955" cy="53975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CECE75" id="Arrow: Down 6" o:spid="_x0000_s1026" type="#_x0000_t67" style="position:absolute;margin-left:185.1pt;margin-top:1.9pt;width:71.65pt;height:42.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" adj="10800" fillcolor="#156082" strokecolor="#042433" strokeweight="1pt"/>
                  </w:pict>
                </mc:Fallback>
              </mc:AlternateContent>
            </w:r>
          </w:p>
        </w:tc>
      </w:tr>
      <w:tr w:rsidR="007C27A1" w:rsidRPr="007C27A1" w14:paraId="4EC57BA9" w14:textId="77777777" w:rsidTr="001D4222">
        <w:tc>
          <w:tcPr>
            <w:tcW w:w="9016" w:type="dxa"/>
            <w:gridSpan w:val="5"/>
            <w:tcBorders>
              <w:top w:val="nil"/>
              <w:left w:val="nil"/>
              <w:bottom w:val="nil"/>
              <w:right w:val="nil"/>
            </w:tcBorders>
          </w:tcPr>
          <w:p w14:paraId="589106FA"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p>
        </w:tc>
      </w:tr>
      <w:tr w:rsidR="007C27A1" w:rsidRPr="007C27A1" w14:paraId="12979072" w14:textId="77777777" w:rsidTr="001D4222">
        <w:tc>
          <w:tcPr>
            <w:tcW w:w="2689" w:type="dxa"/>
            <w:tcBorders>
              <w:top w:val="nil"/>
              <w:left w:val="nil"/>
              <w:bottom w:val="nil"/>
              <w:right w:val="nil"/>
            </w:tcBorders>
            <w:shd w:val="clear" w:color="auto" w:fill="D9D9D9" w:themeFill="background1" w:themeFillShade="D9"/>
          </w:tcPr>
          <w:p w14:paraId="0925F03E"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r w:rsidRPr="007C27A1">
              <w:rPr>
                <w:rFonts w:asciiTheme="minorBidi" w:eastAsia="Times New Roman" w:hAnsiTheme="minorBidi"/>
                <w:b/>
                <w:bCs/>
                <w:kern w:val="0"/>
                <w:sz w:val="20"/>
                <w:szCs w:val="20"/>
                <w14:ligatures w14:val="none"/>
              </w:rPr>
              <w:t>RO 1 - 4</w:t>
            </w:r>
          </w:p>
        </w:tc>
        <w:tc>
          <w:tcPr>
            <w:tcW w:w="425" w:type="dxa"/>
            <w:tcBorders>
              <w:top w:val="nil"/>
              <w:left w:val="nil"/>
              <w:bottom w:val="nil"/>
              <w:right w:val="nil"/>
            </w:tcBorders>
          </w:tcPr>
          <w:p w14:paraId="0F7E38F1"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p>
        </w:tc>
        <w:tc>
          <w:tcPr>
            <w:tcW w:w="3204" w:type="dxa"/>
            <w:tcBorders>
              <w:top w:val="nil"/>
              <w:left w:val="nil"/>
              <w:bottom w:val="nil"/>
              <w:right w:val="nil"/>
            </w:tcBorders>
            <w:shd w:val="clear" w:color="auto" w:fill="D9D9D9" w:themeFill="background1" w:themeFillShade="D9"/>
          </w:tcPr>
          <w:p w14:paraId="785B34CA"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r w:rsidRPr="007C27A1">
              <w:rPr>
                <w:rFonts w:asciiTheme="minorBidi" w:eastAsia="Times New Roman" w:hAnsiTheme="minorBidi"/>
                <w:b/>
                <w:bCs/>
                <w:noProof/>
                <w:kern w:val="0"/>
                <w:sz w:val="20"/>
                <w:szCs w:val="20"/>
              </w:rPr>
              <mc:AlternateContent>
                <mc:Choice Requires="wps">
                  <w:drawing>
                    <wp:anchor distT="0" distB="0" distL="114300" distR="114300" simplePos="0" relativeHeight="251729920" behindDoc="0" locked="0" layoutInCell="1" allowOverlap="1" wp14:anchorId="0B6BFC41" wp14:editId="48B8F0BA">
                      <wp:simplePos x="0" y="0"/>
                      <wp:positionH relativeFrom="column">
                        <wp:posOffset>1617980</wp:posOffset>
                      </wp:positionH>
                      <wp:positionV relativeFrom="paragraph">
                        <wp:posOffset>290830</wp:posOffset>
                      </wp:positionV>
                      <wp:extent cx="838200" cy="577850"/>
                      <wp:effectExtent l="0" t="19050" r="38100" b="31750"/>
                      <wp:wrapNone/>
                      <wp:docPr id="1215999281" name="Arrow: Right 3"/>
                      <wp:cNvGraphicFramePr/>
                      <a:graphic xmlns:a="http://schemas.openxmlformats.org/drawingml/2006/main">
                        <a:graphicData uri="http://schemas.microsoft.com/office/word/2010/wordprocessingShape">
                          <wps:wsp>
                            <wps:cNvSpPr/>
                            <wps:spPr>
                              <a:xfrm>
                                <a:off x="0" y="0"/>
                                <a:ext cx="838200" cy="577850"/>
                              </a:xfrm>
                              <a:prstGeom prst="rightArrow">
                                <a:avLst>
                                  <a:gd name="adj1" fmla="val 50000"/>
                                  <a:gd name="adj2" fmla="val 45349"/>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6245E8" id="Arrow: Right 3" o:spid="_x0000_s1026" type="#_x0000_t13" style="position:absolute;margin-left:127.4pt;margin-top:22.9pt;width:66pt;height:45.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" adj="14847" fillcolor="#156082" strokecolor="#042433" strokeweight="1pt"/>
                  </w:pict>
                </mc:Fallback>
              </mc:AlternateContent>
            </w:r>
            <w:r w:rsidRPr="007C27A1">
              <w:rPr>
                <w:rFonts w:asciiTheme="minorBidi" w:eastAsia="Times New Roman" w:hAnsiTheme="minorBidi"/>
                <w:b/>
                <w:bCs/>
                <w:kern w:val="0"/>
                <w:sz w:val="20"/>
                <w:szCs w:val="20"/>
                <w14:ligatures w14:val="none"/>
              </w:rPr>
              <w:t>Chapter 2</w:t>
            </w:r>
          </w:p>
        </w:tc>
        <w:tc>
          <w:tcPr>
            <w:tcW w:w="340" w:type="dxa"/>
            <w:tcBorders>
              <w:top w:val="nil"/>
              <w:left w:val="nil"/>
              <w:bottom w:val="nil"/>
              <w:right w:val="nil"/>
            </w:tcBorders>
          </w:tcPr>
          <w:p w14:paraId="5E050EE9"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p>
        </w:tc>
        <w:tc>
          <w:tcPr>
            <w:tcW w:w="2358" w:type="dxa"/>
            <w:tcBorders>
              <w:top w:val="nil"/>
              <w:left w:val="nil"/>
              <w:bottom w:val="nil"/>
              <w:right w:val="nil"/>
            </w:tcBorders>
            <w:shd w:val="clear" w:color="auto" w:fill="D9D9D9" w:themeFill="background1" w:themeFillShade="D9"/>
          </w:tcPr>
          <w:p w14:paraId="0319DF48"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r w:rsidRPr="007C27A1">
              <w:rPr>
                <w:rFonts w:asciiTheme="minorBidi" w:eastAsia="Times New Roman" w:hAnsiTheme="minorBidi"/>
                <w:b/>
                <w:bCs/>
                <w:kern w:val="0"/>
                <w:sz w:val="20"/>
                <w:szCs w:val="20"/>
                <w14:ligatures w14:val="none"/>
              </w:rPr>
              <w:t>RQ 1 - 4</w:t>
            </w:r>
          </w:p>
        </w:tc>
      </w:tr>
      <w:tr w:rsidR="007C27A1" w:rsidRPr="007C27A1" w14:paraId="4FA78400" w14:textId="77777777" w:rsidTr="001D4222">
        <w:tc>
          <w:tcPr>
            <w:tcW w:w="9016" w:type="dxa"/>
            <w:gridSpan w:val="5"/>
            <w:tcBorders>
              <w:top w:val="nil"/>
              <w:left w:val="nil"/>
              <w:bottom w:val="nil"/>
              <w:right w:val="nil"/>
            </w:tcBorders>
          </w:tcPr>
          <w:p w14:paraId="5B8D1D3D" w14:textId="77777777" w:rsidR="007C27A1" w:rsidRPr="007C27A1" w:rsidRDefault="007C27A1" w:rsidP="007C27A1">
            <w:pPr>
              <w:spacing w:line="480" w:lineRule="auto"/>
              <w:jc w:val="center"/>
              <w:rPr>
                <w:rFonts w:asciiTheme="minorBidi" w:eastAsia="Times New Roman" w:hAnsiTheme="minorBidi"/>
                <w:b/>
                <w:bCs/>
                <w:noProof/>
                <w:kern w:val="0"/>
                <w:sz w:val="20"/>
                <w:szCs w:val="20"/>
              </w:rPr>
            </w:pPr>
            <w:r w:rsidRPr="007C27A1">
              <w:rPr>
                <w:rFonts w:asciiTheme="minorBidi" w:eastAsia="Times New Roman" w:hAnsiTheme="minorBidi"/>
                <w:b/>
                <w:bCs/>
                <w:noProof/>
                <w:kern w:val="0"/>
                <w:sz w:val="20"/>
                <w:szCs w:val="20"/>
              </w:rPr>
              <mc:AlternateContent>
                <mc:Choice Requires="wps">
                  <w:drawing>
                    <wp:anchor distT="0" distB="0" distL="114300" distR="114300" simplePos="0" relativeHeight="251730944" behindDoc="0" locked="0" layoutInCell="1" allowOverlap="1" wp14:anchorId="79F7E25D" wp14:editId="35B3FEF9">
                      <wp:simplePos x="0" y="0"/>
                      <wp:positionH relativeFrom="column">
                        <wp:posOffset>1366520</wp:posOffset>
                      </wp:positionH>
                      <wp:positionV relativeFrom="paragraph">
                        <wp:posOffset>24130</wp:posOffset>
                      </wp:positionV>
                      <wp:extent cx="800100" cy="520700"/>
                      <wp:effectExtent l="19050" t="19050" r="19050" b="31750"/>
                      <wp:wrapNone/>
                      <wp:docPr id="1858641831" name="Arrow: Left 4"/>
                      <wp:cNvGraphicFramePr/>
                      <a:graphic xmlns:a="http://schemas.openxmlformats.org/drawingml/2006/main">
                        <a:graphicData uri="http://schemas.microsoft.com/office/word/2010/wordprocessingShape">
                          <wps:wsp>
                            <wps:cNvSpPr/>
                            <wps:spPr>
                              <a:xfrm>
                                <a:off x="0" y="0"/>
                                <a:ext cx="800100" cy="520700"/>
                              </a:xfrm>
                              <a:prstGeom prst="left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8E57F0" id="Arrow: Left 4" o:spid="_x0000_s1026" type="#_x0000_t66" style="position:absolute;margin-left:107.6pt;margin-top:1.9pt;width:63pt;height:41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" adj="7029" fillcolor="#156082" strokecolor="#042433" strokeweight="1pt"/>
                  </w:pict>
                </mc:Fallback>
              </mc:AlternateContent>
            </w:r>
          </w:p>
        </w:tc>
      </w:tr>
      <w:tr w:rsidR="007C27A1" w:rsidRPr="007C27A1" w14:paraId="0D080040" w14:textId="77777777" w:rsidTr="001D4222">
        <w:tc>
          <w:tcPr>
            <w:tcW w:w="9016" w:type="dxa"/>
            <w:gridSpan w:val="5"/>
            <w:tcBorders>
              <w:top w:val="nil"/>
              <w:left w:val="nil"/>
              <w:bottom w:val="nil"/>
              <w:right w:val="nil"/>
            </w:tcBorders>
          </w:tcPr>
          <w:p w14:paraId="687FE1D8"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r w:rsidRPr="007C27A1">
              <w:rPr>
                <w:rFonts w:asciiTheme="minorBidi" w:eastAsia="Times New Roman" w:hAnsiTheme="minorBidi"/>
                <w:b/>
                <w:bCs/>
                <w:noProof/>
                <w:kern w:val="0"/>
                <w:sz w:val="20"/>
                <w:szCs w:val="20"/>
              </w:rPr>
              <mc:AlternateContent>
                <mc:Choice Requires="wps">
                  <w:drawing>
                    <wp:anchor distT="0" distB="0" distL="114300" distR="114300" simplePos="0" relativeHeight="251737088" behindDoc="0" locked="0" layoutInCell="1" allowOverlap="1" wp14:anchorId="55497398" wp14:editId="7DE45F96">
                      <wp:simplePos x="0" y="0"/>
                      <wp:positionH relativeFrom="column">
                        <wp:posOffset>2388870</wp:posOffset>
                      </wp:positionH>
                      <wp:positionV relativeFrom="paragraph">
                        <wp:posOffset>-241935</wp:posOffset>
                      </wp:positionV>
                      <wp:extent cx="909955" cy="774700"/>
                      <wp:effectExtent l="19050" t="0" r="23495" b="44450"/>
                      <wp:wrapNone/>
                      <wp:docPr id="1930181220" name="Arrow: Down 6"/>
                      <wp:cNvGraphicFramePr/>
                      <a:graphic xmlns:a="http://schemas.openxmlformats.org/drawingml/2006/main">
                        <a:graphicData uri="http://schemas.microsoft.com/office/word/2010/wordprocessingShape">
                          <wps:wsp>
                            <wps:cNvSpPr/>
                            <wps:spPr>
                              <a:xfrm>
                                <a:off x="0" y="0"/>
                                <a:ext cx="909955" cy="77470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CB91A7" id="Arrow: Down 6" o:spid="_x0000_s1026" type="#_x0000_t67" style="position:absolute;margin-left:188.1pt;margin-top:-19.05pt;width:71.65pt;height:61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" adj="10800" fillcolor="#156082" strokecolor="#042433" strokeweight="1pt"/>
                  </w:pict>
                </mc:Fallback>
              </mc:AlternateContent>
            </w:r>
          </w:p>
        </w:tc>
      </w:tr>
      <w:tr w:rsidR="007C27A1" w:rsidRPr="007C27A1" w14:paraId="6648DEF0" w14:textId="77777777" w:rsidTr="001D4222">
        <w:tc>
          <w:tcPr>
            <w:tcW w:w="9016" w:type="dxa"/>
            <w:gridSpan w:val="5"/>
            <w:tcBorders>
              <w:top w:val="nil"/>
              <w:left w:val="nil"/>
              <w:bottom w:val="nil"/>
              <w:right w:val="nil"/>
            </w:tcBorders>
          </w:tcPr>
          <w:p w14:paraId="06FE567E" w14:textId="77777777" w:rsidR="007C27A1" w:rsidRPr="007C27A1" w:rsidRDefault="007C27A1" w:rsidP="007C27A1">
            <w:pPr>
              <w:spacing w:line="480" w:lineRule="auto"/>
              <w:jc w:val="center"/>
              <w:rPr>
                <w:rFonts w:asciiTheme="minorBidi" w:eastAsia="Times New Roman" w:hAnsiTheme="minorBidi"/>
                <w:b/>
                <w:bCs/>
                <w:noProof/>
                <w:kern w:val="0"/>
                <w:sz w:val="20"/>
                <w:szCs w:val="20"/>
              </w:rPr>
            </w:pPr>
            <w:r w:rsidRPr="007C27A1">
              <w:rPr>
                <w:rFonts w:asciiTheme="minorBidi" w:eastAsia="Times New Roman" w:hAnsiTheme="minorBidi"/>
                <w:b/>
                <w:bCs/>
                <w:noProof/>
                <w:kern w:val="0"/>
                <w:sz w:val="20"/>
                <w:szCs w:val="20"/>
              </w:rPr>
              <mc:AlternateContent>
                <mc:Choice Requires="wps">
                  <w:drawing>
                    <wp:anchor distT="0" distB="0" distL="114300" distR="114300" simplePos="0" relativeHeight="251741184" behindDoc="0" locked="0" layoutInCell="1" allowOverlap="1" wp14:anchorId="3D3407BC" wp14:editId="10199616">
                      <wp:simplePos x="0" y="0"/>
                      <wp:positionH relativeFrom="column">
                        <wp:posOffset>134620</wp:posOffset>
                      </wp:positionH>
                      <wp:positionV relativeFrom="paragraph">
                        <wp:posOffset>-521970</wp:posOffset>
                      </wp:positionV>
                      <wp:extent cx="819150" cy="1581150"/>
                      <wp:effectExtent l="19050" t="0" r="38100" b="38100"/>
                      <wp:wrapNone/>
                      <wp:docPr id="882790484" name="Arrow: Down 6"/>
                      <wp:cNvGraphicFramePr/>
                      <a:graphic xmlns:a="http://schemas.openxmlformats.org/drawingml/2006/main">
                        <a:graphicData uri="http://schemas.microsoft.com/office/word/2010/wordprocessingShape">
                          <wps:wsp>
                            <wps:cNvSpPr/>
                            <wps:spPr>
                              <a:xfrm>
                                <a:off x="0" y="0"/>
                                <a:ext cx="819150" cy="158115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EF238E" id="Arrow: Down 6" o:spid="_x0000_s1026" type="#_x0000_t67" style="position:absolute;margin-left:10.6pt;margin-top:-41.1pt;width:64.5pt;height:124.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" adj="16005" fillcolor="#156082" strokecolor="#042433" strokeweight="1pt"/>
                  </w:pict>
                </mc:Fallback>
              </mc:AlternateContent>
            </w:r>
          </w:p>
        </w:tc>
      </w:tr>
      <w:tr w:rsidR="007C27A1" w:rsidRPr="007C27A1" w14:paraId="00CAC384" w14:textId="77777777" w:rsidTr="001D4222">
        <w:tc>
          <w:tcPr>
            <w:tcW w:w="3114" w:type="dxa"/>
            <w:gridSpan w:val="2"/>
            <w:tcBorders>
              <w:top w:val="nil"/>
              <w:left w:val="nil"/>
              <w:bottom w:val="nil"/>
              <w:right w:val="nil"/>
            </w:tcBorders>
          </w:tcPr>
          <w:p w14:paraId="149D7BC0"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p>
        </w:tc>
        <w:tc>
          <w:tcPr>
            <w:tcW w:w="3204" w:type="dxa"/>
            <w:tcBorders>
              <w:top w:val="nil"/>
              <w:left w:val="nil"/>
              <w:bottom w:val="nil"/>
              <w:right w:val="nil"/>
            </w:tcBorders>
            <w:shd w:val="clear" w:color="auto" w:fill="D9D9D9" w:themeFill="background1" w:themeFillShade="D9"/>
          </w:tcPr>
          <w:p w14:paraId="78A13110"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r w:rsidRPr="007C27A1">
              <w:rPr>
                <w:rFonts w:asciiTheme="minorBidi" w:eastAsia="Times New Roman" w:hAnsiTheme="minorBidi"/>
                <w:b/>
                <w:bCs/>
                <w:kern w:val="0"/>
                <w:sz w:val="20"/>
                <w:szCs w:val="20"/>
                <w14:ligatures w14:val="none"/>
              </w:rPr>
              <w:t>Chapter 3</w:t>
            </w:r>
          </w:p>
        </w:tc>
        <w:tc>
          <w:tcPr>
            <w:tcW w:w="2698" w:type="dxa"/>
            <w:gridSpan w:val="2"/>
            <w:tcBorders>
              <w:top w:val="nil"/>
              <w:left w:val="nil"/>
              <w:bottom w:val="nil"/>
              <w:right w:val="nil"/>
            </w:tcBorders>
          </w:tcPr>
          <w:p w14:paraId="5AE43B7B"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p>
        </w:tc>
      </w:tr>
      <w:tr w:rsidR="007C27A1" w:rsidRPr="007C27A1" w14:paraId="1578C198" w14:textId="77777777" w:rsidTr="001D4222">
        <w:tc>
          <w:tcPr>
            <w:tcW w:w="9016" w:type="dxa"/>
            <w:gridSpan w:val="5"/>
            <w:tcBorders>
              <w:top w:val="nil"/>
              <w:left w:val="nil"/>
              <w:bottom w:val="nil"/>
              <w:right w:val="nil"/>
            </w:tcBorders>
          </w:tcPr>
          <w:p w14:paraId="7DBB4CA8" w14:textId="77777777" w:rsidR="007C27A1" w:rsidRPr="007C27A1" w:rsidRDefault="007C27A1" w:rsidP="007C27A1">
            <w:pPr>
              <w:spacing w:line="480" w:lineRule="auto"/>
              <w:jc w:val="center"/>
              <w:rPr>
                <w:rFonts w:asciiTheme="minorBidi" w:eastAsia="Times New Roman" w:hAnsiTheme="minorBidi"/>
                <w:b/>
                <w:bCs/>
                <w:noProof/>
                <w:kern w:val="0"/>
                <w:sz w:val="20"/>
                <w:szCs w:val="20"/>
              </w:rPr>
            </w:pPr>
            <w:r w:rsidRPr="007C27A1">
              <w:rPr>
                <w:rFonts w:asciiTheme="minorBidi" w:eastAsia="Times New Roman" w:hAnsiTheme="minorBidi"/>
                <w:b/>
                <w:bCs/>
                <w:noProof/>
                <w:kern w:val="0"/>
                <w:sz w:val="20"/>
                <w:szCs w:val="20"/>
              </w:rPr>
              <mc:AlternateContent>
                <mc:Choice Requires="wps">
                  <w:drawing>
                    <wp:anchor distT="0" distB="0" distL="114300" distR="114300" simplePos="0" relativeHeight="251738112" behindDoc="0" locked="0" layoutInCell="1" allowOverlap="1" wp14:anchorId="409F74DA" wp14:editId="4052A523">
                      <wp:simplePos x="0" y="0"/>
                      <wp:positionH relativeFrom="column">
                        <wp:posOffset>2306320</wp:posOffset>
                      </wp:positionH>
                      <wp:positionV relativeFrom="paragraph">
                        <wp:posOffset>50165</wp:posOffset>
                      </wp:positionV>
                      <wp:extent cx="1174750" cy="488950"/>
                      <wp:effectExtent l="38100" t="0" r="44450" b="44450"/>
                      <wp:wrapNone/>
                      <wp:docPr id="122986890" name="Arrow: Down 6"/>
                      <wp:cNvGraphicFramePr/>
                      <a:graphic xmlns:a="http://schemas.openxmlformats.org/drawingml/2006/main">
                        <a:graphicData uri="http://schemas.microsoft.com/office/word/2010/wordprocessingShape">
                          <wps:wsp>
                            <wps:cNvSpPr/>
                            <wps:spPr>
                              <a:xfrm>
                                <a:off x="0" y="0"/>
                                <a:ext cx="1174750" cy="48895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FEB1C0" id="Arrow: Down 6" o:spid="_x0000_s1026" type="#_x0000_t67" style="position:absolute;margin-left:181.6pt;margin-top:3.95pt;width:92.5pt;height:38.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" adj="10800" fillcolor="#156082" strokecolor="#042433" strokeweight="1pt"/>
                  </w:pict>
                </mc:Fallback>
              </mc:AlternateContent>
            </w:r>
          </w:p>
        </w:tc>
      </w:tr>
      <w:tr w:rsidR="007C27A1" w:rsidRPr="007C27A1" w14:paraId="3FAF3417" w14:textId="77777777" w:rsidTr="001D4222">
        <w:tc>
          <w:tcPr>
            <w:tcW w:w="9016" w:type="dxa"/>
            <w:gridSpan w:val="5"/>
            <w:tcBorders>
              <w:top w:val="nil"/>
              <w:left w:val="nil"/>
              <w:bottom w:val="nil"/>
              <w:right w:val="nil"/>
            </w:tcBorders>
          </w:tcPr>
          <w:p w14:paraId="54A7AD46"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p>
        </w:tc>
      </w:tr>
      <w:tr w:rsidR="007C27A1" w:rsidRPr="007C27A1" w14:paraId="51DB5302" w14:textId="77777777" w:rsidTr="001D4222">
        <w:tc>
          <w:tcPr>
            <w:tcW w:w="2689" w:type="dxa"/>
            <w:tcBorders>
              <w:top w:val="nil"/>
              <w:left w:val="nil"/>
              <w:bottom w:val="nil"/>
              <w:right w:val="nil"/>
            </w:tcBorders>
            <w:shd w:val="clear" w:color="auto" w:fill="D9D9D9" w:themeFill="background1" w:themeFillShade="D9"/>
          </w:tcPr>
          <w:p w14:paraId="3F6E3225"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r w:rsidRPr="007C27A1">
              <w:rPr>
                <w:rFonts w:asciiTheme="minorBidi" w:eastAsia="Times New Roman" w:hAnsiTheme="minorBidi"/>
                <w:b/>
                <w:bCs/>
                <w:kern w:val="0"/>
                <w:sz w:val="20"/>
                <w:szCs w:val="20"/>
                <w14:ligatures w14:val="none"/>
              </w:rPr>
              <w:t>RO 5</w:t>
            </w:r>
          </w:p>
        </w:tc>
        <w:tc>
          <w:tcPr>
            <w:tcW w:w="425" w:type="dxa"/>
            <w:tcBorders>
              <w:top w:val="nil"/>
              <w:left w:val="nil"/>
              <w:bottom w:val="nil"/>
              <w:right w:val="nil"/>
            </w:tcBorders>
          </w:tcPr>
          <w:p w14:paraId="01867C7A"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p>
        </w:tc>
        <w:tc>
          <w:tcPr>
            <w:tcW w:w="3204" w:type="dxa"/>
            <w:tcBorders>
              <w:top w:val="nil"/>
              <w:left w:val="nil"/>
              <w:bottom w:val="nil"/>
              <w:right w:val="nil"/>
            </w:tcBorders>
            <w:shd w:val="clear" w:color="auto" w:fill="D9D9D9" w:themeFill="background1" w:themeFillShade="D9"/>
          </w:tcPr>
          <w:p w14:paraId="1F620F4B"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r w:rsidRPr="007C27A1">
              <w:rPr>
                <w:rFonts w:asciiTheme="minorBidi" w:eastAsia="Times New Roman" w:hAnsiTheme="minorBidi"/>
                <w:b/>
                <w:bCs/>
                <w:kern w:val="0"/>
                <w:sz w:val="20"/>
                <w:szCs w:val="20"/>
                <w14:ligatures w14:val="none"/>
              </w:rPr>
              <w:t>Chapter 4</w:t>
            </w:r>
          </w:p>
        </w:tc>
        <w:tc>
          <w:tcPr>
            <w:tcW w:w="340" w:type="dxa"/>
            <w:tcBorders>
              <w:top w:val="nil"/>
              <w:left w:val="nil"/>
              <w:bottom w:val="nil"/>
              <w:right w:val="nil"/>
            </w:tcBorders>
          </w:tcPr>
          <w:p w14:paraId="0FF161DA"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p>
        </w:tc>
        <w:tc>
          <w:tcPr>
            <w:tcW w:w="2358" w:type="dxa"/>
            <w:tcBorders>
              <w:top w:val="nil"/>
              <w:left w:val="nil"/>
              <w:bottom w:val="nil"/>
              <w:right w:val="nil"/>
            </w:tcBorders>
            <w:shd w:val="clear" w:color="auto" w:fill="D9D9D9" w:themeFill="background1" w:themeFillShade="D9"/>
          </w:tcPr>
          <w:p w14:paraId="3A43B09D"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r w:rsidRPr="007C27A1">
              <w:rPr>
                <w:rFonts w:asciiTheme="minorBidi" w:eastAsia="Times New Roman" w:hAnsiTheme="minorBidi"/>
                <w:b/>
                <w:bCs/>
                <w:kern w:val="0"/>
                <w:sz w:val="20"/>
                <w:szCs w:val="20"/>
                <w14:ligatures w14:val="none"/>
              </w:rPr>
              <w:t>RQ 5</w:t>
            </w:r>
          </w:p>
        </w:tc>
      </w:tr>
      <w:tr w:rsidR="007C27A1" w:rsidRPr="007C27A1" w14:paraId="03B1C6B4" w14:textId="77777777" w:rsidTr="001D4222">
        <w:tc>
          <w:tcPr>
            <w:tcW w:w="9016" w:type="dxa"/>
            <w:gridSpan w:val="5"/>
            <w:tcBorders>
              <w:top w:val="nil"/>
              <w:left w:val="nil"/>
              <w:bottom w:val="nil"/>
              <w:right w:val="nil"/>
            </w:tcBorders>
          </w:tcPr>
          <w:p w14:paraId="660C5F52" w14:textId="77777777" w:rsidR="007C27A1" w:rsidRPr="007C27A1" w:rsidRDefault="007C27A1" w:rsidP="007C27A1">
            <w:pPr>
              <w:spacing w:line="480" w:lineRule="auto"/>
              <w:jc w:val="center"/>
              <w:rPr>
                <w:rFonts w:asciiTheme="minorBidi" w:eastAsia="Times New Roman" w:hAnsiTheme="minorBidi"/>
                <w:b/>
                <w:bCs/>
                <w:noProof/>
                <w:kern w:val="0"/>
                <w:sz w:val="20"/>
                <w:szCs w:val="20"/>
              </w:rPr>
            </w:pPr>
            <w:r w:rsidRPr="007C27A1">
              <w:rPr>
                <w:rFonts w:asciiTheme="minorBidi" w:eastAsia="Times New Roman" w:hAnsiTheme="minorBidi"/>
                <w:b/>
                <w:bCs/>
                <w:noProof/>
                <w:kern w:val="0"/>
                <w:sz w:val="20"/>
                <w:szCs w:val="20"/>
              </w:rPr>
              <mc:AlternateContent>
                <mc:Choice Requires="wps">
                  <w:drawing>
                    <wp:anchor distT="0" distB="0" distL="114300" distR="114300" simplePos="0" relativeHeight="251739136" behindDoc="0" locked="0" layoutInCell="1" allowOverlap="1" wp14:anchorId="3D9616AB" wp14:editId="41F067A0">
                      <wp:simplePos x="0" y="0"/>
                      <wp:positionH relativeFrom="column">
                        <wp:posOffset>2293620</wp:posOffset>
                      </wp:positionH>
                      <wp:positionV relativeFrom="paragraph">
                        <wp:posOffset>43815</wp:posOffset>
                      </wp:positionV>
                      <wp:extent cx="1155700" cy="806450"/>
                      <wp:effectExtent l="38100" t="0" r="6350" b="31750"/>
                      <wp:wrapNone/>
                      <wp:docPr id="776198340" name="Arrow: Down 6"/>
                      <wp:cNvGraphicFramePr/>
                      <a:graphic xmlns:a="http://schemas.openxmlformats.org/drawingml/2006/main">
                        <a:graphicData uri="http://schemas.microsoft.com/office/word/2010/wordprocessingShape">
                          <wps:wsp>
                            <wps:cNvSpPr/>
                            <wps:spPr>
                              <a:xfrm>
                                <a:off x="0" y="0"/>
                                <a:ext cx="1155700" cy="80645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DF375F" id="Arrow: Down 6" o:spid="_x0000_s1026" type="#_x0000_t67" style="position:absolute;margin-left:180.6pt;margin-top:3.45pt;width:91pt;height:63.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" adj="10800" fillcolor="#156082" strokecolor="#042433" strokeweight="1pt"/>
                  </w:pict>
                </mc:Fallback>
              </mc:AlternateContent>
            </w:r>
          </w:p>
        </w:tc>
      </w:tr>
      <w:tr w:rsidR="007C27A1" w:rsidRPr="007C27A1" w14:paraId="392D477D" w14:textId="77777777" w:rsidTr="001D4222">
        <w:tc>
          <w:tcPr>
            <w:tcW w:w="9016" w:type="dxa"/>
            <w:gridSpan w:val="5"/>
            <w:tcBorders>
              <w:top w:val="nil"/>
              <w:left w:val="nil"/>
              <w:bottom w:val="nil"/>
              <w:right w:val="nil"/>
            </w:tcBorders>
          </w:tcPr>
          <w:p w14:paraId="562088CF"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r w:rsidRPr="007C27A1">
              <w:rPr>
                <w:rFonts w:asciiTheme="minorBidi" w:eastAsia="Times New Roman" w:hAnsiTheme="minorBidi"/>
                <w:b/>
                <w:bCs/>
                <w:noProof/>
                <w:kern w:val="0"/>
                <w:sz w:val="20"/>
                <w:szCs w:val="20"/>
              </w:rPr>
              <mc:AlternateContent>
                <mc:Choice Requires="wps">
                  <w:drawing>
                    <wp:anchor distT="0" distB="0" distL="114300" distR="114300" simplePos="0" relativeHeight="251732992" behindDoc="0" locked="0" layoutInCell="1" allowOverlap="1" wp14:anchorId="3EC4463C" wp14:editId="0AC72EDC">
                      <wp:simplePos x="0" y="0"/>
                      <wp:positionH relativeFrom="column">
                        <wp:posOffset>1297940</wp:posOffset>
                      </wp:positionH>
                      <wp:positionV relativeFrom="paragraph">
                        <wp:posOffset>-266700</wp:posOffset>
                      </wp:positionV>
                      <wp:extent cx="863600" cy="654050"/>
                      <wp:effectExtent l="19050" t="19050" r="12700" b="31750"/>
                      <wp:wrapNone/>
                      <wp:docPr id="1869140817" name="Arrow: Left 4"/>
                      <wp:cNvGraphicFramePr/>
                      <a:graphic xmlns:a="http://schemas.openxmlformats.org/drawingml/2006/main">
                        <a:graphicData uri="http://schemas.microsoft.com/office/word/2010/wordprocessingShape">
                          <wps:wsp>
                            <wps:cNvSpPr/>
                            <wps:spPr>
                              <a:xfrm>
                                <a:off x="0" y="0"/>
                                <a:ext cx="863600" cy="654050"/>
                              </a:xfrm>
                              <a:prstGeom prst="left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889590" id="Arrow: Left 4" o:spid="_x0000_s1026" type="#_x0000_t66" style="position:absolute;margin-left:102.2pt;margin-top:-21pt;width:68pt;height:51.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" adj="8179" fillcolor="#156082" strokecolor="#042433" strokeweight="1pt"/>
                  </w:pict>
                </mc:Fallback>
              </mc:AlternateContent>
            </w:r>
            <w:r w:rsidRPr="007C27A1">
              <w:rPr>
                <w:rFonts w:asciiTheme="minorBidi" w:eastAsia="Times New Roman" w:hAnsiTheme="minorBidi"/>
                <w:b/>
                <w:bCs/>
                <w:noProof/>
                <w:kern w:val="0"/>
                <w:sz w:val="20"/>
                <w:szCs w:val="20"/>
              </w:rPr>
              <mc:AlternateContent>
                <mc:Choice Requires="wps">
                  <w:drawing>
                    <wp:anchor distT="0" distB="0" distL="114300" distR="114300" simplePos="0" relativeHeight="251731968" behindDoc="0" locked="0" layoutInCell="1" allowOverlap="1" wp14:anchorId="165D7734" wp14:editId="1AB2D218">
                      <wp:simplePos x="0" y="0"/>
                      <wp:positionH relativeFrom="column">
                        <wp:posOffset>3647440</wp:posOffset>
                      </wp:positionH>
                      <wp:positionV relativeFrom="paragraph">
                        <wp:posOffset>-260350</wp:posOffset>
                      </wp:positionV>
                      <wp:extent cx="869950" cy="698500"/>
                      <wp:effectExtent l="0" t="19050" r="44450" b="44450"/>
                      <wp:wrapNone/>
                      <wp:docPr id="509600813" name="Arrow: Right 3"/>
                      <wp:cNvGraphicFramePr/>
                      <a:graphic xmlns:a="http://schemas.openxmlformats.org/drawingml/2006/main">
                        <a:graphicData uri="http://schemas.microsoft.com/office/word/2010/wordprocessingShape">
                          <wps:wsp>
                            <wps:cNvSpPr/>
                            <wps:spPr>
                              <a:xfrm>
                                <a:off x="0" y="0"/>
                                <a:ext cx="869950" cy="698500"/>
                              </a:xfrm>
                              <a:prstGeom prst="right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80D13B" id="Arrow: Right 3" o:spid="_x0000_s1026" type="#_x0000_t13" style="position:absolute;margin-left:287.2pt;margin-top:-20.5pt;width:68.5pt;height:5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" adj="12928" fillcolor="#156082" strokecolor="#042433" strokeweight="1pt"/>
                  </w:pict>
                </mc:Fallback>
              </mc:AlternateContent>
            </w:r>
            <w:r w:rsidRPr="007C27A1">
              <w:rPr>
                <w:rFonts w:asciiTheme="minorBidi" w:eastAsia="Times New Roman" w:hAnsiTheme="minorBidi"/>
                <w:b/>
                <w:bCs/>
                <w:noProof/>
                <w:kern w:val="0"/>
                <w:sz w:val="20"/>
                <w:szCs w:val="20"/>
              </w:rPr>
              <mc:AlternateContent>
                <mc:Choice Requires="wps">
                  <w:drawing>
                    <wp:anchor distT="0" distB="0" distL="114300" distR="114300" simplePos="0" relativeHeight="251742208" behindDoc="0" locked="0" layoutInCell="1" allowOverlap="1" wp14:anchorId="5932B224" wp14:editId="08E8FD9A">
                      <wp:simplePos x="0" y="0"/>
                      <wp:positionH relativeFrom="column">
                        <wp:posOffset>1270</wp:posOffset>
                      </wp:positionH>
                      <wp:positionV relativeFrom="paragraph">
                        <wp:posOffset>-203835</wp:posOffset>
                      </wp:positionV>
                      <wp:extent cx="1155700" cy="704850"/>
                      <wp:effectExtent l="38100" t="0" r="6350" b="38100"/>
                      <wp:wrapNone/>
                      <wp:docPr id="928347868" name="Arrow: Down 6"/>
                      <wp:cNvGraphicFramePr/>
                      <a:graphic xmlns:a="http://schemas.openxmlformats.org/drawingml/2006/main">
                        <a:graphicData uri="http://schemas.microsoft.com/office/word/2010/wordprocessingShape">
                          <wps:wsp>
                            <wps:cNvSpPr/>
                            <wps:spPr>
                              <a:xfrm>
                                <a:off x="0" y="0"/>
                                <a:ext cx="1155700" cy="70485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424C3C" id="Arrow: Down 6" o:spid="_x0000_s1026" type="#_x0000_t67" style="position:absolute;margin-left:.1pt;margin-top:-16.05pt;width:91pt;height:55.5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" adj="10800" fillcolor="#156082" strokecolor="#042433" strokeweight="1pt"/>
                  </w:pict>
                </mc:Fallback>
              </mc:AlternateContent>
            </w:r>
          </w:p>
        </w:tc>
      </w:tr>
      <w:tr w:rsidR="007C27A1" w:rsidRPr="007C27A1" w14:paraId="6FF03111" w14:textId="77777777" w:rsidTr="001D4222">
        <w:tc>
          <w:tcPr>
            <w:tcW w:w="9016" w:type="dxa"/>
            <w:gridSpan w:val="5"/>
            <w:tcBorders>
              <w:top w:val="nil"/>
              <w:left w:val="nil"/>
              <w:bottom w:val="nil"/>
              <w:right w:val="nil"/>
            </w:tcBorders>
          </w:tcPr>
          <w:p w14:paraId="191C5B88" w14:textId="77777777" w:rsidR="007C27A1" w:rsidRPr="007C27A1" w:rsidRDefault="007C27A1" w:rsidP="007C27A1">
            <w:pPr>
              <w:spacing w:line="480" w:lineRule="auto"/>
              <w:jc w:val="center"/>
              <w:rPr>
                <w:rFonts w:asciiTheme="minorBidi" w:eastAsia="Times New Roman" w:hAnsiTheme="minorBidi"/>
                <w:b/>
                <w:bCs/>
                <w:noProof/>
                <w:kern w:val="0"/>
                <w:sz w:val="20"/>
                <w:szCs w:val="20"/>
              </w:rPr>
            </w:pPr>
          </w:p>
        </w:tc>
      </w:tr>
      <w:tr w:rsidR="007C27A1" w:rsidRPr="007C27A1" w14:paraId="22AA4371" w14:textId="77777777" w:rsidTr="001D4222">
        <w:tc>
          <w:tcPr>
            <w:tcW w:w="2689" w:type="dxa"/>
            <w:tcBorders>
              <w:top w:val="nil"/>
              <w:left w:val="nil"/>
              <w:bottom w:val="nil"/>
              <w:right w:val="nil"/>
            </w:tcBorders>
            <w:shd w:val="clear" w:color="auto" w:fill="D9D9D9" w:themeFill="background1" w:themeFillShade="D9"/>
          </w:tcPr>
          <w:p w14:paraId="6C975002"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r w:rsidRPr="007C27A1">
              <w:rPr>
                <w:rFonts w:asciiTheme="minorBidi" w:eastAsia="Times New Roman" w:hAnsiTheme="minorBidi"/>
                <w:b/>
                <w:bCs/>
                <w:kern w:val="0"/>
                <w:sz w:val="20"/>
                <w:szCs w:val="20"/>
                <w14:ligatures w14:val="none"/>
              </w:rPr>
              <w:t>RO 6</w:t>
            </w:r>
          </w:p>
        </w:tc>
        <w:tc>
          <w:tcPr>
            <w:tcW w:w="425" w:type="dxa"/>
            <w:tcBorders>
              <w:top w:val="nil"/>
              <w:left w:val="nil"/>
              <w:bottom w:val="nil"/>
              <w:right w:val="nil"/>
            </w:tcBorders>
          </w:tcPr>
          <w:p w14:paraId="03E5603B"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p>
        </w:tc>
        <w:tc>
          <w:tcPr>
            <w:tcW w:w="3204" w:type="dxa"/>
            <w:tcBorders>
              <w:top w:val="nil"/>
              <w:left w:val="nil"/>
              <w:bottom w:val="nil"/>
              <w:right w:val="nil"/>
            </w:tcBorders>
            <w:shd w:val="clear" w:color="auto" w:fill="D9D9D9" w:themeFill="background1" w:themeFillShade="D9"/>
          </w:tcPr>
          <w:p w14:paraId="11A96285"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r w:rsidRPr="007C27A1">
              <w:rPr>
                <w:rFonts w:asciiTheme="minorBidi" w:eastAsia="Times New Roman" w:hAnsiTheme="minorBidi"/>
                <w:b/>
                <w:bCs/>
                <w:kern w:val="0"/>
                <w:sz w:val="20"/>
                <w:szCs w:val="20"/>
                <w14:ligatures w14:val="none"/>
              </w:rPr>
              <w:t>Chapter 5</w:t>
            </w:r>
          </w:p>
        </w:tc>
        <w:tc>
          <w:tcPr>
            <w:tcW w:w="340" w:type="dxa"/>
            <w:tcBorders>
              <w:top w:val="nil"/>
              <w:left w:val="nil"/>
              <w:bottom w:val="nil"/>
              <w:right w:val="nil"/>
            </w:tcBorders>
          </w:tcPr>
          <w:p w14:paraId="2A354CCD"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p>
        </w:tc>
        <w:tc>
          <w:tcPr>
            <w:tcW w:w="2358" w:type="dxa"/>
            <w:tcBorders>
              <w:top w:val="nil"/>
              <w:left w:val="nil"/>
              <w:bottom w:val="nil"/>
              <w:right w:val="nil"/>
            </w:tcBorders>
            <w:shd w:val="clear" w:color="auto" w:fill="D9D9D9" w:themeFill="background1" w:themeFillShade="D9"/>
          </w:tcPr>
          <w:p w14:paraId="59D02F0F"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r w:rsidRPr="007C27A1">
              <w:rPr>
                <w:rFonts w:asciiTheme="minorBidi" w:eastAsia="Times New Roman" w:hAnsiTheme="minorBidi"/>
                <w:b/>
                <w:bCs/>
                <w:kern w:val="0"/>
                <w:sz w:val="20"/>
                <w:szCs w:val="20"/>
                <w14:ligatures w14:val="none"/>
              </w:rPr>
              <w:t>RQ 6</w:t>
            </w:r>
          </w:p>
        </w:tc>
      </w:tr>
      <w:tr w:rsidR="007C27A1" w:rsidRPr="007C27A1" w14:paraId="4857C531" w14:textId="77777777" w:rsidTr="001D4222">
        <w:tc>
          <w:tcPr>
            <w:tcW w:w="9016" w:type="dxa"/>
            <w:gridSpan w:val="5"/>
            <w:tcBorders>
              <w:top w:val="nil"/>
              <w:left w:val="nil"/>
              <w:bottom w:val="nil"/>
              <w:right w:val="nil"/>
            </w:tcBorders>
          </w:tcPr>
          <w:p w14:paraId="78EA1C97" w14:textId="77777777" w:rsidR="007C27A1" w:rsidRPr="007C27A1" w:rsidRDefault="007C27A1" w:rsidP="007C27A1">
            <w:pPr>
              <w:spacing w:line="480" w:lineRule="auto"/>
              <w:jc w:val="center"/>
              <w:rPr>
                <w:rFonts w:asciiTheme="minorBidi" w:eastAsia="Times New Roman" w:hAnsiTheme="minorBidi"/>
                <w:b/>
                <w:bCs/>
                <w:noProof/>
                <w:kern w:val="0"/>
                <w:sz w:val="20"/>
                <w:szCs w:val="20"/>
              </w:rPr>
            </w:pPr>
          </w:p>
        </w:tc>
      </w:tr>
      <w:tr w:rsidR="007C27A1" w:rsidRPr="007C27A1" w14:paraId="037DF1E0" w14:textId="77777777" w:rsidTr="001D4222">
        <w:tc>
          <w:tcPr>
            <w:tcW w:w="9016" w:type="dxa"/>
            <w:gridSpan w:val="5"/>
            <w:tcBorders>
              <w:top w:val="nil"/>
              <w:left w:val="nil"/>
              <w:bottom w:val="nil"/>
              <w:right w:val="nil"/>
            </w:tcBorders>
          </w:tcPr>
          <w:p w14:paraId="6A34B7D9"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r w:rsidRPr="007C27A1">
              <w:rPr>
                <w:rFonts w:asciiTheme="minorBidi" w:eastAsia="Times New Roman" w:hAnsiTheme="minorBidi"/>
                <w:b/>
                <w:bCs/>
                <w:noProof/>
                <w:kern w:val="0"/>
                <w:sz w:val="20"/>
                <w:szCs w:val="20"/>
              </w:rPr>
              <mc:AlternateContent>
                <mc:Choice Requires="wps">
                  <w:drawing>
                    <wp:anchor distT="0" distB="0" distL="114300" distR="114300" simplePos="0" relativeHeight="251740160" behindDoc="0" locked="0" layoutInCell="1" allowOverlap="1" wp14:anchorId="6D55AD59" wp14:editId="0AE81636">
                      <wp:simplePos x="0" y="0"/>
                      <wp:positionH relativeFrom="column">
                        <wp:posOffset>2293620</wp:posOffset>
                      </wp:positionH>
                      <wp:positionV relativeFrom="paragraph">
                        <wp:posOffset>5715</wp:posOffset>
                      </wp:positionV>
                      <wp:extent cx="1136650" cy="812800"/>
                      <wp:effectExtent l="38100" t="0" r="6350" b="44450"/>
                      <wp:wrapNone/>
                      <wp:docPr id="2062269167" name="Arrow: Down 6"/>
                      <wp:cNvGraphicFramePr/>
                      <a:graphic xmlns:a="http://schemas.openxmlformats.org/drawingml/2006/main">
                        <a:graphicData uri="http://schemas.microsoft.com/office/word/2010/wordprocessingShape">
                          <wps:wsp>
                            <wps:cNvSpPr/>
                            <wps:spPr>
                              <a:xfrm>
                                <a:off x="0" y="0"/>
                                <a:ext cx="1136650" cy="81280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D9550F" id="Arrow: Down 6" o:spid="_x0000_s1026" type="#_x0000_t67" style="position:absolute;margin-left:180.6pt;margin-top:.45pt;width:89.5pt;height:64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" adj="10800" fillcolor="#156082" strokecolor="#042433" strokeweight="1pt"/>
                  </w:pict>
                </mc:Fallback>
              </mc:AlternateContent>
            </w:r>
            <w:r w:rsidRPr="007C27A1">
              <w:rPr>
                <w:rFonts w:asciiTheme="minorBidi" w:eastAsia="Times New Roman" w:hAnsiTheme="minorBidi"/>
                <w:b/>
                <w:bCs/>
                <w:noProof/>
                <w:kern w:val="0"/>
                <w:sz w:val="20"/>
                <w:szCs w:val="20"/>
              </w:rPr>
              <mc:AlternateContent>
                <mc:Choice Requires="wps">
                  <w:drawing>
                    <wp:anchor distT="0" distB="0" distL="114300" distR="114300" simplePos="0" relativeHeight="251735040" behindDoc="0" locked="0" layoutInCell="1" allowOverlap="1" wp14:anchorId="04A8D83B" wp14:editId="5C7C1544">
                      <wp:simplePos x="0" y="0"/>
                      <wp:positionH relativeFrom="column">
                        <wp:posOffset>3493770</wp:posOffset>
                      </wp:positionH>
                      <wp:positionV relativeFrom="paragraph">
                        <wp:posOffset>-216535</wp:posOffset>
                      </wp:positionV>
                      <wp:extent cx="984250" cy="673100"/>
                      <wp:effectExtent l="0" t="19050" r="44450" b="31750"/>
                      <wp:wrapNone/>
                      <wp:docPr id="540166962" name="Arrow: Right 3"/>
                      <wp:cNvGraphicFramePr/>
                      <a:graphic xmlns:a="http://schemas.openxmlformats.org/drawingml/2006/main">
                        <a:graphicData uri="http://schemas.microsoft.com/office/word/2010/wordprocessingShape">
                          <wps:wsp>
                            <wps:cNvSpPr/>
                            <wps:spPr>
                              <a:xfrm>
                                <a:off x="0" y="0"/>
                                <a:ext cx="984250" cy="673100"/>
                              </a:xfrm>
                              <a:prstGeom prst="right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877B8B" id="Arrow: Right 3" o:spid="_x0000_s1026" type="#_x0000_t13" style="position:absolute;margin-left:275.1pt;margin-top:-17.05pt;width:77.5pt;height:53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" adj="14214" fillcolor="#156082" strokecolor="#042433" strokeweight="1pt"/>
                  </w:pict>
                </mc:Fallback>
              </mc:AlternateContent>
            </w:r>
            <w:r w:rsidRPr="007C27A1">
              <w:rPr>
                <w:rFonts w:asciiTheme="minorBidi" w:eastAsia="Times New Roman" w:hAnsiTheme="minorBidi"/>
                <w:b/>
                <w:bCs/>
                <w:noProof/>
                <w:kern w:val="0"/>
                <w:sz w:val="20"/>
                <w:szCs w:val="20"/>
              </w:rPr>
              <mc:AlternateContent>
                <mc:Choice Requires="wps">
                  <w:drawing>
                    <wp:anchor distT="0" distB="0" distL="114300" distR="114300" simplePos="0" relativeHeight="251743232" behindDoc="0" locked="0" layoutInCell="1" allowOverlap="1" wp14:anchorId="1F48B6A2" wp14:editId="43933207">
                      <wp:simplePos x="0" y="0"/>
                      <wp:positionH relativeFrom="column">
                        <wp:posOffset>1270</wp:posOffset>
                      </wp:positionH>
                      <wp:positionV relativeFrom="paragraph">
                        <wp:posOffset>-229235</wp:posOffset>
                      </wp:positionV>
                      <wp:extent cx="1155700" cy="1035050"/>
                      <wp:effectExtent l="19050" t="0" r="44450" b="31750"/>
                      <wp:wrapNone/>
                      <wp:docPr id="74248621" name="Arrow: Down 6"/>
                      <wp:cNvGraphicFramePr/>
                      <a:graphic xmlns:a="http://schemas.openxmlformats.org/drawingml/2006/main">
                        <a:graphicData uri="http://schemas.microsoft.com/office/word/2010/wordprocessingShape">
                          <wps:wsp>
                            <wps:cNvSpPr/>
                            <wps:spPr>
                              <a:xfrm>
                                <a:off x="0" y="0"/>
                                <a:ext cx="1155700" cy="1035050"/>
                              </a:xfrm>
                              <a:prstGeom prst="down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E382AD" id="Arrow: Down 6" o:spid="_x0000_s1026" type="#_x0000_t67" style="position:absolute;margin-left:.1pt;margin-top:-18.05pt;width:91pt;height:81.5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" adj="10800" fillcolor="#156082" strokecolor="#042433" strokeweight="1pt"/>
                  </w:pict>
                </mc:Fallback>
              </mc:AlternateContent>
            </w:r>
            <w:r w:rsidRPr="007C27A1">
              <w:rPr>
                <w:rFonts w:asciiTheme="minorBidi" w:eastAsia="Times New Roman" w:hAnsiTheme="minorBidi"/>
                <w:b/>
                <w:bCs/>
                <w:noProof/>
                <w:kern w:val="0"/>
                <w:sz w:val="20"/>
                <w:szCs w:val="20"/>
              </w:rPr>
              <mc:AlternateContent>
                <mc:Choice Requires="wps">
                  <w:drawing>
                    <wp:anchor distT="0" distB="0" distL="114300" distR="114300" simplePos="0" relativeHeight="251734016" behindDoc="0" locked="0" layoutInCell="1" allowOverlap="1" wp14:anchorId="00F313D5" wp14:editId="084C8B54">
                      <wp:simplePos x="0" y="0"/>
                      <wp:positionH relativeFrom="column">
                        <wp:posOffset>1283970</wp:posOffset>
                      </wp:positionH>
                      <wp:positionV relativeFrom="paragraph">
                        <wp:posOffset>-191135</wp:posOffset>
                      </wp:positionV>
                      <wp:extent cx="939800" cy="673100"/>
                      <wp:effectExtent l="19050" t="19050" r="12700" b="31750"/>
                      <wp:wrapNone/>
                      <wp:docPr id="1009986899" name="Arrow: Left 4"/>
                      <wp:cNvGraphicFramePr/>
                      <a:graphic xmlns:a="http://schemas.openxmlformats.org/drawingml/2006/main">
                        <a:graphicData uri="http://schemas.microsoft.com/office/word/2010/wordprocessingShape">
                          <wps:wsp>
                            <wps:cNvSpPr/>
                            <wps:spPr>
                              <a:xfrm>
                                <a:off x="0" y="0"/>
                                <a:ext cx="939800" cy="673100"/>
                              </a:xfrm>
                              <a:prstGeom prst="leftArrow">
                                <a:avLst/>
                              </a:prstGeom>
                              <a:solidFill>
                                <a:srgbClr val="156082"/>
                              </a:solidFill>
                              <a:ln w="12700" cap="flat" cmpd="sng" algn="ctr">
                                <a:solidFill>
                                  <a:srgbClr val="156082">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37A394" id="Arrow: Left 4" o:spid="_x0000_s1026" type="#_x0000_t66" style="position:absolute;margin-left:101.1pt;margin-top:-15.05pt;width:74pt;height:53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" adj="7735" fillcolor="#156082" strokecolor="#042433" strokeweight="1pt"/>
                  </w:pict>
                </mc:Fallback>
              </mc:AlternateContent>
            </w:r>
          </w:p>
        </w:tc>
      </w:tr>
      <w:tr w:rsidR="007C27A1" w:rsidRPr="007C27A1" w14:paraId="63840B9A" w14:textId="77777777" w:rsidTr="001D4222">
        <w:tc>
          <w:tcPr>
            <w:tcW w:w="9016" w:type="dxa"/>
            <w:gridSpan w:val="5"/>
            <w:tcBorders>
              <w:top w:val="nil"/>
              <w:left w:val="nil"/>
              <w:bottom w:val="nil"/>
              <w:right w:val="nil"/>
            </w:tcBorders>
          </w:tcPr>
          <w:p w14:paraId="11B4E363" w14:textId="77777777" w:rsidR="007C27A1" w:rsidRPr="007C27A1" w:rsidRDefault="007C27A1" w:rsidP="007C27A1">
            <w:pPr>
              <w:spacing w:line="480" w:lineRule="auto"/>
              <w:jc w:val="center"/>
              <w:rPr>
                <w:rFonts w:asciiTheme="minorBidi" w:eastAsia="Times New Roman" w:hAnsiTheme="minorBidi"/>
                <w:b/>
                <w:bCs/>
                <w:noProof/>
                <w:kern w:val="0"/>
                <w:sz w:val="20"/>
                <w:szCs w:val="20"/>
              </w:rPr>
            </w:pPr>
          </w:p>
        </w:tc>
      </w:tr>
      <w:tr w:rsidR="007C27A1" w:rsidRPr="007C27A1" w14:paraId="2516F44F" w14:textId="77777777" w:rsidTr="001D4222">
        <w:tc>
          <w:tcPr>
            <w:tcW w:w="9016" w:type="dxa"/>
            <w:gridSpan w:val="5"/>
            <w:tcBorders>
              <w:top w:val="nil"/>
              <w:left w:val="nil"/>
              <w:bottom w:val="nil"/>
              <w:right w:val="nil"/>
            </w:tcBorders>
          </w:tcPr>
          <w:p w14:paraId="5BBE0D74" w14:textId="77777777" w:rsidR="007C27A1" w:rsidRPr="007C27A1" w:rsidRDefault="007C27A1" w:rsidP="007C27A1">
            <w:pPr>
              <w:spacing w:line="480" w:lineRule="auto"/>
              <w:jc w:val="center"/>
              <w:rPr>
                <w:rFonts w:asciiTheme="minorBidi" w:eastAsia="Times New Roman" w:hAnsiTheme="minorBidi"/>
                <w:b/>
                <w:bCs/>
                <w:noProof/>
                <w:kern w:val="0"/>
                <w:sz w:val="20"/>
                <w:szCs w:val="20"/>
              </w:rPr>
            </w:pPr>
          </w:p>
        </w:tc>
      </w:tr>
      <w:tr w:rsidR="007C27A1" w:rsidRPr="007C27A1" w14:paraId="35837BEF" w14:textId="77777777" w:rsidTr="001D4222">
        <w:tc>
          <w:tcPr>
            <w:tcW w:w="9016" w:type="dxa"/>
            <w:gridSpan w:val="5"/>
            <w:tcBorders>
              <w:top w:val="nil"/>
              <w:left w:val="nil"/>
              <w:bottom w:val="nil"/>
              <w:right w:val="nil"/>
            </w:tcBorders>
            <w:shd w:val="clear" w:color="auto" w:fill="D9D9D9" w:themeFill="background1" w:themeFillShade="D9"/>
          </w:tcPr>
          <w:p w14:paraId="7CA73404" w14:textId="77777777" w:rsidR="007C27A1" w:rsidRPr="007C27A1" w:rsidRDefault="007C27A1" w:rsidP="007C27A1">
            <w:pPr>
              <w:spacing w:line="480" w:lineRule="auto"/>
              <w:jc w:val="center"/>
              <w:rPr>
                <w:rFonts w:asciiTheme="minorBidi" w:eastAsia="Times New Roman" w:hAnsiTheme="minorBidi"/>
                <w:b/>
                <w:bCs/>
                <w:kern w:val="0"/>
                <w:sz w:val="20"/>
                <w:szCs w:val="20"/>
                <w14:ligatures w14:val="none"/>
              </w:rPr>
            </w:pPr>
            <w:r w:rsidRPr="007C27A1">
              <w:rPr>
                <w:rFonts w:asciiTheme="minorBidi" w:eastAsia="Times New Roman" w:hAnsiTheme="minorBidi"/>
                <w:b/>
                <w:bCs/>
                <w:kern w:val="0"/>
                <w:sz w:val="20"/>
                <w:szCs w:val="20"/>
                <w14:ligatures w14:val="none"/>
              </w:rPr>
              <w:t>Research Aim</w:t>
            </w:r>
          </w:p>
        </w:tc>
      </w:tr>
    </w:tbl>
    <w:p w14:paraId="10364AAE" w14:textId="77777777" w:rsidR="007C27A1" w:rsidRPr="007C27A1" w:rsidRDefault="007C27A1" w:rsidP="007C27A1"/>
    <w:p w14:paraId="0DDBBA4C" w14:textId="77777777" w:rsidR="007C27A1" w:rsidRPr="007C27A1" w:rsidRDefault="007C27A1" w:rsidP="007C27A1">
      <w:pPr>
        <w:rPr>
          <w:rFonts w:asciiTheme="minorBidi" w:hAnsiTheme="minorBidi"/>
          <w:b/>
          <w:bCs/>
        </w:rPr>
      </w:pPr>
    </w:p>
    <w:p w14:paraId="4186BB38" w14:textId="77777777" w:rsidR="007C27A1" w:rsidRPr="007C27A1" w:rsidRDefault="007C27A1" w:rsidP="007C27A1">
      <w:pPr>
        <w:rPr>
          <w:rFonts w:asciiTheme="minorBidi" w:hAnsiTheme="minorBidi"/>
          <w:b/>
          <w:bCs/>
        </w:rPr>
      </w:pPr>
      <w:r w:rsidRPr="007C27A1">
        <w:rPr>
          <w:rFonts w:asciiTheme="minorBidi" w:hAnsiTheme="minorBidi"/>
          <w:b/>
          <w:bCs/>
        </w:rPr>
        <w:t>Table 5.2 Research Objective and Research Question Six</w:t>
      </w:r>
    </w:p>
    <w:tbl>
      <w:tblPr>
        <w:tblStyle w:val="TableGrid"/>
        <w:tblW w:w="0" w:type="auto"/>
        <w:tblLook w:val="04A0" w:firstRow="1" w:lastRow="0" w:firstColumn="1" w:lastColumn="0" w:noHBand="0" w:noVBand="1"/>
      </w:tblPr>
      <w:tblGrid>
        <w:gridCol w:w="603"/>
        <w:gridCol w:w="8413"/>
      </w:tblGrid>
      <w:tr w:rsidR="007C27A1" w:rsidRPr="007C27A1" w14:paraId="4F17CAF5" w14:textId="77777777" w:rsidTr="001D4222">
        <w:tc>
          <w:tcPr>
            <w:tcW w:w="603" w:type="dxa"/>
          </w:tcPr>
          <w:p w14:paraId="68C9235D" w14:textId="77777777" w:rsidR="007C27A1" w:rsidRPr="007C27A1" w:rsidRDefault="007C27A1" w:rsidP="007C27A1">
            <w:pPr>
              <w:spacing w:line="360" w:lineRule="auto"/>
              <w:contextualSpacing/>
              <w:jc w:val="both"/>
              <w:rPr>
                <w:rFonts w:asciiTheme="minorBidi" w:hAnsiTheme="minorBidi"/>
                <w:i/>
                <w:iCs/>
                <w:sz w:val="22"/>
                <w:szCs w:val="22"/>
              </w:rPr>
            </w:pPr>
            <w:r w:rsidRPr="007C27A1">
              <w:rPr>
                <w:rFonts w:asciiTheme="minorBidi" w:hAnsiTheme="minorBidi"/>
                <w:i/>
                <w:iCs/>
                <w:sz w:val="22"/>
                <w:szCs w:val="22"/>
              </w:rPr>
              <w:t>6</w:t>
            </w:r>
          </w:p>
        </w:tc>
        <w:tc>
          <w:tcPr>
            <w:tcW w:w="8413" w:type="dxa"/>
          </w:tcPr>
          <w:p w14:paraId="075EA6B1" w14:textId="77777777" w:rsidR="007C27A1" w:rsidRPr="007C27A1" w:rsidRDefault="007C27A1" w:rsidP="007C27A1">
            <w:pPr>
              <w:spacing w:line="360" w:lineRule="auto"/>
              <w:jc w:val="both"/>
              <w:rPr>
                <w:rFonts w:asciiTheme="minorBidi" w:eastAsia="Times New Roman" w:hAnsiTheme="minorBidi"/>
                <w:kern w:val="0"/>
                <w:sz w:val="22"/>
                <w:szCs w:val="22"/>
                <w14:ligatures w14:val="none"/>
              </w:rPr>
            </w:pPr>
            <w:r w:rsidRPr="007C27A1">
              <w:rPr>
                <w:rFonts w:asciiTheme="minorBidi" w:hAnsiTheme="minorBidi"/>
                <w:b/>
                <w:bCs/>
                <w:sz w:val="22"/>
                <w:szCs w:val="22"/>
                <w:u w:val="single"/>
              </w:rPr>
              <w:t>Objective 6</w:t>
            </w:r>
            <w:r w:rsidRPr="007C27A1">
              <w:rPr>
                <w:rFonts w:asciiTheme="minorBidi" w:hAnsiTheme="minorBidi"/>
                <w:sz w:val="22"/>
                <w:szCs w:val="22"/>
                <w:u w:val="single"/>
              </w:rPr>
              <w:t>:</w:t>
            </w:r>
            <w:r w:rsidRPr="007C27A1">
              <w:rPr>
                <w:rFonts w:asciiTheme="minorBidi" w:eastAsia="Times New Roman" w:hAnsiTheme="minorBidi"/>
                <w:kern w:val="0"/>
                <w:sz w:val="22"/>
                <w:szCs w:val="22"/>
                <w14:ligatures w14:val="none"/>
              </w:rPr>
              <w:t xml:space="preserve"> </w:t>
            </w:r>
            <w:r w:rsidRPr="007C27A1">
              <w:rPr>
                <w:rFonts w:asciiTheme="minorBidi" w:hAnsiTheme="minorBidi"/>
                <w:sz w:val="22"/>
                <w:szCs w:val="22"/>
              </w:rPr>
              <w:t>To propose a structured theoretical model, for consideration by the global accounting profession, with a view to implementation.</w:t>
            </w:r>
          </w:p>
          <w:p w14:paraId="552D8A19" w14:textId="77777777" w:rsidR="007C27A1" w:rsidRPr="007C27A1" w:rsidRDefault="007C27A1" w:rsidP="007C27A1">
            <w:pPr>
              <w:spacing w:line="360" w:lineRule="auto"/>
              <w:jc w:val="both"/>
              <w:rPr>
                <w:rFonts w:asciiTheme="minorBidi" w:hAnsiTheme="minorBidi"/>
                <w:sz w:val="22"/>
                <w:szCs w:val="22"/>
                <w:u w:val="single"/>
              </w:rPr>
            </w:pPr>
            <w:r w:rsidRPr="007C27A1">
              <w:rPr>
                <w:rFonts w:asciiTheme="minorBidi" w:hAnsiTheme="minorBidi"/>
                <w:b/>
                <w:bCs/>
                <w:sz w:val="22"/>
                <w:szCs w:val="22"/>
                <w:u w:val="single"/>
              </w:rPr>
              <w:t>Question 6:</w:t>
            </w:r>
            <w:r w:rsidRPr="007C27A1">
              <w:rPr>
                <w:rFonts w:asciiTheme="minorBidi" w:eastAsia="Times New Roman" w:hAnsiTheme="minorBidi"/>
                <w:kern w:val="0"/>
                <w:sz w:val="22"/>
                <w:szCs w:val="22"/>
                <w14:ligatures w14:val="none"/>
              </w:rPr>
              <w:t xml:space="preserve"> </w:t>
            </w:r>
            <w:r w:rsidRPr="007C27A1">
              <w:rPr>
                <w:rFonts w:asciiTheme="minorBidi" w:hAnsiTheme="minorBidi"/>
                <w:sz w:val="22"/>
                <w:szCs w:val="22"/>
              </w:rPr>
              <w:t>What are the alternatives to Blockchain Technology which may influence the behaviour of the CPA and lessen Accounting Fraud?</w:t>
            </w:r>
          </w:p>
        </w:tc>
      </w:tr>
    </w:tbl>
    <w:p w14:paraId="5ED1E5BB" w14:textId="77777777" w:rsidR="007C27A1" w:rsidRPr="007C27A1" w:rsidRDefault="007C27A1" w:rsidP="007C27A1"/>
    <w:bookmarkStart w:id="787" w:name="D123"/>
    <w:p w14:paraId="356710C6" w14:textId="13B11F58" w:rsidR="007C27A1" w:rsidRPr="007C27A1" w:rsidRDefault="00491902" w:rsidP="00C442B2">
      <w:pPr>
        <w:pBdr>
          <w:top w:val="single" w:sz="4" w:space="1" w:color="auto"/>
          <w:left w:val="single" w:sz="4" w:space="4" w:color="auto"/>
          <w:bottom w:val="single" w:sz="4" w:space="1" w:color="auto"/>
          <w:right w:val="single" w:sz="4" w:space="4" w:color="auto"/>
        </w:pBdr>
        <w:spacing w:before="100" w:beforeAutospacing="1" w:after="100" w:afterAutospacing="1" w:line="240" w:lineRule="auto"/>
        <w:jc w:val="both"/>
        <w:rPr>
          <w:rFonts w:ascii="Arial" w:eastAsiaTheme="minorHAnsi" w:hAnsi="Arial" w:cs="Arial"/>
          <w:b/>
          <w:bCs/>
          <w:kern w:val="0"/>
          <w:lang w:eastAsia="en-US"/>
          <w14:ligatures w14:val="none"/>
        </w:rPr>
      </w:pPr>
      <w:r>
        <w:rPr>
          <w:rFonts w:ascii="Arial" w:eastAsiaTheme="minorHAnsi" w:hAnsi="Arial" w:cs="Arial"/>
          <w:b/>
          <w:bCs/>
          <w:kern w:val="0"/>
          <w:lang w:eastAsia="en-US"/>
          <w14:ligatures w14:val="none"/>
        </w:rPr>
        <w:fldChar w:fldCharType="begin"/>
      </w:r>
      <w:r>
        <w:rPr>
          <w:rFonts w:ascii="Arial" w:eastAsiaTheme="minorHAnsi" w:hAnsi="Arial" w:cs="Arial"/>
          <w:b/>
          <w:bCs/>
          <w:kern w:val="0"/>
          <w:lang w:eastAsia="en-US"/>
          <w14:ligatures w14:val="none"/>
        </w:rPr>
        <w:instrText>HYPERLINK  \l "C123"</w:instrText>
      </w:r>
      <w:r>
        <w:rPr>
          <w:rFonts w:ascii="Arial" w:eastAsiaTheme="minorHAnsi" w:hAnsi="Arial" w:cs="Arial"/>
          <w:b/>
          <w:bCs/>
          <w:kern w:val="0"/>
          <w:lang w:eastAsia="en-US"/>
          <w14:ligatures w14:val="none"/>
        </w:rPr>
      </w:r>
      <w:r>
        <w:rPr>
          <w:rFonts w:ascii="Arial" w:eastAsiaTheme="minorHAnsi" w:hAnsi="Arial" w:cs="Arial"/>
          <w:b/>
          <w:bCs/>
          <w:kern w:val="0"/>
          <w:lang w:eastAsia="en-US"/>
          <w14:ligatures w14:val="none"/>
        </w:rPr>
        <w:fldChar w:fldCharType="separate"/>
      </w:r>
      <w:r w:rsidR="007C27A1" w:rsidRPr="00491902">
        <w:rPr>
          <w:rStyle w:val="Hyperlink"/>
          <w:rFonts w:ascii="Arial" w:eastAsiaTheme="minorHAnsi" w:hAnsi="Arial" w:cs="Arial"/>
          <w:b/>
          <w:bCs/>
          <w:kern w:val="0"/>
          <w:lang w:eastAsia="en-US"/>
          <w14:ligatures w14:val="none"/>
        </w:rPr>
        <w:t>5.1 Introduction</w:t>
      </w:r>
      <w:r>
        <w:rPr>
          <w:rFonts w:ascii="Arial" w:eastAsiaTheme="minorHAnsi" w:hAnsi="Arial" w:cs="Arial"/>
          <w:b/>
          <w:bCs/>
          <w:kern w:val="0"/>
          <w:lang w:eastAsia="en-US"/>
          <w14:ligatures w14:val="none"/>
        </w:rPr>
        <w:fldChar w:fldCharType="end"/>
      </w:r>
    </w:p>
    <w:bookmarkEnd w:id="787"/>
    <w:p w14:paraId="4DFB4D9A" w14:textId="7735C153" w:rsidR="007C27A1" w:rsidRPr="007C27A1" w:rsidRDefault="007C27A1" w:rsidP="007C27A1">
      <w:pPr>
        <w:spacing w:before="100" w:beforeAutospacing="1" w:after="100" w:afterAutospacing="1" w:line="480" w:lineRule="auto"/>
        <w:jc w:val="both"/>
        <w:rPr>
          <w:rFonts w:ascii="Arial" w:eastAsiaTheme="minorHAnsi" w:hAnsi="Arial" w:cs="Arial"/>
          <w:color w:val="0D0D0D" w:themeColor="text1" w:themeTint="F2"/>
          <w:kern w:val="0"/>
          <w:lang w:eastAsia="en-US"/>
          <w14:ligatures w14:val="none"/>
        </w:rPr>
      </w:pPr>
      <w:r w:rsidRPr="007C27A1">
        <w:rPr>
          <w:rFonts w:ascii="Arial" w:eastAsiaTheme="minorHAnsi" w:hAnsi="Arial" w:cs="Arial"/>
          <w:color w:val="0D0D0D" w:themeColor="text1" w:themeTint="F2"/>
          <w:kern w:val="0"/>
          <w:lang w:eastAsia="en-US"/>
          <w14:ligatures w14:val="none"/>
        </w:rPr>
        <w:t xml:space="preserve">Accounting Fraud is a special kind of fraud as extensively argued in Chapter 2 despite its deep negative socio-economic effects, and already noted improvements in legislation such as the Sarbanes-Oxley Act of 2002, significant advances in internal controls, 'Many Eyes Are </w:t>
      </w:r>
      <w:proofErr w:type="gramStart"/>
      <w:r w:rsidRPr="007C27A1">
        <w:rPr>
          <w:rFonts w:ascii="Arial" w:eastAsiaTheme="minorHAnsi" w:hAnsi="Arial" w:cs="Arial"/>
          <w:color w:val="0D0D0D" w:themeColor="text1" w:themeTint="F2"/>
          <w:kern w:val="0"/>
          <w:lang w:eastAsia="en-US"/>
          <w14:ligatures w14:val="none"/>
        </w:rPr>
        <w:t>On</w:t>
      </w:r>
      <w:proofErr w:type="gramEnd"/>
      <w:r w:rsidRPr="007C27A1">
        <w:rPr>
          <w:rFonts w:ascii="Arial" w:eastAsiaTheme="minorHAnsi" w:hAnsi="Arial" w:cs="Arial"/>
          <w:color w:val="0D0D0D" w:themeColor="text1" w:themeTint="F2"/>
          <w:kern w:val="0"/>
          <w:lang w:eastAsia="en-US"/>
          <w14:ligatures w14:val="none"/>
        </w:rPr>
        <w:t xml:space="preserve"> the Lookout for Fraud' including academics; analysts; and regulators, incentivising the reporting / whistle blowing of Accounting Fraud through the Frank-Dodds Act 2014</w:t>
      </w:r>
      <w:r w:rsidRPr="007C27A1">
        <w:rPr>
          <w:rFonts w:ascii="Arial" w:eastAsiaTheme="minorHAnsi" w:hAnsi="Arial" w:cs="Arial"/>
          <w:i/>
          <w:iCs/>
          <w:color w:val="0D0D0D" w:themeColor="text1" w:themeTint="F2"/>
          <w:kern w:val="0"/>
          <w:lang w:eastAsia="en-US"/>
          <w14:ligatures w14:val="none"/>
        </w:rPr>
        <w:t xml:space="preserve"> </w:t>
      </w:r>
      <w:r w:rsidRPr="007C27A1">
        <w:rPr>
          <w:rFonts w:ascii="Arial" w:eastAsiaTheme="minorHAnsi" w:hAnsi="Arial" w:cs="Arial"/>
          <w:b/>
          <w:bCs/>
          <w:i/>
          <w:iCs/>
          <w:color w:val="0D0D0D" w:themeColor="text1" w:themeTint="F2"/>
          <w:kern w:val="0"/>
          <w:lang w:eastAsia="en-US"/>
          <w14:ligatures w14:val="none"/>
        </w:rPr>
        <w:t>this nefarious phenomenon continues</w:t>
      </w:r>
      <w:r w:rsidRPr="007C27A1">
        <w:rPr>
          <w:rFonts w:ascii="Arial" w:eastAsiaTheme="minorHAnsi" w:hAnsi="Arial" w:cs="Arial"/>
          <w:i/>
          <w:iCs/>
          <w:color w:val="0D0D0D" w:themeColor="text1" w:themeTint="F2"/>
          <w:kern w:val="0"/>
          <w:lang w:eastAsia="en-US"/>
          <w14:ligatures w14:val="none"/>
        </w:rPr>
        <w:t>.</w:t>
      </w:r>
      <w:r w:rsidRPr="007C27A1">
        <w:rPr>
          <w:rFonts w:ascii="Arial" w:eastAsia="Times New Roman" w:hAnsi="Arial" w:cs="Arial"/>
          <w:color w:val="0D0D0D" w:themeColor="text1" w:themeTint="F2"/>
          <w:kern w:val="0"/>
          <w:lang w:eastAsia="en-GB"/>
          <w14:ligatures w14:val="none"/>
        </w:rPr>
        <w:t xml:space="preserve"> According to the Association for Certified Fraud Examiners (2022), in their 12</w:t>
      </w:r>
      <w:r w:rsidRPr="007C27A1">
        <w:rPr>
          <w:rFonts w:ascii="Arial" w:eastAsia="Times New Roman" w:hAnsi="Arial" w:cs="Arial"/>
          <w:color w:val="0D0D0D" w:themeColor="text1" w:themeTint="F2"/>
          <w:kern w:val="0"/>
          <w:vertAlign w:val="superscript"/>
          <w:lang w:eastAsia="en-GB"/>
          <w14:ligatures w14:val="none"/>
        </w:rPr>
        <w:t>th</w:t>
      </w:r>
      <w:r w:rsidRPr="007C27A1">
        <w:rPr>
          <w:rFonts w:ascii="Arial" w:eastAsia="Times New Roman" w:hAnsi="Arial" w:cs="Arial"/>
          <w:color w:val="0D0D0D" w:themeColor="text1" w:themeTint="F2"/>
          <w:kern w:val="0"/>
          <w:lang w:eastAsia="en-GB"/>
          <w14:ligatures w14:val="none"/>
        </w:rPr>
        <w:t xml:space="preserve"> Edition of their Report to the Nations, the average fraud loss is USD 1.8 million dollar. The most prevalent fraud being asset misappropriation and the most devastating being financial statement manipulation or Accounting</w:t>
      </w:r>
      <w:r w:rsidRPr="007C27A1">
        <w:rPr>
          <w:rFonts w:ascii="Arial" w:eastAsiaTheme="minorHAnsi" w:hAnsi="Arial" w:cs="Arial"/>
          <w:color w:val="0D0D0D" w:themeColor="text1" w:themeTint="F2"/>
          <w:kern w:val="0"/>
          <w:lang w:eastAsia="en-US"/>
          <w14:ligatures w14:val="none"/>
        </w:rPr>
        <w:t xml:space="preserve"> Fraud </w:t>
      </w:r>
      <w:r w:rsidRPr="007C27A1">
        <w:rPr>
          <w:rFonts w:ascii="Arial" w:eastAsia="Times New Roman" w:hAnsi="Arial" w:cs="Arial"/>
          <w:color w:val="0D0D0D" w:themeColor="text1" w:themeTint="F2"/>
          <w:kern w:val="0"/>
          <w:lang w:eastAsia="en-GB"/>
          <w14:ligatures w14:val="none"/>
        </w:rPr>
        <w:t xml:space="preserve">which only accounted for 9% of cases but results in a median loss of $593,000. Consequently, this study </w:t>
      </w:r>
      <w:r w:rsidRPr="007C27A1">
        <w:rPr>
          <w:rFonts w:ascii="Arial" w:eastAsiaTheme="minorHAnsi" w:hAnsi="Arial" w:cs="Arial"/>
          <w:color w:val="0D0D0D" w:themeColor="text1" w:themeTint="F2"/>
          <w:kern w:val="0"/>
          <w:lang w:eastAsia="en-US"/>
          <w14:ligatures w14:val="none"/>
        </w:rPr>
        <w:t xml:space="preserve">explored whether the Corporate Psychopath Accountant could be identified, modelled, and ultimately constrained. The interest in the latter fascinating yet negative occurrence </w:t>
      </w:r>
      <w:r w:rsidRPr="007C27A1">
        <w:rPr>
          <w:rFonts w:ascii="Arial" w:eastAsiaTheme="minorHAnsi" w:hAnsi="Arial" w:cs="Arial"/>
          <w:color w:val="0D0D0D" w:themeColor="text1" w:themeTint="F2"/>
          <w:kern w:val="0"/>
          <w:lang w:eastAsia="en-US"/>
          <w14:ligatures w14:val="none"/>
        </w:rPr>
        <w:lastRenderedPageBreak/>
        <w:t xml:space="preserve">was sparked by the </w:t>
      </w:r>
      <w:r w:rsidR="009F6526">
        <w:rPr>
          <w:rFonts w:ascii="Arial" w:hAnsi="Arial" w:cs="Arial"/>
          <w:color w:val="000000" w:themeColor="text1"/>
        </w:rPr>
        <w:t>researcher</w:t>
      </w:r>
      <w:r w:rsidRPr="007C27A1">
        <w:rPr>
          <w:rFonts w:ascii="Arial" w:eastAsiaTheme="minorHAnsi" w:hAnsi="Arial" w:cs="Arial"/>
          <w:color w:val="0D0D0D" w:themeColor="text1" w:themeTint="F2"/>
          <w:kern w:val="0"/>
          <w:lang w:eastAsia="en-US"/>
          <w14:ligatures w14:val="none"/>
        </w:rPr>
        <w:t xml:space="preserve">s forensic accounting teaching and work experience and deep interest in why Accounting Fraud continues. </w:t>
      </w:r>
    </w:p>
    <w:p w14:paraId="3CDCE656" w14:textId="13D6CDB8" w:rsidR="007C27A1" w:rsidRPr="007C27A1" w:rsidRDefault="007C27A1" w:rsidP="007C27A1">
      <w:pPr>
        <w:spacing w:line="480" w:lineRule="auto"/>
        <w:jc w:val="both"/>
        <w:rPr>
          <w:rFonts w:ascii="Arial" w:eastAsiaTheme="minorHAnsi" w:hAnsi="Arial" w:cs="Arial"/>
          <w:color w:val="0D0D0D" w:themeColor="text1" w:themeTint="F2"/>
          <w:kern w:val="0"/>
          <w:lang w:eastAsia="en-US"/>
          <w14:ligatures w14:val="none"/>
        </w:rPr>
      </w:pPr>
      <w:r w:rsidRPr="007C27A1">
        <w:rPr>
          <w:rFonts w:ascii="Arial" w:eastAsiaTheme="minorHAnsi" w:hAnsi="Arial" w:cs="Arial"/>
          <w:color w:val="0D0D0D" w:themeColor="text1" w:themeTint="F2"/>
          <w:kern w:val="0"/>
          <w:lang w:eastAsia="en-US"/>
          <w14:ligatures w14:val="none"/>
        </w:rPr>
        <w:t>The next section will summarise the extent to which the Research Aim, Research Objectives (1 – 5</w:t>
      </w:r>
      <w:r w:rsidR="00E52C81" w:rsidRPr="007C27A1">
        <w:rPr>
          <w:rFonts w:ascii="Arial" w:eastAsiaTheme="minorHAnsi" w:hAnsi="Arial" w:cs="Arial"/>
          <w:color w:val="0D0D0D" w:themeColor="text1" w:themeTint="F2"/>
          <w:kern w:val="0"/>
          <w:lang w:eastAsia="en-US"/>
          <w14:ligatures w14:val="none"/>
        </w:rPr>
        <w:t>) and</w:t>
      </w:r>
      <w:r w:rsidRPr="007C27A1">
        <w:rPr>
          <w:rFonts w:ascii="Arial" w:eastAsiaTheme="minorHAnsi" w:hAnsi="Arial" w:cs="Arial"/>
          <w:color w:val="0D0D0D" w:themeColor="text1" w:themeTint="F2"/>
          <w:kern w:val="0"/>
          <w:lang w:eastAsia="en-US"/>
          <w14:ligatures w14:val="none"/>
        </w:rPr>
        <w:t xml:space="preserve"> Research Questions (1 – 5) were addressed, see Table 5.3.</w:t>
      </w:r>
    </w:p>
    <w:p w14:paraId="017D3F79" w14:textId="77777777" w:rsidR="007C27A1" w:rsidRPr="007C27A1" w:rsidRDefault="007C27A1" w:rsidP="007C27A1">
      <w:pPr>
        <w:rPr>
          <w:rFonts w:asciiTheme="minorBidi" w:hAnsiTheme="minorBidi"/>
          <w:b/>
          <w:bCs/>
        </w:rPr>
      </w:pPr>
      <w:r w:rsidRPr="007C27A1">
        <w:rPr>
          <w:rFonts w:ascii="Arial" w:eastAsiaTheme="minorHAnsi" w:hAnsi="Arial" w:cs="Arial"/>
          <w:b/>
          <w:bCs/>
          <w:color w:val="0D0D0D" w:themeColor="text1" w:themeTint="F2"/>
          <w:kern w:val="0"/>
          <w:lang w:eastAsia="en-US"/>
          <w14:ligatures w14:val="none"/>
        </w:rPr>
        <w:t xml:space="preserve">Table 5.3 </w:t>
      </w:r>
      <w:r w:rsidRPr="007C27A1">
        <w:rPr>
          <w:rFonts w:asciiTheme="minorBidi" w:hAnsiTheme="minorBidi"/>
          <w:b/>
          <w:bCs/>
        </w:rPr>
        <w:t>Overall Research Aim, Research Objectives and Research Questions</w:t>
      </w:r>
    </w:p>
    <w:tbl>
      <w:tblPr>
        <w:tblStyle w:val="TableGrid"/>
        <w:tblW w:w="0" w:type="auto"/>
        <w:tblLook w:val="04A0" w:firstRow="1" w:lastRow="0" w:firstColumn="1" w:lastColumn="0" w:noHBand="0" w:noVBand="1"/>
      </w:tblPr>
      <w:tblGrid>
        <w:gridCol w:w="603"/>
        <w:gridCol w:w="8413"/>
      </w:tblGrid>
      <w:tr w:rsidR="007C27A1" w:rsidRPr="007C27A1" w14:paraId="2AABE450" w14:textId="77777777" w:rsidTr="001D4222">
        <w:trPr>
          <w:trHeight w:val="1067"/>
        </w:trPr>
        <w:tc>
          <w:tcPr>
            <w:tcW w:w="9016" w:type="dxa"/>
            <w:gridSpan w:val="2"/>
            <w:shd w:val="clear" w:color="auto" w:fill="D9D9D9" w:themeFill="background1" w:themeFillShade="D9"/>
          </w:tcPr>
          <w:p w14:paraId="3CF8AA59" w14:textId="77777777" w:rsidR="007C27A1" w:rsidRPr="007C27A1" w:rsidRDefault="007C27A1" w:rsidP="007C27A1">
            <w:pPr>
              <w:spacing w:before="240" w:after="240" w:line="360" w:lineRule="auto"/>
              <w:ind w:right="113"/>
              <w:jc w:val="both"/>
              <w:rPr>
                <w:rFonts w:asciiTheme="minorBidi" w:eastAsiaTheme="minorHAnsi" w:hAnsiTheme="minorBidi"/>
                <w:b/>
                <w:bCs/>
                <w:i/>
                <w:iCs/>
                <w:kern w:val="0"/>
                <w:sz w:val="22"/>
                <w:szCs w:val="22"/>
                <w:lang w:eastAsia="en-US"/>
                <w14:ligatures w14:val="none"/>
              </w:rPr>
            </w:pPr>
            <w:r w:rsidRPr="007C27A1">
              <w:rPr>
                <w:rFonts w:asciiTheme="minorBidi" w:eastAsiaTheme="minorHAnsi" w:hAnsiTheme="minorBidi"/>
                <w:b/>
                <w:bCs/>
                <w:i/>
                <w:iCs/>
                <w:kern w:val="0"/>
                <w:sz w:val="22"/>
                <w:szCs w:val="22"/>
                <w:u w:val="single"/>
                <w:lang w:eastAsia="en-US"/>
                <w14:ligatures w14:val="none"/>
              </w:rPr>
              <w:t>Research Aim</w:t>
            </w:r>
            <w:r w:rsidRPr="007C27A1">
              <w:rPr>
                <w:rFonts w:asciiTheme="minorBidi" w:eastAsiaTheme="minorHAnsi" w:hAnsiTheme="minorBidi"/>
                <w:b/>
                <w:bCs/>
                <w:i/>
                <w:iCs/>
                <w:kern w:val="0"/>
                <w:sz w:val="22"/>
                <w:szCs w:val="22"/>
                <w:lang w:eastAsia="en-US"/>
                <w14:ligatures w14:val="none"/>
              </w:rPr>
              <w:t>: To what extent can Blockchain Technology influence the behaviour of the Corporate Psychopath and reduce Accounting Fraud</w:t>
            </w:r>
          </w:p>
        </w:tc>
      </w:tr>
      <w:tr w:rsidR="007C27A1" w:rsidRPr="007C27A1" w14:paraId="30EEAA38" w14:textId="77777777" w:rsidTr="001D4222">
        <w:tc>
          <w:tcPr>
            <w:tcW w:w="603" w:type="dxa"/>
          </w:tcPr>
          <w:p w14:paraId="1F62970C" w14:textId="77777777" w:rsidR="007C27A1" w:rsidRPr="007C27A1" w:rsidRDefault="007C27A1" w:rsidP="007C27A1">
            <w:pPr>
              <w:spacing w:line="360" w:lineRule="auto"/>
              <w:contextualSpacing/>
              <w:jc w:val="both"/>
              <w:rPr>
                <w:rFonts w:asciiTheme="minorBidi" w:hAnsiTheme="minorBidi"/>
                <w:b/>
                <w:bCs/>
                <w:i/>
                <w:iCs/>
                <w:sz w:val="22"/>
                <w:szCs w:val="22"/>
              </w:rPr>
            </w:pPr>
            <w:r w:rsidRPr="007C27A1">
              <w:rPr>
                <w:rFonts w:asciiTheme="minorBidi" w:hAnsiTheme="minorBidi"/>
                <w:b/>
                <w:bCs/>
                <w:i/>
                <w:iCs/>
                <w:sz w:val="22"/>
                <w:szCs w:val="22"/>
              </w:rPr>
              <w:t>No.</w:t>
            </w:r>
          </w:p>
        </w:tc>
        <w:tc>
          <w:tcPr>
            <w:tcW w:w="8413" w:type="dxa"/>
            <w:shd w:val="clear" w:color="auto" w:fill="D9D9D9" w:themeFill="background1" w:themeFillShade="D9"/>
          </w:tcPr>
          <w:p w14:paraId="244973DD" w14:textId="77777777" w:rsidR="007C27A1" w:rsidRPr="007C27A1" w:rsidRDefault="007C27A1" w:rsidP="007C27A1">
            <w:pPr>
              <w:spacing w:line="360" w:lineRule="auto"/>
              <w:contextualSpacing/>
              <w:jc w:val="both"/>
              <w:rPr>
                <w:rFonts w:asciiTheme="minorBidi" w:hAnsiTheme="minorBidi"/>
                <w:b/>
                <w:bCs/>
                <w:i/>
                <w:iCs/>
                <w:sz w:val="22"/>
                <w:szCs w:val="22"/>
                <w:u w:val="single"/>
              </w:rPr>
            </w:pPr>
            <w:r w:rsidRPr="007C27A1">
              <w:rPr>
                <w:rFonts w:asciiTheme="minorBidi" w:hAnsiTheme="minorBidi"/>
                <w:b/>
                <w:bCs/>
                <w:i/>
                <w:iCs/>
                <w:sz w:val="22"/>
                <w:szCs w:val="22"/>
                <w:u w:val="single"/>
              </w:rPr>
              <w:t>Research Objectives &amp; Questions</w:t>
            </w:r>
          </w:p>
        </w:tc>
      </w:tr>
      <w:tr w:rsidR="007C27A1" w:rsidRPr="007C27A1" w14:paraId="5CD97FDF" w14:textId="77777777" w:rsidTr="001D4222">
        <w:tc>
          <w:tcPr>
            <w:tcW w:w="603" w:type="dxa"/>
          </w:tcPr>
          <w:p w14:paraId="4F050461" w14:textId="77777777" w:rsidR="007C27A1" w:rsidRPr="007C27A1" w:rsidRDefault="007C27A1" w:rsidP="007C27A1">
            <w:pPr>
              <w:spacing w:line="360" w:lineRule="auto"/>
              <w:contextualSpacing/>
              <w:jc w:val="both"/>
              <w:rPr>
                <w:rFonts w:asciiTheme="minorBidi" w:hAnsiTheme="minorBidi"/>
                <w:i/>
                <w:iCs/>
                <w:sz w:val="22"/>
                <w:szCs w:val="22"/>
              </w:rPr>
            </w:pPr>
            <w:r w:rsidRPr="007C27A1">
              <w:rPr>
                <w:rFonts w:asciiTheme="minorBidi" w:hAnsiTheme="minorBidi"/>
                <w:i/>
                <w:iCs/>
                <w:sz w:val="22"/>
                <w:szCs w:val="22"/>
              </w:rPr>
              <w:t>1</w:t>
            </w:r>
          </w:p>
        </w:tc>
        <w:tc>
          <w:tcPr>
            <w:tcW w:w="8413" w:type="dxa"/>
          </w:tcPr>
          <w:p w14:paraId="0E85D582" w14:textId="77777777" w:rsidR="007C27A1" w:rsidRPr="007C27A1" w:rsidRDefault="007C27A1" w:rsidP="007C27A1">
            <w:pPr>
              <w:spacing w:line="360" w:lineRule="auto"/>
              <w:jc w:val="both"/>
              <w:rPr>
                <w:rFonts w:asciiTheme="minorBidi" w:hAnsiTheme="minorBidi"/>
                <w:sz w:val="22"/>
                <w:szCs w:val="22"/>
              </w:rPr>
            </w:pPr>
            <w:r w:rsidRPr="007C27A1">
              <w:rPr>
                <w:rFonts w:asciiTheme="minorBidi" w:hAnsiTheme="minorBidi"/>
                <w:b/>
                <w:bCs/>
                <w:sz w:val="22"/>
                <w:szCs w:val="22"/>
                <w:u w:val="single"/>
              </w:rPr>
              <w:t>Objective 1:</w:t>
            </w:r>
            <w:r w:rsidRPr="007C27A1">
              <w:rPr>
                <w:rFonts w:asciiTheme="minorBidi" w:hAnsiTheme="minorBidi"/>
                <w:sz w:val="22"/>
                <w:szCs w:val="22"/>
              </w:rPr>
              <w:t xml:space="preserve"> To undertake a broad review and synthesis of existing literature on Accounting Fraud, identifying key themes &amp; techniques, findings, and gaps in the research.</w:t>
            </w:r>
          </w:p>
          <w:p w14:paraId="3F5C8EA7" w14:textId="77777777" w:rsidR="007C27A1" w:rsidRPr="007C27A1" w:rsidRDefault="007C27A1" w:rsidP="007C27A1">
            <w:pPr>
              <w:spacing w:line="360" w:lineRule="auto"/>
              <w:jc w:val="both"/>
              <w:rPr>
                <w:rFonts w:asciiTheme="minorBidi" w:hAnsiTheme="minorBidi"/>
                <w:sz w:val="22"/>
                <w:szCs w:val="22"/>
              </w:rPr>
            </w:pPr>
            <w:r w:rsidRPr="007C27A1">
              <w:rPr>
                <w:rFonts w:asciiTheme="minorBidi" w:hAnsiTheme="minorBidi"/>
                <w:b/>
                <w:bCs/>
                <w:sz w:val="22"/>
                <w:szCs w:val="22"/>
                <w:u w:val="single"/>
              </w:rPr>
              <w:t>Question 1:</w:t>
            </w:r>
            <w:r w:rsidRPr="007C27A1">
              <w:rPr>
                <w:rFonts w:asciiTheme="minorBidi" w:hAnsiTheme="minorBidi"/>
                <w:sz w:val="22"/>
                <w:szCs w:val="22"/>
              </w:rPr>
              <w:t xml:space="preserve"> What does the current literature state about Accounting Fraud?</w:t>
            </w:r>
          </w:p>
        </w:tc>
      </w:tr>
      <w:tr w:rsidR="007C27A1" w:rsidRPr="007C27A1" w14:paraId="6A5585F4" w14:textId="77777777" w:rsidTr="001D4222">
        <w:tc>
          <w:tcPr>
            <w:tcW w:w="603" w:type="dxa"/>
          </w:tcPr>
          <w:p w14:paraId="1F0B7ABC" w14:textId="77777777" w:rsidR="007C27A1" w:rsidRPr="007C27A1" w:rsidRDefault="007C27A1" w:rsidP="007C27A1">
            <w:pPr>
              <w:spacing w:line="360" w:lineRule="auto"/>
              <w:contextualSpacing/>
              <w:jc w:val="both"/>
              <w:rPr>
                <w:rFonts w:asciiTheme="minorBidi" w:hAnsiTheme="minorBidi"/>
                <w:i/>
                <w:iCs/>
                <w:sz w:val="22"/>
                <w:szCs w:val="22"/>
              </w:rPr>
            </w:pPr>
            <w:r w:rsidRPr="007C27A1">
              <w:rPr>
                <w:rFonts w:asciiTheme="minorBidi" w:hAnsiTheme="minorBidi"/>
                <w:i/>
                <w:iCs/>
                <w:sz w:val="22"/>
                <w:szCs w:val="22"/>
              </w:rPr>
              <w:t>2</w:t>
            </w:r>
          </w:p>
        </w:tc>
        <w:tc>
          <w:tcPr>
            <w:tcW w:w="8413" w:type="dxa"/>
          </w:tcPr>
          <w:p w14:paraId="16704748" w14:textId="77777777" w:rsidR="007C27A1" w:rsidRPr="007C27A1" w:rsidRDefault="007C27A1" w:rsidP="007C27A1">
            <w:pPr>
              <w:spacing w:line="360" w:lineRule="auto"/>
              <w:jc w:val="both"/>
              <w:rPr>
                <w:rFonts w:asciiTheme="minorBidi" w:hAnsiTheme="minorBidi"/>
                <w:sz w:val="22"/>
                <w:szCs w:val="22"/>
              </w:rPr>
            </w:pPr>
            <w:r w:rsidRPr="007C27A1">
              <w:rPr>
                <w:rFonts w:asciiTheme="minorBidi" w:hAnsiTheme="minorBidi"/>
                <w:b/>
                <w:bCs/>
                <w:sz w:val="22"/>
                <w:szCs w:val="22"/>
                <w:u w:val="single"/>
              </w:rPr>
              <w:t>Objective 2:</w:t>
            </w:r>
            <w:r w:rsidRPr="007C27A1">
              <w:rPr>
                <w:rFonts w:asciiTheme="minorBidi" w:hAnsiTheme="minorBidi"/>
                <w:sz w:val="22"/>
                <w:szCs w:val="22"/>
              </w:rPr>
              <w:t xml:space="preserve"> To critically evaluate key features of corporate governance that influence the occurrence and prevention of Accounting Fraud within organisations including mechanisms that should moderate Accounting Fraud.</w:t>
            </w:r>
          </w:p>
          <w:p w14:paraId="6C6B457C" w14:textId="77777777" w:rsidR="007C27A1" w:rsidRPr="007C27A1" w:rsidRDefault="007C27A1" w:rsidP="007C27A1">
            <w:pPr>
              <w:spacing w:line="360" w:lineRule="auto"/>
              <w:jc w:val="both"/>
              <w:rPr>
                <w:rFonts w:asciiTheme="minorBidi" w:hAnsiTheme="minorBidi"/>
                <w:sz w:val="22"/>
                <w:szCs w:val="22"/>
                <w:u w:val="single"/>
              </w:rPr>
            </w:pPr>
            <w:r w:rsidRPr="007C27A1">
              <w:rPr>
                <w:rFonts w:asciiTheme="minorBidi" w:hAnsiTheme="minorBidi"/>
                <w:b/>
                <w:bCs/>
                <w:sz w:val="22"/>
                <w:szCs w:val="22"/>
                <w:u w:val="single"/>
              </w:rPr>
              <w:t>Question 2:</w:t>
            </w:r>
            <w:r w:rsidRPr="007C27A1">
              <w:rPr>
                <w:rFonts w:asciiTheme="minorBidi" w:hAnsiTheme="minorBidi"/>
                <w:sz w:val="22"/>
                <w:szCs w:val="22"/>
              </w:rPr>
              <w:t xml:space="preserve"> What is the relationship between Corporate Governance and Accounting Fraud?</w:t>
            </w:r>
          </w:p>
        </w:tc>
      </w:tr>
      <w:tr w:rsidR="007C27A1" w:rsidRPr="007C27A1" w14:paraId="255FF0A7" w14:textId="77777777" w:rsidTr="001D4222">
        <w:tc>
          <w:tcPr>
            <w:tcW w:w="603" w:type="dxa"/>
          </w:tcPr>
          <w:p w14:paraId="6E00CEA9" w14:textId="77777777" w:rsidR="007C27A1" w:rsidRPr="007C27A1" w:rsidRDefault="007C27A1" w:rsidP="007C27A1">
            <w:pPr>
              <w:spacing w:line="360" w:lineRule="auto"/>
              <w:contextualSpacing/>
              <w:jc w:val="both"/>
              <w:rPr>
                <w:rFonts w:asciiTheme="minorBidi" w:hAnsiTheme="minorBidi"/>
                <w:i/>
                <w:iCs/>
                <w:sz w:val="22"/>
                <w:szCs w:val="22"/>
              </w:rPr>
            </w:pPr>
            <w:r w:rsidRPr="007C27A1">
              <w:rPr>
                <w:rFonts w:asciiTheme="minorBidi" w:hAnsiTheme="minorBidi"/>
                <w:i/>
                <w:iCs/>
                <w:sz w:val="22"/>
                <w:szCs w:val="22"/>
              </w:rPr>
              <w:t>3</w:t>
            </w:r>
          </w:p>
        </w:tc>
        <w:tc>
          <w:tcPr>
            <w:tcW w:w="8413" w:type="dxa"/>
          </w:tcPr>
          <w:p w14:paraId="30050E40" w14:textId="77777777" w:rsidR="007C27A1" w:rsidRPr="007C27A1" w:rsidRDefault="007C27A1" w:rsidP="007C27A1">
            <w:pPr>
              <w:spacing w:line="360" w:lineRule="auto"/>
              <w:jc w:val="both"/>
              <w:rPr>
                <w:rFonts w:asciiTheme="minorBidi" w:hAnsiTheme="minorBidi"/>
                <w:sz w:val="22"/>
                <w:szCs w:val="22"/>
              </w:rPr>
            </w:pPr>
            <w:r w:rsidRPr="007C27A1">
              <w:rPr>
                <w:rFonts w:asciiTheme="minorBidi" w:hAnsiTheme="minorBidi"/>
                <w:b/>
                <w:bCs/>
                <w:sz w:val="22"/>
                <w:szCs w:val="22"/>
                <w:u w:val="single"/>
              </w:rPr>
              <w:t>Objective 3:</w:t>
            </w:r>
            <w:r w:rsidRPr="007C27A1">
              <w:rPr>
                <w:rFonts w:asciiTheme="minorBidi" w:hAnsiTheme="minorBidi"/>
                <w:sz w:val="22"/>
                <w:szCs w:val="22"/>
              </w:rPr>
              <w:t xml:space="preserve"> To explore and demarcate the distinctions between general psychopathy and corporate psychopathy, focusing on behavioural aspects, and influence on organisational settings.</w:t>
            </w:r>
          </w:p>
          <w:p w14:paraId="4D00739B" w14:textId="77777777" w:rsidR="007C27A1" w:rsidRPr="007C27A1" w:rsidRDefault="007C27A1" w:rsidP="007C27A1">
            <w:pPr>
              <w:spacing w:line="360" w:lineRule="auto"/>
              <w:jc w:val="both"/>
              <w:rPr>
                <w:rFonts w:asciiTheme="minorBidi" w:hAnsiTheme="minorBidi"/>
                <w:sz w:val="22"/>
                <w:szCs w:val="22"/>
                <w:u w:val="single"/>
              </w:rPr>
            </w:pPr>
            <w:r w:rsidRPr="007C27A1">
              <w:rPr>
                <w:rFonts w:asciiTheme="minorBidi" w:hAnsiTheme="minorBidi"/>
                <w:b/>
                <w:bCs/>
                <w:sz w:val="22"/>
                <w:szCs w:val="22"/>
                <w:u w:val="single"/>
              </w:rPr>
              <w:t>Question 3:</w:t>
            </w:r>
            <w:r w:rsidRPr="007C27A1">
              <w:rPr>
                <w:rFonts w:asciiTheme="minorBidi" w:hAnsiTheme="minorBidi"/>
                <w:sz w:val="22"/>
                <w:szCs w:val="22"/>
              </w:rPr>
              <w:t xml:space="preserve"> What is the difference between a Psychopath and a Corporate Psychopath?</w:t>
            </w:r>
          </w:p>
        </w:tc>
      </w:tr>
      <w:tr w:rsidR="007C27A1" w:rsidRPr="007C27A1" w14:paraId="2AD3F5A0" w14:textId="77777777" w:rsidTr="001D4222">
        <w:tc>
          <w:tcPr>
            <w:tcW w:w="603" w:type="dxa"/>
          </w:tcPr>
          <w:p w14:paraId="6CA00D5C" w14:textId="77777777" w:rsidR="007C27A1" w:rsidRPr="007C27A1" w:rsidRDefault="007C27A1" w:rsidP="007C27A1">
            <w:pPr>
              <w:spacing w:line="360" w:lineRule="auto"/>
              <w:contextualSpacing/>
              <w:jc w:val="both"/>
              <w:rPr>
                <w:rFonts w:asciiTheme="minorBidi" w:hAnsiTheme="minorBidi"/>
                <w:i/>
                <w:iCs/>
                <w:sz w:val="22"/>
                <w:szCs w:val="22"/>
              </w:rPr>
            </w:pPr>
            <w:r w:rsidRPr="007C27A1">
              <w:rPr>
                <w:rFonts w:asciiTheme="minorBidi" w:hAnsiTheme="minorBidi"/>
                <w:i/>
                <w:iCs/>
                <w:sz w:val="22"/>
                <w:szCs w:val="22"/>
              </w:rPr>
              <w:t>4</w:t>
            </w:r>
          </w:p>
        </w:tc>
        <w:tc>
          <w:tcPr>
            <w:tcW w:w="8413" w:type="dxa"/>
          </w:tcPr>
          <w:p w14:paraId="532D6254" w14:textId="77777777" w:rsidR="007C27A1" w:rsidRPr="007C27A1" w:rsidRDefault="007C27A1" w:rsidP="007C27A1">
            <w:pPr>
              <w:spacing w:line="360" w:lineRule="auto"/>
              <w:jc w:val="both"/>
              <w:rPr>
                <w:rFonts w:asciiTheme="minorBidi" w:eastAsia="Times New Roman" w:hAnsiTheme="minorBidi"/>
                <w:kern w:val="0"/>
                <w:sz w:val="22"/>
                <w:szCs w:val="22"/>
                <w14:ligatures w14:val="none"/>
              </w:rPr>
            </w:pPr>
            <w:r w:rsidRPr="007C27A1">
              <w:rPr>
                <w:rFonts w:asciiTheme="minorBidi" w:hAnsiTheme="minorBidi"/>
                <w:b/>
                <w:bCs/>
                <w:sz w:val="22"/>
                <w:szCs w:val="22"/>
                <w:u w:val="single"/>
              </w:rPr>
              <w:t>Objective 4:</w:t>
            </w:r>
            <w:r w:rsidRPr="007C27A1">
              <w:rPr>
                <w:rFonts w:asciiTheme="minorBidi" w:eastAsia="Times New Roman" w:hAnsiTheme="minorBidi"/>
                <w:kern w:val="0"/>
                <w:sz w:val="22"/>
                <w:szCs w:val="22"/>
                <w14:ligatures w14:val="none"/>
              </w:rPr>
              <w:t xml:space="preserve"> To appraise the effectiveness of Blockchain Technology in enhancing the transparency of financial transactions in environments controlled by a CPA.</w:t>
            </w:r>
          </w:p>
          <w:p w14:paraId="0F221D8A" w14:textId="77777777" w:rsidR="007C27A1" w:rsidRPr="007C27A1" w:rsidRDefault="007C27A1" w:rsidP="007C27A1">
            <w:pPr>
              <w:spacing w:line="360" w:lineRule="auto"/>
              <w:jc w:val="both"/>
              <w:rPr>
                <w:rFonts w:asciiTheme="minorBidi" w:hAnsiTheme="minorBidi"/>
                <w:sz w:val="22"/>
                <w:szCs w:val="22"/>
                <w:u w:val="single"/>
              </w:rPr>
            </w:pPr>
            <w:r w:rsidRPr="007C27A1">
              <w:rPr>
                <w:rFonts w:asciiTheme="minorBidi" w:hAnsiTheme="minorBidi"/>
                <w:b/>
                <w:bCs/>
                <w:sz w:val="22"/>
                <w:szCs w:val="22"/>
                <w:u w:val="single"/>
              </w:rPr>
              <w:t>Question 4:</w:t>
            </w:r>
            <w:r w:rsidRPr="007C27A1">
              <w:rPr>
                <w:rFonts w:asciiTheme="minorBidi" w:eastAsia="Times New Roman" w:hAnsiTheme="minorBidi"/>
                <w:kern w:val="0"/>
                <w:sz w:val="22"/>
                <w:szCs w:val="22"/>
                <w14:ligatures w14:val="none"/>
              </w:rPr>
              <w:t xml:space="preserve"> What influence would Blockchain Technology have on financial transactions' transparency in organisations run by psychopathic individuals?</w:t>
            </w:r>
          </w:p>
        </w:tc>
      </w:tr>
      <w:tr w:rsidR="007C27A1" w:rsidRPr="007C27A1" w14:paraId="6A97474C" w14:textId="77777777" w:rsidTr="001D4222">
        <w:tc>
          <w:tcPr>
            <w:tcW w:w="603" w:type="dxa"/>
          </w:tcPr>
          <w:p w14:paraId="2082C156" w14:textId="77777777" w:rsidR="007C27A1" w:rsidRPr="007C27A1" w:rsidRDefault="007C27A1" w:rsidP="007C27A1">
            <w:pPr>
              <w:spacing w:line="360" w:lineRule="auto"/>
              <w:contextualSpacing/>
              <w:jc w:val="both"/>
              <w:rPr>
                <w:rFonts w:asciiTheme="minorBidi" w:hAnsiTheme="minorBidi"/>
                <w:i/>
                <w:iCs/>
                <w:sz w:val="22"/>
                <w:szCs w:val="22"/>
              </w:rPr>
            </w:pPr>
            <w:r w:rsidRPr="007C27A1">
              <w:rPr>
                <w:rFonts w:asciiTheme="minorBidi" w:hAnsiTheme="minorBidi"/>
                <w:i/>
                <w:iCs/>
                <w:sz w:val="22"/>
                <w:szCs w:val="22"/>
              </w:rPr>
              <w:t>5</w:t>
            </w:r>
          </w:p>
        </w:tc>
        <w:tc>
          <w:tcPr>
            <w:tcW w:w="8413" w:type="dxa"/>
          </w:tcPr>
          <w:p w14:paraId="533FBB49" w14:textId="77777777" w:rsidR="007C27A1" w:rsidRPr="007C27A1" w:rsidRDefault="007C27A1" w:rsidP="007C27A1">
            <w:pPr>
              <w:spacing w:line="360" w:lineRule="auto"/>
              <w:jc w:val="both"/>
              <w:rPr>
                <w:rFonts w:asciiTheme="minorBidi" w:eastAsia="Times New Roman" w:hAnsiTheme="minorBidi"/>
                <w:kern w:val="0"/>
                <w:sz w:val="22"/>
                <w:szCs w:val="22"/>
                <w14:ligatures w14:val="none"/>
              </w:rPr>
            </w:pPr>
            <w:r w:rsidRPr="007C27A1">
              <w:rPr>
                <w:rFonts w:asciiTheme="minorBidi" w:hAnsiTheme="minorBidi"/>
                <w:b/>
                <w:bCs/>
                <w:sz w:val="22"/>
                <w:szCs w:val="22"/>
                <w:u w:val="single"/>
              </w:rPr>
              <w:t>Objective 5:</w:t>
            </w:r>
            <w:r w:rsidRPr="007C27A1">
              <w:rPr>
                <w:rFonts w:asciiTheme="minorBidi" w:eastAsia="Times New Roman" w:hAnsiTheme="minorBidi"/>
                <w:kern w:val="0"/>
                <w:sz w:val="22"/>
                <w:szCs w:val="22"/>
                <w14:ligatures w14:val="none"/>
              </w:rPr>
              <w:t xml:space="preserve"> To investigate the mechanisms by which Blockchain Technology can monitor and constrain Accounting Fraud in organisations led by a CPA. </w:t>
            </w:r>
          </w:p>
          <w:p w14:paraId="4F00BE74" w14:textId="77777777" w:rsidR="007C27A1" w:rsidRPr="007C27A1" w:rsidRDefault="007C27A1" w:rsidP="007C27A1">
            <w:pPr>
              <w:spacing w:line="360" w:lineRule="auto"/>
              <w:jc w:val="both"/>
              <w:rPr>
                <w:rFonts w:asciiTheme="minorBidi" w:hAnsiTheme="minorBidi"/>
                <w:sz w:val="22"/>
                <w:szCs w:val="22"/>
                <w:u w:val="single"/>
              </w:rPr>
            </w:pPr>
            <w:r w:rsidRPr="007C27A1">
              <w:rPr>
                <w:rFonts w:asciiTheme="minorBidi" w:hAnsiTheme="minorBidi"/>
                <w:b/>
                <w:bCs/>
                <w:sz w:val="22"/>
                <w:szCs w:val="22"/>
                <w:u w:val="single"/>
              </w:rPr>
              <w:t>Question 5:</w:t>
            </w:r>
            <w:r w:rsidRPr="007C27A1">
              <w:rPr>
                <w:rFonts w:asciiTheme="minorBidi" w:eastAsia="Times New Roman" w:hAnsiTheme="minorBidi"/>
                <w:kern w:val="0"/>
                <w:sz w:val="22"/>
                <w:szCs w:val="22"/>
                <w14:ligatures w14:val="none"/>
              </w:rPr>
              <w:t xml:space="preserve"> W</w:t>
            </w:r>
            <w:r w:rsidRPr="007C27A1">
              <w:rPr>
                <w:rFonts w:asciiTheme="minorBidi" w:hAnsiTheme="minorBidi"/>
                <w:sz w:val="22"/>
                <w:szCs w:val="22"/>
              </w:rPr>
              <w:t>hat role would Blockchain Technology play in monitoring and preventing Accounting Fraud managed by psychopathic leaders?</w:t>
            </w:r>
          </w:p>
        </w:tc>
      </w:tr>
    </w:tbl>
    <w:p w14:paraId="6F977058" w14:textId="77777777" w:rsidR="0008026E" w:rsidRDefault="0008026E" w:rsidP="0008026E">
      <w:pPr>
        <w:spacing w:line="240" w:lineRule="auto"/>
        <w:jc w:val="both"/>
        <w:rPr>
          <w:rFonts w:ascii="Arial" w:eastAsiaTheme="minorHAnsi" w:hAnsi="Arial" w:cs="Arial"/>
          <w:b/>
          <w:bCs/>
          <w:kern w:val="0"/>
          <w:lang w:eastAsia="en-US"/>
          <w14:ligatures w14:val="none"/>
        </w:rPr>
      </w:pPr>
      <w:bookmarkStart w:id="788" w:name="D124"/>
    </w:p>
    <w:p w14:paraId="4E8DB4ED" w14:textId="77777777" w:rsidR="0008026E" w:rsidRDefault="0008026E" w:rsidP="0008026E">
      <w:pPr>
        <w:spacing w:line="240" w:lineRule="auto"/>
        <w:jc w:val="both"/>
        <w:rPr>
          <w:rFonts w:ascii="Arial" w:eastAsiaTheme="minorHAnsi" w:hAnsi="Arial" w:cs="Arial"/>
          <w:b/>
          <w:bCs/>
          <w:kern w:val="0"/>
          <w:lang w:eastAsia="en-US"/>
          <w14:ligatures w14:val="none"/>
        </w:rPr>
      </w:pPr>
    </w:p>
    <w:p w14:paraId="489722AC" w14:textId="1FBDC726" w:rsidR="007C27A1" w:rsidRPr="007C27A1" w:rsidRDefault="00000000" w:rsidP="0008026E">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b/>
          <w:bCs/>
          <w:kern w:val="0"/>
          <w:lang w:eastAsia="en-US"/>
          <w14:ligatures w14:val="none"/>
        </w:rPr>
      </w:pPr>
      <w:hyperlink w:anchor="C124" w:history="1">
        <w:r w:rsidR="007C27A1" w:rsidRPr="00491902">
          <w:rPr>
            <w:rStyle w:val="Hyperlink"/>
            <w:rFonts w:ascii="Arial" w:eastAsiaTheme="minorHAnsi" w:hAnsi="Arial" w:cs="Arial"/>
            <w:b/>
            <w:bCs/>
            <w:kern w:val="0"/>
            <w:lang w:eastAsia="en-US"/>
            <w14:ligatures w14:val="none"/>
          </w:rPr>
          <w:t>5.1.1 Research Aim, Research Objectives and Research Questions</w:t>
        </w:r>
      </w:hyperlink>
    </w:p>
    <w:bookmarkEnd w:id="788"/>
    <w:p w14:paraId="691A082F" w14:textId="6BCF4BBA" w:rsidR="007C27A1" w:rsidRPr="007C27A1" w:rsidRDefault="007C27A1" w:rsidP="0008026E">
      <w:pPr>
        <w:spacing w:line="240" w:lineRule="auto"/>
        <w:jc w:val="both"/>
        <w:rPr>
          <w:rFonts w:ascii="Arial" w:eastAsiaTheme="minorHAnsi" w:hAnsi="Arial" w:cs="Arial"/>
          <w:kern w:val="0"/>
          <w:lang w:eastAsia="en-US"/>
          <w14:ligatures w14:val="none"/>
        </w:rPr>
      </w:pPr>
    </w:p>
    <w:bookmarkStart w:id="789" w:name="D125"/>
    <w:p w14:paraId="26B8DBE7" w14:textId="5294B8C1" w:rsidR="007C27A1" w:rsidRPr="007C27A1" w:rsidRDefault="00491902" w:rsidP="00E52C81">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b/>
          <w:bCs/>
          <w:kern w:val="0"/>
          <w:lang w:eastAsia="en-US"/>
          <w14:ligatures w14:val="none"/>
        </w:rPr>
      </w:pPr>
      <w:r>
        <w:rPr>
          <w:rFonts w:ascii="Arial" w:eastAsiaTheme="minorHAnsi" w:hAnsi="Arial" w:cs="Arial"/>
          <w:b/>
          <w:bCs/>
          <w:kern w:val="0"/>
          <w:lang w:eastAsia="en-US"/>
          <w14:ligatures w14:val="none"/>
        </w:rPr>
        <w:fldChar w:fldCharType="begin"/>
      </w:r>
      <w:r>
        <w:rPr>
          <w:rFonts w:ascii="Arial" w:eastAsiaTheme="minorHAnsi" w:hAnsi="Arial" w:cs="Arial"/>
          <w:b/>
          <w:bCs/>
          <w:kern w:val="0"/>
          <w:lang w:eastAsia="en-US"/>
          <w14:ligatures w14:val="none"/>
        </w:rPr>
        <w:instrText>HYPERLINK  \l "C125"</w:instrText>
      </w:r>
      <w:r>
        <w:rPr>
          <w:rFonts w:ascii="Arial" w:eastAsiaTheme="minorHAnsi" w:hAnsi="Arial" w:cs="Arial"/>
          <w:b/>
          <w:bCs/>
          <w:kern w:val="0"/>
          <w:lang w:eastAsia="en-US"/>
          <w14:ligatures w14:val="none"/>
        </w:rPr>
      </w:r>
      <w:r>
        <w:rPr>
          <w:rFonts w:ascii="Arial" w:eastAsiaTheme="minorHAnsi" w:hAnsi="Arial" w:cs="Arial"/>
          <w:b/>
          <w:bCs/>
          <w:kern w:val="0"/>
          <w:lang w:eastAsia="en-US"/>
          <w14:ligatures w14:val="none"/>
        </w:rPr>
        <w:fldChar w:fldCharType="separate"/>
      </w:r>
      <w:r w:rsidR="007C27A1" w:rsidRPr="00491902">
        <w:rPr>
          <w:rStyle w:val="Hyperlink"/>
          <w:rFonts w:ascii="Arial" w:eastAsiaTheme="minorHAnsi" w:hAnsi="Arial" w:cs="Arial"/>
          <w:b/>
          <w:bCs/>
          <w:kern w:val="0"/>
          <w:lang w:eastAsia="en-US"/>
          <w14:ligatures w14:val="none"/>
        </w:rPr>
        <w:t>5.1.1.1 Research Aim</w:t>
      </w:r>
      <w:r>
        <w:rPr>
          <w:rFonts w:ascii="Arial" w:eastAsiaTheme="minorHAnsi" w:hAnsi="Arial" w:cs="Arial"/>
          <w:b/>
          <w:bCs/>
          <w:kern w:val="0"/>
          <w:lang w:eastAsia="en-US"/>
          <w14:ligatures w14:val="none"/>
        </w:rPr>
        <w:fldChar w:fldCharType="end"/>
      </w:r>
    </w:p>
    <w:bookmarkEnd w:id="789"/>
    <w:p w14:paraId="1CD8E4D1" w14:textId="77777777" w:rsidR="007C27A1" w:rsidRPr="007C27A1" w:rsidRDefault="007C27A1" w:rsidP="007C27A1">
      <w:pPr>
        <w:spacing w:before="100" w:beforeAutospacing="1" w:after="100" w:afterAutospacing="1" w:line="480" w:lineRule="auto"/>
        <w:jc w:val="both"/>
        <w:rPr>
          <w:rFonts w:ascii="Arial" w:eastAsia="Times New Roman" w:hAnsi="Arial" w:cs="Arial"/>
          <w:color w:val="0D0D0D" w:themeColor="text1" w:themeTint="F2"/>
          <w:kern w:val="0"/>
          <w:lang w:eastAsia="en-GB"/>
          <w14:ligatures w14:val="none"/>
        </w:rPr>
      </w:pPr>
      <w:r w:rsidRPr="007C27A1">
        <w:rPr>
          <w:rFonts w:ascii="Arial" w:eastAsia="Times New Roman" w:hAnsi="Arial" w:cs="Arial"/>
          <w:color w:val="0D0D0D" w:themeColor="text1" w:themeTint="F2"/>
          <w:kern w:val="0"/>
          <w:lang w:eastAsia="en-GB"/>
          <w14:ligatures w14:val="none"/>
        </w:rPr>
        <w:t>The overall Research Aim was:</w:t>
      </w:r>
    </w:p>
    <w:p w14:paraId="47CEECBC" w14:textId="77777777" w:rsidR="007C27A1" w:rsidRPr="007C27A1" w:rsidRDefault="007C27A1" w:rsidP="007C27A1">
      <w:pPr>
        <w:spacing w:before="100" w:beforeAutospacing="1" w:after="100" w:afterAutospacing="1" w:line="480" w:lineRule="auto"/>
        <w:jc w:val="both"/>
        <w:rPr>
          <w:rFonts w:asciiTheme="minorBidi" w:hAnsiTheme="minorBidi"/>
          <w:b/>
          <w:bCs/>
          <w:i/>
          <w:iCs/>
        </w:rPr>
      </w:pPr>
      <w:r w:rsidRPr="007C27A1">
        <w:rPr>
          <w:rFonts w:asciiTheme="minorBidi" w:hAnsiTheme="minorBidi"/>
          <w:b/>
          <w:bCs/>
          <w:i/>
          <w:iCs/>
        </w:rPr>
        <w:t>To what extent can Blockchain Technology influence the behaviour of the Corporate Psychopath and reduce Accounting Fraud</w:t>
      </w:r>
    </w:p>
    <w:p w14:paraId="685CB4B9" w14:textId="77777777" w:rsidR="007C27A1" w:rsidRPr="007C27A1" w:rsidRDefault="007C27A1" w:rsidP="007C27A1">
      <w:pPr>
        <w:spacing w:after="0" w:line="480" w:lineRule="auto"/>
        <w:jc w:val="both"/>
        <w:rPr>
          <w:rFonts w:asciiTheme="minorBidi" w:eastAsia="Times New Roman" w:hAnsiTheme="minorBidi"/>
          <w:kern w:val="0"/>
          <w14:ligatures w14:val="none"/>
        </w:rPr>
      </w:pPr>
      <w:r w:rsidRPr="007C27A1">
        <w:rPr>
          <w:rFonts w:asciiTheme="minorBidi" w:eastAsia="Times New Roman" w:hAnsiTheme="minorBidi"/>
          <w:kern w:val="0"/>
          <w14:ligatures w14:val="none"/>
        </w:rPr>
        <w:t xml:space="preserve">Blockchain Technology has been hailed as a game-changer in the battle against Accounting Fraud and the containment of corporate malfeasance, especially by dishonest accountants or "corporate psychopaths’’ or the Corporate Psychopath Accountant. This potential is based on the fundamental properties of Blockchain, including permissioned rights, immutability, and distributed ledger. It is important to understand how these features influence largely at the transactional level, even though they have the potential to greatly increase transparency and accountability. Before we summarise the results, it is useful to briefly revisit these characteristics of Blockchain Technology as they played an important part in this research study. </w:t>
      </w:r>
    </w:p>
    <w:p w14:paraId="478E0189" w14:textId="77777777" w:rsidR="007C27A1" w:rsidRPr="007C27A1" w:rsidRDefault="007C27A1" w:rsidP="007C27A1">
      <w:pPr>
        <w:spacing w:after="0" w:line="480" w:lineRule="auto"/>
        <w:jc w:val="both"/>
        <w:rPr>
          <w:rFonts w:asciiTheme="minorBidi" w:eastAsia="Times New Roman" w:hAnsiTheme="minorBidi"/>
          <w:kern w:val="0"/>
          <w14:ligatures w14:val="none"/>
        </w:rPr>
      </w:pPr>
    </w:p>
    <w:p w14:paraId="2DDDC6ED" w14:textId="77777777" w:rsidR="007C27A1" w:rsidRPr="007C27A1" w:rsidRDefault="007C27A1" w:rsidP="007C27A1">
      <w:pPr>
        <w:spacing w:after="240" w:line="480" w:lineRule="auto"/>
        <w:jc w:val="both"/>
        <w:rPr>
          <w:rFonts w:asciiTheme="minorBidi" w:eastAsia="Times New Roman" w:hAnsiTheme="minorBidi"/>
          <w:b/>
          <w:bCs/>
          <w:color w:val="000000" w:themeColor="text1"/>
          <w:kern w:val="0"/>
          <w14:ligatures w14:val="none"/>
        </w:rPr>
      </w:pPr>
      <w:r w:rsidRPr="007C27A1">
        <w:rPr>
          <w:rFonts w:asciiTheme="minorBidi" w:eastAsia="Times New Roman" w:hAnsiTheme="minorBidi"/>
          <w:b/>
          <w:bCs/>
          <w:color w:val="000000" w:themeColor="text1"/>
          <w:kern w:val="0"/>
          <w14:ligatures w14:val="none"/>
        </w:rPr>
        <w:t>Distributed Ledger</w:t>
      </w:r>
    </w:p>
    <w:p w14:paraId="302549FD" w14:textId="77777777" w:rsidR="007C27A1" w:rsidRPr="007C27A1" w:rsidRDefault="007C27A1" w:rsidP="007C27A1">
      <w:pPr>
        <w:spacing w:before="100" w:beforeAutospacing="1" w:after="100" w:afterAutospacing="1" w:line="480" w:lineRule="auto"/>
        <w:jc w:val="both"/>
        <w:rPr>
          <w:rFonts w:asciiTheme="minorBidi" w:eastAsia="Times New Roman" w:hAnsiTheme="minorBidi"/>
          <w:color w:val="000000" w:themeColor="text1"/>
          <w:kern w:val="0"/>
          <w14:ligatures w14:val="none"/>
        </w:rPr>
      </w:pPr>
      <w:r w:rsidRPr="007C27A1">
        <w:rPr>
          <w:rFonts w:asciiTheme="minorBidi" w:eastAsia="Times New Roman" w:hAnsiTheme="minorBidi"/>
          <w:color w:val="000000" w:themeColor="text1"/>
          <w:kern w:val="0"/>
          <w14:ligatures w14:val="none"/>
        </w:rPr>
        <w:t xml:space="preserve">This is essentially a database that is voluntarily shared and synchronised across several locations, organisations, or regions and is referred to as a distributed ledger. Blockchain technology makes it possible for every member of the network to have an exact copy of the ledger, in contrast to traditional databases where the ledger is maintained by a central authority. Due to this decentralization, there is less chance of data manipulation by one party. This means that transactions are logged across </w:t>
      </w:r>
      <w:r w:rsidRPr="007C27A1">
        <w:rPr>
          <w:rFonts w:asciiTheme="minorBidi" w:eastAsia="Times New Roman" w:hAnsiTheme="minorBidi"/>
          <w:color w:val="000000" w:themeColor="text1"/>
          <w:kern w:val="0"/>
          <w14:ligatures w14:val="none"/>
        </w:rPr>
        <w:lastRenderedPageBreak/>
        <w:t xml:space="preserve">multiple nodes in the accounting context, making it very difficult for a single player to modify data without being discovered. </w:t>
      </w:r>
    </w:p>
    <w:p w14:paraId="21944B39" w14:textId="77777777" w:rsidR="007C27A1" w:rsidRPr="007C27A1" w:rsidRDefault="007C27A1" w:rsidP="007C27A1">
      <w:pPr>
        <w:spacing w:before="100" w:beforeAutospacing="1" w:after="100" w:afterAutospacing="1" w:line="480" w:lineRule="auto"/>
        <w:jc w:val="both"/>
        <w:rPr>
          <w:rFonts w:asciiTheme="minorBidi" w:eastAsia="Times New Roman" w:hAnsiTheme="minorBidi"/>
          <w:color w:val="000000" w:themeColor="text1"/>
          <w:kern w:val="0"/>
          <w14:ligatures w14:val="none"/>
        </w:rPr>
      </w:pPr>
      <w:r w:rsidRPr="007C27A1">
        <w:rPr>
          <w:rFonts w:asciiTheme="minorBidi" w:eastAsia="Times New Roman" w:hAnsiTheme="minorBidi"/>
          <w:color w:val="000000" w:themeColor="text1"/>
          <w:kern w:val="0"/>
          <w14:ligatures w14:val="none"/>
        </w:rPr>
        <w:t>For example, every transaction that takes place on the blockchain network is announced to every member. To ensure that there is agreement, each participant independently confirms the transaction before it is entered to the ledger. This process raises transparency but crucially improves the reliability of financial records, thereby reducing the risk of Accounting Fraud.</w:t>
      </w:r>
    </w:p>
    <w:p w14:paraId="51169B27" w14:textId="77777777" w:rsidR="007C27A1" w:rsidRPr="007C27A1" w:rsidRDefault="007C27A1" w:rsidP="007C27A1">
      <w:pPr>
        <w:spacing w:before="100" w:beforeAutospacing="1" w:after="100" w:afterAutospacing="1" w:line="480" w:lineRule="auto"/>
        <w:jc w:val="both"/>
        <w:rPr>
          <w:rFonts w:asciiTheme="minorBidi" w:eastAsia="Times New Roman" w:hAnsiTheme="minorBidi"/>
          <w:b/>
          <w:bCs/>
          <w:color w:val="000000" w:themeColor="text1"/>
          <w:kern w:val="0"/>
          <w14:ligatures w14:val="none"/>
        </w:rPr>
      </w:pPr>
      <w:r w:rsidRPr="007C27A1">
        <w:rPr>
          <w:rFonts w:asciiTheme="minorBidi" w:eastAsia="Times New Roman" w:hAnsiTheme="minorBidi"/>
          <w:b/>
          <w:bCs/>
          <w:color w:val="000000" w:themeColor="text1"/>
          <w:kern w:val="0"/>
          <w14:ligatures w14:val="none"/>
        </w:rPr>
        <w:t>Immutability</w:t>
      </w:r>
    </w:p>
    <w:p w14:paraId="6B4B1203" w14:textId="77777777" w:rsidR="007C27A1" w:rsidRPr="007C27A1" w:rsidRDefault="007C27A1" w:rsidP="007C27A1">
      <w:pPr>
        <w:spacing w:before="100" w:beforeAutospacing="1" w:after="100" w:afterAutospacing="1" w:line="480" w:lineRule="auto"/>
        <w:jc w:val="both"/>
        <w:rPr>
          <w:rFonts w:asciiTheme="minorBidi" w:eastAsia="Times New Roman" w:hAnsiTheme="minorBidi"/>
          <w:b/>
          <w:bCs/>
          <w:color w:val="000000" w:themeColor="text1"/>
          <w:kern w:val="0"/>
          <w14:ligatures w14:val="none"/>
        </w:rPr>
      </w:pPr>
      <w:r w:rsidRPr="007C27A1">
        <w:rPr>
          <w:rFonts w:asciiTheme="minorBidi" w:eastAsia="Times New Roman" w:hAnsiTheme="minorBidi"/>
          <w:color w:val="000000" w:themeColor="text1"/>
          <w:kern w:val="0"/>
          <w14:ligatures w14:val="none"/>
        </w:rPr>
        <w:t xml:space="preserve">The immutability of Blockchain technology—the inability to change or remove data once it is added to the Blockchain—is one of its most well-known characteristics. This trait is essential for stopping Accounting Fraud since it ensures the integrity of records. A chain of blocks is created when a transaction is added to the Blockchain, where it is timestamped and connected to earlier transactions. It is very challenging to change a single transaction due to this chaining mechanism without also altering all subsequent blocks, which would necessitate network-wide consensus. </w:t>
      </w:r>
    </w:p>
    <w:p w14:paraId="60C1CE89" w14:textId="5BA6B6F4" w:rsidR="007C27A1" w:rsidRPr="00E52C81" w:rsidRDefault="007C27A1" w:rsidP="00E52C81">
      <w:pPr>
        <w:spacing w:after="240" w:line="480" w:lineRule="auto"/>
        <w:jc w:val="both"/>
        <w:rPr>
          <w:rFonts w:asciiTheme="minorBidi" w:eastAsia="Times New Roman" w:hAnsiTheme="minorBidi"/>
          <w:color w:val="000000" w:themeColor="text1"/>
          <w:kern w:val="0"/>
          <w14:ligatures w14:val="none"/>
        </w:rPr>
      </w:pPr>
      <w:r w:rsidRPr="007C27A1">
        <w:rPr>
          <w:rFonts w:asciiTheme="minorBidi" w:eastAsia="Times New Roman" w:hAnsiTheme="minorBidi"/>
          <w:color w:val="000000" w:themeColor="text1"/>
          <w:kern w:val="0"/>
          <w14:ligatures w14:val="none"/>
        </w:rPr>
        <w:t>Financial documents are kept tamper-proof through immutability, which creates a trustworthy and verifiable audit trail. For auditors and regulators who have to follow the trail of transactions to make sure financial regulations are being followed, this is very crucial.</w:t>
      </w:r>
    </w:p>
    <w:p w14:paraId="061D51FD" w14:textId="77777777" w:rsidR="007C27A1" w:rsidRPr="007C27A1" w:rsidRDefault="007C27A1" w:rsidP="007C27A1">
      <w:pPr>
        <w:spacing w:after="240" w:line="480" w:lineRule="auto"/>
        <w:jc w:val="both"/>
        <w:rPr>
          <w:rFonts w:asciiTheme="minorBidi" w:eastAsia="Times New Roman" w:hAnsiTheme="minorBidi"/>
          <w:b/>
          <w:bCs/>
          <w:color w:val="000000" w:themeColor="text1"/>
          <w:kern w:val="0"/>
          <w14:ligatures w14:val="none"/>
        </w:rPr>
      </w:pPr>
      <w:r w:rsidRPr="007C27A1">
        <w:rPr>
          <w:rFonts w:asciiTheme="minorBidi" w:eastAsia="Times New Roman" w:hAnsiTheme="minorBidi"/>
          <w:b/>
          <w:bCs/>
          <w:color w:val="000000" w:themeColor="text1"/>
          <w:kern w:val="0"/>
          <w14:ligatures w14:val="none"/>
        </w:rPr>
        <w:t xml:space="preserve">Permissioned Rights </w:t>
      </w:r>
    </w:p>
    <w:p w14:paraId="2DDEFFD3" w14:textId="77777777" w:rsidR="007C27A1" w:rsidRPr="007C27A1" w:rsidRDefault="007C27A1" w:rsidP="007C27A1">
      <w:pPr>
        <w:spacing w:after="240" w:line="480" w:lineRule="auto"/>
        <w:jc w:val="both"/>
        <w:rPr>
          <w:rFonts w:asciiTheme="minorBidi" w:eastAsia="Times New Roman" w:hAnsiTheme="minorBidi"/>
          <w:color w:val="000000" w:themeColor="text1"/>
          <w:kern w:val="0"/>
          <w14:ligatures w14:val="none"/>
        </w:rPr>
      </w:pPr>
      <w:r w:rsidRPr="007C27A1">
        <w:rPr>
          <w:rFonts w:asciiTheme="minorBidi" w:eastAsia="Times New Roman" w:hAnsiTheme="minorBidi"/>
          <w:color w:val="000000" w:themeColor="text1"/>
          <w:kern w:val="0"/>
          <w14:ligatures w14:val="none"/>
        </w:rPr>
        <w:t xml:space="preserve">There are several ways to use Blockchain technology, such as permissioned, private, and public blockchains. Access to the ledger is limited to a select number of </w:t>
      </w:r>
      <w:r w:rsidRPr="007C27A1">
        <w:rPr>
          <w:rFonts w:asciiTheme="minorBidi" w:eastAsia="Times New Roman" w:hAnsiTheme="minorBidi"/>
          <w:color w:val="000000" w:themeColor="text1"/>
          <w:kern w:val="0"/>
          <w14:ligatures w14:val="none"/>
        </w:rPr>
        <w:lastRenderedPageBreak/>
        <w:t xml:space="preserve">recognisable and established actors or players in a permissioned blockchain. In corporate settings, where sensitive financial data must be shielded from unwanted access, this capability is especially helpful. </w:t>
      </w:r>
    </w:p>
    <w:p w14:paraId="5F08FBDF" w14:textId="77777777" w:rsidR="007C27A1" w:rsidRPr="007C27A1" w:rsidRDefault="007C27A1" w:rsidP="007C27A1">
      <w:pPr>
        <w:spacing w:after="240" w:line="480" w:lineRule="auto"/>
        <w:jc w:val="both"/>
        <w:rPr>
          <w:rFonts w:asciiTheme="minorBidi" w:eastAsia="Times New Roman" w:hAnsiTheme="minorBidi"/>
          <w:color w:val="000000" w:themeColor="text1"/>
          <w:kern w:val="0"/>
          <w14:ligatures w14:val="none"/>
        </w:rPr>
      </w:pPr>
      <w:r w:rsidRPr="007C27A1">
        <w:rPr>
          <w:rFonts w:asciiTheme="minorBidi" w:eastAsia="Times New Roman" w:hAnsiTheme="minorBidi"/>
          <w:color w:val="000000" w:themeColor="text1"/>
          <w:kern w:val="0"/>
          <w14:ligatures w14:val="none"/>
        </w:rPr>
        <w:t xml:space="preserve">Companies may protect their financial data while preserving the accountability and openness required to thwart fraud by limiting who has access to and can contribute to the Blockchain. Role-based access restrictions can be implemented on permissioned blockchains to guarantee that transactions can only be approved or started by authorised persons. </w:t>
      </w:r>
    </w:p>
    <w:p w14:paraId="76B37905" w14:textId="77777777" w:rsidR="007C27A1" w:rsidRPr="007C27A1" w:rsidRDefault="007C27A1" w:rsidP="007C27A1">
      <w:pPr>
        <w:spacing w:after="240" w:line="480" w:lineRule="auto"/>
        <w:jc w:val="both"/>
        <w:rPr>
          <w:rFonts w:asciiTheme="minorBidi" w:eastAsia="Times New Roman" w:hAnsiTheme="minorBidi"/>
          <w:kern w:val="0"/>
          <w14:ligatures w14:val="none"/>
        </w:rPr>
      </w:pPr>
      <w:r w:rsidRPr="007C27A1">
        <w:rPr>
          <w:rFonts w:asciiTheme="minorBidi" w:eastAsia="Times New Roman" w:hAnsiTheme="minorBidi"/>
          <w:kern w:val="0"/>
          <w14:ligatures w14:val="none"/>
        </w:rPr>
        <w:t xml:space="preserve">Notwithstanding these encouraging attributes, there are still restrictions on Blockchain Technology's capacity to completely eradicate Accounting Fraud and rein in corporate wrongdoing or challenge the Corporate Psychopath Accountant. </w:t>
      </w:r>
      <w:r w:rsidRPr="007C27A1">
        <w:rPr>
          <w:rFonts w:asciiTheme="minorBidi" w:eastAsia="Times New Roman" w:hAnsiTheme="minorBidi"/>
          <w:color w:val="0D0D0D" w:themeColor="text1" w:themeTint="F2"/>
          <w:lang w:eastAsia="en-GB"/>
        </w:rPr>
        <w:t xml:space="preserve">It is apparent from the semi-structured interviews conducted and analysis in Chapter </w:t>
      </w:r>
      <w:r w:rsidRPr="007C27A1">
        <w:rPr>
          <w:rFonts w:asciiTheme="minorBidi" w:eastAsia="Times New Roman" w:hAnsiTheme="minorBidi"/>
          <w:b/>
          <w:bCs/>
          <w:color w:val="0D0D0D" w:themeColor="text1" w:themeTint="F2"/>
          <w:lang w:eastAsia="en-GB"/>
        </w:rPr>
        <w:t>4.0,</w:t>
      </w:r>
      <w:r w:rsidRPr="007C27A1">
        <w:rPr>
          <w:rFonts w:asciiTheme="minorBidi" w:eastAsia="Times New Roman" w:hAnsiTheme="minorBidi"/>
          <w:color w:val="0D0D0D" w:themeColor="text1" w:themeTint="F2"/>
          <w:lang w:eastAsia="en-GB"/>
        </w:rPr>
        <w:t xml:space="preserve"> specifically </w:t>
      </w:r>
      <w:r w:rsidRPr="007C27A1">
        <w:rPr>
          <w:rFonts w:asciiTheme="minorBidi" w:eastAsia="Times New Roman" w:hAnsiTheme="minorBidi"/>
          <w:b/>
          <w:bCs/>
          <w:color w:val="0D0D0D" w:themeColor="text1" w:themeTint="F2"/>
          <w:lang w:eastAsia="en-GB"/>
        </w:rPr>
        <w:t>4.3</w:t>
      </w:r>
      <w:r w:rsidRPr="007C27A1">
        <w:rPr>
          <w:rFonts w:asciiTheme="minorBidi" w:eastAsia="Times New Roman" w:hAnsiTheme="minorBidi"/>
          <w:color w:val="0D0D0D" w:themeColor="text1" w:themeTint="F2"/>
          <w:lang w:eastAsia="en-GB"/>
        </w:rPr>
        <w:t xml:space="preserve"> onwards that the answer is mixed. Blockchain Technology may only potentially eliminate Accounting Fraud and contain the Corporate Psychopath Accountant at the transactional level.</w:t>
      </w:r>
    </w:p>
    <w:p w14:paraId="5E369AF1" w14:textId="77777777" w:rsidR="007C27A1" w:rsidRPr="007C27A1" w:rsidRDefault="007C27A1" w:rsidP="007C27A1">
      <w:pPr>
        <w:spacing w:after="240" w:line="480" w:lineRule="auto"/>
        <w:jc w:val="both"/>
        <w:rPr>
          <w:rFonts w:asciiTheme="minorBidi" w:eastAsia="Times New Roman" w:hAnsiTheme="minorBidi"/>
          <w:kern w:val="0"/>
          <w14:ligatures w14:val="none"/>
        </w:rPr>
      </w:pPr>
      <w:r w:rsidRPr="007C27A1">
        <w:rPr>
          <w:rFonts w:asciiTheme="minorBidi" w:eastAsia="Times New Roman" w:hAnsiTheme="minorBidi"/>
          <w:kern w:val="0"/>
          <w14:ligatures w14:val="none"/>
        </w:rPr>
        <w:t xml:space="preserve">The transactional level of Blockchain is where most of its efficacy in combating fraud lies. Blockchain is capable of guaranteeing the openness and integrity of transaction records, however, it is unable to handle Accounting Fraud that takes place outside of ledgers or where judgement is required, such as the fabrication of financial statements, the manipulation of revenue recognition, or the concealment of obligations or the valuation of closing inventory or non-current assets by an external expert. Moreover, according to the semi-structured interviews undertaken a large investment in infrastructure, training, and change management is needed to use Blockchain </w:t>
      </w:r>
      <w:r w:rsidRPr="007C27A1">
        <w:rPr>
          <w:rFonts w:asciiTheme="minorBidi" w:eastAsia="Times New Roman" w:hAnsiTheme="minorBidi"/>
          <w:kern w:val="0"/>
          <w14:ligatures w14:val="none"/>
        </w:rPr>
        <w:lastRenderedPageBreak/>
        <w:t xml:space="preserve">technology. Regulatory compliance, interoperability, and scalability are further concerns that organisations need to deal with. </w:t>
      </w:r>
    </w:p>
    <w:p w14:paraId="6FE2FF91" w14:textId="77777777" w:rsidR="007C27A1" w:rsidRPr="007C27A1" w:rsidRDefault="007C27A1" w:rsidP="007C27A1">
      <w:pPr>
        <w:spacing w:after="240" w:line="480" w:lineRule="auto"/>
        <w:jc w:val="both"/>
        <w:rPr>
          <w:rFonts w:asciiTheme="minorBidi" w:eastAsia="Times New Roman" w:hAnsiTheme="minorBidi"/>
          <w:kern w:val="0"/>
          <w14:ligatures w14:val="none"/>
        </w:rPr>
      </w:pPr>
      <w:r w:rsidRPr="007C27A1">
        <w:rPr>
          <w:rFonts w:asciiTheme="minorBidi" w:eastAsia="Times New Roman" w:hAnsiTheme="minorBidi"/>
          <w:kern w:val="0"/>
          <w14:ligatures w14:val="none"/>
        </w:rPr>
        <w:t xml:space="preserve">At the transactional level, Blockchain Technology has the potential to significantly lower the risk of Accounting Fraud and improve the accuracy of financial data and limit the influence of the Corporate Psychopath Accountant. Its permissioned rights, distributed ledger, and immutability provide a strong foundation for guaranteeing accountability and transparency. </w:t>
      </w:r>
    </w:p>
    <w:p w14:paraId="72734CB7" w14:textId="77777777" w:rsidR="007C27A1" w:rsidRPr="007C27A1" w:rsidRDefault="007C27A1" w:rsidP="007C27A1">
      <w:pPr>
        <w:spacing w:after="240" w:line="480" w:lineRule="auto"/>
        <w:jc w:val="both"/>
        <w:rPr>
          <w:rFonts w:asciiTheme="minorBidi" w:eastAsia="Times New Roman" w:hAnsiTheme="minorBidi"/>
          <w:kern w:val="0"/>
          <w14:ligatures w14:val="none"/>
        </w:rPr>
      </w:pPr>
      <w:r w:rsidRPr="007C27A1">
        <w:rPr>
          <w:rFonts w:asciiTheme="minorBidi" w:eastAsia="Times New Roman" w:hAnsiTheme="minorBidi"/>
          <w:kern w:val="0"/>
          <w14:ligatures w14:val="none"/>
        </w:rPr>
        <w:t>Recent studies have not stopped highlighting blockchain's potential to fight Accounting Fraud. For example, Deloitte (2023) highlights how blockchain technology may improve audit quality and lower the risk of fraud by increasing transparency and traceability. Similarly, Smith and Jones (2022) explores how blockchain technology can enhance the dependability of financial reporting and audit procedures.</w:t>
      </w:r>
      <w:r w:rsidRPr="007C27A1">
        <w:rPr>
          <w:rFonts w:asciiTheme="minorBidi" w:eastAsia="Times New Roman" w:hAnsiTheme="minorBidi"/>
          <w:kern w:val="0"/>
          <w14:ligatures w14:val="none"/>
        </w:rPr>
        <w:br/>
        <w:t xml:space="preserve">Organisations must, however, be aware that blockchain technology is not a panacea for Accounting Fraud and must work in tandem with more comprehensive fraud prevention and detection techniques, which is extensively discussed in </w:t>
      </w:r>
      <w:r w:rsidRPr="007C27A1">
        <w:rPr>
          <w:rFonts w:asciiTheme="minorBidi" w:eastAsia="Times New Roman" w:hAnsiTheme="minorBidi"/>
          <w:b/>
          <w:bCs/>
          <w:kern w:val="0"/>
          <w14:ligatures w14:val="none"/>
        </w:rPr>
        <w:t>4.5</w:t>
      </w:r>
      <w:r w:rsidRPr="007C27A1">
        <w:rPr>
          <w:rFonts w:asciiTheme="minorBidi" w:eastAsia="Times New Roman" w:hAnsiTheme="minorBidi"/>
          <w:kern w:val="0"/>
          <w14:ligatures w14:val="none"/>
        </w:rPr>
        <w:t xml:space="preserve"> where alternative approaches namely automation and people-centric approaches were extensively discussed. </w:t>
      </w:r>
    </w:p>
    <w:bookmarkStart w:id="790" w:name="D126"/>
    <w:p w14:paraId="4C53102D" w14:textId="4A1E030E" w:rsidR="007C27A1" w:rsidRPr="007C27A1" w:rsidRDefault="00491902" w:rsidP="00E52C81">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b/>
          <w:bCs/>
          <w:kern w:val="0"/>
          <w:lang w:eastAsia="en-US"/>
          <w14:ligatures w14:val="none"/>
        </w:rPr>
      </w:pPr>
      <w:r>
        <w:rPr>
          <w:rFonts w:ascii="Arial" w:eastAsiaTheme="minorHAnsi" w:hAnsi="Arial" w:cs="Arial"/>
          <w:b/>
          <w:bCs/>
          <w:kern w:val="0"/>
          <w:lang w:eastAsia="en-US"/>
          <w14:ligatures w14:val="none"/>
        </w:rPr>
        <w:fldChar w:fldCharType="begin"/>
      </w:r>
      <w:r>
        <w:rPr>
          <w:rFonts w:ascii="Arial" w:eastAsiaTheme="minorHAnsi" w:hAnsi="Arial" w:cs="Arial"/>
          <w:b/>
          <w:bCs/>
          <w:kern w:val="0"/>
          <w:lang w:eastAsia="en-US"/>
          <w14:ligatures w14:val="none"/>
        </w:rPr>
        <w:instrText>HYPERLINK  \l "C126"</w:instrText>
      </w:r>
      <w:r>
        <w:rPr>
          <w:rFonts w:ascii="Arial" w:eastAsiaTheme="minorHAnsi" w:hAnsi="Arial" w:cs="Arial"/>
          <w:b/>
          <w:bCs/>
          <w:kern w:val="0"/>
          <w:lang w:eastAsia="en-US"/>
          <w14:ligatures w14:val="none"/>
        </w:rPr>
      </w:r>
      <w:r>
        <w:rPr>
          <w:rFonts w:ascii="Arial" w:eastAsiaTheme="minorHAnsi" w:hAnsi="Arial" w:cs="Arial"/>
          <w:b/>
          <w:bCs/>
          <w:kern w:val="0"/>
          <w:lang w:eastAsia="en-US"/>
          <w14:ligatures w14:val="none"/>
        </w:rPr>
        <w:fldChar w:fldCharType="separate"/>
      </w:r>
      <w:r w:rsidR="007C27A1" w:rsidRPr="00491902">
        <w:rPr>
          <w:rStyle w:val="Hyperlink"/>
          <w:rFonts w:ascii="Arial" w:eastAsiaTheme="minorHAnsi" w:hAnsi="Arial" w:cs="Arial"/>
          <w:b/>
          <w:bCs/>
          <w:kern w:val="0"/>
          <w:lang w:eastAsia="en-US"/>
          <w14:ligatures w14:val="none"/>
        </w:rPr>
        <w:t>5.1.1.2 Research Objectives (1 – 5) and Research Question (1 – 5)</w:t>
      </w:r>
      <w:r>
        <w:rPr>
          <w:rFonts w:ascii="Arial" w:eastAsiaTheme="minorHAnsi" w:hAnsi="Arial" w:cs="Arial"/>
          <w:b/>
          <w:bCs/>
          <w:kern w:val="0"/>
          <w:lang w:eastAsia="en-US"/>
          <w14:ligatures w14:val="none"/>
        </w:rPr>
        <w:fldChar w:fldCharType="end"/>
      </w:r>
    </w:p>
    <w:bookmarkEnd w:id="790"/>
    <w:p w14:paraId="29A06664" w14:textId="77777777" w:rsidR="007C27A1" w:rsidRPr="007C27A1" w:rsidRDefault="007C27A1" w:rsidP="007C27A1">
      <w:pPr>
        <w:spacing w:line="480" w:lineRule="auto"/>
        <w:jc w:val="both"/>
        <w:rPr>
          <w:rFonts w:asciiTheme="minorBidi" w:hAnsiTheme="minorBidi"/>
          <w:b/>
          <w:bCs/>
          <w:lang w:val="en-US" w:eastAsia="en-US"/>
        </w:rPr>
      </w:pPr>
      <w:r w:rsidRPr="007C27A1">
        <w:rPr>
          <w:rFonts w:asciiTheme="minorBidi" w:eastAsia="Times New Roman" w:hAnsiTheme="minorBidi"/>
          <w:kern w:val="0"/>
          <w14:ligatures w14:val="none"/>
        </w:rPr>
        <w:t xml:space="preserve">The researcher believes that the first five Research Objectives and Questions, as per </w:t>
      </w:r>
      <w:r w:rsidRPr="007C27A1">
        <w:rPr>
          <w:rFonts w:asciiTheme="minorBidi" w:eastAsia="Times New Roman" w:hAnsiTheme="minorBidi"/>
          <w:b/>
          <w:bCs/>
          <w:kern w:val="0"/>
          <w14:ligatures w14:val="none"/>
        </w:rPr>
        <w:t>Table 5.3,</w:t>
      </w:r>
      <w:r w:rsidRPr="007C27A1">
        <w:rPr>
          <w:rFonts w:asciiTheme="minorBidi" w:eastAsia="Times New Roman" w:hAnsiTheme="minorBidi"/>
          <w:kern w:val="0"/>
          <w14:ligatures w14:val="none"/>
        </w:rPr>
        <w:t xml:space="preserve"> was comprehensively addressed achieved genning with chapter two, the literature review.</w:t>
      </w:r>
      <w:r w:rsidRPr="007C27A1">
        <w:rPr>
          <w:rFonts w:asciiTheme="minorBidi" w:hAnsiTheme="minorBidi"/>
        </w:rPr>
        <w:t xml:space="preserve"> Part one of the literature review (chapter two) extensively elaborated the types and techniques of Accounting Fraud </w:t>
      </w:r>
      <w:r w:rsidRPr="007C27A1">
        <w:rPr>
          <w:rFonts w:asciiTheme="minorBidi" w:hAnsiTheme="minorBidi"/>
          <w:b/>
          <w:bCs/>
        </w:rPr>
        <w:t>(2.2.1.1 – 2.2.1.4)</w:t>
      </w:r>
      <w:r w:rsidRPr="007C27A1">
        <w:rPr>
          <w:rFonts w:asciiTheme="minorBidi" w:hAnsiTheme="minorBidi"/>
        </w:rPr>
        <w:t xml:space="preserve"> including recent accounting scandals </w:t>
      </w:r>
      <w:r w:rsidRPr="007C27A1">
        <w:rPr>
          <w:rFonts w:asciiTheme="minorBidi" w:hAnsiTheme="minorBidi"/>
          <w:b/>
          <w:bCs/>
        </w:rPr>
        <w:t>(2.3.9), and</w:t>
      </w:r>
      <w:r w:rsidRPr="007C27A1">
        <w:rPr>
          <w:rFonts w:asciiTheme="minorBidi" w:hAnsiTheme="minorBidi"/>
        </w:rPr>
        <w:t xml:space="preserve"> the motivations for Accounting Fraud </w:t>
      </w:r>
      <w:r w:rsidRPr="007C27A1">
        <w:rPr>
          <w:rFonts w:asciiTheme="minorBidi" w:hAnsiTheme="minorBidi"/>
          <w:b/>
          <w:bCs/>
        </w:rPr>
        <w:t>(2.4.1 – 2.4.4).</w:t>
      </w:r>
      <w:r w:rsidRPr="007C27A1">
        <w:rPr>
          <w:rFonts w:asciiTheme="minorBidi" w:hAnsiTheme="minorBidi"/>
          <w:b/>
          <w:bCs/>
          <w:lang w:val="en-US" w:eastAsia="en-US"/>
        </w:rPr>
        <w:t xml:space="preserve"> </w:t>
      </w:r>
      <w:r w:rsidRPr="007C27A1">
        <w:rPr>
          <w:rFonts w:asciiTheme="minorBidi" w:hAnsiTheme="minorBidi"/>
          <w:lang w:val="en-US" w:eastAsia="en-US"/>
        </w:rPr>
        <w:t>The relationship between Corporate Governance and Accounting Fraud</w:t>
      </w:r>
      <w:r w:rsidRPr="007C27A1">
        <w:rPr>
          <w:rFonts w:asciiTheme="minorBidi" w:hAnsiTheme="minorBidi"/>
          <w:b/>
          <w:bCs/>
          <w:lang w:val="en-US" w:eastAsia="en-US"/>
        </w:rPr>
        <w:t xml:space="preserve"> (2.5) </w:t>
      </w:r>
      <w:r w:rsidRPr="007C27A1">
        <w:rPr>
          <w:rFonts w:asciiTheme="minorBidi" w:hAnsiTheme="minorBidi"/>
          <w:lang w:val="en-US" w:eastAsia="en-US"/>
        </w:rPr>
        <w:t xml:space="preserve">was </w:t>
      </w:r>
      <w:r w:rsidRPr="007C27A1">
        <w:rPr>
          <w:rFonts w:asciiTheme="minorBidi" w:hAnsiTheme="minorBidi"/>
          <w:lang w:val="en-US" w:eastAsia="en-US"/>
        </w:rPr>
        <w:lastRenderedPageBreak/>
        <w:t>critically evaluated</w:t>
      </w:r>
      <w:r w:rsidRPr="007C27A1">
        <w:rPr>
          <w:rFonts w:asciiTheme="minorBidi" w:hAnsiTheme="minorBidi"/>
          <w:b/>
          <w:bCs/>
          <w:lang w:val="en-US" w:eastAsia="en-US"/>
        </w:rPr>
        <w:t xml:space="preserve"> </w:t>
      </w:r>
      <w:r w:rsidRPr="007C27A1">
        <w:rPr>
          <w:rFonts w:asciiTheme="minorBidi" w:hAnsiTheme="minorBidi"/>
          <w:lang w:val="en-US" w:eastAsia="en-US"/>
        </w:rPr>
        <w:t>including prevention, deterrence and deterrence</w:t>
      </w:r>
      <w:r w:rsidRPr="007C27A1">
        <w:rPr>
          <w:rFonts w:asciiTheme="minorBidi" w:hAnsiTheme="minorBidi"/>
          <w:b/>
          <w:bCs/>
          <w:lang w:val="en-US" w:eastAsia="en-US"/>
        </w:rPr>
        <w:t xml:space="preserve"> (2.5.1) </w:t>
      </w:r>
      <w:r w:rsidRPr="007C27A1">
        <w:rPr>
          <w:rFonts w:asciiTheme="minorBidi" w:hAnsiTheme="minorBidi"/>
        </w:rPr>
        <w:t xml:space="preserve">socio-economic and psychological pressures </w:t>
      </w:r>
      <w:r w:rsidRPr="007C27A1">
        <w:rPr>
          <w:rFonts w:asciiTheme="minorBidi" w:hAnsiTheme="minorBidi"/>
          <w:b/>
          <w:bCs/>
        </w:rPr>
        <w:t>(2.6)</w:t>
      </w:r>
      <w:r w:rsidRPr="007C27A1">
        <w:rPr>
          <w:rFonts w:asciiTheme="minorBidi" w:hAnsiTheme="minorBidi"/>
        </w:rPr>
        <w:t xml:space="preserve"> and established the emergence and existence of the Corporate Psychopath Accountant </w:t>
      </w:r>
      <w:r w:rsidRPr="007C27A1">
        <w:rPr>
          <w:rFonts w:asciiTheme="minorBidi" w:hAnsiTheme="minorBidi"/>
          <w:b/>
          <w:bCs/>
        </w:rPr>
        <w:t>(2.7, 2.8, 2.9.1 – 2.9.6).</w:t>
      </w:r>
      <w:r w:rsidRPr="007C27A1">
        <w:rPr>
          <w:rFonts w:asciiTheme="minorBidi" w:hAnsiTheme="minorBidi"/>
        </w:rPr>
        <w:t xml:space="preserve"> The second part of the literature review explored and outlined the nascent Blockchain </w:t>
      </w:r>
      <w:r w:rsidRPr="007C27A1">
        <w:rPr>
          <w:rFonts w:asciiTheme="minorBidi" w:hAnsiTheme="minorBidi"/>
          <w:b/>
          <w:bCs/>
        </w:rPr>
        <w:t>(2.11 – 2.11.10)</w:t>
      </w:r>
      <w:r w:rsidRPr="007C27A1">
        <w:rPr>
          <w:rFonts w:asciiTheme="minorBidi" w:hAnsiTheme="minorBidi"/>
        </w:rPr>
        <w:t xml:space="preserve"> which is underpinned by triple entry accounting in contrast to triple entry bookkeeping. </w:t>
      </w:r>
    </w:p>
    <w:p w14:paraId="0984CE38" w14:textId="77777777" w:rsidR="007C27A1" w:rsidRPr="007C27A1" w:rsidRDefault="007C27A1" w:rsidP="007C27A1">
      <w:pPr>
        <w:spacing w:beforeAutospacing="1" w:after="0" w:afterAutospacing="1" w:line="480" w:lineRule="auto"/>
        <w:jc w:val="both"/>
        <w:textAlignment w:val="baseline"/>
        <w:rPr>
          <w:rFonts w:asciiTheme="minorBidi" w:eastAsia="Times New Roman" w:hAnsiTheme="minorBidi" w:cs="Times New Roman"/>
          <w:kern w:val="0"/>
          <w14:ligatures w14:val="none"/>
        </w:rPr>
      </w:pPr>
      <w:r w:rsidRPr="007C27A1">
        <w:rPr>
          <w:rFonts w:asciiTheme="minorBidi" w:eastAsia="Times New Roman" w:hAnsiTheme="minorBidi" w:cs="Times New Roman"/>
          <w:kern w:val="0"/>
          <w14:ligatures w14:val="none"/>
        </w:rPr>
        <w:t xml:space="preserve">The following theoretical frameworks were utilised to better understand the phenomenon of Accounting Fraud. Agency Theory (Jensen &amp; Meckling, 1976) </w:t>
      </w:r>
      <w:r w:rsidRPr="007C27A1">
        <w:rPr>
          <w:rFonts w:asciiTheme="minorBidi" w:eastAsia="Times New Roman" w:hAnsiTheme="minorBidi" w:cs="Times New Roman"/>
          <w:b/>
          <w:bCs/>
          <w:kern w:val="0"/>
          <w14:ligatures w14:val="none"/>
        </w:rPr>
        <w:t>(2.5)</w:t>
      </w:r>
      <w:r w:rsidRPr="007C27A1">
        <w:rPr>
          <w:rFonts w:asciiTheme="minorBidi" w:eastAsia="Times New Roman" w:hAnsiTheme="minorBidi" w:cs="Times New Roman"/>
          <w:kern w:val="0"/>
          <w14:ligatures w14:val="none"/>
        </w:rPr>
        <w:t xml:space="preserve"> was briefly used as a lens to help understand and establish the role audit plays in the capital market and underpins the researchers Corporate Governance Cosmos (Sheikh, 2017) </w:t>
      </w:r>
      <w:r w:rsidRPr="007C27A1">
        <w:rPr>
          <w:rFonts w:asciiTheme="minorBidi" w:eastAsia="Times New Roman" w:hAnsiTheme="minorBidi" w:cs="Times New Roman"/>
          <w:b/>
          <w:bCs/>
          <w:kern w:val="0"/>
          <w14:ligatures w14:val="none"/>
        </w:rPr>
        <w:t>(Figure 2.7).</w:t>
      </w:r>
      <w:r w:rsidRPr="007C27A1">
        <w:rPr>
          <w:rFonts w:asciiTheme="minorBidi" w:eastAsia="Times New Roman" w:hAnsiTheme="minorBidi" w:cs="Times New Roman"/>
          <w:kern w:val="0"/>
          <w14:ligatures w14:val="none"/>
        </w:rPr>
        <w:t xml:space="preserve"> The Fraud Triangle Theory (Cressey, 1950; Cressey, 1953) was used to explain why agents (managers) commit Accounting Fraud and was thoroughly critiqued including alternatives </w:t>
      </w:r>
      <w:r w:rsidRPr="007C27A1">
        <w:rPr>
          <w:rFonts w:asciiTheme="minorBidi" w:eastAsia="Times New Roman" w:hAnsiTheme="minorBidi" w:cs="Times New Roman"/>
          <w:b/>
          <w:bCs/>
          <w:kern w:val="0"/>
          <w14:ligatures w14:val="none"/>
        </w:rPr>
        <w:t>(2.7.1 – 2.7.4.8).</w:t>
      </w:r>
      <w:r w:rsidRPr="007C27A1">
        <w:rPr>
          <w:rFonts w:asciiTheme="minorBidi" w:eastAsia="Times New Roman" w:hAnsiTheme="minorBidi" w:cs="Times New Roman"/>
          <w:kern w:val="0"/>
          <w14:ligatures w14:val="none"/>
        </w:rPr>
        <w:t xml:space="preserve"> </w:t>
      </w:r>
    </w:p>
    <w:p w14:paraId="46E7DD2F" w14:textId="0EF17AFE" w:rsidR="007C27A1" w:rsidRPr="007C27A1" w:rsidRDefault="007C27A1" w:rsidP="007C27A1">
      <w:pPr>
        <w:spacing w:beforeAutospacing="1" w:after="0" w:afterAutospacing="1" w:line="480" w:lineRule="auto"/>
        <w:jc w:val="both"/>
        <w:textAlignment w:val="baseline"/>
        <w:rPr>
          <w:rFonts w:ascii="Arial" w:eastAsia="Times New Roman" w:hAnsi="Arial" w:cs="Arial"/>
          <w:kern w:val="0"/>
          <w14:ligatures w14:val="none"/>
        </w:rPr>
      </w:pPr>
      <w:r w:rsidRPr="007C27A1">
        <w:rPr>
          <w:rFonts w:asciiTheme="minorBidi" w:eastAsia="Times New Roman" w:hAnsiTheme="minorBidi" w:cs="Times New Roman"/>
          <w:kern w:val="0"/>
          <w14:ligatures w14:val="none"/>
        </w:rPr>
        <w:t xml:space="preserve">The </w:t>
      </w:r>
      <w:r w:rsidR="00CA4B3A">
        <w:rPr>
          <w:rFonts w:ascii="Arial" w:hAnsi="Arial" w:cs="Arial"/>
          <w:color w:val="000000" w:themeColor="text1"/>
        </w:rPr>
        <w:t>researcher</w:t>
      </w:r>
      <w:r w:rsidRPr="007C27A1">
        <w:rPr>
          <w:rFonts w:asciiTheme="minorBidi" w:eastAsia="Times New Roman" w:hAnsiTheme="minorBidi" w:cs="Times New Roman"/>
          <w:kern w:val="0"/>
          <w14:ligatures w14:val="none"/>
        </w:rPr>
        <w:t xml:space="preserve"> extended C R I M E (Rezaee, 2005) model where </w:t>
      </w:r>
      <w:r w:rsidRPr="007C27A1">
        <w:rPr>
          <w:rFonts w:asciiTheme="minorBidi" w:eastAsia="Times New Roman" w:hAnsiTheme="minorBidi" w:cs="Times New Roman"/>
          <w:i/>
          <w:iCs/>
          <w:kern w:val="0"/>
          <w14:ligatures w14:val="none"/>
        </w:rPr>
        <w:t>‘’Cooks’’, ‘’Recipes ‘’, ‘’Incentives’’</w:t>
      </w:r>
      <w:proofErr w:type="gramStart"/>
      <w:r w:rsidRPr="007C27A1">
        <w:rPr>
          <w:rFonts w:asciiTheme="minorBidi" w:eastAsia="Times New Roman" w:hAnsiTheme="minorBidi" w:cs="Times New Roman"/>
          <w:i/>
          <w:iCs/>
          <w:kern w:val="0"/>
          <w14:ligatures w14:val="none"/>
        </w:rPr>
        <w:t>, ’</w:t>
      </w:r>
      <w:proofErr w:type="gramEnd"/>
      <w:r w:rsidRPr="007C27A1">
        <w:rPr>
          <w:rFonts w:asciiTheme="minorBidi" w:eastAsia="Times New Roman" w:hAnsiTheme="minorBidi" w:cs="Times New Roman"/>
          <w:i/>
          <w:iCs/>
          <w:kern w:val="0"/>
          <w14:ligatures w14:val="none"/>
        </w:rPr>
        <w:t xml:space="preserve">’Monitoring’’, and ‘’End results’’ </w:t>
      </w:r>
      <w:r w:rsidRPr="007C27A1">
        <w:rPr>
          <w:rFonts w:asciiTheme="minorBidi" w:eastAsia="Times New Roman" w:hAnsiTheme="minorBidi" w:cs="Times New Roman"/>
          <w:kern w:val="0"/>
          <w14:ligatures w14:val="none"/>
        </w:rPr>
        <w:t xml:space="preserve">explain the causes and effects of Accounting Fraud, to C R I M E L or </w:t>
      </w:r>
      <w:r w:rsidRPr="007C27A1">
        <w:rPr>
          <w:rFonts w:asciiTheme="minorBidi" w:eastAsia="Times New Roman" w:hAnsiTheme="minorBidi" w:cs="Times New Roman"/>
          <w:i/>
          <w:iCs/>
          <w:kern w:val="0"/>
          <w14:ligatures w14:val="none"/>
        </w:rPr>
        <w:t>‘’Learning’’</w:t>
      </w:r>
      <w:r w:rsidRPr="007C27A1">
        <w:rPr>
          <w:rFonts w:asciiTheme="minorBidi" w:eastAsia="Times New Roman" w:hAnsiTheme="minorBidi" w:cs="Times New Roman"/>
          <w:kern w:val="0"/>
          <w14:ligatures w14:val="none"/>
        </w:rPr>
        <w:t xml:space="preserve"> as he noticed that corporate psychopathy appeared in 33 case international case studies </w:t>
      </w:r>
      <w:r w:rsidRPr="007C27A1">
        <w:rPr>
          <w:rFonts w:asciiTheme="minorBidi" w:eastAsia="Times New Roman" w:hAnsiTheme="minorBidi" w:cs="Times New Roman"/>
          <w:b/>
          <w:bCs/>
          <w:kern w:val="0"/>
          <w14:ligatures w14:val="none"/>
        </w:rPr>
        <w:t>(2.8).</w:t>
      </w:r>
      <w:r w:rsidRPr="007C27A1">
        <w:rPr>
          <w:rFonts w:asciiTheme="minorBidi" w:eastAsia="Times New Roman" w:hAnsiTheme="minorBidi" w:cs="Times New Roman"/>
          <w:kern w:val="0"/>
          <w14:ligatures w14:val="none"/>
        </w:rPr>
        <w:t xml:space="preserve"> This led to an exploration of Dark Triad Theory (Psychopathy, Machiavelli, Narcissism) (</w:t>
      </w:r>
      <w:r w:rsidRPr="007C27A1">
        <w:rPr>
          <w:rFonts w:ascii="Arial" w:eastAsiaTheme="majorEastAsia" w:hAnsi="Arial" w:cs="Arial"/>
          <w:kern w:val="0"/>
          <w:bdr w:val="none" w:sz="0" w:space="0" w:color="auto" w:frame="1"/>
          <w14:ligatures w14:val="none"/>
        </w:rPr>
        <w:t>Paulhus and Williams</w:t>
      </w:r>
      <w:r w:rsidRPr="007C27A1">
        <w:rPr>
          <w:rFonts w:ascii="Arial" w:eastAsia="Times New Roman" w:hAnsi="Arial" w:cs="Arial"/>
          <w:kern w:val="0"/>
          <w:bdr w:val="none" w:sz="0" w:space="0" w:color="auto" w:frame="1"/>
          <w14:ligatures w14:val="none"/>
        </w:rPr>
        <w:t xml:space="preserve">, </w:t>
      </w:r>
      <w:r w:rsidRPr="007C27A1">
        <w:rPr>
          <w:rFonts w:ascii="Arial" w:eastAsiaTheme="majorEastAsia" w:hAnsi="Arial" w:cs="Arial"/>
          <w:kern w:val="0"/>
          <w:bdr w:val="none" w:sz="0" w:space="0" w:color="auto" w:frame="1"/>
          <w14:ligatures w14:val="none"/>
        </w:rPr>
        <w:t>2002)</w:t>
      </w:r>
      <w:r w:rsidRPr="007C27A1">
        <w:rPr>
          <w:rFonts w:asciiTheme="minorBidi" w:eastAsia="Times New Roman" w:hAnsiTheme="minorBidi" w:cs="Times New Roman"/>
          <w:kern w:val="0"/>
          <w14:ligatures w14:val="none"/>
        </w:rPr>
        <w:t xml:space="preserve"> focussing on Corporate Psychopathy highlighted by prominent CFO’s such as </w:t>
      </w:r>
      <w:r w:rsidRPr="007C27A1">
        <w:rPr>
          <w:rFonts w:ascii="Arial" w:eastAsiaTheme="majorEastAsia" w:hAnsi="Arial" w:cs="Arial"/>
          <w:kern w:val="0"/>
          <w14:ligatures w14:val="none"/>
        </w:rPr>
        <w:t>Crazy Eddie Antar a self-confessed psychopath</w:t>
      </w:r>
      <w:r w:rsidRPr="007C27A1">
        <w:rPr>
          <w:rFonts w:ascii="Arial" w:eastAsia="Times New Roman" w:hAnsi="Arial" w:cs="Arial"/>
          <w:kern w:val="0"/>
          <w14:ligatures w14:val="none"/>
        </w:rPr>
        <w:t xml:space="preserve"> who </w:t>
      </w:r>
      <w:r w:rsidRPr="007C27A1">
        <w:rPr>
          <w:rFonts w:ascii="Arial" w:eastAsiaTheme="majorEastAsia" w:hAnsi="Arial" w:cs="Arial"/>
          <w:kern w:val="0"/>
          <w14:ligatures w14:val="none"/>
        </w:rPr>
        <w:t>used this portrayal to</w:t>
      </w:r>
      <w:r w:rsidRPr="007C27A1">
        <w:rPr>
          <w:rFonts w:ascii="Arial" w:eastAsia="Times New Roman" w:hAnsi="Arial" w:cs="Arial"/>
          <w:kern w:val="0"/>
          <w14:ligatures w14:val="none"/>
        </w:rPr>
        <w:t xml:space="preserve"> obtain</w:t>
      </w:r>
      <w:r w:rsidRPr="007C27A1">
        <w:rPr>
          <w:rFonts w:ascii="Arial" w:eastAsiaTheme="majorEastAsia" w:hAnsi="Arial" w:cs="Arial"/>
          <w:kern w:val="0"/>
          <w14:ligatures w14:val="none"/>
        </w:rPr>
        <w:t xml:space="preserve"> a </w:t>
      </w:r>
      <w:r w:rsidRPr="007C27A1">
        <w:rPr>
          <w:rFonts w:ascii="Arial" w:eastAsia="Times New Roman" w:hAnsi="Arial" w:cs="Arial"/>
          <w:kern w:val="0"/>
          <w14:ligatures w14:val="none"/>
        </w:rPr>
        <w:t>lower</w:t>
      </w:r>
      <w:r w:rsidRPr="007C27A1">
        <w:rPr>
          <w:rFonts w:ascii="Arial" w:eastAsiaTheme="majorEastAsia" w:hAnsi="Arial" w:cs="Arial"/>
          <w:kern w:val="0"/>
          <w14:ligatures w14:val="none"/>
        </w:rPr>
        <w:t xml:space="preserve"> sentence for his fraud (Wall Street Journal, 2012)</w:t>
      </w:r>
      <w:r w:rsidRPr="007C27A1">
        <w:rPr>
          <w:rFonts w:ascii="Arial" w:eastAsia="Times New Roman" w:hAnsi="Arial" w:cs="Arial"/>
          <w:kern w:val="0"/>
          <w14:ligatures w14:val="none"/>
        </w:rPr>
        <w:t xml:space="preserve">. </w:t>
      </w:r>
    </w:p>
    <w:p w14:paraId="481D3FAC" w14:textId="77777777" w:rsidR="007C27A1" w:rsidRPr="007C27A1" w:rsidRDefault="007C27A1" w:rsidP="007C27A1">
      <w:pPr>
        <w:spacing w:beforeAutospacing="1" w:after="0" w:afterAutospacing="1" w:line="480" w:lineRule="auto"/>
        <w:jc w:val="both"/>
        <w:textAlignment w:val="baseline"/>
        <w:rPr>
          <w:rFonts w:ascii="Arial" w:eastAsia="Times New Roman" w:hAnsi="Arial" w:cs="Arial"/>
          <w:b/>
          <w:bCs/>
          <w:kern w:val="0"/>
          <w14:ligatures w14:val="none"/>
        </w:rPr>
      </w:pPr>
      <w:r w:rsidRPr="007C27A1">
        <w:rPr>
          <w:rFonts w:ascii="Arial" w:eastAsia="Times New Roman" w:hAnsi="Arial" w:cs="Arial"/>
          <w:kern w:val="0"/>
          <w14:ligatures w14:val="none"/>
        </w:rPr>
        <w:t xml:space="preserve">The gaps in the Accounting Fraud </w:t>
      </w:r>
      <w:r w:rsidRPr="007C27A1">
        <w:rPr>
          <w:rFonts w:ascii="Arial" w:eastAsia="Times New Roman" w:hAnsi="Arial" w:cs="Arial"/>
          <w:b/>
          <w:bCs/>
          <w:kern w:val="0"/>
          <w14:ligatures w14:val="none"/>
        </w:rPr>
        <w:t xml:space="preserve">(2.10) </w:t>
      </w:r>
      <w:r w:rsidRPr="007C27A1">
        <w:rPr>
          <w:rFonts w:ascii="Arial" w:eastAsia="Times New Roman" w:hAnsi="Arial" w:cs="Arial"/>
          <w:kern w:val="0"/>
          <w14:ligatures w14:val="none"/>
        </w:rPr>
        <w:t xml:space="preserve">and Blockchain Technology </w:t>
      </w:r>
      <w:r w:rsidRPr="007C27A1">
        <w:rPr>
          <w:rFonts w:ascii="Arial" w:eastAsia="Times New Roman" w:hAnsi="Arial" w:cs="Arial"/>
          <w:b/>
          <w:bCs/>
          <w:kern w:val="0"/>
          <w14:ligatures w14:val="none"/>
        </w:rPr>
        <w:t>(2.11.11)</w:t>
      </w:r>
      <w:r w:rsidRPr="007C27A1">
        <w:rPr>
          <w:rFonts w:ascii="Arial" w:eastAsia="Times New Roman" w:hAnsi="Arial" w:cs="Arial"/>
          <w:kern w:val="0"/>
          <w14:ligatures w14:val="none"/>
        </w:rPr>
        <w:t xml:space="preserve"> literatures and further Sub Research Questions </w:t>
      </w:r>
      <w:r w:rsidRPr="007C27A1">
        <w:rPr>
          <w:rFonts w:ascii="Arial" w:eastAsia="Times New Roman" w:hAnsi="Arial" w:cs="Arial"/>
          <w:b/>
          <w:bCs/>
          <w:kern w:val="0"/>
          <w14:ligatures w14:val="none"/>
        </w:rPr>
        <w:t xml:space="preserve">(2.11.11.1) </w:t>
      </w:r>
      <w:r w:rsidRPr="007C27A1">
        <w:rPr>
          <w:rFonts w:ascii="Arial" w:eastAsia="Times New Roman" w:hAnsi="Arial" w:cs="Arial"/>
          <w:kern w:val="0"/>
          <w14:ligatures w14:val="none"/>
        </w:rPr>
        <w:t xml:space="preserve">were clearly identified. The </w:t>
      </w:r>
      <w:r w:rsidRPr="007C27A1">
        <w:rPr>
          <w:rFonts w:ascii="Arial" w:eastAsia="Times New Roman" w:hAnsi="Arial" w:cs="Arial"/>
          <w:kern w:val="0"/>
          <w14:ligatures w14:val="none"/>
        </w:rPr>
        <w:lastRenderedPageBreak/>
        <w:t xml:space="preserve">studies hypotheses </w:t>
      </w:r>
      <w:r w:rsidRPr="007C27A1">
        <w:rPr>
          <w:rFonts w:ascii="Arial" w:eastAsia="Times New Roman" w:hAnsi="Arial" w:cs="Arial"/>
          <w:b/>
          <w:bCs/>
          <w:kern w:val="0"/>
          <w14:ligatures w14:val="none"/>
        </w:rPr>
        <w:t>(2.12)</w:t>
      </w:r>
      <w:r w:rsidRPr="007C27A1">
        <w:rPr>
          <w:rFonts w:ascii="Arial" w:eastAsia="Times New Roman" w:hAnsi="Arial" w:cs="Arial"/>
          <w:kern w:val="0"/>
          <w14:ligatures w14:val="none"/>
        </w:rPr>
        <w:t xml:space="preserve"> were also identified and developed and based on the results in </w:t>
      </w:r>
      <w:r w:rsidRPr="007C27A1">
        <w:rPr>
          <w:rFonts w:ascii="Arial" w:eastAsia="Times New Roman" w:hAnsi="Arial" w:cs="Arial"/>
          <w:b/>
          <w:bCs/>
          <w:kern w:val="0"/>
          <w14:ligatures w14:val="none"/>
        </w:rPr>
        <w:t>Chapter 4.0</w:t>
      </w:r>
      <w:r w:rsidRPr="007C27A1">
        <w:rPr>
          <w:rFonts w:ascii="Arial" w:eastAsia="Times New Roman" w:hAnsi="Arial" w:cs="Arial"/>
          <w:kern w:val="0"/>
          <w14:ligatures w14:val="none"/>
        </w:rPr>
        <w:t xml:space="preserve"> the outcomes are listed in </w:t>
      </w:r>
      <w:r w:rsidRPr="007C27A1">
        <w:rPr>
          <w:rFonts w:ascii="Arial" w:eastAsia="Times New Roman" w:hAnsi="Arial" w:cs="Arial"/>
          <w:b/>
          <w:bCs/>
          <w:kern w:val="0"/>
          <w14:ligatures w14:val="none"/>
        </w:rPr>
        <w:t>Table 5.4:</w:t>
      </w:r>
    </w:p>
    <w:p w14:paraId="25207D08" w14:textId="77777777" w:rsidR="007C27A1" w:rsidRPr="007C27A1" w:rsidRDefault="007C27A1" w:rsidP="007C27A1">
      <w:pPr>
        <w:spacing w:beforeAutospacing="1" w:after="0" w:afterAutospacing="1" w:line="480" w:lineRule="auto"/>
        <w:jc w:val="both"/>
        <w:textAlignment w:val="baseline"/>
        <w:rPr>
          <w:rFonts w:ascii="Arial" w:eastAsia="Times New Roman" w:hAnsi="Arial" w:cs="Arial"/>
          <w:b/>
          <w:bCs/>
          <w:kern w:val="0"/>
          <w14:ligatures w14:val="none"/>
        </w:rPr>
      </w:pPr>
      <w:bookmarkStart w:id="791" w:name="_Hlk172308289"/>
      <w:r w:rsidRPr="007C27A1">
        <w:rPr>
          <w:rFonts w:ascii="Arial" w:eastAsia="Times New Roman" w:hAnsi="Arial" w:cs="Arial"/>
          <w:b/>
          <w:bCs/>
          <w:kern w:val="0"/>
          <w14:ligatures w14:val="none"/>
        </w:rPr>
        <w:t>Table 5.4 Outcome of Hypotheses Tested</w:t>
      </w:r>
    </w:p>
    <w:tbl>
      <w:tblPr>
        <w:tblStyle w:val="TableGrid"/>
        <w:tblW w:w="0" w:type="auto"/>
        <w:tblLook w:val="04A0" w:firstRow="1" w:lastRow="0" w:firstColumn="1" w:lastColumn="0" w:noHBand="0" w:noVBand="1"/>
      </w:tblPr>
      <w:tblGrid>
        <w:gridCol w:w="4508"/>
        <w:gridCol w:w="4508"/>
      </w:tblGrid>
      <w:tr w:rsidR="007C27A1" w:rsidRPr="007C27A1" w14:paraId="02C75331" w14:textId="77777777" w:rsidTr="001D4222">
        <w:tc>
          <w:tcPr>
            <w:tcW w:w="4508" w:type="dxa"/>
          </w:tcPr>
          <w:bookmarkEnd w:id="791"/>
          <w:p w14:paraId="6A6963AF" w14:textId="77777777" w:rsidR="007C27A1" w:rsidRPr="007C27A1" w:rsidRDefault="007C27A1" w:rsidP="007C27A1">
            <w:pPr>
              <w:spacing w:beforeAutospacing="1" w:afterAutospacing="1" w:line="480" w:lineRule="auto"/>
              <w:jc w:val="both"/>
              <w:textAlignment w:val="baseline"/>
              <w:rPr>
                <w:rFonts w:ascii="Arial" w:eastAsia="Times New Roman" w:hAnsi="Arial" w:cs="Arial"/>
                <w:b/>
                <w:bCs/>
                <w:kern w:val="0"/>
                <w14:ligatures w14:val="none"/>
              </w:rPr>
            </w:pPr>
            <w:r w:rsidRPr="007C27A1">
              <w:rPr>
                <w:rFonts w:ascii="Arial" w:eastAsia="Times New Roman" w:hAnsi="Arial" w:cs="Arial"/>
                <w:b/>
                <w:bCs/>
                <w:kern w:val="0"/>
                <w14:ligatures w14:val="none"/>
              </w:rPr>
              <w:t xml:space="preserve">Hypothesis </w:t>
            </w:r>
          </w:p>
        </w:tc>
        <w:tc>
          <w:tcPr>
            <w:tcW w:w="4508" w:type="dxa"/>
          </w:tcPr>
          <w:p w14:paraId="68223139" w14:textId="77777777" w:rsidR="007C27A1" w:rsidRPr="007C27A1" w:rsidRDefault="007C27A1" w:rsidP="007C27A1">
            <w:pPr>
              <w:spacing w:beforeAutospacing="1" w:afterAutospacing="1" w:line="480" w:lineRule="auto"/>
              <w:jc w:val="both"/>
              <w:textAlignment w:val="baseline"/>
              <w:rPr>
                <w:rFonts w:ascii="Arial" w:eastAsia="Times New Roman" w:hAnsi="Arial" w:cs="Arial"/>
                <w:b/>
                <w:bCs/>
                <w:kern w:val="0"/>
                <w14:ligatures w14:val="none"/>
              </w:rPr>
            </w:pPr>
            <w:r w:rsidRPr="007C27A1">
              <w:rPr>
                <w:rFonts w:ascii="Arial" w:eastAsia="Times New Roman" w:hAnsi="Arial" w:cs="Arial"/>
                <w:b/>
                <w:bCs/>
                <w:kern w:val="0"/>
                <w14:ligatures w14:val="none"/>
              </w:rPr>
              <w:t>Outcome</w:t>
            </w:r>
          </w:p>
        </w:tc>
      </w:tr>
      <w:tr w:rsidR="007C27A1" w:rsidRPr="007C27A1" w14:paraId="30C288B5" w14:textId="77777777" w:rsidTr="001D4222">
        <w:tc>
          <w:tcPr>
            <w:tcW w:w="9016" w:type="dxa"/>
            <w:gridSpan w:val="2"/>
          </w:tcPr>
          <w:p w14:paraId="33CF3F77" w14:textId="77777777" w:rsidR="007C27A1" w:rsidRPr="007C27A1" w:rsidRDefault="007C27A1" w:rsidP="007C27A1">
            <w:pPr>
              <w:spacing w:after="240" w:line="480" w:lineRule="auto"/>
              <w:jc w:val="both"/>
              <w:rPr>
                <w:rFonts w:asciiTheme="minorBidi" w:eastAsia="Times New Roman" w:hAnsiTheme="minorBidi"/>
                <w:b/>
                <w:bCs/>
                <w:kern w:val="0"/>
                <w14:ligatures w14:val="none"/>
              </w:rPr>
            </w:pPr>
            <w:r w:rsidRPr="007C27A1">
              <w:rPr>
                <w:rFonts w:asciiTheme="minorBidi" w:eastAsia="Times New Roman" w:hAnsiTheme="minorBidi"/>
                <w:b/>
                <w:bCs/>
                <w:kern w:val="0"/>
                <w14:ligatures w14:val="none"/>
              </w:rPr>
              <w:t>H1: Accounting Fraud and Psychopathy</w:t>
            </w:r>
          </w:p>
        </w:tc>
      </w:tr>
      <w:tr w:rsidR="007C27A1" w:rsidRPr="007C27A1" w14:paraId="6B2DD284" w14:textId="77777777" w:rsidTr="001D4222">
        <w:tc>
          <w:tcPr>
            <w:tcW w:w="4508" w:type="dxa"/>
          </w:tcPr>
          <w:p w14:paraId="32035561" w14:textId="77777777" w:rsidR="007C27A1" w:rsidRPr="007C27A1" w:rsidRDefault="007C27A1" w:rsidP="007C27A1">
            <w:pPr>
              <w:spacing w:after="240" w:line="480" w:lineRule="auto"/>
              <w:jc w:val="both"/>
              <w:rPr>
                <w:rFonts w:asciiTheme="minorBidi" w:eastAsia="Times New Roman" w:hAnsiTheme="minorBidi"/>
                <w:kern w:val="0"/>
                <w14:ligatures w14:val="none"/>
              </w:rPr>
            </w:pPr>
            <w:r w:rsidRPr="007C27A1">
              <w:rPr>
                <w:rFonts w:asciiTheme="minorBidi" w:eastAsia="Times New Roman" w:hAnsiTheme="minorBidi"/>
                <w:kern w:val="0"/>
                <w14:ligatures w14:val="none"/>
              </w:rPr>
              <w:t xml:space="preserve">H1a: The percentage of L6 Accounting &amp; Finance students with strong psychopathy is more than 1% of the general population. </w:t>
            </w:r>
          </w:p>
          <w:p w14:paraId="44EF4AF9" w14:textId="77777777" w:rsidR="007C27A1" w:rsidRPr="007C27A1" w:rsidRDefault="007C27A1" w:rsidP="007C27A1">
            <w:pPr>
              <w:spacing w:beforeAutospacing="1" w:afterAutospacing="1" w:line="480" w:lineRule="auto"/>
              <w:jc w:val="both"/>
              <w:textAlignment w:val="baseline"/>
              <w:rPr>
                <w:rFonts w:ascii="Arial" w:eastAsia="Times New Roman" w:hAnsi="Arial" w:cs="Arial"/>
                <w:kern w:val="0"/>
                <w14:ligatures w14:val="none"/>
              </w:rPr>
            </w:pPr>
          </w:p>
        </w:tc>
        <w:tc>
          <w:tcPr>
            <w:tcW w:w="4508" w:type="dxa"/>
          </w:tcPr>
          <w:p w14:paraId="2B1BF90B" w14:textId="77777777" w:rsidR="007C27A1" w:rsidRPr="007C27A1" w:rsidRDefault="007C27A1" w:rsidP="007C27A1">
            <w:pPr>
              <w:spacing w:beforeAutospacing="1" w:afterAutospacing="1" w:line="480" w:lineRule="auto"/>
              <w:jc w:val="both"/>
              <w:textAlignment w:val="baseline"/>
              <w:rPr>
                <w:rFonts w:ascii="Arial" w:eastAsia="Times New Roman" w:hAnsi="Arial" w:cs="Arial"/>
                <w:kern w:val="0"/>
                <w14:ligatures w14:val="none"/>
              </w:rPr>
            </w:pPr>
            <w:r w:rsidRPr="007C27A1">
              <w:rPr>
                <w:rFonts w:ascii="Arial" w:eastAsia="Times New Roman" w:hAnsi="Arial" w:cs="Arial"/>
                <w:kern w:val="0"/>
                <w14:ligatures w14:val="none"/>
              </w:rPr>
              <w:t>Agreed. The percentage is:14%</w:t>
            </w:r>
          </w:p>
        </w:tc>
      </w:tr>
      <w:tr w:rsidR="007C27A1" w:rsidRPr="007C27A1" w14:paraId="40D08E96" w14:textId="77777777" w:rsidTr="001D4222">
        <w:tc>
          <w:tcPr>
            <w:tcW w:w="4508" w:type="dxa"/>
          </w:tcPr>
          <w:p w14:paraId="57F202A5" w14:textId="77777777" w:rsidR="007C27A1" w:rsidRPr="007C27A1" w:rsidRDefault="007C27A1" w:rsidP="007C27A1">
            <w:pPr>
              <w:spacing w:after="240" w:line="480" w:lineRule="auto"/>
              <w:jc w:val="both"/>
              <w:rPr>
                <w:rFonts w:asciiTheme="minorBidi" w:eastAsia="Times New Roman" w:hAnsiTheme="minorBidi"/>
                <w:kern w:val="0"/>
                <w14:ligatures w14:val="none"/>
              </w:rPr>
            </w:pPr>
            <w:r w:rsidRPr="007C27A1">
              <w:rPr>
                <w:rFonts w:asciiTheme="minorBidi" w:eastAsia="Times New Roman" w:hAnsiTheme="minorBidi"/>
                <w:kern w:val="0"/>
                <w14:ligatures w14:val="none"/>
              </w:rPr>
              <w:t>H1b: The explanatory variables for psychopathy in L6 Accounting &amp; Finance students is down to background variables.</w:t>
            </w:r>
          </w:p>
          <w:p w14:paraId="7A5C54F8" w14:textId="77777777" w:rsidR="007C27A1" w:rsidRPr="007C27A1" w:rsidRDefault="007C27A1" w:rsidP="007C27A1">
            <w:pPr>
              <w:spacing w:beforeAutospacing="1" w:afterAutospacing="1" w:line="480" w:lineRule="auto"/>
              <w:jc w:val="both"/>
              <w:textAlignment w:val="baseline"/>
              <w:rPr>
                <w:rFonts w:ascii="Arial" w:eastAsia="Times New Roman" w:hAnsi="Arial" w:cs="Arial"/>
                <w:kern w:val="0"/>
                <w14:ligatures w14:val="none"/>
              </w:rPr>
            </w:pPr>
          </w:p>
        </w:tc>
        <w:tc>
          <w:tcPr>
            <w:tcW w:w="4508" w:type="dxa"/>
          </w:tcPr>
          <w:p w14:paraId="4334B6EA" w14:textId="77777777" w:rsidR="007C27A1" w:rsidRPr="007C27A1" w:rsidRDefault="007C27A1" w:rsidP="007C27A1">
            <w:pPr>
              <w:spacing w:line="480" w:lineRule="auto"/>
              <w:jc w:val="both"/>
              <w:rPr>
                <w:rFonts w:ascii="Arial" w:hAnsi="Arial" w:cs="Arial"/>
                <w:color w:val="000000" w:themeColor="text1"/>
              </w:rPr>
            </w:pPr>
            <w:r w:rsidRPr="007C27A1">
              <w:rPr>
                <w:rFonts w:ascii="Arial" w:eastAsia="Times New Roman" w:hAnsi="Arial" w:cs="Arial"/>
                <w:kern w:val="0"/>
                <w14:ligatures w14:val="none"/>
              </w:rPr>
              <w:t xml:space="preserve">Partially. </w:t>
            </w:r>
            <w:r w:rsidRPr="007C27A1">
              <w:rPr>
                <w:rFonts w:ascii="Arial" w:hAnsi="Arial" w:cs="Arial"/>
                <w:color w:val="000000" w:themeColor="text1"/>
              </w:rPr>
              <w:t>The best predictor of psychopathy is mean disapproval and then based on absolute value the following:</w:t>
            </w:r>
          </w:p>
          <w:p w14:paraId="5859FC8F" w14:textId="77777777" w:rsidR="007C27A1" w:rsidRPr="007C27A1" w:rsidRDefault="007C27A1">
            <w:pPr>
              <w:numPr>
                <w:ilvl w:val="0"/>
                <w:numId w:val="24"/>
              </w:numPr>
              <w:spacing w:line="480" w:lineRule="auto"/>
              <w:contextualSpacing/>
              <w:jc w:val="both"/>
              <w:rPr>
                <w:rFonts w:ascii="Arial" w:hAnsi="Arial" w:cs="Arial"/>
                <w:color w:val="000000" w:themeColor="text1"/>
              </w:rPr>
            </w:pPr>
            <w:r w:rsidRPr="007C27A1">
              <w:rPr>
                <w:rFonts w:ascii="Arial" w:hAnsi="Arial" w:cs="Arial"/>
                <w:color w:val="000000" w:themeColor="text1"/>
              </w:rPr>
              <w:t>Gender,</w:t>
            </w:r>
          </w:p>
          <w:p w14:paraId="0F3AD3B7" w14:textId="77777777" w:rsidR="007C27A1" w:rsidRPr="007C27A1" w:rsidRDefault="007C27A1">
            <w:pPr>
              <w:numPr>
                <w:ilvl w:val="0"/>
                <w:numId w:val="24"/>
              </w:numPr>
              <w:spacing w:line="480" w:lineRule="auto"/>
              <w:contextualSpacing/>
              <w:jc w:val="both"/>
              <w:rPr>
                <w:rFonts w:ascii="Arial" w:hAnsi="Arial" w:cs="Arial"/>
                <w:color w:val="000000" w:themeColor="text1"/>
              </w:rPr>
            </w:pPr>
            <w:r w:rsidRPr="007C27A1">
              <w:rPr>
                <w:rFonts w:ascii="Arial" w:hAnsi="Arial" w:cs="Arial"/>
                <w:color w:val="000000" w:themeColor="text1"/>
              </w:rPr>
              <w:t>Whether the mother is a post-graduate</w:t>
            </w:r>
          </w:p>
          <w:p w14:paraId="5ED8DE2F" w14:textId="77777777" w:rsidR="007C27A1" w:rsidRPr="007C27A1" w:rsidRDefault="007C27A1" w:rsidP="007C27A1">
            <w:pPr>
              <w:spacing w:beforeAutospacing="1" w:afterAutospacing="1" w:line="480" w:lineRule="auto"/>
              <w:jc w:val="both"/>
              <w:textAlignment w:val="baseline"/>
              <w:rPr>
                <w:rFonts w:ascii="Arial" w:eastAsia="Times New Roman" w:hAnsi="Arial" w:cs="Arial"/>
                <w:kern w:val="0"/>
                <w14:ligatures w14:val="none"/>
              </w:rPr>
            </w:pPr>
          </w:p>
        </w:tc>
      </w:tr>
      <w:tr w:rsidR="007C27A1" w:rsidRPr="007C27A1" w14:paraId="1F401C1C" w14:textId="77777777" w:rsidTr="001D4222">
        <w:tc>
          <w:tcPr>
            <w:tcW w:w="4508" w:type="dxa"/>
          </w:tcPr>
          <w:p w14:paraId="1BFADE58" w14:textId="77777777" w:rsidR="007C27A1" w:rsidRPr="007C27A1" w:rsidRDefault="007C27A1" w:rsidP="007C27A1">
            <w:pPr>
              <w:spacing w:beforeAutospacing="1" w:afterAutospacing="1" w:line="480" w:lineRule="auto"/>
              <w:jc w:val="both"/>
              <w:textAlignment w:val="baseline"/>
              <w:rPr>
                <w:rFonts w:ascii="Arial" w:eastAsia="Times New Roman" w:hAnsi="Arial" w:cs="Arial"/>
                <w:kern w:val="0"/>
                <w14:ligatures w14:val="none"/>
              </w:rPr>
            </w:pPr>
            <w:r w:rsidRPr="007C27A1">
              <w:rPr>
                <w:rFonts w:asciiTheme="minorBidi" w:eastAsia="Times New Roman" w:hAnsiTheme="minorBidi"/>
                <w:kern w:val="0"/>
                <w14:ligatures w14:val="none"/>
              </w:rPr>
              <w:t>H1c: The percentage professionals with strong psychopathy is more than 1% of the general population</w:t>
            </w:r>
          </w:p>
        </w:tc>
        <w:tc>
          <w:tcPr>
            <w:tcW w:w="4508" w:type="dxa"/>
          </w:tcPr>
          <w:p w14:paraId="0230A53F" w14:textId="77777777" w:rsidR="007C27A1" w:rsidRPr="007C27A1" w:rsidRDefault="007C27A1" w:rsidP="007C27A1">
            <w:pPr>
              <w:spacing w:beforeAutospacing="1" w:afterAutospacing="1" w:line="480" w:lineRule="auto"/>
              <w:jc w:val="both"/>
              <w:textAlignment w:val="baseline"/>
              <w:rPr>
                <w:rFonts w:ascii="Arial" w:eastAsia="Times New Roman" w:hAnsi="Arial" w:cs="Arial"/>
                <w:kern w:val="0"/>
                <w14:ligatures w14:val="none"/>
              </w:rPr>
            </w:pPr>
            <w:r w:rsidRPr="007C27A1">
              <w:rPr>
                <w:rFonts w:ascii="Arial" w:eastAsia="Times New Roman" w:hAnsi="Arial" w:cs="Arial"/>
                <w:kern w:val="0"/>
                <w14:ligatures w14:val="none"/>
              </w:rPr>
              <w:t>Agreed. The percentage is: 7%</w:t>
            </w:r>
          </w:p>
        </w:tc>
      </w:tr>
      <w:tr w:rsidR="007C27A1" w:rsidRPr="007C27A1" w14:paraId="270BF91D" w14:textId="77777777" w:rsidTr="001D4222">
        <w:tc>
          <w:tcPr>
            <w:tcW w:w="4508" w:type="dxa"/>
          </w:tcPr>
          <w:p w14:paraId="798316D1" w14:textId="77777777" w:rsidR="007C27A1" w:rsidRPr="007C27A1" w:rsidRDefault="007C27A1" w:rsidP="007C27A1">
            <w:pPr>
              <w:spacing w:beforeAutospacing="1" w:afterAutospacing="1" w:line="480" w:lineRule="auto"/>
              <w:jc w:val="both"/>
              <w:textAlignment w:val="baseline"/>
              <w:rPr>
                <w:rFonts w:ascii="Arial" w:eastAsia="Times New Roman" w:hAnsi="Arial" w:cs="Arial"/>
                <w:kern w:val="0"/>
                <w14:ligatures w14:val="none"/>
              </w:rPr>
            </w:pPr>
            <w:r w:rsidRPr="007C27A1">
              <w:rPr>
                <w:rFonts w:asciiTheme="minorBidi" w:eastAsia="Times New Roman" w:hAnsiTheme="minorBidi"/>
                <w:kern w:val="0"/>
                <w14:ligatures w14:val="none"/>
              </w:rPr>
              <w:lastRenderedPageBreak/>
              <w:t>H1d: The main explanatory variable for psychopathy in professionals is due to work experience</w:t>
            </w:r>
          </w:p>
        </w:tc>
        <w:tc>
          <w:tcPr>
            <w:tcW w:w="4508" w:type="dxa"/>
          </w:tcPr>
          <w:p w14:paraId="350F4D0F" w14:textId="77777777" w:rsidR="007C27A1" w:rsidRPr="007C27A1" w:rsidRDefault="007C27A1" w:rsidP="007C27A1">
            <w:pPr>
              <w:spacing w:beforeAutospacing="1" w:afterAutospacing="1" w:line="480" w:lineRule="auto"/>
              <w:jc w:val="both"/>
              <w:textAlignment w:val="baseline"/>
              <w:rPr>
                <w:rFonts w:ascii="Arial" w:eastAsia="Times New Roman" w:hAnsi="Arial" w:cs="Arial"/>
                <w:kern w:val="0"/>
                <w14:ligatures w14:val="none"/>
              </w:rPr>
            </w:pPr>
            <w:r w:rsidRPr="007C27A1">
              <w:rPr>
                <w:rFonts w:ascii="Arial" w:eastAsia="Times New Roman" w:hAnsi="Arial" w:cs="Arial"/>
                <w:kern w:val="0"/>
                <w14:ligatures w14:val="none"/>
              </w:rPr>
              <w:t xml:space="preserve">Agreed. </w:t>
            </w:r>
            <w:r w:rsidRPr="007C27A1">
              <w:rPr>
                <w:rFonts w:ascii="Arial" w:hAnsi="Arial" w:cs="Arial"/>
                <w:color w:val="000000" w:themeColor="text1"/>
              </w:rPr>
              <w:t>The best predictor of psychopathy is professional experience of more than ten years</w:t>
            </w:r>
          </w:p>
        </w:tc>
      </w:tr>
      <w:tr w:rsidR="007C27A1" w:rsidRPr="007C27A1" w14:paraId="429A8FB6" w14:textId="77777777" w:rsidTr="001D4222">
        <w:tc>
          <w:tcPr>
            <w:tcW w:w="9016" w:type="dxa"/>
            <w:gridSpan w:val="2"/>
          </w:tcPr>
          <w:p w14:paraId="11609E03" w14:textId="77777777" w:rsidR="007C27A1" w:rsidRPr="007C27A1" w:rsidRDefault="007C27A1" w:rsidP="007C27A1">
            <w:pPr>
              <w:spacing w:after="240" w:line="480" w:lineRule="auto"/>
              <w:jc w:val="both"/>
              <w:rPr>
                <w:rFonts w:asciiTheme="minorBidi" w:eastAsia="Times New Roman" w:hAnsiTheme="minorBidi"/>
                <w:b/>
                <w:bCs/>
                <w:kern w:val="0"/>
                <w14:ligatures w14:val="none"/>
              </w:rPr>
            </w:pPr>
            <w:r w:rsidRPr="007C27A1">
              <w:rPr>
                <w:rFonts w:asciiTheme="minorBidi" w:eastAsia="Times New Roman" w:hAnsiTheme="minorBidi"/>
                <w:b/>
                <w:bCs/>
                <w:kern w:val="0"/>
                <w14:ligatures w14:val="none"/>
              </w:rPr>
              <w:t>H2: BCT &amp; Accounting Fraud</w:t>
            </w:r>
          </w:p>
        </w:tc>
      </w:tr>
      <w:tr w:rsidR="007C27A1" w:rsidRPr="007C27A1" w14:paraId="130B6AF4" w14:textId="77777777" w:rsidTr="001D4222">
        <w:tc>
          <w:tcPr>
            <w:tcW w:w="4508" w:type="dxa"/>
          </w:tcPr>
          <w:p w14:paraId="3E8822EB" w14:textId="77777777" w:rsidR="007C27A1" w:rsidRPr="007C27A1" w:rsidRDefault="007C27A1" w:rsidP="007C27A1">
            <w:pPr>
              <w:spacing w:after="240" w:line="480" w:lineRule="auto"/>
              <w:jc w:val="both"/>
              <w:rPr>
                <w:rFonts w:asciiTheme="minorBidi" w:eastAsia="Times New Roman" w:hAnsiTheme="minorBidi"/>
                <w:kern w:val="0"/>
                <w14:ligatures w14:val="none"/>
              </w:rPr>
            </w:pPr>
            <w:r w:rsidRPr="007C27A1">
              <w:rPr>
                <w:rFonts w:asciiTheme="minorBidi" w:eastAsia="Times New Roman" w:hAnsiTheme="minorBidi"/>
                <w:kern w:val="0"/>
                <w14:ligatures w14:val="none"/>
              </w:rPr>
              <w:t>H2: The use of BCT reduces the incidence of Accounting Fraud in the accounting function of an organisation.</w:t>
            </w:r>
          </w:p>
        </w:tc>
        <w:tc>
          <w:tcPr>
            <w:tcW w:w="4508" w:type="dxa"/>
          </w:tcPr>
          <w:p w14:paraId="07B05722" w14:textId="77777777" w:rsidR="007C27A1" w:rsidRPr="007C27A1" w:rsidRDefault="007C27A1" w:rsidP="007C27A1">
            <w:pPr>
              <w:spacing w:beforeAutospacing="1" w:afterAutospacing="1" w:line="480" w:lineRule="auto"/>
              <w:jc w:val="both"/>
              <w:textAlignment w:val="baseline"/>
              <w:rPr>
                <w:rFonts w:ascii="Arial" w:eastAsia="Times New Roman" w:hAnsi="Arial" w:cs="Arial"/>
                <w:kern w:val="0"/>
                <w14:ligatures w14:val="none"/>
              </w:rPr>
            </w:pPr>
            <w:r w:rsidRPr="007C27A1">
              <w:rPr>
                <w:rFonts w:ascii="Arial" w:eastAsia="Times New Roman" w:hAnsi="Arial" w:cs="Arial"/>
                <w:kern w:val="0"/>
                <w14:ligatures w14:val="none"/>
              </w:rPr>
              <w:t>Partially. Only at the transactional level.</w:t>
            </w:r>
          </w:p>
        </w:tc>
      </w:tr>
      <w:tr w:rsidR="007C27A1" w:rsidRPr="007C27A1" w14:paraId="03DD18E6" w14:textId="77777777" w:rsidTr="001D4222">
        <w:tc>
          <w:tcPr>
            <w:tcW w:w="9016" w:type="dxa"/>
            <w:gridSpan w:val="2"/>
          </w:tcPr>
          <w:p w14:paraId="3812BD93" w14:textId="77777777" w:rsidR="007C27A1" w:rsidRPr="007C27A1" w:rsidRDefault="007C27A1" w:rsidP="007C27A1">
            <w:pPr>
              <w:spacing w:before="100" w:beforeAutospacing="1" w:after="100" w:afterAutospacing="1" w:line="480" w:lineRule="auto"/>
              <w:jc w:val="both"/>
              <w:rPr>
                <w:rFonts w:asciiTheme="minorBidi" w:eastAsia="Times New Roman" w:hAnsiTheme="minorBidi"/>
                <w:kern w:val="0"/>
                <w14:ligatures w14:val="none"/>
              </w:rPr>
            </w:pPr>
            <w:r w:rsidRPr="007C27A1">
              <w:rPr>
                <w:rFonts w:asciiTheme="minorBidi" w:eastAsia="Times New Roman" w:hAnsiTheme="minorBidi"/>
                <w:b/>
                <w:bCs/>
                <w:kern w:val="0"/>
                <w14:ligatures w14:val="none"/>
              </w:rPr>
              <w:t>H3: Interaction Between Psychopathy and Blockchain Technology</w:t>
            </w:r>
          </w:p>
          <w:p w14:paraId="41FF8D50" w14:textId="77777777" w:rsidR="007C27A1" w:rsidRPr="007C27A1" w:rsidRDefault="007C27A1" w:rsidP="007C27A1">
            <w:pPr>
              <w:spacing w:beforeAutospacing="1" w:afterAutospacing="1" w:line="480" w:lineRule="auto"/>
              <w:jc w:val="both"/>
              <w:textAlignment w:val="baseline"/>
              <w:rPr>
                <w:rFonts w:ascii="Arial" w:eastAsia="Times New Roman" w:hAnsi="Arial" w:cs="Arial"/>
                <w:kern w:val="0"/>
                <w14:ligatures w14:val="none"/>
              </w:rPr>
            </w:pPr>
          </w:p>
        </w:tc>
      </w:tr>
      <w:tr w:rsidR="007C27A1" w:rsidRPr="007C27A1" w14:paraId="6CF92F91" w14:textId="77777777" w:rsidTr="001D4222">
        <w:tc>
          <w:tcPr>
            <w:tcW w:w="4508" w:type="dxa"/>
          </w:tcPr>
          <w:p w14:paraId="5410D312" w14:textId="77777777" w:rsidR="007C27A1" w:rsidRPr="007C27A1" w:rsidRDefault="007C27A1" w:rsidP="007C27A1">
            <w:pPr>
              <w:spacing w:before="100" w:beforeAutospacing="1" w:after="100" w:afterAutospacing="1" w:line="480" w:lineRule="auto"/>
              <w:jc w:val="both"/>
              <w:rPr>
                <w:rFonts w:asciiTheme="minorBidi" w:eastAsia="Times New Roman" w:hAnsiTheme="minorBidi"/>
                <w:kern w:val="0"/>
                <w14:ligatures w14:val="none"/>
              </w:rPr>
            </w:pPr>
            <w:r w:rsidRPr="007C27A1">
              <w:rPr>
                <w:rFonts w:asciiTheme="minorBidi" w:eastAsia="Times New Roman" w:hAnsiTheme="minorBidi"/>
                <w:b/>
                <w:bCs/>
                <w:kern w:val="0"/>
                <w14:ligatures w14:val="none"/>
              </w:rPr>
              <w:t>H3a</w:t>
            </w:r>
            <w:r w:rsidRPr="007C27A1">
              <w:rPr>
                <w:rFonts w:asciiTheme="minorBidi" w:eastAsia="Times New Roman" w:hAnsiTheme="minorBidi"/>
                <w:kern w:val="0"/>
                <w14:ligatures w14:val="none"/>
              </w:rPr>
              <w:t>: BCT moderates the relationship between psychopathic characteristics and Accounting Fraud, such that the relationship is weaker in environments where BCT is implemented.</w:t>
            </w:r>
          </w:p>
          <w:p w14:paraId="247E3720" w14:textId="77777777" w:rsidR="007C27A1" w:rsidRPr="007C27A1" w:rsidRDefault="007C27A1" w:rsidP="007C27A1">
            <w:pPr>
              <w:spacing w:beforeAutospacing="1" w:afterAutospacing="1" w:line="480" w:lineRule="auto"/>
              <w:jc w:val="both"/>
              <w:textAlignment w:val="baseline"/>
              <w:rPr>
                <w:rFonts w:ascii="Arial" w:eastAsia="Times New Roman" w:hAnsi="Arial" w:cs="Arial"/>
                <w:kern w:val="0"/>
                <w14:ligatures w14:val="none"/>
              </w:rPr>
            </w:pPr>
          </w:p>
        </w:tc>
        <w:tc>
          <w:tcPr>
            <w:tcW w:w="4508" w:type="dxa"/>
          </w:tcPr>
          <w:p w14:paraId="19159B72" w14:textId="77777777" w:rsidR="007C27A1" w:rsidRPr="007C27A1" w:rsidRDefault="007C27A1" w:rsidP="007C27A1">
            <w:pPr>
              <w:spacing w:beforeAutospacing="1" w:afterAutospacing="1" w:line="480" w:lineRule="auto"/>
              <w:jc w:val="both"/>
              <w:textAlignment w:val="baseline"/>
              <w:rPr>
                <w:rFonts w:ascii="Arial" w:eastAsia="Times New Roman" w:hAnsi="Arial" w:cs="Arial"/>
                <w:kern w:val="0"/>
                <w14:ligatures w14:val="none"/>
              </w:rPr>
            </w:pPr>
            <w:r w:rsidRPr="007C27A1">
              <w:rPr>
                <w:rFonts w:ascii="Arial" w:eastAsia="Times New Roman" w:hAnsi="Arial" w:cs="Arial"/>
                <w:kern w:val="0"/>
                <w14:ligatures w14:val="none"/>
              </w:rPr>
              <w:t>Agreed, but only at transactional level</w:t>
            </w:r>
          </w:p>
        </w:tc>
      </w:tr>
      <w:tr w:rsidR="007C27A1" w:rsidRPr="007C27A1" w14:paraId="29E43839" w14:textId="77777777" w:rsidTr="001D4222">
        <w:tc>
          <w:tcPr>
            <w:tcW w:w="4508" w:type="dxa"/>
          </w:tcPr>
          <w:p w14:paraId="2EA2AEA2" w14:textId="77777777" w:rsidR="007C27A1" w:rsidRPr="007C27A1" w:rsidRDefault="007C27A1" w:rsidP="007C27A1">
            <w:pPr>
              <w:spacing w:beforeAutospacing="1" w:afterAutospacing="1" w:line="480" w:lineRule="auto"/>
              <w:jc w:val="both"/>
              <w:textAlignment w:val="baseline"/>
            </w:pPr>
            <w:r w:rsidRPr="007C27A1">
              <w:rPr>
                <w:rFonts w:asciiTheme="minorBidi" w:eastAsia="Times New Roman" w:hAnsiTheme="minorBidi"/>
                <w:b/>
                <w:bCs/>
                <w:kern w:val="0"/>
                <w14:ligatures w14:val="none"/>
              </w:rPr>
              <w:t>H3b</w:t>
            </w:r>
            <w:r w:rsidRPr="007C27A1">
              <w:rPr>
                <w:rFonts w:asciiTheme="minorBidi" w:eastAsia="Times New Roman" w:hAnsiTheme="minorBidi"/>
                <w:kern w:val="0"/>
                <w14:ligatures w14:val="none"/>
              </w:rPr>
              <w:t>: The mitigating effect of BCT on Accounting Fraud is more prominent in individuals with higher levels of psychopathic characteristics</w:t>
            </w:r>
          </w:p>
          <w:p w14:paraId="3212587D" w14:textId="77777777" w:rsidR="007C27A1" w:rsidRPr="007C27A1" w:rsidRDefault="007C27A1" w:rsidP="007C27A1">
            <w:pPr>
              <w:spacing w:beforeAutospacing="1" w:afterAutospacing="1" w:line="480" w:lineRule="auto"/>
              <w:jc w:val="both"/>
              <w:textAlignment w:val="baseline"/>
              <w:rPr>
                <w:rFonts w:ascii="Arial" w:eastAsia="Times New Roman" w:hAnsi="Arial" w:cs="Arial"/>
                <w:kern w:val="0"/>
                <w14:ligatures w14:val="none"/>
              </w:rPr>
            </w:pPr>
          </w:p>
        </w:tc>
        <w:tc>
          <w:tcPr>
            <w:tcW w:w="4508" w:type="dxa"/>
          </w:tcPr>
          <w:p w14:paraId="04D992DF" w14:textId="77777777" w:rsidR="007C27A1" w:rsidRPr="007C27A1" w:rsidRDefault="007C27A1" w:rsidP="007C27A1">
            <w:pPr>
              <w:spacing w:beforeAutospacing="1" w:afterAutospacing="1" w:line="480" w:lineRule="auto"/>
              <w:jc w:val="both"/>
              <w:textAlignment w:val="baseline"/>
              <w:rPr>
                <w:rFonts w:ascii="Arial" w:eastAsia="Times New Roman" w:hAnsi="Arial" w:cs="Arial"/>
                <w:kern w:val="0"/>
                <w14:ligatures w14:val="none"/>
              </w:rPr>
            </w:pPr>
            <w:r w:rsidRPr="007C27A1">
              <w:rPr>
                <w:rFonts w:ascii="Arial" w:eastAsia="Times New Roman" w:hAnsi="Arial" w:cs="Arial"/>
                <w:kern w:val="0"/>
                <w14:ligatures w14:val="none"/>
              </w:rPr>
              <w:t>Agreed.</w:t>
            </w:r>
          </w:p>
        </w:tc>
      </w:tr>
    </w:tbl>
    <w:p w14:paraId="334DB9ED" w14:textId="77777777" w:rsidR="007C27A1" w:rsidRDefault="007C27A1" w:rsidP="007C27A1">
      <w:pPr>
        <w:spacing w:after="240" w:line="480" w:lineRule="auto"/>
        <w:rPr>
          <w:rFonts w:asciiTheme="minorBidi" w:eastAsia="Times New Roman" w:hAnsiTheme="minorBidi"/>
          <w:b/>
          <w:bCs/>
          <w:kern w:val="0"/>
          <w14:ligatures w14:val="none"/>
        </w:rPr>
      </w:pPr>
    </w:p>
    <w:p w14:paraId="5E7E73FC" w14:textId="77777777" w:rsidR="00E52C81" w:rsidRPr="007C27A1" w:rsidRDefault="00E52C81" w:rsidP="007C27A1">
      <w:pPr>
        <w:spacing w:after="240" w:line="480" w:lineRule="auto"/>
        <w:rPr>
          <w:rFonts w:asciiTheme="minorBidi" w:eastAsia="Times New Roman" w:hAnsiTheme="minorBidi"/>
          <w:b/>
          <w:bCs/>
          <w:kern w:val="0"/>
          <w14:ligatures w14:val="none"/>
        </w:rPr>
      </w:pPr>
    </w:p>
    <w:bookmarkStart w:id="792" w:name="_Hlk172265289"/>
    <w:bookmarkStart w:id="793" w:name="D127"/>
    <w:p w14:paraId="47E27D0F" w14:textId="337DFD32" w:rsidR="007C27A1" w:rsidRPr="007C27A1" w:rsidRDefault="00491902" w:rsidP="00E52C81">
      <w:pPr>
        <w:pBdr>
          <w:top w:val="single" w:sz="4" w:space="1" w:color="auto"/>
          <w:left w:val="single" w:sz="4" w:space="4" w:color="auto"/>
          <w:bottom w:val="single" w:sz="4" w:space="1" w:color="auto"/>
          <w:right w:val="single" w:sz="4" w:space="4" w:color="auto"/>
        </w:pBdr>
        <w:spacing w:after="240" w:line="240" w:lineRule="auto"/>
        <w:rPr>
          <w:rFonts w:asciiTheme="minorBidi" w:eastAsia="Times New Roman" w:hAnsiTheme="minorBidi"/>
          <w:b/>
          <w:bCs/>
          <w:kern w:val="0"/>
          <w14:ligatures w14:val="none"/>
        </w:rPr>
      </w:pPr>
      <w:r>
        <w:rPr>
          <w:rFonts w:ascii="Arial" w:eastAsiaTheme="minorHAnsi" w:hAnsi="Arial" w:cs="Arial"/>
          <w:b/>
          <w:bCs/>
          <w:kern w:val="0"/>
          <w:lang w:eastAsia="en-US"/>
          <w14:ligatures w14:val="none"/>
        </w:rPr>
        <w:lastRenderedPageBreak/>
        <w:fldChar w:fldCharType="begin"/>
      </w:r>
      <w:r>
        <w:rPr>
          <w:rFonts w:ascii="Arial" w:eastAsiaTheme="minorHAnsi" w:hAnsi="Arial" w:cs="Arial"/>
          <w:b/>
          <w:bCs/>
          <w:kern w:val="0"/>
          <w:lang w:eastAsia="en-US"/>
          <w14:ligatures w14:val="none"/>
        </w:rPr>
        <w:instrText>HYPERLINK  \l "C127"</w:instrText>
      </w:r>
      <w:r>
        <w:rPr>
          <w:rFonts w:ascii="Arial" w:eastAsiaTheme="minorHAnsi" w:hAnsi="Arial" w:cs="Arial"/>
          <w:b/>
          <w:bCs/>
          <w:kern w:val="0"/>
          <w:lang w:eastAsia="en-US"/>
          <w14:ligatures w14:val="none"/>
        </w:rPr>
      </w:r>
      <w:r>
        <w:rPr>
          <w:rFonts w:ascii="Arial" w:eastAsiaTheme="minorHAnsi" w:hAnsi="Arial" w:cs="Arial"/>
          <w:b/>
          <w:bCs/>
          <w:kern w:val="0"/>
          <w:lang w:eastAsia="en-US"/>
          <w14:ligatures w14:val="none"/>
        </w:rPr>
        <w:fldChar w:fldCharType="separate"/>
      </w:r>
      <w:r w:rsidR="007C27A1" w:rsidRPr="00491902">
        <w:rPr>
          <w:rStyle w:val="Hyperlink"/>
          <w:rFonts w:ascii="Arial" w:eastAsiaTheme="minorHAnsi" w:hAnsi="Arial" w:cs="Arial"/>
          <w:b/>
          <w:bCs/>
          <w:kern w:val="0"/>
          <w:lang w:eastAsia="en-US"/>
          <w14:ligatures w14:val="none"/>
        </w:rPr>
        <w:t>5.1.1.3 Sub-Research Questions</w:t>
      </w:r>
      <w:r>
        <w:rPr>
          <w:rFonts w:ascii="Arial" w:eastAsiaTheme="minorHAnsi" w:hAnsi="Arial" w:cs="Arial"/>
          <w:b/>
          <w:bCs/>
          <w:kern w:val="0"/>
          <w:lang w:eastAsia="en-US"/>
          <w14:ligatures w14:val="none"/>
        </w:rPr>
        <w:fldChar w:fldCharType="end"/>
      </w:r>
    </w:p>
    <w:bookmarkEnd w:id="792"/>
    <w:bookmarkEnd w:id="793"/>
    <w:p w14:paraId="56E4789F" w14:textId="77777777" w:rsidR="007C27A1" w:rsidRPr="007C27A1" w:rsidRDefault="007C27A1" w:rsidP="007C27A1">
      <w:pPr>
        <w:spacing w:after="240" w:line="480" w:lineRule="auto"/>
        <w:rPr>
          <w:rFonts w:asciiTheme="minorBidi" w:eastAsia="Times New Roman" w:hAnsiTheme="minorBidi"/>
          <w:b/>
          <w:bCs/>
          <w:kern w:val="0"/>
          <w14:ligatures w14:val="none"/>
        </w:rPr>
      </w:pPr>
      <w:r w:rsidRPr="007C27A1">
        <w:rPr>
          <w:rFonts w:ascii="Arial" w:eastAsiaTheme="minorHAnsi" w:hAnsi="Arial" w:cs="Arial"/>
          <w:color w:val="0D0D0D" w:themeColor="text1" w:themeTint="F2"/>
          <w:kern w:val="0"/>
          <w:lang w:eastAsia="en-US"/>
          <w14:ligatures w14:val="none"/>
        </w:rPr>
        <w:t>The complete set of sub-research questions were:</w:t>
      </w:r>
    </w:p>
    <w:p w14:paraId="15F4533E" w14:textId="77777777" w:rsidR="007C27A1" w:rsidRPr="007C27A1" w:rsidRDefault="007C27A1" w:rsidP="007C27A1">
      <w:pPr>
        <w:spacing w:before="100" w:beforeAutospacing="1" w:after="100" w:afterAutospacing="1" w:line="480" w:lineRule="auto"/>
        <w:jc w:val="both"/>
        <w:rPr>
          <w:rFonts w:ascii="Arial" w:eastAsia="Times New Roman" w:hAnsi="Arial" w:cs="Arial"/>
          <w:b/>
          <w:bCs/>
          <w:color w:val="0D0D0D" w:themeColor="text1" w:themeTint="F2"/>
          <w:kern w:val="0"/>
          <w:lang w:eastAsia="en-GB"/>
          <w14:ligatures w14:val="none"/>
        </w:rPr>
      </w:pPr>
      <w:r w:rsidRPr="007C27A1">
        <w:rPr>
          <w:rFonts w:ascii="Arial" w:eastAsia="Times New Roman" w:hAnsi="Arial" w:cs="Arial"/>
          <w:b/>
          <w:bCs/>
          <w:color w:val="0D0D0D" w:themeColor="text1" w:themeTint="F2"/>
          <w:kern w:val="0"/>
          <w:lang w:eastAsia="en-GB"/>
          <w14:ligatures w14:val="none"/>
        </w:rPr>
        <w:t xml:space="preserve">SRQ1:  How do L6 Accounting students’ scores vary on the LSRP? </w:t>
      </w:r>
    </w:p>
    <w:p w14:paraId="592A1F14" w14:textId="77777777" w:rsidR="007C27A1" w:rsidRPr="007C27A1" w:rsidRDefault="007C27A1" w:rsidP="007C27A1">
      <w:pPr>
        <w:spacing w:before="100" w:beforeAutospacing="1" w:after="100" w:afterAutospacing="1" w:line="480" w:lineRule="auto"/>
        <w:jc w:val="both"/>
        <w:rPr>
          <w:rFonts w:ascii="Arial" w:eastAsia="Times New Roman" w:hAnsi="Arial" w:cs="Arial"/>
          <w:b/>
          <w:bCs/>
          <w:color w:val="0D0D0D" w:themeColor="text1" w:themeTint="F2"/>
          <w:kern w:val="0"/>
          <w:lang w:eastAsia="en-GB"/>
          <w14:ligatures w14:val="none"/>
        </w:rPr>
      </w:pPr>
      <w:r w:rsidRPr="007C27A1">
        <w:rPr>
          <w:rFonts w:ascii="Arial" w:eastAsia="Times New Roman" w:hAnsi="Arial" w:cs="Arial"/>
          <w:b/>
          <w:bCs/>
          <w:color w:val="0D0D0D" w:themeColor="text1" w:themeTint="F2"/>
          <w:kern w:val="0"/>
          <w:lang w:eastAsia="en-GB"/>
          <w14:ligatures w14:val="none"/>
        </w:rPr>
        <w:t xml:space="preserve">SRQ2:  Do Accounting students’ scores differ across age and gender? </w:t>
      </w:r>
    </w:p>
    <w:p w14:paraId="3FF72CE4" w14:textId="77777777" w:rsidR="007C27A1" w:rsidRPr="007C27A1" w:rsidRDefault="007C27A1" w:rsidP="007C27A1">
      <w:pPr>
        <w:spacing w:before="100" w:beforeAutospacing="1" w:after="100" w:afterAutospacing="1" w:line="480" w:lineRule="auto"/>
        <w:jc w:val="both"/>
        <w:rPr>
          <w:rFonts w:ascii="Arial" w:eastAsia="Times New Roman" w:hAnsi="Arial" w:cs="Arial"/>
          <w:b/>
          <w:bCs/>
          <w:color w:val="0D0D0D" w:themeColor="text1" w:themeTint="F2"/>
          <w:kern w:val="0"/>
          <w:lang w:eastAsia="en-GB"/>
          <w14:ligatures w14:val="none"/>
        </w:rPr>
      </w:pPr>
      <w:r w:rsidRPr="007C27A1">
        <w:rPr>
          <w:rFonts w:ascii="Arial" w:eastAsia="Times New Roman" w:hAnsi="Arial" w:cs="Arial"/>
          <w:b/>
          <w:bCs/>
          <w:color w:val="0D0D0D" w:themeColor="text1" w:themeTint="F2"/>
          <w:kern w:val="0"/>
          <w:lang w:eastAsia="en-GB"/>
          <w14:ligatures w14:val="none"/>
        </w:rPr>
        <w:t>SRQ3:  How highly do the LSRP scores correlate with the approval of dubious or explicitly fraudulent practices?</w:t>
      </w:r>
    </w:p>
    <w:p w14:paraId="0881EC84" w14:textId="77777777" w:rsidR="007C27A1" w:rsidRPr="007C27A1" w:rsidRDefault="007C27A1" w:rsidP="007C27A1">
      <w:pPr>
        <w:spacing w:before="100" w:beforeAutospacing="1" w:after="100" w:afterAutospacing="1" w:line="480" w:lineRule="auto"/>
        <w:jc w:val="both"/>
        <w:rPr>
          <w:rFonts w:ascii="Arial" w:eastAsia="Times New Roman" w:hAnsi="Arial" w:cs="Arial"/>
          <w:b/>
          <w:bCs/>
          <w:color w:val="0D0D0D" w:themeColor="text1" w:themeTint="F2"/>
          <w:kern w:val="0"/>
          <w:lang w:eastAsia="en-GB"/>
          <w14:ligatures w14:val="none"/>
        </w:rPr>
      </w:pPr>
      <w:r w:rsidRPr="007C27A1">
        <w:rPr>
          <w:rFonts w:ascii="Arial" w:eastAsia="Times New Roman" w:hAnsi="Arial" w:cs="Arial"/>
          <w:b/>
          <w:bCs/>
          <w:color w:val="0D0D0D" w:themeColor="text1" w:themeTint="F2"/>
          <w:kern w:val="0"/>
          <w:lang w:eastAsia="en-GB"/>
          <w14:ligatures w14:val="none"/>
        </w:rPr>
        <w:t xml:space="preserve">SRQ4: Would a lengthy prison sentence or / and significant fine deter Accounting Fraud? </w:t>
      </w:r>
    </w:p>
    <w:p w14:paraId="7B5B3494" w14:textId="77777777" w:rsidR="007C27A1" w:rsidRPr="007C27A1" w:rsidRDefault="007C27A1" w:rsidP="007C27A1">
      <w:pPr>
        <w:spacing w:before="100" w:beforeAutospacing="1" w:after="100" w:afterAutospacing="1" w:line="480" w:lineRule="auto"/>
        <w:jc w:val="both"/>
        <w:rPr>
          <w:rFonts w:ascii="Arial" w:eastAsia="Times New Roman" w:hAnsi="Arial" w:cs="Arial"/>
          <w:b/>
          <w:bCs/>
          <w:color w:val="0D0D0D" w:themeColor="text1" w:themeTint="F2"/>
          <w:kern w:val="0"/>
          <w:lang w:eastAsia="en-GB"/>
          <w14:ligatures w14:val="none"/>
        </w:rPr>
      </w:pPr>
      <w:r w:rsidRPr="007C27A1">
        <w:rPr>
          <w:rFonts w:ascii="Arial" w:eastAsia="Times New Roman" w:hAnsi="Arial" w:cs="Arial"/>
          <w:b/>
          <w:bCs/>
          <w:color w:val="0D0D0D" w:themeColor="text1" w:themeTint="F2"/>
          <w:kern w:val="0"/>
          <w:lang w:eastAsia="en-GB"/>
          <w14:ligatures w14:val="none"/>
        </w:rPr>
        <w:t>SRQ5: Have auditors ever experienced psychopathic senior managers / clients and to what extent did this impact the audit assignment?</w:t>
      </w:r>
    </w:p>
    <w:p w14:paraId="74FD0D8B" w14:textId="77777777" w:rsidR="007C27A1" w:rsidRPr="007C27A1" w:rsidRDefault="007C27A1" w:rsidP="007C27A1">
      <w:pPr>
        <w:spacing w:before="100" w:beforeAutospacing="1" w:after="100" w:afterAutospacing="1" w:line="480" w:lineRule="auto"/>
        <w:jc w:val="both"/>
        <w:rPr>
          <w:rFonts w:ascii="Arial" w:eastAsia="Times New Roman" w:hAnsi="Arial" w:cs="Arial"/>
          <w:b/>
          <w:bCs/>
          <w:color w:val="0D0D0D" w:themeColor="text1" w:themeTint="F2"/>
          <w:kern w:val="0"/>
          <w:lang w:eastAsia="en-GB"/>
          <w14:ligatures w14:val="none"/>
        </w:rPr>
      </w:pPr>
      <w:r w:rsidRPr="007C27A1">
        <w:rPr>
          <w:rFonts w:ascii="Arial" w:eastAsia="Times New Roman" w:hAnsi="Arial" w:cs="Arial"/>
          <w:b/>
          <w:bCs/>
          <w:color w:val="0D0D0D" w:themeColor="text1" w:themeTint="F2"/>
          <w:kern w:val="0"/>
          <w:lang w:eastAsia="en-GB"/>
          <w14:ligatures w14:val="none"/>
        </w:rPr>
        <w:t>SRQ6: To what extent do auditors and / or subject matter experts believe that the BCT features of distributed ledger, immutability and permissioned rights can lessen the influence of the Corporate Accountant Psychopath and Accounting Fraud?</w:t>
      </w:r>
    </w:p>
    <w:p w14:paraId="2AFD9066" w14:textId="77777777" w:rsidR="007C27A1" w:rsidRPr="007C27A1" w:rsidRDefault="007C27A1" w:rsidP="007C27A1">
      <w:pPr>
        <w:spacing w:before="100" w:beforeAutospacing="1" w:after="100" w:afterAutospacing="1" w:line="480" w:lineRule="auto"/>
        <w:jc w:val="both"/>
        <w:rPr>
          <w:rFonts w:ascii="Arial" w:eastAsia="Times New Roman" w:hAnsi="Arial" w:cs="Arial"/>
          <w:color w:val="0D0D0D" w:themeColor="text1" w:themeTint="F2"/>
          <w:kern w:val="0"/>
          <w:lang w:eastAsia="en-GB"/>
          <w14:ligatures w14:val="none"/>
        </w:rPr>
      </w:pPr>
      <w:r w:rsidRPr="007C27A1">
        <w:rPr>
          <w:rFonts w:ascii="Arial" w:eastAsia="Times New Roman" w:hAnsi="Arial" w:cs="Arial"/>
          <w:color w:val="0D0D0D" w:themeColor="text1" w:themeTint="F2"/>
          <w:kern w:val="0"/>
          <w:lang w:eastAsia="en-GB"/>
          <w14:ligatures w14:val="none"/>
        </w:rPr>
        <w:t>SRQ1 – SRQ6 will be addressed as follows.</w:t>
      </w:r>
    </w:p>
    <w:p w14:paraId="5C99591E" w14:textId="77777777" w:rsidR="007C27A1" w:rsidRPr="007C27A1" w:rsidRDefault="007C27A1" w:rsidP="007C27A1">
      <w:pPr>
        <w:spacing w:before="100" w:beforeAutospacing="1" w:after="100" w:afterAutospacing="1" w:line="480" w:lineRule="auto"/>
        <w:jc w:val="both"/>
        <w:rPr>
          <w:rFonts w:ascii="Arial" w:eastAsia="Times New Roman" w:hAnsi="Arial" w:cs="Arial"/>
          <w:b/>
          <w:bCs/>
          <w:color w:val="0D0D0D" w:themeColor="text1" w:themeTint="F2"/>
          <w:kern w:val="0"/>
          <w:lang w:eastAsia="en-GB"/>
          <w14:ligatures w14:val="none"/>
        </w:rPr>
      </w:pPr>
      <w:r w:rsidRPr="007C27A1">
        <w:rPr>
          <w:rFonts w:ascii="Arial" w:eastAsia="Times New Roman" w:hAnsi="Arial" w:cs="Arial"/>
          <w:b/>
          <w:bCs/>
          <w:color w:val="0D0D0D" w:themeColor="text1" w:themeTint="F2"/>
          <w:kern w:val="0"/>
          <w:lang w:eastAsia="en-GB"/>
          <w14:ligatures w14:val="none"/>
        </w:rPr>
        <w:t xml:space="preserve">SRQ1:  How do L6 Accounting students’ scores vary on the LSRP? </w:t>
      </w:r>
    </w:p>
    <w:p w14:paraId="01FCB95B" w14:textId="77777777" w:rsidR="007C27A1" w:rsidRPr="007C27A1" w:rsidRDefault="007C27A1" w:rsidP="007C27A1">
      <w:pPr>
        <w:spacing w:before="100" w:beforeAutospacing="1" w:after="100" w:afterAutospacing="1" w:line="480" w:lineRule="auto"/>
        <w:jc w:val="both"/>
        <w:rPr>
          <w:rFonts w:ascii="Arial" w:eastAsiaTheme="minorHAnsi" w:hAnsi="Arial" w:cs="Arial"/>
          <w:color w:val="0D0D0D" w:themeColor="text1" w:themeTint="F2"/>
          <w:spacing w:val="1"/>
          <w:kern w:val="0"/>
          <w:lang w:eastAsia="en-US"/>
          <w14:ligatures w14:val="none"/>
        </w:rPr>
      </w:pPr>
      <w:r w:rsidRPr="007C27A1">
        <w:rPr>
          <w:rFonts w:ascii="Arial" w:eastAsiaTheme="minorHAnsi" w:hAnsi="Arial" w:cs="Arial"/>
          <w:color w:val="0D0D0D" w:themeColor="text1" w:themeTint="F2"/>
          <w:kern w:val="0"/>
          <w:lang w:eastAsia="en-US"/>
          <w14:ligatures w14:val="none"/>
        </w:rPr>
        <w:t xml:space="preserve">The structured survey, </w:t>
      </w:r>
      <w:r w:rsidRPr="007C27A1">
        <w:rPr>
          <w:rFonts w:ascii="Arial" w:eastAsiaTheme="minorHAnsi" w:hAnsi="Arial" w:cs="Arial"/>
          <w:b/>
          <w:bCs/>
          <w:color w:val="0D0D0D" w:themeColor="text1" w:themeTint="F2"/>
          <w:kern w:val="0"/>
          <w:lang w:eastAsia="en-US"/>
          <w14:ligatures w14:val="none"/>
        </w:rPr>
        <w:t>see Chapter 4 – 4.2.2</w:t>
      </w:r>
      <w:r w:rsidRPr="007C27A1">
        <w:rPr>
          <w:rFonts w:ascii="Arial" w:eastAsiaTheme="minorHAnsi" w:hAnsi="Arial" w:cs="Arial"/>
          <w:color w:val="0D0D0D" w:themeColor="text1" w:themeTint="F2"/>
          <w:kern w:val="0"/>
          <w:lang w:eastAsia="en-US"/>
          <w14:ligatures w14:val="none"/>
        </w:rPr>
        <w:t>, explored disapproval towards unethical actions, the first four statements comprised of basic Accounting Fraud and the remaining four were behavioural in nature. Like a</w:t>
      </w:r>
      <w:r w:rsidRPr="007C27A1">
        <w:rPr>
          <w:rFonts w:ascii="Arial" w:eastAsiaTheme="minorHAnsi" w:hAnsi="Arial" w:cs="Arial"/>
          <w:color w:val="0D0D0D" w:themeColor="text1" w:themeTint="F2"/>
          <w:spacing w:val="1"/>
          <w:kern w:val="0"/>
          <w:lang w:eastAsia="en-US"/>
          <w14:ligatures w14:val="none"/>
        </w:rPr>
        <w:t xml:space="preserve"> Likert scale, 1 – 5, ranging from Completely Agree (Moderately Agree, Unclear) to (Moderately Disagree) Complete Disagree.</w:t>
      </w:r>
    </w:p>
    <w:p w14:paraId="575F8949" w14:textId="7EC336F3" w:rsidR="007C27A1" w:rsidRPr="007C27A1" w:rsidRDefault="007C27A1" w:rsidP="007C27A1">
      <w:pPr>
        <w:spacing w:line="480" w:lineRule="auto"/>
        <w:contextualSpacing/>
        <w:jc w:val="both"/>
        <w:rPr>
          <w:rFonts w:ascii="Arial" w:eastAsiaTheme="minorHAnsi" w:hAnsi="Arial" w:cs="Arial"/>
          <w:color w:val="0D0D0D" w:themeColor="text1" w:themeTint="F2"/>
          <w:kern w:val="0"/>
          <w:lang w:eastAsia="en-US"/>
          <w14:ligatures w14:val="none"/>
        </w:rPr>
      </w:pPr>
      <w:r w:rsidRPr="007C27A1">
        <w:rPr>
          <w:rFonts w:ascii="Arial" w:eastAsiaTheme="minorHAnsi" w:hAnsi="Arial" w:cs="Arial"/>
          <w:color w:val="0D0D0D" w:themeColor="text1" w:themeTint="F2"/>
          <w:kern w:val="0"/>
          <w:lang w:eastAsia="en-US"/>
          <w14:ligatures w14:val="none"/>
        </w:rPr>
        <w:lastRenderedPageBreak/>
        <w:t xml:space="preserve">In brief the students participants significantly disagreed to all eight statements suggesting, just as the qualified and working accountants, that even if they were suffering from a lifestyle pressure, as per the pressure side of the Fraud Triangle, they would not undertake Accounting Fraud such as exaggerating expenses or falsifying sales, see below results from correlation matrix as well. This potentially augurs well for the profession and may suggest that accounting and finance students under </w:t>
      </w:r>
      <w:r w:rsidR="00F2488E" w:rsidRPr="007C27A1">
        <w:rPr>
          <w:rFonts w:ascii="Arial" w:eastAsiaTheme="minorHAnsi" w:hAnsi="Arial" w:cs="Arial"/>
          <w:color w:val="0D0D0D" w:themeColor="text1" w:themeTint="F2"/>
          <w:kern w:val="0"/>
          <w:lang w:eastAsia="en-US"/>
          <w14:ligatures w14:val="none"/>
        </w:rPr>
        <w:t>training appreciate</w:t>
      </w:r>
      <w:r w:rsidRPr="007C27A1">
        <w:rPr>
          <w:rFonts w:ascii="Arial" w:eastAsiaTheme="minorHAnsi" w:hAnsi="Arial" w:cs="Arial"/>
          <w:color w:val="0D0D0D" w:themeColor="text1" w:themeTint="F2"/>
          <w:kern w:val="0"/>
          <w:lang w:eastAsia="en-US"/>
          <w14:ligatures w14:val="none"/>
        </w:rPr>
        <w:t xml:space="preserve"> the difference between right and wrong and the implications of Accounting Fraud.</w:t>
      </w:r>
    </w:p>
    <w:p w14:paraId="07229C54" w14:textId="77777777" w:rsidR="007C27A1" w:rsidRPr="007C27A1" w:rsidRDefault="007C27A1" w:rsidP="007C27A1">
      <w:pPr>
        <w:spacing w:line="480" w:lineRule="auto"/>
        <w:contextualSpacing/>
        <w:jc w:val="both"/>
        <w:rPr>
          <w:rFonts w:ascii="Arial" w:eastAsiaTheme="minorHAnsi" w:hAnsi="Arial" w:cs="Arial"/>
          <w:color w:val="0D0D0D" w:themeColor="text1" w:themeTint="F2"/>
          <w:kern w:val="0"/>
          <w:lang w:eastAsia="en-US"/>
          <w14:ligatures w14:val="none"/>
        </w:rPr>
      </w:pPr>
    </w:p>
    <w:p w14:paraId="55D3EEB9" w14:textId="77777777" w:rsidR="007C27A1" w:rsidRPr="007C27A1" w:rsidRDefault="007C27A1" w:rsidP="007C27A1">
      <w:pPr>
        <w:pBdr>
          <w:top w:val="single" w:sz="4" w:space="1" w:color="auto"/>
          <w:left w:val="single" w:sz="4" w:space="4" w:color="auto"/>
          <w:bottom w:val="single" w:sz="4" w:space="1" w:color="auto"/>
          <w:right w:val="single" w:sz="4" w:space="4" w:color="auto"/>
        </w:pBdr>
        <w:spacing w:before="100" w:beforeAutospacing="1" w:after="100" w:afterAutospacing="1" w:line="480" w:lineRule="auto"/>
        <w:jc w:val="both"/>
        <w:rPr>
          <w:rFonts w:ascii="Arial" w:eastAsia="Times New Roman" w:hAnsi="Arial" w:cs="Arial"/>
          <w:b/>
          <w:bCs/>
          <w:color w:val="0D0D0D" w:themeColor="text1" w:themeTint="F2"/>
          <w:kern w:val="0"/>
          <w:lang w:eastAsia="en-GB"/>
          <w14:ligatures w14:val="none"/>
        </w:rPr>
      </w:pPr>
      <w:r w:rsidRPr="007C27A1">
        <w:rPr>
          <w:rFonts w:ascii="Arial" w:eastAsia="Times New Roman" w:hAnsi="Arial" w:cs="Arial"/>
          <w:b/>
          <w:bCs/>
          <w:color w:val="0D0D0D" w:themeColor="text1" w:themeTint="F2"/>
          <w:kern w:val="0"/>
          <w:lang w:eastAsia="en-GB"/>
          <w14:ligatures w14:val="none"/>
        </w:rPr>
        <w:t xml:space="preserve">SRQ2:  Do Accounting students’ scores differ across age and gender? </w:t>
      </w:r>
    </w:p>
    <w:p w14:paraId="3E7A0F7E" w14:textId="77777777" w:rsidR="007C27A1" w:rsidRPr="007C27A1" w:rsidRDefault="007C27A1" w:rsidP="007C27A1">
      <w:pPr>
        <w:spacing w:before="100" w:beforeAutospacing="1" w:after="100" w:afterAutospacing="1" w:line="480" w:lineRule="auto"/>
        <w:jc w:val="both"/>
        <w:rPr>
          <w:rFonts w:ascii="Arial" w:eastAsiaTheme="minorHAnsi" w:hAnsi="Arial" w:cs="Arial"/>
          <w:color w:val="0D0D0D" w:themeColor="text1" w:themeTint="F2"/>
          <w:kern w:val="0"/>
          <w:lang w:eastAsia="en-US"/>
          <w14:ligatures w14:val="none"/>
        </w:rPr>
      </w:pPr>
      <w:r w:rsidRPr="007C27A1">
        <w:rPr>
          <w:rFonts w:ascii="Arial" w:eastAsia="Times New Roman" w:hAnsi="Arial" w:cs="Arial"/>
          <w:color w:val="0D0D0D" w:themeColor="text1" w:themeTint="F2"/>
          <w:kern w:val="0"/>
          <w:lang w:eastAsia="en-GB"/>
          <w14:ligatures w14:val="none"/>
        </w:rPr>
        <w:t xml:space="preserve">This question has been explored extensively in sections </w:t>
      </w:r>
      <w:r w:rsidRPr="007C27A1">
        <w:rPr>
          <w:rFonts w:ascii="Arial" w:eastAsia="Times New Roman" w:hAnsi="Arial" w:cs="Arial"/>
          <w:b/>
          <w:bCs/>
          <w:color w:val="0D0D0D" w:themeColor="text1" w:themeTint="F2"/>
          <w:kern w:val="0"/>
          <w:lang w:eastAsia="en-GB"/>
          <w14:ligatures w14:val="none"/>
        </w:rPr>
        <w:t>4.2.2</w:t>
      </w:r>
      <w:r w:rsidRPr="007C27A1">
        <w:rPr>
          <w:rFonts w:ascii="Arial" w:eastAsia="Times New Roman" w:hAnsi="Arial" w:cs="Arial"/>
          <w:color w:val="0D0D0D" w:themeColor="text1" w:themeTint="F2"/>
          <w:kern w:val="0"/>
          <w:lang w:eastAsia="en-GB"/>
          <w14:ligatures w14:val="none"/>
        </w:rPr>
        <w:t xml:space="preserve">, and once the multiple regression was created for the students, see </w:t>
      </w:r>
      <w:r w:rsidRPr="007C27A1">
        <w:rPr>
          <w:rFonts w:ascii="Arial" w:eastAsia="Times New Roman" w:hAnsi="Arial" w:cs="Arial"/>
          <w:b/>
          <w:bCs/>
          <w:color w:val="0D0D0D" w:themeColor="text1" w:themeTint="F2"/>
          <w:kern w:val="0"/>
          <w:lang w:eastAsia="en-GB"/>
          <w14:ligatures w14:val="none"/>
        </w:rPr>
        <w:t>4.2.2</w:t>
      </w:r>
      <w:r w:rsidRPr="007C27A1">
        <w:rPr>
          <w:rFonts w:ascii="Arial" w:eastAsia="Times New Roman" w:hAnsi="Arial" w:cs="Arial"/>
          <w:color w:val="0D0D0D" w:themeColor="text1" w:themeTint="F2"/>
          <w:kern w:val="0"/>
          <w:lang w:eastAsia="en-GB"/>
          <w14:ligatures w14:val="none"/>
        </w:rPr>
        <w:t xml:space="preserve">, the </w:t>
      </w:r>
      <w:r w:rsidRPr="007C27A1">
        <w:rPr>
          <w:rFonts w:ascii="Arial" w:eastAsiaTheme="minorHAnsi" w:hAnsi="Arial" w:cs="Arial"/>
          <w:color w:val="0D0D0D" w:themeColor="text1" w:themeTint="F2"/>
          <w:kern w:val="0"/>
          <w:lang w:eastAsia="en-US"/>
          <w14:ligatures w14:val="none"/>
        </w:rPr>
        <w:t>correlation matrix was calculated between each of the 11 pairs of variables:</w:t>
      </w:r>
    </w:p>
    <w:tbl>
      <w:tblPr>
        <w:tblStyle w:val="TableGrid1"/>
        <w:tblW w:w="0" w:type="auto"/>
        <w:tblLook w:val="04A0" w:firstRow="1" w:lastRow="0" w:firstColumn="1" w:lastColumn="0" w:noHBand="0" w:noVBand="1"/>
      </w:tblPr>
      <w:tblGrid>
        <w:gridCol w:w="7933"/>
        <w:gridCol w:w="1083"/>
      </w:tblGrid>
      <w:tr w:rsidR="007C27A1" w:rsidRPr="007C27A1" w14:paraId="0627BA5A" w14:textId="77777777" w:rsidTr="001D4222">
        <w:tc>
          <w:tcPr>
            <w:tcW w:w="7933" w:type="dxa"/>
          </w:tcPr>
          <w:p w14:paraId="6BB117E8" w14:textId="77777777" w:rsidR="007C27A1" w:rsidRPr="007C27A1" w:rsidRDefault="007C27A1" w:rsidP="007C27A1">
            <w:pPr>
              <w:spacing w:line="480" w:lineRule="auto"/>
              <w:rPr>
                <w:rFonts w:ascii="Arial" w:hAnsi="Arial" w:cs="Arial"/>
                <w:color w:val="0D0D0D" w:themeColor="text1" w:themeTint="F2"/>
              </w:rPr>
            </w:pPr>
            <w:r w:rsidRPr="007C27A1">
              <w:rPr>
                <w:rFonts w:ascii="Arial" w:hAnsi="Arial" w:cs="Arial"/>
                <w:b/>
                <w:bCs/>
                <w:color w:val="0D0D0D" w:themeColor="text1" w:themeTint="F2"/>
              </w:rPr>
              <w:t>The correlation between PSYCOPATHY X1 – X11</w:t>
            </w:r>
          </w:p>
        </w:tc>
        <w:tc>
          <w:tcPr>
            <w:tcW w:w="1083" w:type="dxa"/>
          </w:tcPr>
          <w:p w14:paraId="03EF15E6" w14:textId="77777777" w:rsidR="007C27A1" w:rsidRPr="007C27A1" w:rsidRDefault="007C27A1" w:rsidP="007C27A1">
            <w:pPr>
              <w:spacing w:line="480" w:lineRule="auto"/>
              <w:rPr>
                <w:rFonts w:ascii="Arial" w:hAnsi="Arial" w:cs="Arial"/>
                <w:b/>
                <w:bCs/>
                <w:color w:val="0D0D0D" w:themeColor="text1" w:themeTint="F2"/>
              </w:rPr>
            </w:pPr>
            <w:r w:rsidRPr="007C27A1">
              <w:rPr>
                <w:rFonts w:ascii="Arial" w:hAnsi="Arial" w:cs="Arial"/>
                <w:b/>
                <w:bCs/>
                <w:color w:val="0D0D0D" w:themeColor="text1" w:themeTint="F2"/>
              </w:rPr>
              <w:t>X1 – X11</w:t>
            </w:r>
          </w:p>
        </w:tc>
      </w:tr>
      <w:tr w:rsidR="007C27A1" w:rsidRPr="007C27A1" w14:paraId="0C9887E8" w14:textId="77777777" w:rsidTr="001D4222">
        <w:tc>
          <w:tcPr>
            <w:tcW w:w="7933" w:type="dxa"/>
          </w:tcPr>
          <w:p w14:paraId="3D24BF19" w14:textId="77777777" w:rsidR="007C27A1" w:rsidRPr="007C27A1" w:rsidRDefault="007C27A1" w:rsidP="007C27A1">
            <w:pPr>
              <w:spacing w:line="480" w:lineRule="auto"/>
              <w:rPr>
                <w:rFonts w:ascii="Arial" w:hAnsi="Arial" w:cs="Arial"/>
                <w:b/>
                <w:bCs/>
                <w:color w:val="0D0D0D" w:themeColor="text1" w:themeTint="F2"/>
              </w:rPr>
            </w:pPr>
            <w:r w:rsidRPr="007C27A1">
              <w:rPr>
                <w:rFonts w:ascii="Arial" w:hAnsi="Arial" w:cs="Arial"/>
                <w:b/>
                <w:bCs/>
                <w:color w:val="0D0D0D" w:themeColor="text1" w:themeTint="F2"/>
              </w:rPr>
              <w:t>The correlation between PSYCOPATHY and Mean Disapproval is:</w:t>
            </w:r>
          </w:p>
        </w:tc>
        <w:tc>
          <w:tcPr>
            <w:tcW w:w="1083" w:type="dxa"/>
          </w:tcPr>
          <w:p w14:paraId="45C408F5" w14:textId="77777777" w:rsidR="007C27A1" w:rsidRPr="007C27A1" w:rsidRDefault="007C27A1" w:rsidP="007C27A1">
            <w:pPr>
              <w:spacing w:line="480" w:lineRule="auto"/>
              <w:jc w:val="right"/>
              <w:rPr>
                <w:rFonts w:ascii="Arial" w:hAnsi="Arial" w:cs="Arial"/>
                <w:b/>
                <w:bCs/>
                <w:color w:val="0D0D0D" w:themeColor="text1" w:themeTint="F2"/>
              </w:rPr>
            </w:pPr>
            <w:r w:rsidRPr="007C27A1">
              <w:rPr>
                <w:rFonts w:ascii="Arial" w:hAnsi="Arial" w:cs="Arial"/>
                <w:b/>
                <w:bCs/>
                <w:color w:val="0D0D0D" w:themeColor="text1" w:themeTint="F2"/>
              </w:rPr>
              <w:t>-0.219</w:t>
            </w:r>
          </w:p>
        </w:tc>
      </w:tr>
      <w:tr w:rsidR="007C27A1" w:rsidRPr="007C27A1" w14:paraId="04835094" w14:textId="77777777" w:rsidTr="001D4222">
        <w:tc>
          <w:tcPr>
            <w:tcW w:w="7933" w:type="dxa"/>
          </w:tcPr>
          <w:p w14:paraId="52A28E25" w14:textId="77777777" w:rsidR="007C27A1" w:rsidRPr="007C27A1" w:rsidRDefault="007C27A1" w:rsidP="007C27A1">
            <w:pPr>
              <w:spacing w:line="480" w:lineRule="auto"/>
              <w:rPr>
                <w:rFonts w:ascii="Arial" w:hAnsi="Arial" w:cs="Arial"/>
                <w:color w:val="0D0D0D" w:themeColor="text1" w:themeTint="F2"/>
              </w:rPr>
            </w:pPr>
            <w:r w:rsidRPr="007C27A1">
              <w:rPr>
                <w:rFonts w:ascii="Arial" w:hAnsi="Arial" w:cs="Arial"/>
                <w:color w:val="0D0D0D" w:themeColor="text1" w:themeTint="F2"/>
              </w:rPr>
              <w:t>The correlation between PSYCOPATHY and Age is:</w:t>
            </w:r>
          </w:p>
        </w:tc>
        <w:tc>
          <w:tcPr>
            <w:tcW w:w="1083" w:type="dxa"/>
          </w:tcPr>
          <w:p w14:paraId="41340A7E" w14:textId="77777777" w:rsidR="007C27A1" w:rsidRPr="007C27A1" w:rsidRDefault="007C27A1" w:rsidP="007C27A1">
            <w:pPr>
              <w:spacing w:line="480" w:lineRule="auto"/>
              <w:jc w:val="right"/>
              <w:rPr>
                <w:rFonts w:ascii="Arial" w:hAnsi="Arial" w:cs="Arial"/>
                <w:color w:val="0D0D0D" w:themeColor="text1" w:themeTint="F2"/>
              </w:rPr>
            </w:pPr>
            <w:r w:rsidRPr="007C27A1">
              <w:rPr>
                <w:rFonts w:ascii="Arial" w:hAnsi="Arial" w:cs="Arial"/>
                <w:color w:val="0D0D0D" w:themeColor="text1" w:themeTint="F2"/>
              </w:rPr>
              <w:t>0.050</w:t>
            </w:r>
          </w:p>
        </w:tc>
      </w:tr>
      <w:tr w:rsidR="007C27A1" w:rsidRPr="007C27A1" w14:paraId="54693462" w14:textId="77777777" w:rsidTr="001D4222">
        <w:tc>
          <w:tcPr>
            <w:tcW w:w="7933" w:type="dxa"/>
          </w:tcPr>
          <w:p w14:paraId="3CB6F836" w14:textId="77777777" w:rsidR="007C27A1" w:rsidRPr="007C27A1" w:rsidRDefault="007C27A1" w:rsidP="007C27A1">
            <w:pPr>
              <w:spacing w:line="480" w:lineRule="auto"/>
              <w:rPr>
                <w:rFonts w:ascii="Arial" w:hAnsi="Arial" w:cs="Arial"/>
                <w:b/>
                <w:bCs/>
                <w:color w:val="0D0D0D" w:themeColor="text1" w:themeTint="F2"/>
              </w:rPr>
            </w:pPr>
            <w:r w:rsidRPr="007C27A1">
              <w:rPr>
                <w:rFonts w:ascii="Arial" w:hAnsi="Arial" w:cs="Arial"/>
                <w:b/>
                <w:bCs/>
                <w:color w:val="0D0D0D" w:themeColor="text1" w:themeTint="F2"/>
              </w:rPr>
              <w:t>The correlation between PSYCOPATHY and Gender is:</w:t>
            </w:r>
          </w:p>
        </w:tc>
        <w:tc>
          <w:tcPr>
            <w:tcW w:w="1083" w:type="dxa"/>
          </w:tcPr>
          <w:p w14:paraId="525CFD2B" w14:textId="77777777" w:rsidR="007C27A1" w:rsidRPr="007C27A1" w:rsidRDefault="007C27A1" w:rsidP="007C27A1">
            <w:pPr>
              <w:spacing w:line="480" w:lineRule="auto"/>
              <w:jc w:val="right"/>
              <w:rPr>
                <w:rFonts w:ascii="Arial" w:hAnsi="Arial" w:cs="Arial"/>
                <w:b/>
                <w:bCs/>
                <w:color w:val="0D0D0D" w:themeColor="text1" w:themeTint="F2"/>
              </w:rPr>
            </w:pPr>
            <w:r w:rsidRPr="007C27A1">
              <w:rPr>
                <w:rFonts w:ascii="Arial" w:hAnsi="Arial" w:cs="Arial"/>
                <w:b/>
                <w:bCs/>
                <w:color w:val="0D0D0D" w:themeColor="text1" w:themeTint="F2"/>
              </w:rPr>
              <w:t>0.196</w:t>
            </w:r>
          </w:p>
        </w:tc>
      </w:tr>
      <w:tr w:rsidR="007C27A1" w:rsidRPr="007C27A1" w14:paraId="6F2D21B3" w14:textId="77777777" w:rsidTr="001D4222">
        <w:tc>
          <w:tcPr>
            <w:tcW w:w="7933" w:type="dxa"/>
          </w:tcPr>
          <w:p w14:paraId="630B84AB" w14:textId="77777777" w:rsidR="007C27A1" w:rsidRPr="007C27A1" w:rsidRDefault="007C27A1" w:rsidP="007C27A1">
            <w:pPr>
              <w:spacing w:line="480" w:lineRule="auto"/>
              <w:rPr>
                <w:rFonts w:ascii="Arial" w:hAnsi="Arial" w:cs="Arial"/>
                <w:color w:val="0D0D0D" w:themeColor="text1" w:themeTint="F2"/>
              </w:rPr>
            </w:pPr>
            <w:r w:rsidRPr="007C27A1">
              <w:rPr>
                <w:rFonts w:ascii="Arial" w:hAnsi="Arial" w:cs="Arial"/>
                <w:color w:val="0D0D0D" w:themeColor="text1" w:themeTint="F2"/>
              </w:rPr>
              <w:t>The correlation between PSYCOPATHY and Many Friends is:</w:t>
            </w:r>
          </w:p>
        </w:tc>
        <w:tc>
          <w:tcPr>
            <w:tcW w:w="1083" w:type="dxa"/>
          </w:tcPr>
          <w:p w14:paraId="4BED71A2" w14:textId="77777777" w:rsidR="007C27A1" w:rsidRPr="007C27A1" w:rsidRDefault="007C27A1" w:rsidP="007C27A1">
            <w:pPr>
              <w:spacing w:line="480" w:lineRule="auto"/>
              <w:jc w:val="right"/>
              <w:rPr>
                <w:rFonts w:ascii="Arial" w:hAnsi="Arial" w:cs="Arial"/>
                <w:color w:val="0D0D0D" w:themeColor="text1" w:themeTint="F2"/>
              </w:rPr>
            </w:pPr>
            <w:r w:rsidRPr="007C27A1">
              <w:rPr>
                <w:rFonts w:ascii="Arial" w:hAnsi="Arial" w:cs="Arial"/>
                <w:color w:val="0D0D0D" w:themeColor="text1" w:themeTint="F2"/>
              </w:rPr>
              <w:t>-0.060</w:t>
            </w:r>
          </w:p>
        </w:tc>
      </w:tr>
      <w:tr w:rsidR="007C27A1" w:rsidRPr="007C27A1" w14:paraId="32F8075B" w14:textId="77777777" w:rsidTr="001D4222">
        <w:tc>
          <w:tcPr>
            <w:tcW w:w="7933" w:type="dxa"/>
          </w:tcPr>
          <w:p w14:paraId="3172C5AA" w14:textId="77777777" w:rsidR="007C27A1" w:rsidRPr="007C27A1" w:rsidRDefault="007C27A1" w:rsidP="007C27A1">
            <w:pPr>
              <w:spacing w:line="480" w:lineRule="auto"/>
              <w:rPr>
                <w:rFonts w:ascii="Arial" w:hAnsi="Arial" w:cs="Arial"/>
                <w:b/>
                <w:bCs/>
                <w:color w:val="0D0D0D" w:themeColor="text1" w:themeTint="F2"/>
              </w:rPr>
            </w:pPr>
            <w:r w:rsidRPr="007C27A1">
              <w:rPr>
                <w:rFonts w:ascii="Arial" w:hAnsi="Arial" w:cs="Arial"/>
                <w:b/>
                <w:bCs/>
                <w:color w:val="0D0D0D" w:themeColor="text1" w:themeTint="F2"/>
              </w:rPr>
              <w:t>The correlation between PSYCOPATHY and Adherence to an Ethical Framework is:</w:t>
            </w:r>
          </w:p>
        </w:tc>
        <w:tc>
          <w:tcPr>
            <w:tcW w:w="1083" w:type="dxa"/>
          </w:tcPr>
          <w:p w14:paraId="1B15EB7E" w14:textId="77777777" w:rsidR="007C27A1" w:rsidRPr="007C27A1" w:rsidRDefault="007C27A1" w:rsidP="007C27A1">
            <w:pPr>
              <w:spacing w:line="480" w:lineRule="auto"/>
              <w:jc w:val="right"/>
              <w:rPr>
                <w:rFonts w:ascii="Arial" w:hAnsi="Arial" w:cs="Arial"/>
                <w:b/>
                <w:bCs/>
                <w:color w:val="0D0D0D" w:themeColor="text1" w:themeTint="F2"/>
              </w:rPr>
            </w:pPr>
            <w:r w:rsidRPr="007C27A1">
              <w:rPr>
                <w:rFonts w:ascii="Arial" w:hAnsi="Arial" w:cs="Arial"/>
                <w:b/>
                <w:bCs/>
                <w:color w:val="0D0D0D" w:themeColor="text1" w:themeTint="F2"/>
              </w:rPr>
              <w:t>0.147</w:t>
            </w:r>
          </w:p>
        </w:tc>
      </w:tr>
      <w:tr w:rsidR="007C27A1" w:rsidRPr="007C27A1" w14:paraId="259AE48F" w14:textId="77777777" w:rsidTr="001D4222">
        <w:tc>
          <w:tcPr>
            <w:tcW w:w="7933" w:type="dxa"/>
          </w:tcPr>
          <w:p w14:paraId="703F0BF1" w14:textId="77777777" w:rsidR="007C27A1" w:rsidRPr="007C27A1" w:rsidRDefault="007C27A1" w:rsidP="007C27A1">
            <w:pPr>
              <w:spacing w:line="480" w:lineRule="auto"/>
              <w:rPr>
                <w:rFonts w:ascii="Arial" w:hAnsi="Arial" w:cs="Arial"/>
                <w:color w:val="0D0D0D" w:themeColor="text1" w:themeTint="F2"/>
              </w:rPr>
            </w:pPr>
            <w:r w:rsidRPr="007C27A1">
              <w:rPr>
                <w:rFonts w:ascii="Arial" w:hAnsi="Arial" w:cs="Arial"/>
                <w:color w:val="0D0D0D" w:themeColor="text1" w:themeTint="F2"/>
              </w:rPr>
              <w:t>The correlation between PSYCOPATHY and whether the participant was Bullied is:</w:t>
            </w:r>
          </w:p>
        </w:tc>
        <w:tc>
          <w:tcPr>
            <w:tcW w:w="1083" w:type="dxa"/>
          </w:tcPr>
          <w:p w14:paraId="3DBA0D3E" w14:textId="77777777" w:rsidR="007C27A1" w:rsidRPr="007C27A1" w:rsidRDefault="007C27A1" w:rsidP="007C27A1">
            <w:pPr>
              <w:spacing w:line="480" w:lineRule="auto"/>
              <w:jc w:val="right"/>
              <w:rPr>
                <w:rFonts w:ascii="Arial" w:hAnsi="Arial" w:cs="Arial"/>
                <w:color w:val="0D0D0D" w:themeColor="text1" w:themeTint="F2"/>
              </w:rPr>
            </w:pPr>
            <w:r w:rsidRPr="007C27A1">
              <w:rPr>
                <w:rFonts w:ascii="Arial" w:hAnsi="Arial" w:cs="Arial"/>
                <w:color w:val="0D0D0D" w:themeColor="text1" w:themeTint="F2"/>
              </w:rPr>
              <w:t>0.069</w:t>
            </w:r>
          </w:p>
        </w:tc>
      </w:tr>
      <w:tr w:rsidR="007C27A1" w:rsidRPr="007C27A1" w14:paraId="1B6949E2" w14:textId="77777777" w:rsidTr="001D4222">
        <w:tc>
          <w:tcPr>
            <w:tcW w:w="7933" w:type="dxa"/>
          </w:tcPr>
          <w:p w14:paraId="423EFE0B" w14:textId="77777777" w:rsidR="007C27A1" w:rsidRPr="007C27A1" w:rsidRDefault="007C27A1" w:rsidP="007C27A1">
            <w:pPr>
              <w:spacing w:line="480" w:lineRule="auto"/>
              <w:rPr>
                <w:rFonts w:ascii="Arial" w:hAnsi="Arial" w:cs="Arial"/>
                <w:color w:val="0D0D0D" w:themeColor="text1" w:themeTint="F2"/>
              </w:rPr>
            </w:pPr>
            <w:r w:rsidRPr="007C27A1">
              <w:rPr>
                <w:rFonts w:ascii="Arial" w:hAnsi="Arial" w:cs="Arial"/>
                <w:color w:val="0D0D0D" w:themeColor="text1" w:themeTint="F2"/>
              </w:rPr>
              <w:lastRenderedPageBreak/>
              <w:t xml:space="preserve">The correlation between PSYCOPATHY and whether the participant is Religious is: </w:t>
            </w:r>
          </w:p>
        </w:tc>
        <w:tc>
          <w:tcPr>
            <w:tcW w:w="1083" w:type="dxa"/>
          </w:tcPr>
          <w:p w14:paraId="05A4B967" w14:textId="77777777" w:rsidR="007C27A1" w:rsidRPr="007C27A1" w:rsidRDefault="007C27A1" w:rsidP="007C27A1">
            <w:pPr>
              <w:spacing w:line="480" w:lineRule="auto"/>
              <w:jc w:val="right"/>
              <w:rPr>
                <w:rFonts w:ascii="Arial" w:hAnsi="Arial" w:cs="Arial"/>
                <w:color w:val="0D0D0D" w:themeColor="text1" w:themeTint="F2"/>
              </w:rPr>
            </w:pPr>
            <w:r w:rsidRPr="007C27A1">
              <w:rPr>
                <w:rFonts w:ascii="Arial" w:hAnsi="Arial" w:cs="Arial"/>
                <w:color w:val="0D0D0D" w:themeColor="text1" w:themeTint="F2"/>
              </w:rPr>
              <w:t>0.098</w:t>
            </w:r>
          </w:p>
        </w:tc>
      </w:tr>
      <w:tr w:rsidR="007C27A1" w:rsidRPr="007C27A1" w14:paraId="70E74527" w14:textId="77777777" w:rsidTr="001D4222">
        <w:tc>
          <w:tcPr>
            <w:tcW w:w="7933" w:type="dxa"/>
          </w:tcPr>
          <w:p w14:paraId="3144360C" w14:textId="77777777" w:rsidR="007C27A1" w:rsidRPr="007C27A1" w:rsidRDefault="007C27A1" w:rsidP="007C27A1">
            <w:pPr>
              <w:spacing w:line="480" w:lineRule="auto"/>
              <w:rPr>
                <w:rFonts w:ascii="Arial" w:hAnsi="Arial" w:cs="Arial"/>
                <w:b/>
                <w:bCs/>
                <w:color w:val="0D0D0D" w:themeColor="text1" w:themeTint="F2"/>
              </w:rPr>
            </w:pPr>
            <w:r w:rsidRPr="007C27A1">
              <w:rPr>
                <w:rFonts w:ascii="Arial" w:hAnsi="Arial" w:cs="Arial"/>
                <w:b/>
                <w:bCs/>
                <w:color w:val="0D0D0D" w:themeColor="text1" w:themeTint="F2"/>
              </w:rPr>
              <w:t>The correlation between PSYCOPATHY and whether the participant expects a starting salary of more than £25,000 upon graduation is:</w:t>
            </w:r>
          </w:p>
        </w:tc>
        <w:tc>
          <w:tcPr>
            <w:tcW w:w="1083" w:type="dxa"/>
          </w:tcPr>
          <w:p w14:paraId="20DA471F" w14:textId="77777777" w:rsidR="007C27A1" w:rsidRPr="007C27A1" w:rsidRDefault="007C27A1" w:rsidP="007C27A1">
            <w:pPr>
              <w:spacing w:line="480" w:lineRule="auto"/>
              <w:jc w:val="right"/>
              <w:rPr>
                <w:rFonts w:ascii="Arial" w:hAnsi="Arial" w:cs="Arial"/>
                <w:b/>
                <w:bCs/>
                <w:color w:val="0D0D0D" w:themeColor="text1" w:themeTint="F2"/>
              </w:rPr>
            </w:pPr>
            <w:r w:rsidRPr="007C27A1">
              <w:rPr>
                <w:rFonts w:ascii="Arial" w:hAnsi="Arial" w:cs="Arial"/>
                <w:b/>
                <w:bCs/>
                <w:color w:val="0D0D0D" w:themeColor="text1" w:themeTint="F2"/>
              </w:rPr>
              <w:t>-0.143</w:t>
            </w:r>
          </w:p>
        </w:tc>
      </w:tr>
      <w:tr w:rsidR="007C27A1" w:rsidRPr="007C27A1" w14:paraId="2E5750CD" w14:textId="77777777" w:rsidTr="001D4222">
        <w:tc>
          <w:tcPr>
            <w:tcW w:w="7933" w:type="dxa"/>
          </w:tcPr>
          <w:p w14:paraId="7354E1A6" w14:textId="77777777" w:rsidR="007C27A1" w:rsidRPr="007C27A1" w:rsidRDefault="007C27A1" w:rsidP="007C27A1">
            <w:pPr>
              <w:spacing w:line="480" w:lineRule="auto"/>
              <w:rPr>
                <w:rFonts w:ascii="Arial" w:hAnsi="Arial" w:cs="Arial"/>
                <w:b/>
                <w:bCs/>
                <w:color w:val="0D0D0D" w:themeColor="text1" w:themeTint="F2"/>
              </w:rPr>
            </w:pPr>
            <w:r w:rsidRPr="007C27A1">
              <w:rPr>
                <w:rFonts w:ascii="Arial" w:hAnsi="Arial" w:cs="Arial"/>
                <w:b/>
                <w:bCs/>
                <w:color w:val="0D0D0D" w:themeColor="text1" w:themeTint="F2"/>
              </w:rPr>
              <w:t>The correlation between PSYCOPATHY and whether the mother of the participant is a post-graduate.</w:t>
            </w:r>
          </w:p>
        </w:tc>
        <w:tc>
          <w:tcPr>
            <w:tcW w:w="1083" w:type="dxa"/>
          </w:tcPr>
          <w:p w14:paraId="1A61A082" w14:textId="77777777" w:rsidR="007C27A1" w:rsidRPr="007C27A1" w:rsidRDefault="007C27A1" w:rsidP="007C27A1">
            <w:pPr>
              <w:spacing w:line="480" w:lineRule="auto"/>
              <w:jc w:val="right"/>
              <w:rPr>
                <w:rFonts w:ascii="Arial" w:hAnsi="Arial" w:cs="Arial"/>
                <w:b/>
                <w:bCs/>
                <w:color w:val="0D0D0D" w:themeColor="text1" w:themeTint="F2"/>
              </w:rPr>
            </w:pPr>
            <w:r w:rsidRPr="007C27A1">
              <w:rPr>
                <w:rFonts w:ascii="Arial" w:hAnsi="Arial" w:cs="Arial"/>
                <w:b/>
                <w:bCs/>
                <w:color w:val="0D0D0D" w:themeColor="text1" w:themeTint="F2"/>
              </w:rPr>
              <w:t>0.158</w:t>
            </w:r>
          </w:p>
        </w:tc>
      </w:tr>
      <w:tr w:rsidR="007C27A1" w:rsidRPr="007C27A1" w14:paraId="1E132ACC" w14:textId="77777777" w:rsidTr="001D4222">
        <w:tc>
          <w:tcPr>
            <w:tcW w:w="7933" w:type="dxa"/>
          </w:tcPr>
          <w:p w14:paraId="66C39D70" w14:textId="77777777" w:rsidR="007C27A1" w:rsidRPr="007C27A1" w:rsidRDefault="007C27A1" w:rsidP="007C27A1">
            <w:pPr>
              <w:spacing w:line="480" w:lineRule="auto"/>
              <w:rPr>
                <w:rFonts w:ascii="Arial" w:hAnsi="Arial" w:cs="Arial"/>
                <w:color w:val="0D0D0D" w:themeColor="text1" w:themeTint="F2"/>
              </w:rPr>
            </w:pPr>
            <w:r w:rsidRPr="007C27A1">
              <w:rPr>
                <w:rFonts w:ascii="Arial" w:hAnsi="Arial" w:cs="Arial"/>
                <w:color w:val="0D0D0D" w:themeColor="text1" w:themeTint="F2"/>
              </w:rPr>
              <w:t>The correlation between PSYCOPATHY and whether the father of the participant is a post-graduate.</w:t>
            </w:r>
          </w:p>
        </w:tc>
        <w:tc>
          <w:tcPr>
            <w:tcW w:w="1083" w:type="dxa"/>
          </w:tcPr>
          <w:p w14:paraId="797BD123" w14:textId="77777777" w:rsidR="007C27A1" w:rsidRPr="007C27A1" w:rsidRDefault="007C27A1" w:rsidP="007C27A1">
            <w:pPr>
              <w:spacing w:line="480" w:lineRule="auto"/>
              <w:jc w:val="right"/>
              <w:rPr>
                <w:rFonts w:ascii="Arial" w:hAnsi="Arial" w:cs="Arial"/>
                <w:color w:val="0D0D0D" w:themeColor="text1" w:themeTint="F2"/>
              </w:rPr>
            </w:pPr>
            <w:r w:rsidRPr="007C27A1">
              <w:rPr>
                <w:rFonts w:ascii="Arial" w:hAnsi="Arial" w:cs="Arial"/>
                <w:color w:val="0D0D0D" w:themeColor="text1" w:themeTint="F2"/>
              </w:rPr>
              <w:t>-0.027</w:t>
            </w:r>
          </w:p>
        </w:tc>
      </w:tr>
      <w:tr w:rsidR="007C27A1" w:rsidRPr="007C27A1" w14:paraId="6C14FC25" w14:textId="77777777" w:rsidTr="001D4222">
        <w:tc>
          <w:tcPr>
            <w:tcW w:w="7933" w:type="dxa"/>
          </w:tcPr>
          <w:p w14:paraId="605D89FB" w14:textId="77777777" w:rsidR="007C27A1" w:rsidRPr="007C27A1" w:rsidRDefault="007C27A1" w:rsidP="007C27A1">
            <w:pPr>
              <w:spacing w:line="480" w:lineRule="auto"/>
              <w:rPr>
                <w:rFonts w:ascii="Arial" w:hAnsi="Arial" w:cs="Arial"/>
                <w:b/>
                <w:bCs/>
                <w:color w:val="0D0D0D" w:themeColor="text1" w:themeTint="F2"/>
              </w:rPr>
            </w:pPr>
            <w:r w:rsidRPr="007C27A1">
              <w:rPr>
                <w:rFonts w:ascii="Arial" w:hAnsi="Arial" w:cs="Arial"/>
                <w:b/>
                <w:bCs/>
                <w:color w:val="0D0D0D" w:themeColor="text1" w:themeTint="F2"/>
              </w:rPr>
              <w:t>The correlation between PSYCOPATHY and whether the participant believes that a Prison Sentence will deter Accounting Fraud</w:t>
            </w:r>
          </w:p>
        </w:tc>
        <w:tc>
          <w:tcPr>
            <w:tcW w:w="1083" w:type="dxa"/>
          </w:tcPr>
          <w:p w14:paraId="7F835306" w14:textId="77777777" w:rsidR="007C27A1" w:rsidRPr="007C27A1" w:rsidRDefault="007C27A1" w:rsidP="007C27A1">
            <w:pPr>
              <w:spacing w:line="480" w:lineRule="auto"/>
              <w:jc w:val="right"/>
              <w:rPr>
                <w:rFonts w:ascii="Arial" w:hAnsi="Arial" w:cs="Arial"/>
                <w:b/>
                <w:bCs/>
                <w:color w:val="0D0D0D" w:themeColor="text1" w:themeTint="F2"/>
              </w:rPr>
            </w:pPr>
            <w:r w:rsidRPr="007C27A1">
              <w:rPr>
                <w:rFonts w:ascii="Arial" w:hAnsi="Arial" w:cs="Arial"/>
                <w:b/>
                <w:bCs/>
                <w:color w:val="0D0D0D" w:themeColor="text1" w:themeTint="F2"/>
              </w:rPr>
              <w:t>0.153</w:t>
            </w:r>
          </w:p>
        </w:tc>
      </w:tr>
    </w:tbl>
    <w:p w14:paraId="7C1A1817" w14:textId="77777777" w:rsidR="007C27A1" w:rsidRPr="007C27A1" w:rsidRDefault="007C27A1" w:rsidP="007C27A1">
      <w:pPr>
        <w:spacing w:line="480" w:lineRule="auto"/>
        <w:jc w:val="both"/>
        <w:rPr>
          <w:rFonts w:ascii="Arial" w:eastAsiaTheme="minorHAnsi" w:hAnsi="Arial" w:cs="Arial"/>
          <w:color w:val="0D0D0D" w:themeColor="text1" w:themeTint="F2"/>
          <w:kern w:val="0"/>
          <w:lang w:eastAsia="en-US"/>
          <w14:ligatures w14:val="none"/>
        </w:rPr>
      </w:pPr>
    </w:p>
    <w:p w14:paraId="101B25EA" w14:textId="77777777" w:rsidR="007C27A1" w:rsidRPr="007C27A1" w:rsidRDefault="007C27A1" w:rsidP="007C27A1">
      <w:pPr>
        <w:spacing w:line="480" w:lineRule="auto"/>
        <w:jc w:val="both"/>
        <w:rPr>
          <w:rFonts w:ascii="Arial" w:eastAsiaTheme="minorHAnsi" w:hAnsi="Arial" w:cs="Arial"/>
          <w:color w:val="0D0D0D" w:themeColor="text1" w:themeTint="F2"/>
          <w:kern w:val="0"/>
          <w:lang w:eastAsia="en-US"/>
          <w14:ligatures w14:val="none"/>
        </w:rPr>
      </w:pPr>
      <w:r w:rsidRPr="007C27A1">
        <w:rPr>
          <w:rFonts w:ascii="Arial" w:eastAsiaTheme="minorHAnsi" w:hAnsi="Arial" w:cs="Arial"/>
          <w:color w:val="0D0D0D" w:themeColor="text1" w:themeTint="F2"/>
          <w:kern w:val="0"/>
          <w:lang w:eastAsia="en-US"/>
          <w14:ligatures w14:val="none"/>
        </w:rPr>
        <w:t xml:space="preserve">The best predictor of </w:t>
      </w:r>
      <w:r w:rsidRPr="007C27A1">
        <w:rPr>
          <w:rFonts w:ascii="Arial" w:eastAsiaTheme="minorHAnsi" w:hAnsi="Arial" w:cs="Arial"/>
          <w:b/>
          <w:bCs/>
          <w:color w:val="0D0D0D" w:themeColor="text1" w:themeTint="F2"/>
          <w:kern w:val="0"/>
          <w:lang w:eastAsia="en-US"/>
          <w14:ligatures w14:val="none"/>
        </w:rPr>
        <w:t>psychopathy is mean disapproval</w:t>
      </w:r>
      <w:r w:rsidRPr="007C27A1">
        <w:rPr>
          <w:rFonts w:ascii="Arial" w:eastAsiaTheme="minorHAnsi" w:hAnsi="Arial" w:cs="Arial"/>
          <w:color w:val="0D0D0D" w:themeColor="text1" w:themeTint="F2"/>
          <w:kern w:val="0"/>
          <w:lang w:eastAsia="en-US"/>
          <w14:ligatures w14:val="none"/>
        </w:rPr>
        <w:t xml:space="preserve"> and then based on absolute value the following:</w:t>
      </w:r>
    </w:p>
    <w:p w14:paraId="7C8A49B6" w14:textId="77777777" w:rsidR="007C27A1" w:rsidRPr="007C27A1" w:rsidRDefault="007C27A1">
      <w:pPr>
        <w:numPr>
          <w:ilvl w:val="0"/>
          <w:numId w:val="24"/>
        </w:numPr>
        <w:spacing w:line="480" w:lineRule="auto"/>
        <w:contextualSpacing/>
        <w:jc w:val="both"/>
        <w:rPr>
          <w:rFonts w:ascii="Arial" w:eastAsiaTheme="minorHAnsi" w:hAnsi="Arial" w:cs="Arial"/>
          <w:b/>
          <w:bCs/>
          <w:color w:val="0D0D0D" w:themeColor="text1" w:themeTint="F2"/>
          <w:kern w:val="0"/>
          <w:lang w:eastAsia="en-US"/>
          <w14:ligatures w14:val="none"/>
        </w:rPr>
      </w:pPr>
      <w:r w:rsidRPr="007C27A1">
        <w:rPr>
          <w:rFonts w:ascii="Arial" w:eastAsiaTheme="minorHAnsi" w:hAnsi="Arial" w:cs="Arial"/>
          <w:b/>
          <w:bCs/>
          <w:color w:val="0D0D0D" w:themeColor="text1" w:themeTint="F2"/>
          <w:kern w:val="0"/>
          <w:lang w:eastAsia="en-US"/>
          <w14:ligatures w14:val="none"/>
        </w:rPr>
        <w:t>Gender,</w:t>
      </w:r>
    </w:p>
    <w:p w14:paraId="603AC4CD" w14:textId="77777777" w:rsidR="007C27A1" w:rsidRPr="007C27A1" w:rsidRDefault="007C27A1">
      <w:pPr>
        <w:numPr>
          <w:ilvl w:val="0"/>
          <w:numId w:val="24"/>
        </w:numPr>
        <w:spacing w:line="480" w:lineRule="auto"/>
        <w:contextualSpacing/>
        <w:jc w:val="both"/>
        <w:rPr>
          <w:rFonts w:ascii="Arial" w:eastAsiaTheme="minorHAnsi" w:hAnsi="Arial" w:cs="Arial"/>
          <w:b/>
          <w:bCs/>
          <w:color w:val="0D0D0D" w:themeColor="text1" w:themeTint="F2"/>
          <w:kern w:val="0"/>
          <w:lang w:eastAsia="en-US"/>
          <w14:ligatures w14:val="none"/>
        </w:rPr>
      </w:pPr>
      <w:r w:rsidRPr="007C27A1">
        <w:rPr>
          <w:rFonts w:ascii="Arial" w:eastAsiaTheme="minorHAnsi" w:hAnsi="Arial" w:cs="Arial"/>
          <w:b/>
          <w:bCs/>
          <w:color w:val="0D0D0D" w:themeColor="text1" w:themeTint="F2"/>
          <w:kern w:val="0"/>
          <w:lang w:eastAsia="en-US"/>
          <w14:ligatures w14:val="none"/>
        </w:rPr>
        <w:t>Whether the mother is a post-graduate,</w:t>
      </w:r>
    </w:p>
    <w:p w14:paraId="499CC5B6" w14:textId="77777777" w:rsidR="007C27A1" w:rsidRPr="007C27A1" w:rsidRDefault="007C27A1">
      <w:pPr>
        <w:numPr>
          <w:ilvl w:val="0"/>
          <w:numId w:val="24"/>
        </w:numPr>
        <w:spacing w:line="480" w:lineRule="auto"/>
        <w:contextualSpacing/>
        <w:jc w:val="both"/>
        <w:rPr>
          <w:rFonts w:ascii="Arial" w:eastAsiaTheme="minorHAnsi" w:hAnsi="Arial" w:cs="Arial"/>
          <w:b/>
          <w:bCs/>
          <w:color w:val="0D0D0D" w:themeColor="text1" w:themeTint="F2"/>
          <w:kern w:val="0"/>
          <w:lang w:eastAsia="en-US"/>
          <w14:ligatures w14:val="none"/>
        </w:rPr>
      </w:pPr>
      <w:r w:rsidRPr="007C27A1">
        <w:rPr>
          <w:rFonts w:ascii="Arial" w:eastAsiaTheme="minorHAnsi" w:hAnsi="Arial" w:cs="Arial"/>
          <w:b/>
          <w:bCs/>
          <w:color w:val="0D0D0D" w:themeColor="text1" w:themeTint="F2"/>
          <w:kern w:val="0"/>
          <w:lang w:eastAsia="en-US"/>
          <w14:ligatures w14:val="none"/>
        </w:rPr>
        <w:t>Whether a prison sentence and fine should be imposed,</w:t>
      </w:r>
    </w:p>
    <w:p w14:paraId="1E59BDC5" w14:textId="77777777" w:rsidR="007C27A1" w:rsidRPr="007C27A1" w:rsidRDefault="007C27A1">
      <w:pPr>
        <w:numPr>
          <w:ilvl w:val="0"/>
          <w:numId w:val="24"/>
        </w:numPr>
        <w:spacing w:line="480" w:lineRule="auto"/>
        <w:contextualSpacing/>
        <w:jc w:val="both"/>
        <w:rPr>
          <w:rFonts w:ascii="Arial" w:eastAsiaTheme="minorHAnsi" w:hAnsi="Arial" w:cs="Arial"/>
          <w:b/>
          <w:bCs/>
          <w:color w:val="0D0D0D" w:themeColor="text1" w:themeTint="F2"/>
          <w:kern w:val="0"/>
          <w:lang w:eastAsia="en-US"/>
          <w14:ligatures w14:val="none"/>
        </w:rPr>
      </w:pPr>
      <w:r w:rsidRPr="007C27A1">
        <w:rPr>
          <w:rFonts w:ascii="Arial" w:eastAsiaTheme="minorHAnsi" w:hAnsi="Arial" w:cs="Arial"/>
          <w:b/>
          <w:bCs/>
          <w:color w:val="0D0D0D" w:themeColor="text1" w:themeTint="F2"/>
          <w:kern w:val="0"/>
          <w:lang w:eastAsia="en-US"/>
          <w14:ligatures w14:val="none"/>
        </w:rPr>
        <w:t>Adherence to an ethical framework,</w:t>
      </w:r>
    </w:p>
    <w:p w14:paraId="73D2028F" w14:textId="77777777" w:rsidR="007C27A1" w:rsidRPr="007C27A1" w:rsidRDefault="007C27A1">
      <w:pPr>
        <w:numPr>
          <w:ilvl w:val="0"/>
          <w:numId w:val="24"/>
        </w:numPr>
        <w:spacing w:line="480" w:lineRule="auto"/>
        <w:contextualSpacing/>
        <w:jc w:val="both"/>
        <w:rPr>
          <w:rFonts w:ascii="Arial" w:eastAsiaTheme="minorHAnsi" w:hAnsi="Arial" w:cs="Arial"/>
          <w:b/>
          <w:bCs/>
          <w:color w:val="0D0D0D" w:themeColor="text1" w:themeTint="F2"/>
          <w:kern w:val="0"/>
          <w:lang w:eastAsia="en-US"/>
          <w14:ligatures w14:val="none"/>
        </w:rPr>
      </w:pPr>
      <w:r w:rsidRPr="007C27A1">
        <w:rPr>
          <w:rFonts w:ascii="Arial" w:eastAsiaTheme="minorHAnsi" w:hAnsi="Arial" w:cs="Arial"/>
          <w:b/>
          <w:bCs/>
          <w:color w:val="0D0D0D" w:themeColor="text1" w:themeTint="F2"/>
          <w:kern w:val="0"/>
          <w:lang w:eastAsia="en-US"/>
          <w14:ligatures w14:val="none"/>
        </w:rPr>
        <w:t>Upon graduation whether there is an expectation of a starting salary of more than £25,000</w:t>
      </w:r>
    </w:p>
    <w:p w14:paraId="5AB9198A" w14:textId="77777777" w:rsidR="007C27A1" w:rsidRPr="007C27A1" w:rsidRDefault="007C27A1" w:rsidP="007C27A1">
      <w:pPr>
        <w:spacing w:line="480" w:lineRule="auto"/>
        <w:jc w:val="both"/>
        <w:rPr>
          <w:rFonts w:ascii="Arial" w:eastAsiaTheme="minorHAnsi" w:hAnsi="Arial" w:cs="Arial"/>
          <w:color w:val="0D0D0D" w:themeColor="text1" w:themeTint="F2"/>
          <w:kern w:val="0"/>
          <w:lang w:eastAsia="en-US"/>
          <w14:ligatures w14:val="none"/>
        </w:rPr>
      </w:pPr>
      <w:r w:rsidRPr="007C27A1">
        <w:rPr>
          <w:rFonts w:ascii="Arial" w:eastAsiaTheme="minorHAnsi" w:hAnsi="Arial" w:cs="Arial"/>
          <w:color w:val="0D0D0D" w:themeColor="text1" w:themeTint="F2"/>
          <w:kern w:val="0"/>
          <w:lang w:eastAsia="en-US"/>
          <w14:ligatures w14:val="none"/>
        </w:rPr>
        <w:t>Age is not an important explanatory variable, 0.050, probably due to little or no life and professional experience.</w:t>
      </w:r>
    </w:p>
    <w:p w14:paraId="0A15AB10" w14:textId="77777777" w:rsidR="007C27A1" w:rsidRPr="007C27A1" w:rsidRDefault="007C27A1" w:rsidP="007C27A1">
      <w:pPr>
        <w:spacing w:before="100" w:beforeAutospacing="1" w:after="100" w:afterAutospacing="1" w:line="480" w:lineRule="auto"/>
        <w:jc w:val="both"/>
        <w:rPr>
          <w:rFonts w:ascii="Arial" w:eastAsia="Times New Roman" w:hAnsi="Arial" w:cs="Arial"/>
          <w:color w:val="0D0D0D" w:themeColor="text1" w:themeTint="F2"/>
          <w:kern w:val="0"/>
          <w:lang w:eastAsia="en-GB"/>
          <w14:ligatures w14:val="none"/>
        </w:rPr>
      </w:pPr>
      <w:r w:rsidRPr="007C27A1">
        <w:rPr>
          <w:rFonts w:ascii="Arial" w:eastAsiaTheme="minorHAnsi" w:hAnsi="Arial" w:cs="Arial"/>
          <w:color w:val="0D0D0D" w:themeColor="text1" w:themeTint="F2"/>
          <w:kern w:val="0"/>
          <w:lang w:eastAsia="en-US"/>
          <w14:ligatures w14:val="none"/>
        </w:rPr>
        <w:t xml:space="preserve">Overall, the Multiple Regression for model is 0.48 which </w:t>
      </w:r>
      <w:r w:rsidRPr="007C27A1">
        <w:rPr>
          <w:rFonts w:ascii="Arial" w:eastAsia="Times New Roman" w:hAnsi="Arial" w:cs="Arial"/>
          <w:color w:val="0D0D0D" w:themeColor="text1" w:themeTint="F2"/>
          <w:kern w:val="0"/>
          <w:lang w:eastAsia="en-GB"/>
          <w14:ligatures w14:val="none"/>
        </w:rPr>
        <w:t xml:space="preserve">indicates that 48% of the variability in the dependent variables (X1-X11) can be explained by the model and X1 or mean disapproval is the best explanatory variable of psychopathy. </w:t>
      </w:r>
    </w:p>
    <w:p w14:paraId="7C5035D0" w14:textId="77777777" w:rsidR="007C27A1" w:rsidRPr="007C27A1" w:rsidRDefault="007C27A1" w:rsidP="007C27A1">
      <w:pPr>
        <w:spacing w:before="100" w:beforeAutospacing="1" w:after="100" w:afterAutospacing="1" w:line="480" w:lineRule="auto"/>
        <w:jc w:val="both"/>
        <w:rPr>
          <w:rFonts w:ascii="Arial" w:eastAsia="Times New Roman" w:hAnsi="Arial" w:cs="Arial"/>
          <w:color w:val="0D0D0D" w:themeColor="text1" w:themeTint="F2"/>
          <w:kern w:val="0"/>
          <w:lang w:eastAsia="en-GB"/>
          <w14:ligatures w14:val="none"/>
        </w:rPr>
      </w:pPr>
      <w:r w:rsidRPr="007C27A1">
        <w:rPr>
          <w:rFonts w:ascii="Arial" w:eastAsia="Times New Roman" w:hAnsi="Arial" w:cs="Arial"/>
          <w:color w:val="0D0D0D" w:themeColor="text1" w:themeTint="F2"/>
          <w:kern w:val="0"/>
          <w:lang w:eastAsia="en-GB"/>
          <w14:ligatures w14:val="none"/>
        </w:rPr>
        <w:lastRenderedPageBreak/>
        <w:t>If we had the following situation where a student was 21 years old, male, and had an average Mean Disapproval of 1 and responded 0 to the other variables the potential psychopathic score would be 54.46 or towards the top of the Mixed Group which is concerning (</w:t>
      </w:r>
      <w:r w:rsidRPr="007C27A1">
        <w:rPr>
          <w:rFonts w:ascii="Arial" w:eastAsia="Times New Roman" w:hAnsi="Arial" w:cs="Arial"/>
          <w:b/>
          <w:bCs/>
          <w:color w:val="0D0D0D" w:themeColor="text1" w:themeTint="F2"/>
          <w:kern w:val="0"/>
          <w:lang w:eastAsia="en-GB"/>
          <w14:ligatures w14:val="none"/>
        </w:rPr>
        <w:t>and we presently have seven male students who have scores in the psychopathic range of more than 57, see SRQ 3</w:t>
      </w:r>
      <w:r w:rsidRPr="007C27A1">
        <w:rPr>
          <w:rFonts w:ascii="Arial" w:eastAsia="Times New Roman" w:hAnsi="Arial" w:cs="Arial"/>
          <w:color w:val="0D0D0D" w:themeColor="text1" w:themeTint="F2"/>
          <w:kern w:val="0"/>
          <w:lang w:eastAsia="en-GB"/>
          <w14:ligatures w14:val="none"/>
        </w:rPr>
        <w:t>). On the other hand, results from the other multiple regression model,</w:t>
      </w:r>
      <w:r w:rsidRPr="007C27A1">
        <w:rPr>
          <w:rFonts w:ascii="Arial" w:eastAsia="Times New Roman" w:hAnsi="Arial" w:cs="Arial"/>
          <w:b/>
          <w:bCs/>
          <w:color w:val="0D0D0D" w:themeColor="text1" w:themeTint="F2"/>
          <w:kern w:val="0"/>
          <w:lang w:eastAsia="en-GB"/>
          <w14:ligatures w14:val="none"/>
        </w:rPr>
        <w:t xml:space="preserve"> see 4.2.1 </w:t>
      </w:r>
      <w:r w:rsidRPr="007C27A1">
        <w:rPr>
          <w:rFonts w:ascii="Arial" w:eastAsia="Times New Roman" w:hAnsi="Arial" w:cs="Arial"/>
          <w:color w:val="0D0D0D" w:themeColor="text1" w:themeTint="F2"/>
          <w:kern w:val="0"/>
          <w:lang w:eastAsia="en-GB"/>
          <w14:ligatures w14:val="none"/>
        </w:rPr>
        <w:t>and correlation based on qualified working accountants, suggest that continuously working for more than 10 years may dampen psychopathic tendencies, see below:</w:t>
      </w:r>
    </w:p>
    <w:tbl>
      <w:tblPr>
        <w:tblStyle w:val="TableGrid1"/>
        <w:tblW w:w="0" w:type="auto"/>
        <w:tblLook w:val="04A0" w:firstRow="1" w:lastRow="0" w:firstColumn="1" w:lastColumn="0" w:noHBand="0" w:noVBand="1"/>
      </w:tblPr>
      <w:tblGrid>
        <w:gridCol w:w="7933"/>
        <w:gridCol w:w="1083"/>
      </w:tblGrid>
      <w:tr w:rsidR="007C27A1" w:rsidRPr="007C27A1" w14:paraId="5FE2AE39" w14:textId="77777777" w:rsidTr="001D4222">
        <w:tc>
          <w:tcPr>
            <w:tcW w:w="7933" w:type="dxa"/>
          </w:tcPr>
          <w:p w14:paraId="2C2D64D3" w14:textId="77777777" w:rsidR="007C27A1" w:rsidRPr="007C27A1" w:rsidRDefault="007C27A1" w:rsidP="007C27A1">
            <w:pPr>
              <w:spacing w:line="480" w:lineRule="auto"/>
              <w:rPr>
                <w:rFonts w:ascii="Arial" w:hAnsi="Arial" w:cs="Arial"/>
                <w:color w:val="0D0D0D" w:themeColor="text1" w:themeTint="F2"/>
              </w:rPr>
            </w:pPr>
            <w:r w:rsidRPr="007C27A1">
              <w:rPr>
                <w:rFonts w:ascii="Arial" w:hAnsi="Arial" w:cs="Arial"/>
                <w:b/>
                <w:bCs/>
                <w:color w:val="0D0D0D" w:themeColor="text1" w:themeTint="F2"/>
              </w:rPr>
              <w:t>The correlation between PSYCOPATHY X1 – X4</w:t>
            </w:r>
          </w:p>
        </w:tc>
        <w:tc>
          <w:tcPr>
            <w:tcW w:w="1083" w:type="dxa"/>
          </w:tcPr>
          <w:p w14:paraId="6481BAA8" w14:textId="77777777" w:rsidR="007C27A1" w:rsidRPr="007C27A1" w:rsidRDefault="007C27A1" w:rsidP="007C27A1">
            <w:pPr>
              <w:spacing w:line="480" w:lineRule="auto"/>
              <w:rPr>
                <w:rFonts w:ascii="Arial" w:hAnsi="Arial" w:cs="Arial"/>
                <w:b/>
                <w:bCs/>
                <w:color w:val="0D0D0D" w:themeColor="text1" w:themeTint="F2"/>
              </w:rPr>
            </w:pPr>
            <w:r w:rsidRPr="007C27A1">
              <w:rPr>
                <w:rFonts w:ascii="Arial" w:hAnsi="Arial" w:cs="Arial"/>
                <w:b/>
                <w:bCs/>
                <w:color w:val="0D0D0D" w:themeColor="text1" w:themeTint="F2"/>
              </w:rPr>
              <w:t>X1 – X4</w:t>
            </w:r>
          </w:p>
        </w:tc>
      </w:tr>
      <w:tr w:rsidR="007C27A1" w:rsidRPr="007C27A1" w14:paraId="5CCAB9BE" w14:textId="77777777" w:rsidTr="001D4222">
        <w:tc>
          <w:tcPr>
            <w:tcW w:w="7933" w:type="dxa"/>
          </w:tcPr>
          <w:p w14:paraId="1642AFD4" w14:textId="77777777" w:rsidR="007C27A1" w:rsidRPr="007C27A1" w:rsidRDefault="007C27A1" w:rsidP="007C27A1">
            <w:pPr>
              <w:spacing w:line="480" w:lineRule="auto"/>
              <w:rPr>
                <w:rFonts w:ascii="Arial" w:hAnsi="Arial" w:cs="Arial"/>
                <w:color w:val="0D0D0D" w:themeColor="text1" w:themeTint="F2"/>
              </w:rPr>
            </w:pPr>
            <w:r w:rsidRPr="007C27A1">
              <w:rPr>
                <w:rFonts w:ascii="Arial" w:hAnsi="Arial" w:cs="Arial"/>
                <w:color w:val="0D0D0D" w:themeColor="text1" w:themeTint="F2"/>
              </w:rPr>
              <w:t>The correlation between PSYCOPATHY and Mean Disapproval is:</w:t>
            </w:r>
          </w:p>
        </w:tc>
        <w:tc>
          <w:tcPr>
            <w:tcW w:w="1083" w:type="dxa"/>
          </w:tcPr>
          <w:p w14:paraId="176019CE" w14:textId="77777777" w:rsidR="007C27A1" w:rsidRPr="007C27A1" w:rsidRDefault="007C27A1" w:rsidP="007C27A1">
            <w:pPr>
              <w:spacing w:line="480" w:lineRule="auto"/>
              <w:jc w:val="right"/>
              <w:rPr>
                <w:rFonts w:ascii="Arial" w:hAnsi="Arial" w:cs="Arial"/>
                <w:color w:val="0D0D0D" w:themeColor="text1" w:themeTint="F2"/>
              </w:rPr>
            </w:pPr>
            <w:r w:rsidRPr="007C27A1">
              <w:rPr>
                <w:rFonts w:ascii="Arial" w:hAnsi="Arial" w:cs="Arial"/>
                <w:color w:val="0D0D0D" w:themeColor="text1" w:themeTint="F2"/>
              </w:rPr>
              <w:t>-0.17</w:t>
            </w:r>
          </w:p>
        </w:tc>
      </w:tr>
      <w:tr w:rsidR="007C27A1" w:rsidRPr="007C27A1" w14:paraId="4B1E120B" w14:textId="77777777" w:rsidTr="001D4222">
        <w:tc>
          <w:tcPr>
            <w:tcW w:w="7933" w:type="dxa"/>
          </w:tcPr>
          <w:p w14:paraId="684499EB" w14:textId="77777777" w:rsidR="007C27A1" w:rsidRPr="007C27A1" w:rsidRDefault="007C27A1" w:rsidP="007C27A1">
            <w:pPr>
              <w:spacing w:line="480" w:lineRule="auto"/>
              <w:rPr>
                <w:rFonts w:ascii="Arial" w:hAnsi="Arial" w:cs="Arial"/>
                <w:color w:val="0D0D0D" w:themeColor="text1" w:themeTint="F2"/>
              </w:rPr>
            </w:pPr>
            <w:r w:rsidRPr="007C27A1">
              <w:rPr>
                <w:rFonts w:ascii="Arial" w:hAnsi="Arial" w:cs="Arial"/>
                <w:color w:val="0D0D0D" w:themeColor="text1" w:themeTint="F2"/>
              </w:rPr>
              <w:t>The correlation between PSYCOPATHY and Culture is:</w:t>
            </w:r>
          </w:p>
        </w:tc>
        <w:tc>
          <w:tcPr>
            <w:tcW w:w="1083" w:type="dxa"/>
          </w:tcPr>
          <w:p w14:paraId="2AD1BBCB" w14:textId="77777777" w:rsidR="007C27A1" w:rsidRPr="007C27A1" w:rsidRDefault="007C27A1" w:rsidP="007C27A1">
            <w:pPr>
              <w:spacing w:line="480" w:lineRule="auto"/>
              <w:jc w:val="right"/>
              <w:rPr>
                <w:rFonts w:ascii="Arial" w:hAnsi="Arial" w:cs="Arial"/>
                <w:color w:val="0D0D0D" w:themeColor="text1" w:themeTint="F2"/>
              </w:rPr>
            </w:pPr>
            <w:r w:rsidRPr="007C27A1">
              <w:rPr>
                <w:rFonts w:ascii="Arial" w:hAnsi="Arial" w:cs="Arial"/>
                <w:color w:val="0D0D0D" w:themeColor="text1" w:themeTint="F2"/>
              </w:rPr>
              <w:t>0.13</w:t>
            </w:r>
          </w:p>
        </w:tc>
      </w:tr>
      <w:tr w:rsidR="007C27A1" w:rsidRPr="007C27A1" w14:paraId="560F050E" w14:textId="77777777" w:rsidTr="001D4222">
        <w:tc>
          <w:tcPr>
            <w:tcW w:w="7933" w:type="dxa"/>
          </w:tcPr>
          <w:p w14:paraId="5BA70BC8" w14:textId="77777777" w:rsidR="007C27A1" w:rsidRPr="007C27A1" w:rsidRDefault="007C27A1" w:rsidP="007C27A1">
            <w:pPr>
              <w:spacing w:line="480" w:lineRule="auto"/>
              <w:rPr>
                <w:rFonts w:ascii="Arial" w:hAnsi="Arial" w:cs="Arial"/>
                <w:color w:val="0D0D0D" w:themeColor="text1" w:themeTint="F2"/>
              </w:rPr>
            </w:pPr>
            <w:r w:rsidRPr="007C27A1">
              <w:rPr>
                <w:rFonts w:ascii="Arial" w:hAnsi="Arial" w:cs="Arial"/>
                <w:color w:val="0D0D0D" w:themeColor="text1" w:themeTint="F2"/>
              </w:rPr>
              <w:t>The correlation between PSYCOPATHY and Gender is:</w:t>
            </w:r>
          </w:p>
        </w:tc>
        <w:tc>
          <w:tcPr>
            <w:tcW w:w="1083" w:type="dxa"/>
          </w:tcPr>
          <w:p w14:paraId="327BE50D" w14:textId="77777777" w:rsidR="007C27A1" w:rsidRPr="007C27A1" w:rsidRDefault="007C27A1" w:rsidP="007C27A1">
            <w:pPr>
              <w:spacing w:line="480" w:lineRule="auto"/>
              <w:jc w:val="right"/>
              <w:rPr>
                <w:rFonts w:ascii="Arial" w:hAnsi="Arial" w:cs="Arial"/>
                <w:color w:val="0D0D0D" w:themeColor="text1" w:themeTint="F2"/>
              </w:rPr>
            </w:pPr>
            <w:r w:rsidRPr="007C27A1">
              <w:rPr>
                <w:rFonts w:ascii="Arial" w:hAnsi="Arial" w:cs="Arial"/>
                <w:color w:val="0D0D0D" w:themeColor="text1" w:themeTint="F2"/>
              </w:rPr>
              <w:t>-0.01</w:t>
            </w:r>
          </w:p>
        </w:tc>
      </w:tr>
      <w:tr w:rsidR="007C27A1" w:rsidRPr="007C27A1" w14:paraId="421003B1" w14:textId="77777777" w:rsidTr="001D4222">
        <w:tc>
          <w:tcPr>
            <w:tcW w:w="7933" w:type="dxa"/>
          </w:tcPr>
          <w:p w14:paraId="1941C20E" w14:textId="77777777" w:rsidR="007C27A1" w:rsidRPr="007C27A1" w:rsidRDefault="007C27A1" w:rsidP="007C27A1">
            <w:pPr>
              <w:spacing w:line="480" w:lineRule="auto"/>
              <w:rPr>
                <w:rFonts w:ascii="Arial" w:hAnsi="Arial" w:cs="Arial"/>
                <w:b/>
                <w:bCs/>
                <w:color w:val="0D0D0D" w:themeColor="text1" w:themeTint="F2"/>
              </w:rPr>
            </w:pPr>
            <w:r w:rsidRPr="007C27A1">
              <w:rPr>
                <w:rFonts w:ascii="Arial" w:hAnsi="Arial" w:cs="Arial"/>
                <w:b/>
                <w:bCs/>
                <w:color w:val="0D0D0D" w:themeColor="text1" w:themeTint="F2"/>
              </w:rPr>
              <w:t>The correlation between PSYCOPATHY and Professional Experience is:</w:t>
            </w:r>
          </w:p>
        </w:tc>
        <w:tc>
          <w:tcPr>
            <w:tcW w:w="1083" w:type="dxa"/>
          </w:tcPr>
          <w:p w14:paraId="0ABE5002" w14:textId="77777777" w:rsidR="007C27A1" w:rsidRPr="007C27A1" w:rsidRDefault="007C27A1" w:rsidP="007C27A1">
            <w:pPr>
              <w:spacing w:line="480" w:lineRule="auto"/>
              <w:jc w:val="right"/>
              <w:rPr>
                <w:rFonts w:ascii="Arial" w:hAnsi="Arial" w:cs="Arial"/>
                <w:b/>
                <w:bCs/>
                <w:color w:val="0D0D0D" w:themeColor="text1" w:themeTint="F2"/>
              </w:rPr>
            </w:pPr>
            <w:r w:rsidRPr="007C27A1">
              <w:rPr>
                <w:rFonts w:ascii="Arial" w:hAnsi="Arial" w:cs="Arial"/>
                <w:b/>
                <w:bCs/>
                <w:color w:val="0D0D0D" w:themeColor="text1" w:themeTint="F2"/>
              </w:rPr>
              <w:t>-0.47</w:t>
            </w:r>
          </w:p>
        </w:tc>
      </w:tr>
    </w:tbl>
    <w:p w14:paraId="7B6A6228" w14:textId="77777777" w:rsidR="007C27A1" w:rsidRPr="007C27A1" w:rsidRDefault="007C27A1" w:rsidP="007C27A1">
      <w:pPr>
        <w:spacing w:line="480" w:lineRule="auto"/>
        <w:jc w:val="both"/>
        <w:rPr>
          <w:rFonts w:ascii="Arial" w:eastAsiaTheme="minorHAnsi" w:hAnsi="Arial" w:cs="Arial"/>
          <w:color w:val="0D0D0D" w:themeColor="text1" w:themeTint="F2"/>
          <w:kern w:val="0"/>
          <w:lang w:eastAsia="en-US"/>
          <w14:ligatures w14:val="none"/>
        </w:rPr>
      </w:pPr>
    </w:p>
    <w:p w14:paraId="3B4495F6" w14:textId="77777777" w:rsidR="007C27A1" w:rsidRPr="007C27A1" w:rsidRDefault="007C27A1" w:rsidP="007C27A1">
      <w:pPr>
        <w:spacing w:line="480" w:lineRule="auto"/>
        <w:jc w:val="both"/>
        <w:rPr>
          <w:rFonts w:ascii="Arial" w:eastAsiaTheme="minorHAnsi" w:hAnsi="Arial" w:cs="Arial"/>
          <w:color w:val="0D0D0D" w:themeColor="text1" w:themeTint="F2"/>
          <w:kern w:val="0"/>
          <w:lang w:eastAsia="en-US"/>
          <w14:ligatures w14:val="none"/>
        </w:rPr>
      </w:pPr>
      <w:r w:rsidRPr="007C27A1">
        <w:rPr>
          <w:rFonts w:ascii="Arial" w:eastAsiaTheme="minorHAnsi" w:hAnsi="Arial" w:cs="Arial"/>
          <w:color w:val="0D0D0D" w:themeColor="text1" w:themeTint="F2"/>
          <w:kern w:val="0"/>
          <w:lang w:eastAsia="en-US"/>
          <w14:ligatures w14:val="none"/>
        </w:rPr>
        <w:t xml:space="preserve">The best predictor of psychopathy is professional experience of more than ten years, followed by culture, then mean disapproval and finally gender has a minor impact. </w:t>
      </w:r>
    </w:p>
    <w:p w14:paraId="5139DAE7" w14:textId="77777777" w:rsidR="007C27A1" w:rsidRPr="007C27A1" w:rsidRDefault="007C27A1" w:rsidP="007C27A1">
      <w:pPr>
        <w:spacing w:before="100" w:beforeAutospacing="1" w:after="100" w:afterAutospacing="1" w:line="480" w:lineRule="auto"/>
        <w:jc w:val="both"/>
        <w:rPr>
          <w:rFonts w:ascii="Arial" w:eastAsiaTheme="minorHAnsi" w:hAnsi="Arial" w:cs="Arial"/>
          <w:color w:val="0D0D0D" w:themeColor="text1" w:themeTint="F2"/>
          <w:kern w:val="0"/>
          <w:lang w:eastAsia="en-US"/>
          <w14:ligatures w14:val="none"/>
        </w:rPr>
      </w:pPr>
      <w:r w:rsidRPr="007C27A1">
        <w:rPr>
          <w:rFonts w:ascii="Arial" w:eastAsiaTheme="minorHAnsi" w:hAnsi="Arial" w:cs="Arial"/>
          <w:color w:val="0D0D0D" w:themeColor="text1" w:themeTint="F2"/>
          <w:kern w:val="0"/>
          <w:lang w:eastAsia="en-US"/>
          <w14:ligatures w14:val="none"/>
        </w:rPr>
        <w:t xml:space="preserve">Overall, the Multiple Regression for model is 0.51, which </w:t>
      </w:r>
      <w:r w:rsidRPr="007C27A1">
        <w:rPr>
          <w:rFonts w:ascii="Arial" w:eastAsia="Times New Roman" w:hAnsi="Arial" w:cs="Arial"/>
          <w:color w:val="0D0D0D" w:themeColor="text1" w:themeTint="F2"/>
          <w:kern w:val="0"/>
          <w:lang w:eastAsia="en-GB"/>
          <w14:ligatures w14:val="none"/>
        </w:rPr>
        <w:t>indicates that 51% of the variability in the dependent variables (X1-X4) can be explained by the model and X4 or professional experience of more than 10 years is the best explanatory variable of psychopathy. Moreover, neither culture or gender are significant explanatory variables of Corporate Psychopath Accountants, suggesting that they are born psychopathic, and they may use the corporate environment to advance their career.</w:t>
      </w:r>
    </w:p>
    <w:p w14:paraId="338FB645" w14:textId="77777777" w:rsidR="007C27A1" w:rsidRPr="007C27A1" w:rsidRDefault="007C27A1" w:rsidP="007C27A1">
      <w:pPr>
        <w:pBdr>
          <w:top w:val="single" w:sz="4" w:space="1" w:color="auto"/>
          <w:left w:val="single" w:sz="4" w:space="4" w:color="auto"/>
          <w:bottom w:val="single" w:sz="4" w:space="1" w:color="auto"/>
          <w:right w:val="single" w:sz="4" w:space="4" w:color="auto"/>
        </w:pBdr>
        <w:spacing w:before="100" w:beforeAutospacing="1" w:after="100" w:afterAutospacing="1" w:line="480" w:lineRule="auto"/>
        <w:jc w:val="both"/>
        <w:rPr>
          <w:rFonts w:ascii="Arial" w:eastAsia="Times New Roman" w:hAnsi="Arial" w:cs="Arial"/>
          <w:b/>
          <w:bCs/>
          <w:color w:val="0D0D0D" w:themeColor="text1" w:themeTint="F2"/>
          <w:kern w:val="0"/>
          <w:lang w:eastAsia="en-GB"/>
          <w14:ligatures w14:val="none"/>
        </w:rPr>
      </w:pPr>
      <w:r w:rsidRPr="007C27A1">
        <w:rPr>
          <w:rFonts w:ascii="Arial" w:eastAsia="Times New Roman" w:hAnsi="Arial" w:cs="Arial"/>
          <w:b/>
          <w:bCs/>
          <w:color w:val="0D0D0D" w:themeColor="text1" w:themeTint="F2"/>
          <w:kern w:val="0"/>
          <w:lang w:eastAsia="en-GB"/>
          <w14:ligatures w14:val="none"/>
        </w:rPr>
        <w:t>SRQ3:  How highly do the LSRP scores correlate with the approval of dubious or explicitly fraudulent practices?</w:t>
      </w:r>
    </w:p>
    <w:p w14:paraId="43A223EF" w14:textId="4EB6EF68" w:rsidR="007C27A1" w:rsidRPr="007C27A1" w:rsidRDefault="007C27A1" w:rsidP="00416D77">
      <w:pPr>
        <w:spacing w:line="480" w:lineRule="auto"/>
        <w:jc w:val="both"/>
        <w:rPr>
          <w:rFonts w:ascii="Arial" w:eastAsiaTheme="minorHAnsi" w:hAnsi="Arial" w:cs="Arial"/>
          <w:color w:val="0D0D0D" w:themeColor="text1" w:themeTint="F2"/>
          <w:kern w:val="0"/>
          <w:lang w:eastAsia="en-US"/>
          <w14:ligatures w14:val="none"/>
        </w:rPr>
      </w:pPr>
      <w:r w:rsidRPr="007C27A1">
        <w:rPr>
          <w:rFonts w:ascii="Arial" w:eastAsia="Times New Roman" w:hAnsi="Arial" w:cs="Arial"/>
          <w:color w:val="0D0D0D" w:themeColor="text1" w:themeTint="F2"/>
          <w:kern w:val="0"/>
          <w:lang w:eastAsia="en-GB"/>
          <w14:ligatures w14:val="none"/>
        </w:rPr>
        <w:lastRenderedPageBreak/>
        <w:t xml:space="preserve">As per sections </w:t>
      </w:r>
      <w:r w:rsidRPr="007C27A1">
        <w:rPr>
          <w:rFonts w:ascii="Arial" w:eastAsia="Times New Roman" w:hAnsi="Arial" w:cs="Arial"/>
          <w:b/>
          <w:bCs/>
          <w:color w:val="0D0D0D" w:themeColor="text1" w:themeTint="F2"/>
          <w:kern w:val="0"/>
          <w:lang w:eastAsia="en-GB"/>
          <w14:ligatures w14:val="none"/>
        </w:rPr>
        <w:t xml:space="preserve">4.2.2 </w:t>
      </w:r>
      <w:r w:rsidRPr="007C27A1">
        <w:rPr>
          <w:rFonts w:ascii="Arial" w:eastAsia="Times New Roman" w:hAnsi="Arial" w:cs="Arial"/>
          <w:color w:val="0D0D0D" w:themeColor="text1" w:themeTint="F2"/>
          <w:kern w:val="0"/>
          <w:lang w:eastAsia="en-GB"/>
          <w14:ligatures w14:val="none"/>
        </w:rPr>
        <w:t>t</w:t>
      </w:r>
      <w:r w:rsidRPr="007C27A1">
        <w:rPr>
          <w:rFonts w:ascii="Arial" w:eastAsiaTheme="minorHAnsi" w:hAnsi="Arial" w:cs="Arial"/>
          <w:color w:val="0D0D0D" w:themeColor="text1" w:themeTint="F2"/>
          <w:kern w:val="0"/>
          <w:lang w:eastAsia="en-US"/>
          <w14:ligatures w14:val="none"/>
        </w:rPr>
        <w:t>he results of the sample of 50 L6 students were as follows:</w:t>
      </w:r>
    </w:p>
    <w:tbl>
      <w:tblPr>
        <w:tblStyle w:val="TableGrid1"/>
        <w:tblW w:w="0" w:type="auto"/>
        <w:tblLook w:val="04A0" w:firstRow="1" w:lastRow="0" w:firstColumn="1" w:lastColumn="0" w:noHBand="0" w:noVBand="1"/>
      </w:tblPr>
      <w:tblGrid>
        <w:gridCol w:w="3093"/>
        <w:gridCol w:w="3273"/>
        <w:gridCol w:w="2650"/>
      </w:tblGrid>
      <w:tr w:rsidR="007C27A1" w:rsidRPr="007C27A1" w14:paraId="5455C67A" w14:textId="77777777" w:rsidTr="001D4222">
        <w:tc>
          <w:tcPr>
            <w:tcW w:w="3093" w:type="dxa"/>
          </w:tcPr>
          <w:p w14:paraId="3E496E40" w14:textId="77777777" w:rsidR="007C27A1" w:rsidRPr="007C27A1" w:rsidRDefault="007C27A1" w:rsidP="007C27A1">
            <w:pPr>
              <w:spacing w:line="259" w:lineRule="auto"/>
              <w:rPr>
                <w:rFonts w:ascii="Arial" w:hAnsi="Arial" w:cs="Arial"/>
                <w:b/>
                <w:bCs/>
                <w:color w:val="0D0D0D" w:themeColor="text1" w:themeTint="F2"/>
              </w:rPr>
            </w:pPr>
            <w:r w:rsidRPr="007C27A1">
              <w:rPr>
                <w:rFonts w:ascii="Arial" w:hAnsi="Arial" w:cs="Arial"/>
                <w:b/>
                <w:bCs/>
                <w:color w:val="0D0D0D" w:themeColor="text1" w:themeTint="F2"/>
              </w:rPr>
              <w:t>Psychopathy Score</w:t>
            </w:r>
          </w:p>
          <w:p w14:paraId="221772B4" w14:textId="77777777" w:rsidR="007C27A1" w:rsidRPr="007C27A1" w:rsidRDefault="007C27A1" w:rsidP="007C27A1">
            <w:pPr>
              <w:spacing w:line="259" w:lineRule="auto"/>
              <w:rPr>
                <w:rFonts w:ascii="Arial" w:hAnsi="Arial" w:cs="Arial"/>
                <w:b/>
                <w:bCs/>
                <w:color w:val="0D0D0D" w:themeColor="text1" w:themeTint="F2"/>
              </w:rPr>
            </w:pPr>
          </w:p>
        </w:tc>
        <w:tc>
          <w:tcPr>
            <w:tcW w:w="3273" w:type="dxa"/>
          </w:tcPr>
          <w:p w14:paraId="78983AFB" w14:textId="77777777" w:rsidR="007C27A1" w:rsidRPr="007C27A1" w:rsidRDefault="007C27A1" w:rsidP="007C27A1">
            <w:pPr>
              <w:spacing w:line="259" w:lineRule="auto"/>
              <w:rPr>
                <w:rFonts w:ascii="Arial" w:hAnsi="Arial" w:cs="Arial"/>
                <w:b/>
                <w:bCs/>
                <w:color w:val="0D0D0D" w:themeColor="text1" w:themeTint="F2"/>
              </w:rPr>
            </w:pPr>
            <w:r w:rsidRPr="007C27A1">
              <w:rPr>
                <w:rFonts w:ascii="Arial" w:hAnsi="Arial" w:cs="Arial"/>
                <w:b/>
                <w:bCs/>
                <w:color w:val="0D0D0D" w:themeColor="text1" w:themeTint="F2"/>
              </w:rPr>
              <w:t>Participants</w:t>
            </w:r>
          </w:p>
        </w:tc>
        <w:tc>
          <w:tcPr>
            <w:tcW w:w="2650" w:type="dxa"/>
          </w:tcPr>
          <w:p w14:paraId="031B95FD" w14:textId="77777777" w:rsidR="007C27A1" w:rsidRPr="007C27A1" w:rsidRDefault="007C27A1" w:rsidP="007C27A1">
            <w:pPr>
              <w:spacing w:line="259" w:lineRule="auto"/>
              <w:rPr>
                <w:rFonts w:ascii="Arial" w:hAnsi="Arial" w:cs="Arial"/>
                <w:b/>
                <w:bCs/>
                <w:color w:val="0D0D0D" w:themeColor="text1" w:themeTint="F2"/>
              </w:rPr>
            </w:pPr>
            <w:r w:rsidRPr="007C27A1">
              <w:rPr>
                <w:rFonts w:ascii="Arial" w:hAnsi="Arial" w:cs="Arial"/>
                <w:b/>
                <w:bCs/>
                <w:color w:val="0D0D0D" w:themeColor="text1" w:themeTint="F2"/>
              </w:rPr>
              <w:t>%</w:t>
            </w:r>
          </w:p>
        </w:tc>
      </w:tr>
      <w:tr w:rsidR="007C27A1" w:rsidRPr="007C27A1" w14:paraId="728052F3" w14:textId="77777777" w:rsidTr="001D4222">
        <w:tc>
          <w:tcPr>
            <w:tcW w:w="3093" w:type="dxa"/>
          </w:tcPr>
          <w:p w14:paraId="79AC1FAB" w14:textId="77777777" w:rsidR="007C27A1" w:rsidRPr="007C27A1" w:rsidRDefault="007C27A1" w:rsidP="007C27A1">
            <w:pPr>
              <w:spacing w:line="259" w:lineRule="auto"/>
              <w:rPr>
                <w:rFonts w:ascii="Arial" w:eastAsia="Times New Roman" w:hAnsi="Arial" w:cs="Arial"/>
                <w:color w:val="0D0D0D" w:themeColor="text1" w:themeTint="F2"/>
                <w:lang w:eastAsia="en-GB"/>
              </w:rPr>
            </w:pPr>
            <w:r w:rsidRPr="007C27A1">
              <w:rPr>
                <w:rFonts w:ascii="Arial" w:eastAsia="Times New Roman" w:hAnsi="Arial" w:cs="Arial"/>
                <w:color w:val="0D0D0D" w:themeColor="text1" w:themeTint="F2"/>
                <w:lang w:eastAsia="en-GB"/>
              </w:rPr>
              <w:t>0-48</w:t>
            </w:r>
          </w:p>
          <w:p w14:paraId="5B47E2CC" w14:textId="77777777" w:rsidR="007C27A1" w:rsidRPr="007C27A1" w:rsidRDefault="007C27A1" w:rsidP="007C27A1">
            <w:pPr>
              <w:spacing w:line="259" w:lineRule="auto"/>
              <w:rPr>
                <w:rFonts w:ascii="Arial" w:hAnsi="Arial" w:cs="Arial"/>
                <w:color w:val="0D0D0D" w:themeColor="text1" w:themeTint="F2"/>
              </w:rPr>
            </w:pPr>
          </w:p>
        </w:tc>
        <w:tc>
          <w:tcPr>
            <w:tcW w:w="3273" w:type="dxa"/>
          </w:tcPr>
          <w:p w14:paraId="6FD499BA" w14:textId="77777777" w:rsidR="007C27A1" w:rsidRPr="007C27A1" w:rsidRDefault="007C27A1" w:rsidP="007C27A1">
            <w:pPr>
              <w:spacing w:line="259" w:lineRule="auto"/>
              <w:rPr>
                <w:rFonts w:ascii="Arial" w:hAnsi="Arial" w:cs="Arial"/>
                <w:color w:val="0D0D0D" w:themeColor="text1" w:themeTint="F2"/>
              </w:rPr>
            </w:pPr>
            <w:r w:rsidRPr="007C27A1">
              <w:rPr>
                <w:rFonts w:ascii="Arial" w:hAnsi="Arial" w:cs="Arial"/>
                <w:color w:val="0D0D0D" w:themeColor="text1" w:themeTint="F2"/>
              </w:rPr>
              <w:t>29</w:t>
            </w:r>
          </w:p>
        </w:tc>
        <w:tc>
          <w:tcPr>
            <w:tcW w:w="2650" w:type="dxa"/>
          </w:tcPr>
          <w:p w14:paraId="4A1A6ACF" w14:textId="77777777" w:rsidR="007C27A1" w:rsidRPr="007C27A1" w:rsidRDefault="007C27A1" w:rsidP="007C27A1">
            <w:pPr>
              <w:spacing w:line="259" w:lineRule="auto"/>
              <w:rPr>
                <w:rFonts w:ascii="Arial" w:hAnsi="Arial" w:cs="Arial"/>
                <w:color w:val="0D0D0D" w:themeColor="text1" w:themeTint="F2"/>
              </w:rPr>
            </w:pPr>
            <w:r w:rsidRPr="007C27A1">
              <w:rPr>
                <w:rFonts w:ascii="Arial" w:hAnsi="Arial" w:cs="Arial"/>
                <w:color w:val="0D0D0D" w:themeColor="text1" w:themeTint="F2"/>
              </w:rPr>
              <w:t>58</w:t>
            </w:r>
          </w:p>
        </w:tc>
      </w:tr>
      <w:tr w:rsidR="007C27A1" w:rsidRPr="007C27A1" w14:paraId="7FC4A141" w14:textId="77777777" w:rsidTr="001D4222">
        <w:tc>
          <w:tcPr>
            <w:tcW w:w="3093" w:type="dxa"/>
          </w:tcPr>
          <w:p w14:paraId="3FFB269E" w14:textId="77777777" w:rsidR="007C27A1" w:rsidRPr="007C27A1" w:rsidRDefault="007C27A1" w:rsidP="007C27A1">
            <w:pPr>
              <w:spacing w:line="259" w:lineRule="auto"/>
              <w:rPr>
                <w:rFonts w:ascii="Arial" w:eastAsia="Times New Roman" w:hAnsi="Arial" w:cs="Arial"/>
                <w:color w:val="0D0D0D" w:themeColor="text1" w:themeTint="F2"/>
                <w:lang w:eastAsia="en-GB"/>
              </w:rPr>
            </w:pPr>
            <w:r w:rsidRPr="007C27A1">
              <w:rPr>
                <w:rFonts w:ascii="Arial" w:eastAsia="Times New Roman" w:hAnsi="Arial" w:cs="Arial"/>
                <w:color w:val="0D0D0D" w:themeColor="text1" w:themeTint="F2"/>
                <w:lang w:eastAsia="en-GB"/>
              </w:rPr>
              <w:t>49-57</w:t>
            </w:r>
          </w:p>
          <w:p w14:paraId="21055C6F" w14:textId="77777777" w:rsidR="007C27A1" w:rsidRPr="007C27A1" w:rsidRDefault="007C27A1" w:rsidP="007C27A1">
            <w:pPr>
              <w:spacing w:line="259" w:lineRule="auto"/>
              <w:rPr>
                <w:rFonts w:ascii="Arial" w:hAnsi="Arial" w:cs="Arial"/>
                <w:color w:val="0D0D0D" w:themeColor="text1" w:themeTint="F2"/>
              </w:rPr>
            </w:pPr>
          </w:p>
        </w:tc>
        <w:tc>
          <w:tcPr>
            <w:tcW w:w="3273" w:type="dxa"/>
          </w:tcPr>
          <w:p w14:paraId="65B7CA6A" w14:textId="77777777" w:rsidR="007C27A1" w:rsidRPr="007C27A1" w:rsidRDefault="007C27A1" w:rsidP="007C27A1">
            <w:pPr>
              <w:spacing w:line="259" w:lineRule="auto"/>
              <w:rPr>
                <w:rFonts w:ascii="Arial" w:hAnsi="Arial" w:cs="Arial"/>
                <w:color w:val="0D0D0D" w:themeColor="text1" w:themeTint="F2"/>
              </w:rPr>
            </w:pPr>
            <w:r w:rsidRPr="007C27A1">
              <w:rPr>
                <w:rFonts w:ascii="Arial" w:hAnsi="Arial" w:cs="Arial"/>
                <w:color w:val="0D0D0D" w:themeColor="text1" w:themeTint="F2"/>
              </w:rPr>
              <w:t>14</w:t>
            </w:r>
          </w:p>
        </w:tc>
        <w:tc>
          <w:tcPr>
            <w:tcW w:w="2650" w:type="dxa"/>
          </w:tcPr>
          <w:p w14:paraId="56DD3845" w14:textId="77777777" w:rsidR="007C27A1" w:rsidRPr="007C27A1" w:rsidRDefault="007C27A1" w:rsidP="007C27A1">
            <w:pPr>
              <w:spacing w:line="259" w:lineRule="auto"/>
              <w:rPr>
                <w:rFonts w:ascii="Arial" w:hAnsi="Arial" w:cs="Arial"/>
                <w:color w:val="0D0D0D" w:themeColor="text1" w:themeTint="F2"/>
              </w:rPr>
            </w:pPr>
            <w:r w:rsidRPr="007C27A1">
              <w:rPr>
                <w:rFonts w:ascii="Arial" w:hAnsi="Arial" w:cs="Arial"/>
                <w:color w:val="0D0D0D" w:themeColor="text1" w:themeTint="F2"/>
              </w:rPr>
              <w:t>28</w:t>
            </w:r>
          </w:p>
        </w:tc>
      </w:tr>
      <w:tr w:rsidR="007C27A1" w:rsidRPr="007C27A1" w14:paraId="5DAE1452" w14:textId="77777777" w:rsidTr="001D4222">
        <w:tc>
          <w:tcPr>
            <w:tcW w:w="3093" w:type="dxa"/>
          </w:tcPr>
          <w:p w14:paraId="356B33EC" w14:textId="77777777" w:rsidR="007C27A1" w:rsidRPr="007C27A1" w:rsidRDefault="007C27A1" w:rsidP="007C27A1">
            <w:pPr>
              <w:spacing w:line="259" w:lineRule="auto"/>
              <w:rPr>
                <w:rFonts w:ascii="Arial" w:eastAsia="Times New Roman" w:hAnsi="Arial" w:cs="Arial"/>
                <w:color w:val="0D0D0D" w:themeColor="text1" w:themeTint="F2"/>
                <w:lang w:eastAsia="en-GB"/>
              </w:rPr>
            </w:pPr>
            <w:r w:rsidRPr="007C27A1">
              <w:rPr>
                <w:rFonts w:ascii="Arial" w:eastAsia="Times New Roman" w:hAnsi="Arial" w:cs="Arial"/>
                <w:color w:val="0D0D0D" w:themeColor="text1" w:themeTint="F2"/>
                <w:lang w:eastAsia="en-GB"/>
              </w:rPr>
              <w:t>≥58</w:t>
            </w:r>
          </w:p>
          <w:p w14:paraId="6CB3C191" w14:textId="77777777" w:rsidR="007C27A1" w:rsidRPr="007C27A1" w:rsidRDefault="007C27A1" w:rsidP="007C27A1">
            <w:pPr>
              <w:spacing w:line="259" w:lineRule="auto"/>
              <w:rPr>
                <w:rFonts w:ascii="Arial" w:hAnsi="Arial" w:cs="Arial"/>
                <w:color w:val="0D0D0D" w:themeColor="text1" w:themeTint="F2"/>
              </w:rPr>
            </w:pPr>
          </w:p>
        </w:tc>
        <w:tc>
          <w:tcPr>
            <w:tcW w:w="3273" w:type="dxa"/>
          </w:tcPr>
          <w:p w14:paraId="4715D9E7" w14:textId="77777777" w:rsidR="007C27A1" w:rsidRPr="007C27A1" w:rsidRDefault="007C27A1" w:rsidP="007C27A1">
            <w:pPr>
              <w:spacing w:line="259" w:lineRule="auto"/>
              <w:rPr>
                <w:rFonts w:ascii="Arial" w:hAnsi="Arial" w:cs="Arial"/>
                <w:color w:val="0D0D0D" w:themeColor="text1" w:themeTint="F2"/>
              </w:rPr>
            </w:pPr>
            <w:r w:rsidRPr="007C27A1">
              <w:rPr>
                <w:rFonts w:ascii="Arial" w:hAnsi="Arial" w:cs="Arial"/>
                <w:color w:val="0D0D0D" w:themeColor="text1" w:themeTint="F2"/>
              </w:rPr>
              <w:t>7</w:t>
            </w:r>
          </w:p>
        </w:tc>
        <w:tc>
          <w:tcPr>
            <w:tcW w:w="2650" w:type="dxa"/>
          </w:tcPr>
          <w:p w14:paraId="2C554112" w14:textId="77777777" w:rsidR="007C27A1" w:rsidRPr="007C27A1" w:rsidRDefault="007C27A1" w:rsidP="007C27A1">
            <w:pPr>
              <w:spacing w:line="259" w:lineRule="auto"/>
              <w:rPr>
                <w:rFonts w:ascii="Arial" w:hAnsi="Arial" w:cs="Arial"/>
                <w:color w:val="0D0D0D" w:themeColor="text1" w:themeTint="F2"/>
              </w:rPr>
            </w:pPr>
            <w:r w:rsidRPr="007C27A1">
              <w:rPr>
                <w:rFonts w:ascii="Arial" w:hAnsi="Arial" w:cs="Arial"/>
                <w:color w:val="0D0D0D" w:themeColor="text1" w:themeTint="F2"/>
              </w:rPr>
              <w:t>14</w:t>
            </w:r>
          </w:p>
        </w:tc>
      </w:tr>
      <w:tr w:rsidR="007C27A1" w:rsidRPr="007C27A1" w14:paraId="46AA0F18" w14:textId="77777777" w:rsidTr="001D4222">
        <w:tc>
          <w:tcPr>
            <w:tcW w:w="3093" w:type="dxa"/>
          </w:tcPr>
          <w:p w14:paraId="7A4E843F" w14:textId="77777777" w:rsidR="007C27A1" w:rsidRPr="007C27A1" w:rsidRDefault="007C27A1" w:rsidP="007C27A1">
            <w:pPr>
              <w:spacing w:line="259" w:lineRule="auto"/>
              <w:rPr>
                <w:rFonts w:ascii="Arial" w:eastAsia="Times New Roman" w:hAnsi="Arial" w:cs="Arial"/>
                <w:color w:val="0D0D0D" w:themeColor="text1" w:themeTint="F2"/>
                <w:lang w:eastAsia="en-GB"/>
              </w:rPr>
            </w:pPr>
            <w:r w:rsidRPr="007C27A1">
              <w:rPr>
                <w:rFonts w:ascii="Arial" w:eastAsia="Times New Roman" w:hAnsi="Arial" w:cs="Arial"/>
                <w:color w:val="0D0D0D" w:themeColor="text1" w:themeTint="F2"/>
                <w:lang w:eastAsia="en-GB"/>
              </w:rPr>
              <w:t>Total</w:t>
            </w:r>
          </w:p>
          <w:p w14:paraId="31346BC2" w14:textId="77777777" w:rsidR="007C27A1" w:rsidRPr="007C27A1" w:rsidRDefault="007C27A1" w:rsidP="007C27A1">
            <w:pPr>
              <w:spacing w:line="259" w:lineRule="auto"/>
              <w:rPr>
                <w:rFonts w:ascii="Arial" w:eastAsia="Times New Roman" w:hAnsi="Arial" w:cs="Arial"/>
                <w:color w:val="0D0D0D" w:themeColor="text1" w:themeTint="F2"/>
                <w:lang w:eastAsia="en-GB"/>
              </w:rPr>
            </w:pPr>
          </w:p>
        </w:tc>
        <w:tc>
          <w:tcPr>
            <w:tcW w:w="3273" w:type="dxa"/>
          </w:tcPr>
          <w:p w14:paraId="4316C984" w14:textId="77777777" w:rsidR="007C27A1" w:rsidRPr="007C27A1" w:rsidRDefault="007C27A1" w:rsidP="007C27A1">
            <w:pPr>
              <w:spacing w:line="259" w:lineRule="auto"/>
              <w:rPr>
                <w:rFonts w:ascii="Arial" w:hAnsi="Arial" w:cs="Arial"/>
                <w:color w:val="0D0D0D" w:themeColor="text1" w:themeTint="F2"/>
              </w:rPr>
            </w:pPr>
            <w:r w:rsidRPr="007C27A1">
              <w:rPr>
                <w:rFonts w:ascii="Arial" w:hAnsi="Arial" w:cs="Arial"/>
                <w:color w:val="0D0D0D" w:themeColor="text1" w:themeTint="F2"/>
              </w:rPr>
              <w:t>50</w:t>
            </w:r>
          </w:p>
        </w:tc>
        <w:tc>
          <w:tcPr>
            <w:tcW w:w="2650" w:type="dxa"/>
          </w:tcPr>
          <w:p w14:paraId="5C3DB733" w14:textId="77777777" w:rsidR="007C27A1" w:rsidRPr="007C27A1" w:rsidRDefault="007C27A1" w:rsidP="007C27A1">
            <w:pPr>
              <w:spacing w:line="259" w:lineRule="auto"/>
              <w:rPr>
                <w:rFonts w:ascii="Arial" w:hAnsi="Arial" w:cs="Arial"/>
                <w:color w:val="0D0D0D" w:themeColor="text1" w:themeTint="F2"/>
              </w:rPr>
            </w:pPr>
            <w:r w:rsidRPr="007C27A1">
              <w:rPr>
                <w:rFonts w:ascii="Arial" w:hAnsi="Arial" w:cs="Arial"/>
                <w:color w:val="0D0D0D" w:themeColor="text1" w:themeTint="F2"/>
              </w:rPr>
              <w:t>100</w:t>
            </w:r>
          </w:p>
        </w:tc>
      </w:tr>
    </w:tbl>
    <w:p w14:paraId="0511F752" w14:textId="77777777" w:rsidR="007C27A1" w:rsidRPr="007C27A1" w:rsidRDefault="007C27A1" w:rsidP="007C27A1">
      <w:pPr>
        <w:spacing w:line="480" w:lineRule="auto"/>
        <w:jc w:val="both"/>
        <w:rPr>
          <w:rFonts w:ascii="Arial" w:eastAsiaTheme="minorHAnsi" w:hAnsi="Arial" w:cs="Arial"/>
          <w:color w:val="0D0D0D" w:themeColor="text1" w:themeTint="F2"/>
          <w:kern w:val="0"/>
          <w:lang w:eastAsia="en-US"/>
          <w14:ligatures w14:val="none"/>
        </w:rPr>
      </w:pPr>
    </w:p>
    <w:p w14:paraId="1D49B1F9" w14:textId="77777777" w:rsidR="007C27A1" w:rsidRPr="007C27A1" w:rsidRDefault="007C27A1" w:rsidP="007C27A1">
      <w:pPr>
        <w:spacing w:line="480" w:lineRule="auto"/>
        <w:jc w:val="both"/>
        <w:rPr>
          <w:rFonts w:ascii="Arial" w:eastAsiaTheme="minorHAnsi" w:hAnsi="Arial" w:cs="Arial"/>
          <w:color w:val="0D0D0D" w:themeColor="text1" w:themeTint="F2"/>
          <w:kern w:val="0"/>
          <w:lang w:eastAsia="en-US"/>
          <w14:ligatures w14:val="none"/>
        </w:rPr>
      </w:pPr>
      <w:r w:rsidRPr="007C27A1">
        <w:rPr>
          <w:rFonts w:ascii="Arial" w:eastAsiaTheme="minorHAnsi" w:hAnsi="Arial" w:cs="Arial"/>
          <w:color w:val="0D0D0D" w:themeColor="text1" w:themeTint="F2"/>
          <w:kern w:val="0"/>
          <w:lang w:eastAsia="en-US"/>
          <w14:ligatures w14:val="none"/>
        </w:rPr>
        <w:t xml:space="preserve">In contrast the results of the sample of 57 professional, </w:t>
      </w:r>
      <w:r w:rsidRPr="007C27A1">
        <w:rPr>
          <w:rFonts w:ascii="Arial" w:eastAsiaTheme="minorHAnsi" w:hAnsi="Arial" w:cs="Arial"/>
          <w:b/>
          <w:bCs/>
          <w:color w:val="0D0D0D" w:themeColor="text1" w:themeTint="F2"/>
          <w:kern w:val="0"/>
          <w:lang w:eastAsia="en-US"/>
          <w14:ligatures w14:val="none"/>
        </w:rPr>
        <w:t>see 4.2.1</w:t>
      </w:r>
      <w:r w:rsidRPr="007C27A1">
        <w:rPr>
          <w:rFonts w:ascii="Arial" w:eastAsiaTheme="minorHAnsi" w:hAnsi="Arial" w:cs="Arial"/>
          <w:color w:val="0D0D0D" w:themeColor="text1" w:themeTint="F2"/>
          <w:kern w:val="0"/>
          <w:lang w:eastAsia="en-US"/>
          <w14:ligatures w14:val="none"/>
        </w:rPr>
        <w:t xml:space="preserve"> and working accountants were:</w:t>
      </w:r>
    </w:p>
    <w:tbl>
      <w:tblPr>
        <w:tblStyle w:val="TableGrid1"/>
        <w:tblW w:w="0" w:type="auto"/>
        <w:tblLook w:val="04A0" w:firstRow="1" w:lastRow="0" w:firstColumn="1" w:lastColumn="0" w:noHBand="0" w:noVBand="1"/>
      </w:tblPr>
      <w:tblGrid>
        <w:gridCol w:w="3093"/>
        <w:gridCol w:w="3273"/>
        <w:gridCol w:w="2650"/>
      </w:tblGrid>
      <w:tr w:rsidR="007C27A1" w:rsidRPr="007C27A1" w14:paraId="5E9787E4" w14:textId="77777777" w:rsidTr="001D4222">
        <w:tc>
          <w:tcPr>
            <w:tcW w:w="3093" w:type="dxa"/>
          </w:tcPr>
          <w:p w14:paraId="2F3D653D" w14:textId="77777777" w:rsidR="007C27A1" w:rsidRPr="007C27A1" w:rsidRDefault="007C27A1" w:rsidP="007C27A1">
            <w:pPr>
              <w:spacing w:line="259" w:lineRule="auto"/>
              <w:rPr>
                <w:rFonts w:ascii="Arial" w:hAnsi="Arial" w:cs="Arial"/>
                <w:b/>
                <w:bCs/>
                <w:color w:val="0D0D0D" w:themeColor="text1" w:themeTint="F2"/>
              </w:rPr>
            </w:pPr>
            <w:r w:rsidRPr="007C27A1">
              <w:rPr>
                <w:rFonts w:ascii="Arial" w:hAnsi="Arial" w:cs="Arial"/>
                <w:b/>
                <w:bCs/>
                <w:color w:val="0D0D0D" w:themeColor="text1" w:themeTint="F2"/>
              </w:rPr>
              <w:t>Psychopathy Score</w:t>
            </w:r>
          </w:p>
          <w:p w14:paraId="6161AF72" w14:textId="77777777" w:rsidR="007C27A1" w:rsidRPr="007C27A1" w:rsidRDefault="007C27A1" w:rsidP="007C27A1">
            <w:pPr>
              <w:spacing w:line="259" w:lineRule="auto"/>
              <w:rPr>
                <w:rFonts w:ascii="Arial" w:hAnsi="Arial" w:cs="Arial"/>
                <w:b/>
                <w:bCs/>
                <w:color w:val="0D0D0D" w:themeColor="text1" w:themeTint="F2"/>
              </w:rPr>
            </w:pPr>
          </w:p>
        </w:tc>
        <w:tc>
          <w:tcPr>
            <w:tcW w:w="3273" w:type="dxa"/>
          </w:tcPr>
          <w:p w14:paraId="7B94A3E4" w14:textId="77777777" w:rsidR="007C27A1" w:rsidRPr="007C27A1" w:rsidRDefault="007C27A1" w:rsidP="007C27A1">
            <w:pPr>
              <w:spacing w:line="259" w:lineRule="auto"/>
              <w:rPr>
                <w:rFonts w:ascii="Arial" w:hAnsi="Arial" w:cs="Arial"/>
                <w:b/>
                <w:bCs/>
                <w:color w:val="0D0D0D" w:themeColor="text1" w:themeTint="F2"/>
              </w:rPr>
            </w:pPr>
            <w:r w:rsidRPr="007C27A1">
              <w:rPr>
                <w:rFonts w:ascii="Arial" w:hAnsi="Arial" w:cs="Arial"/>
                <w:b/>
                <w:bCs/>
                <w:color w:val="0D0D0D" w:themeColor="text1" w:themeTint="F2"/>
              </w:rPr>
              <w:t>Participants</w:t>
            </w:r>
          </w:p>
        </w:tc>
        <w:tc>
          <w:tcPr>
            <w:tcW w:w="2650" w:type="dxa"/>
          </w:tcPr>
          <w:p w14:paraId="10606F39" w14:textId="77777777" w:rsidR="007C27A1" w:rsidRPr="007C27A1" w:rsidRDefault="007C27A1" w:rsidP="007C27A1">
            <w:pPr>
              <w:spacing w:line="259" w:lineRule="auto"/>
              <w:rPr>
                <w:rFonts w:ascii="Arial" w:hAnsi="Arial" w:cs="Arial"/>
                <w:b/>
                <w:bCs/>
                <w:color w:val="0D0D0D" w:themeColor="text1" w:themeTint="F2"/>
              </w:rPr>
            </w:pPr>
            <w:r w:rsidRPr="007C27A1">
              <w:rPr>
                <w:rFonts w:ascii="Arial" w:hAnsi="Arial" w:cs="Arial"/>
                <w:b/>
                <w:bCs/>
                <w:color w:val="0D0D0D" w:themeColor="text1" w:themeTint="F2"/>
              </w:rPr>
              <w:t>%</w:t>
            </w:r>
          </w:p>
        </w:tc>
      </w:tr>
      <w:tr w:rsidR="007C27A1" w:rsidRPr="007C27A1" w14:paraId="37FBE302" w14:textId="77777777" w:rsidTr="001D4222">
        <w:tc>
          <w:tcPr>
            <w:tcW w:w="3093" w:type="dxa"/>
          </w:tcPr>
          <w:p w14:paraId="764519C8" w14:textId="77777777" w:rsidR="007C27A1" w:rsidRPr="007C27A1" w:rsidRDefault="007C27A1" w:rsidP="007C27A1">
            <w:pPr>
              <w:spacing w:line="259" w:lineRule="auto"/>
              <w:rPr>
                <w:rFonts w:ascii="Arial" w:eastAsia="Times New Roman" w:hAnsi="Arial" w:cs="Arial"/>
                <w:color w:val="0D0D0D" w:themeColor="text1" w:themeTint="F2"/>
                <w:lang w:eastAsia="en-GB"/>
              </w:rPr>
            </w:pPr>
            <w:r w:rsidRPr="007C27A1">
              <w:rPr>
                <w:rFonts w:ascii="Arial" w:eastAsia="Times New Roman" w:hAnsi="Arial" w:cs="Arial"/>
                <w:color w:val="0D0D0D" w:themeColor="text1" w:themeTint="F2"/>
                <w:lang w:eastAsia="en-GB"/>
              </w:rPr>
              <w:t>0-48</w:t>
            </w:r>
          </w:p>
          <w:p w14:paraId="53FAF355" w14:textId="77777777" w:rsidR="007C27A1" w:rsidRPr="007C27A1" w:rsidRDefault="007C27A1" w:rsidP="007C27A1">
            <w:pPr>
              <w:spacing w:line="259" w:lineRule="auto"/>
              <w:rPr>
                <w:rFonts w:ascii="Arial" w:hAnsi="Arial" w:cs="Arial"/>
                <w:color w:val="0D0D0D" w:themeColor="text1" w:themeTint="F2"/>
              </w:rPr>
            </w:pPr>
          </w:p>
        </w:tc>
        <w:tc>
          <w:tcPr>
            <w:tcW w:w="3273" w:type="dxa"/>
          </w:tcPr>
          <w:p w14:paraId="5D55F073" w14:textId="77777777" w:rsidR="007C27A1" w:rsidRPr="007C27A1" w:rsidRDefault="007C27A1" w:rsidP="007C27A1">
            <w:pPr>
              <w:spacing w:line="259" w:lineRule="auto"/>
              <w:rPr>
                <w:rFonts w:ascii="Arial" w:hAnsi="Arial" w:cs="Arial"/>
                <w:color w:val="0D0D0D" w:themeColor="text1" w:themeTint="F2"/>
              </w:rPr>
            </w:pPr>
            <w:r w:rsidRPr="007C27A1">
              <w:rPr>
                <w:rFonts w:ascii="Arial" w:hAnsi="Arial" w:cs="Arial"/>
                <w:color w:val="0D0D0D" w:themeColor="text1" w:themeTint="F2"/>
              </w:rPr>
              <w:t>36</w:t>
            </w:r>
          </w:p>
        </w:tc>
        <w:tc>
          <w:tcPr>
            <w:tcW w:w="2650" w:type="dxa"/>
          </w:tcPr>
          <w:p w14:paraId="44F64D2F" w14:textId="77777777" w:rsidR="007C27A1" w:rsidRPr="007C27A1" w:rsidRDefault="007C27A1" w:rsidP="007C27A1">
            <w:pPr>
              <w:spacing w:line="259" w:lineRule="auto"/>
              <w:rPr>
                <w:rFonts w:ascii="Arial" w:hAnsi="Arial" w:cs="Arial"/>
                <w:color w:val="0D0D0D" w:themeColor="text1" w:themeTint="F2"/>
              </w:rPr>
            </w:pPr>
            <w:r w:rsidRPr="007C27A1">
              <w:rPr>
                <w:rFonts w:ascii="Arial" w:hAnsi="Arial" w:cs="Arial"/>
                <w:color w:val="0D0D0D" w:themeColor="text1" w:themeTint="F2"/>
              </w:rPr>
              <w:t>63</w:t>
            </w:r>
          </w:p>
        </w:tc>
      </w:tr>
      <w:tr w:rsidR="007C27A1" w:rsidRPr="007C27A1" w14:paraId="22B6045A" w14:textId="77777777" w:rsidTr="001D4222">
        <w:tc>
          <w:tcPr>
            <w:tcW w:w="3093" w:type="dxa"/>
          </w:tcPr>
          <w:p w14:paraId="5540A2E2" w14:textId="77777777" w:rsidR="007C27A1" w:rsidRPr="007C27A1" w:rsidRDefault="007C27A1" w:rsidP="007C27A1">
            <w:pPr>
              <w:spacing w:line="259" w:lineRule="auto"/>
              <w:rPr>
                <w:rFonts w:ascii="Arial" w:eastAsia="Times New Roman" w:hAnsi="Arial" w:cs="Arial"/>
                <w:color w:val="0D0D0D" w:themeColor="text1" w:themeTint="F2"/>
                <w:lang w:eastAsia="en-GB"/>
              </w:rPr>
            </w:pPr>
            <w:r w:rsidRPr="007C27A1">
              <w:rPr>
                <w:rFonts w:ascii="Arial" w:eastAsia="Times New Roman" w:hAnsi="Arial" w:cs="Arial"/>
                <w:color w:val="0D0D0D" w:themeColor="text1" w:themeTint="F2"/>
                <w:lang w:eastAsia="en-GB"/>
              </w:rPr>
              <w:t>49-57</w:t>
            </w:r>
          </w:p>
          <w:p w14:paraId="2BB5AC2B" w14:textId="77777777" w:rsidR="007C27A1" w:rsidRPr="007C27A1" w:rsidRDefault="007C27A1" w:rsidP="007C27A1">
            <w:pPr>
              <w:spacing w:line="259" w:lineRule="auto"/>
              <w:rPr>
                <w:rFonts w:ascii="Arial" w:hAnsi="Arial" w:cs="Arial"/>
                <w:color w:val="0D0D0D" w:themeColor="text1" w:themeTint="F2"/>
              </w:rPr>
            </w:pPr>
          </w:p>
        </w:tc>
        <w:tc>
          <w:tcPr>
            <w:tcW w:w="3273" w:type="dxa"/>
          </w:tcPr>
          <w:p w14:paraId="739AAEF5" w14:textId="77777777" w:rsidR="007C27A1" w:rsidRPr="007C27A1" w:rsidRDefault="007C27A1" w:rsidP="007C27A1">
            <w:pPr>
              <w:spacing w:line="259" w:lineRule="auto"/>
              <w:rPr>
                <w:rFonts w:ascii="Arial" w:hAnsi="Arial" w:cs="Arial"/>
                <w:color w:val="0D0D0D" w:themeColor="text1" w:themeTint="F2"/>
              </w:rPr>
            </w:pPr>
            <w:r w:rsidRPr="007C27A1">
              <w:rPr>
                <w:rFonts w:ascii="Arial" w:hAnsi="Arial" w:cs="Arial"/>
                <w:color w:val="0D0D0D" w:themeColor="text1" w:themeTint="F2"/>
              </w:rPr>
              <w:t>17</w:t>
            </w:r>
          </w:p>
        </w:tc>
        <w:tc>
          <w:tcPr>
            <w:tcW w:w="2650" w:type="dxa"/>
          </w:tcPr>
          <w:p w14:paraId="1036D5D5" w14:textId="77777777" w:rsidR="007C27A1" w:rsidRPr="007C27A1" w:rsidRDefault="007C27A1" w:rsidP="007C27A1">
            <w:pPr>
              <w:spacing w:line="259" w:lineRule="auto"/>
              <w:rPr>
                <w:rFonts w:ascii="Arial" w:hAnsi="Arial" w:cs="Arial"/>
                <w:color w:val="0D0D0D" w:themeColor="text1" w:themeTint="F2"/>
              </w:rPr>
            </w:pPr>
            <w:r w:rsidRPr="007C27A1">
              <w:rPr>
                <w:rFonts w:ascii="Arial" w:hAnsi="Arial" w:cs="Arial"/>
                <w:color w:val="0D0D0D" w:themeColor="text1" w:themeTint="F2"/>
              </w:rPr>
              <w:t>30</w:t>
            </w:r>
          </w:p>
        </w:tc>
      </w:tr>
      <w:tr w:rsidR="007C27A1" w:rsidRPr="007C27A1" w14:paraId="21905524" w14:textId="77777777" w:rsidTr="001D4222">
        <w:tc>
          <w:tcPr>
            <w:tcW w:w="3093" w:type="dxa"/>
          </w:tcPr>
          <w:p w14:paraId="3BD1BE79" w14:textId="77777777" w:rsidR="007C27A1" w:rsidRPr="007C27A1" w:rsidRDefault="007C27A1" w:rsidP="007C27A1">
            <w:pPr>
              <w:spacing w:line="259" w:lineRule="auto"/>
              <w:rPr>
                <w:rFonts w:ascii="Arial" w:eastAsia="Times New Roman" w:hAnsi="Arial" w:cs="Arial"/>
                <w:color w:val="0D0D0D" w:themeColor="text1" w:themeTint="F2"/>
                <w:lang w:eastAsia="en-GB"/>
              </w:rPr>
            </w:pPr>
            <w:r w:rsidRPr="007C27A1">
              <w:rPr>
                <w:rFonts w:ascii="Arial" w:eastAsia="Times New Roman" w:hAnsi="Arial" w:cs="Arial"/>
                <w:color w:val="0D0D0D" w:themeColor="text1" w:themeTint="F2"/>
                <w:lang w:eastAsia="en-GB"/>
              </w:rPr>
              <w:t>≥58</w:t>
            </w:r>
          </w:p>
          <w:p w14:paraId="7884F042" w14:textId="77777777" w:rsidR="007C27A1" w:rsidRPr="007C27A1" w:rsidRDefault="007C27A1" w:rsidP="007C27A1">
            <w:pPr>
              <w:spacing w:line="259" w:lineRule="auto"/>
              <w:rPr>
                <w:rFonts w:ascii="Arial" w:hAnsi="Arial" w:cs="Arial"/>
                <w:color w:val="0D0D0D" w:themeColor="text1" w:themeTint="F2"/>
              </w:rPr>
            </w:pPr>
          </w:p>
        </w:tc>
        <w:tc>
          <w:tcPr>
            <w:tcW w:w="3273" w:type="dxa"/>
          </w:tcPr>
          <w:p w14:paraId="1F021F0C" w14:textId="77777777" w:rsidR="007C27A1" w:rsidRPr="007C27A1" w:rsidRDefault="007C27A1" w:rsidP="007C27A1">
            <w:pPr>
              <w:spacing w:line="259" w:lineRule="auto"/>
              <w:rPr>
                <w:rFonts w:ascii="Arial" w:hAnsi="Arial" w:cs="Arial"/>
                <w:color w:val="0D0D0D" w:themeColor="text1" w:themeTint="F2"/>
              </w:rPr>
            </w:pPr>
            <w:r w:rsidRPr="007C27A1">
              <w:rPr>
                <w:rFonts w:ascii="Arial" w:hAnsi="Arial" w:cs="Arial"/>
                <w:color w:val="0D0D0D" w:themeColor="text1" w:themeTint="F2"/>
              </w:rPr>
              <w:t>4</w:t>
            </w:r>
          </w:p>
        </w:tc>
        <w:tc>
          <w:tcPr>
            <w:tcW w:w="2650" w:type="dxa"/>
          </w:tcPr>
          <w:p w14:paraId="2F6DC7A2" w14:textId="77777777" w:rsidR="007C27A1" w:rsidRPr="007C27A1" w:rsidRDefault="007C27A1" w:rsidP="007C27A1">
            <w:pPr>
              <w:spacing w:line="259" w:lineRule="auto"/>
              <w:rPr>
                <w:rFonts w:ascii="Arial" w:hAnsi="Arial" w:cs="Arial"/>
                <w:color w:val="0D0D0D" w:themeColor="text1" w:themeTint="F2"/>
              </w:rPr>
            </w:pPr>
            <w:r w:rsidRPr="007C27A1">
              <w:rPr>
                <w:rFonts w:ascii="Arial" w:hAnsi="Arial" w:cs="Arial"/>
                <w:color w:val="0D0D0D" w:themeColor="text1" w:themeTint="F2"/>
              </w:rPr>
              <w:t>7</w:t>
            </w:r>
          </w:p>
        </w:tc>
      </w:tr>
      <w:tr w:rsidR="007C27A1" w:rsidRPr="007C27A1" w14:paraId="0239D8E8" w14:textId="77777777" w:rsidTr="001D4222">
        <w:tc>
          <w:tcPr>
            <w:tcW w:w="3093" w:type="dxa"/>
          </w:tcPr>
          <w:p w14:paraId="391EFDE7" w14:textId="77777777" w:rsidR="007C27A1" w:rsidRPr="007C27A1" w:rsidRDefault="007C27A1" w:rsidP="007C27A1">
            <w:pPr>
              <w:spacing w:line="259" w:lineRule="auto"/>
              <w:rPr>
                <w:rFonts w:ascii="Arial" w:eastAsia="Times New Roman" w:hAnsi="Arial" w:cs="Arial"/>
                <w:color w:val="0D0D0D" w:themeColor="text1" w:themeTint="F2"/>
                <w:lang w:eastAsia="en-GB"/>
              </w:rPr>
            </w:pPr>
            <w:r w:rsidRPr="007C27A1">
              <w:rPr>
                <w:rFonts w:ascii="Arial" w:eastAsia="Times New Roman" w:hAnsi="Arial" w:cs="Arial"/>
                <w:color w:val="0D0D0D" w:themeColor="text1" w:themeTint="F2"/>
                <w:lang w:eastAsia="en-GB"/>
              </w:rPr>
              <w:t>Total</w:t>
            </w:r>
          </w:p>
          <w:p w14:paraId="74FF46C1" w14:textId="77777777" w:rsidR="007C27A1" w:rsidRPr="007C27A1" w:rsidRDefault="007C27A1" w:rsidP="007C27A1">
            <w:pPr>
              <w:spacing w:line="259" w:lineRule="auto"/>
              <w:rPr>
                <w:rFonts w:ascii="Arial" w:eastAsia="Times New Roman" w:hAnsi="Arial" w:cs="Arial"/>
                <w:color w:val="0D0D0D" w:themeColor="text1" w:themeTint="F2"/>
                <w:lang w:eastAsia="en-GB"/>
              </w:rPr>
            </w:pPr>
          </w:p>
        </w:tc>
        <w:tc>
          <w:tcPr>
            <w:tcW w:w="3273" w:type="dxa"/>
          </w:tcPr>
          <w:p w14:paraId="004A5107" w14:textId="77777777" w:rsidR="007C27A1" w:rsidRPr="007C27A1" w:rsidRDefault="007C27A1" w:rsidP="007C27A1">
            <w:pPr>
              <w:spacing w:line="259" w:lineRule="auto"/>
              <w:rPr>
                <w:rFonts w:ascii="Arial" w:hAnsi="Arial" w:cs="Arial"/>
                <w:color w:val="0D0D0D" w:themeColor="text1" w:themeTint="F2"/>
              </w:rPr>
            </w:pPr>
            <w:r w:rsidRPr="007C27A1">
              <w:rPr>
                <w:rFonts w:ascii="Arial" w:hAnsi="Arial" w:cs="Arial"/>
                <w:color w:val="0D0D0D" w:themeColor="text1" w:themeTint="F2"/>
              </w:rPr>
              <w:t>57</w:t>
            </w:r>
          </w:p>
        </w:tc>
        <w:tc>
          <w:tcPr>
            <w:tcW w:w="2650" w:type="dxa"/>
          </w:tcPr>
          <w:p w14:paraId="3E133736" w14:textId="77777777" w:rsidR="007C27A1" w:rsidRPr="007C27A1" w:rsidRDefault="007C27A1" w:rsidP="007C27A1">
            <w:pPr>
              <w:spacing w:line="259" w:lineRule="auto"/>
              <w:rPr>
                <w:rFonts w:ascii="Arial" w:hAnsi="Arial" w:cs="Arial"/>
                <w:color w:val="0D0D0D" w:themeColor="text1" w:themeTint="F2"/>
              </w:rPr>
            </w:pPr>
            <w:r w:rsidRPr="007C27A1">
              <w:rPr>
                <w:rFonts w:ascii="Arial" w:hAnsi="Arial" w:cs="Arial"/>
                <w:color w:val="0D0D0D" w:themeColor="text1" w:themeTint="F2"/>
              </w:rPr>
              <w:t>100</w:t>
            </w:r>
          </w:p>
        </w:tc>
      </w:tr>
    </w:tbl>
    <w:p w14:paraId="0042E652" w14:textId="77777777" w:rsidR="007C27A1" w:rsidRPr="007C27A1" w:rsidRDefault="007C27A1" w:rsidP="007C27A1">
      <w:pPr>
        <w:spacing w:line="480" w:lineRule="auto"/>
        <w:jc w:val="both"/>
        <w:rPr>
          <w:rFonts w:ascii="Arial" w:eastAsiaTheme="minorHAnsi" w:hAnsi="Arial" w:cs="Arial"/>
          <w:color w:val="0D0D0D" w:themeColor="text1" w:themeTint="F2"/>
          <w:kern w:val="0"/>
          <w:lang w:eastAsia="en-US"/>
          <w14:ligatures w14:val="none"/>
        </w:rPr>
      </w:pPr>
    </w:p>
    <w:p w14:paraId="218A8773" w14:textId="2073F301" w:rsidR="007C27A1" w:rsidRPr="007C27A1" w:rsidRDefault="007C27A1" w:rsidP="007C27A1">
      <w:pPr>
        <w:spacing w:line="480" w:lineRule="auto"/>
        <w:jc w:val="both"/>
        <w:rPr>
          <w:rFonts w:asciiTheme="minorBidi" w:eastAsiaTheme="minorHAnsi" w:hAnsiTheme="minorBidi"/>
          <w:color w:val="0D0D0D" w:themeColor="text1" w:themeTint="F2"/>
          <w:kern w:val="0"/>
          <w:lang w:eastAsia="en-US"/>
          <w14:ligatures w14:val="none"/>
        </w:rPr>
      </w:pPr>
      <w:r w:rsidRPr="007C27A1">
        <w:rPr>
          <w:rFonts w:asciiTheme="minorBidi" w:eastAsiaTheme="minorHAnsi" w:hAnsiTheme="minorBidi"/>
          <w:color w:val="0D0D0D" w:themeColor="text1" w:themeTint="F2"/>
          <w:kern w:val="0"/>
          <w:lang w:eastAsia="en-US"/>
          <w14:ligatures w14:val="none"/>
        </w:rPr>
        <w:t>It is evident that the student sample has more participants (Student = 14%, Professionals = 7%) that have clear psychopathic tendencies. However, as per the previous discussion the psychopathic tendencies appear to lessen (</w:t>
      </w:r>
      <w:r w:rsidRPr="007C27A1">
        <w:rPr>
          <w:rFonts w:asciiTheme="minorBidi" w:eastAsia="Times New Roman" w:hAnsiTheme="minorBidi"/>
          <w:b/>
          <w:bCs/>
          <w:kern w:val="0"/>
          <w:lang w:eastAsia="en-US"/>
          <w14:ligatures w14:val="none"/>
        </w:rPr>
        <w:t>Hare &amp; Neumann, 2008)</w:t>
      </w:r>
      <w:r w:rsidRPr="007C27A1">
        <w:rPr>
          <w:rFonts w:asciiTheme="minorBidi" w:eastAsiaTheme="minorHAnsi" w:hAnsiTheme="minorBidi"/>
          <w:color w:val="0D0D0D" w:themeColor="text1" w:themeTint="F2"/>
          <w:kern w:val="0"/>
          <w:lang w:eastAsia="en-US"/>
          <w14:ligatures w14:val="none"/>
        </w:rPr>
        <w:t xml:space="preserve"> as the professional becomes more experienced over time (</w:t>
      </w:r>
      <w:r w:rsidRPr="007C27A1">
        <w:rPr>
          <w:rFonts w:asciiTheme="minorBidi" w:eastAsia="Times New Roman" w:hAnsiTheme="minorBidi"/>
          <w:b/>
          <w:bCs/>
          <w:kern w:val="0"/>
          <w:lang w:eastAsia="en-US"/>
          <w14:ligatures w14:val="none"/>
        </w:rPr>
        <w:t>Widiger &amp; Crego, 2018)</w:t>
      </w:r>
      <w:r w:rsidRPr="007C27A1">
        <w:rPr>
          <w:rFonts w:asciiTheme="minorBidi" w:eastAsiaTheme="minorHAnsi" w:hAnsiTheme="minorBidi"/>
          <w:color w:val="0D0D0D" w:themeColor="text1" w:themeTint="F2"/>
          <w:kern w:val="0"/>
          <w:lang w:eastAsia="en-US"/>
          <w14:ligatures w14:val="none"/>
        </w:rPr>
        <w:t xml:space="preserve"> especially in a structured work environment or place (Dutton, 2012). The </w:t>
      </w:r>
      <w:r w:rsidR="00443D0C">
        <w:rPr>
          <w:rFonts w:ascii="Arial" w:hAnsi="Arial" w:cs="Arial"/>
          <w:color w:val="000000" w:themeColor="text1"/>
        </w:rPr>
        <w:t>researcher</w:t>
      </w:r>
      <w:r w:rsidRPr="007C27A1">
        <w:rPr>
          <w:rFonts w:asciiTheme="minorBidi" w:eastAsiaTheme="minorHAnsi" w:hAnsiTheme="minorBidi"/>
          <w:color w:val="0D0D0D" w:themeColor="text1" w:themeTint="F2"/>
          <w:kern w:val="0"/>
          <w:lang w:eastAsia="en-US"/>
          <w14:ligatures w14:val="none"/>
        </w:rPr>
        <w:t xml:space="preserve"> speculates that this could be as they are mellowing or as these Corporate Psychopath Accountants achieve a certain status and salary (</w:t>
      </w:r>
      <w:r w:rsidRPr="007C27A1">
        <w:rPr>
          <w:rFonts w:asciiTheme="minorBidi" w:eastAsia="Times New Roman" w:hAnsiTheme="minorBidi"/>
          <w:b/>
          <w:bCs/>
          <w:kern w:val="0"/>
          <w:lang w:eastAsia="en-US"/>
          <w14:ligatures w14:val="none"/>
        </w:rPr>
        <w:t>DeLisi &amp; Vaughn, M, 2014)</w:t>
      </w:r>
      <w:r w:rsidRPr="007C27A1">
        <w:rPr>
          <w:rFonts w:asciiTheme="minorBidi" w:eastAsiaTheme="minorHAnsi" w:hAnsiTheme="minorBidi"/>
          <w:color w:val="0D0D0D" w:themeColor="text1" w:themeTint="F2"/>
          <w:kern w:val="0"/>
          <w:lang w:eastAsia="en-US"/>
          <w14:ligatures w14:val="none"/>
        </w:rPr>
        <w:t xml:space="preserve"> the risk of being discovered becomes too high and costly in the shape of lost career opportunities and reputation i.e., </w:t>
      </w:r>
      <w:r w:rsidRPr="007C27A1">
        <w:rPr>
          <w:rFonts w:asciiTheme="minorBidi" w:eastAsiaTheme="minorHAnsi" w:hAnsiTheme="minorBidi"/>
          <w:b/>
          <w:bCs/>
          <w:color w:val="0D0D0D" w:themeColor="text1" w:themeTint="F2"/>
          <w:kern w:val="0"/>
          <w:lang w:eastAsia="en-US"/>
          <w14:ligatures w14:val="none"/>
        </w:rPr>
        <w:t xml:space="preserve">The Rationalisation in the Fraud Triangle </w:t>
      </w:r>
      <w:r w:rsidRPr="007C27A1">
        <w:rPr>
          <w:rFonts w:asciiTheme="minorBidi" w:eastAsiaTheme="minorHAnsi" w:hAnsiTheme="minorBidi"/>
          <w:b/>
          <w:bCs/>
          <w:color w:val="0D0D0D" w:themeColor="text1" w:themeTint="F2"/>
          <w:kern w:val="0"/>
          <w:lang w:eastAsia="en-US"/>
          <w14:ligatures w14:val="none"/>
        </w:rPr>
        <w:lastRenderedPageBreak/>
        <w:t>becomes too high and likely collapse of the Fraud Triangle</w:t>
      </w:r>
      <w:r w:rsidRPr="007C27A1">
        <w:rPr>
          <w:rFonts w:asciiTheme="minorBidi" w:eastAsiaTheme="minorHAnsi" w:hAnsiTheme="minorBidi"/>
          <w:color w:val="0D0D0D" w:themeColor="text1" w:themeTint="F2"/>
          <w:kern w:val="0"/>
          <w:lang w:eastAsia="en-US"/>
          <w14:ligatures w14:val="none"/>
        </w:rPr>
        <w:t xml:space="preserve">. With respect to the absolute correlation between psychopathy and mean disapproval of dubious actions it is 0.291 and less significant for qualified accountants 0.17. </w:t>
      </w:r>
    </w:p>
    <w:p w14:paraId="5A7AFEF7" w14:textId="77777777" w:rsidR="007C27A1" w:rsidRPr="007C27A1" w:rsidRDefault="007C27A1" w:rsidP="007C27A1">
      <w:pPr>
        <w:pBdr>
          <w:top w:val="single" w:sz="4" w:space="1" w:color="auto"/>
          <w:left w:val="single" w:sz="4" w:space="4" w:color="auto"/>
          <w:bottom w:val="single" w:sz="4" w:space="1" w:color="auto"/>
          <w:right w:val="single" w:sz="4" w:space="4" w:color="auto"/>
        </w:pBdr>
        <w:spacing w:before="100" w:beforeAutospacing="1" w:after="100" w:afterAutospacing="1" w:line="480" w:lineRule="auto"/>
        <w:jc w:val="both"/>
        <w:rPr>
          <w:rFonts w:ascii="Arial" w:eastAsia="Times New Roman" w:hAnsi="Arial" w:cs="Arial"/>
          <w:b/>
          <w:bCs/>
          <w:color w:val="0D0D0D" w:themeColor="text1" w:themeTint="F2"/>
          <w:kern w:val="0"/>
          <w:lang w:eastAsia="en-GB"/>
          <w14:ligatures w14:val="none"/>
        </w:rPr>
      </w:pPr>
      <w:r w:rsidRPr="007C27A1">
        <w:rPr>
          <w:rFonts w:ascii="Arial" w:eastAsia="Times New Roman" w:hAnsi="Arial" w:cs="Arial"/>
          <w:b/>
          <w:bCs/>
          <w:color w:val="0D0D0D" w:themeColor="text1" w:themeTint="F2"/>
          <w:kern w:val="0"/>
          <w:lang w:eastAsia="en-GB"/>
          <w14:ligatures w14:val="none"/>
        </w:rPr>
        <w:t xml:space="preserve">SRQ4: Would a lengthy prison sentence or / and significant fine deter Accounting Fraud? </w:t>
      </w:r>
    </w:p>
    <w:p w14:paraId="3B944284" w14:textId="77777777" w:rsidR="007C27A1" w:rsidRPr="007C27A1" w:rsidRDefault="007C27A1" w:rsidP="007C27A1">
      <w:pPr>
        <w:spacing w:before="100" w:beforeAutospacing="1" w:after="100" w:afterAutospacing="1" w:line="480" w:lineRule="auto"/>
        <w:jc w:val="both"/>
        <w:rPr>
          <w:rFonts w:ascii="Arial" w:eastAsia="Times New Roman" w:hAnsi="Arial" w:cs="Arial"/>
          <w:b/>
          <w:bCs/>
          <w:color w:val="0D0D0D" w:themeColor="text1" w:themeTint="F2"/>
          <w:kern w:val="0"/>
          <w:lang w:eastAsia="en-GB"/>
          <w14:ligatures w14:val="none"/>
        </w:rPr>
      </w:pPr>
      <w:r w:rsidRPr="007C27A1">
        <w:rPr>
          <w:rFonts w:ascii="Arial" w:eastAsia="Times New Roman" w:hAnsi="Arial" w:cs="Arial"/>
          <w:color w:val="0D0D0D" w:themeColor="text1" w:themeTint="F2"/>
          <w:kern w:val="0"/>
          <w:lang w:eastAsia="en-GB"/>
          <w14:ligatures w14:val="none"/>
        </w:rPr>
        <w:t xml:space="preserve">As per sections 4.2.2, in both samples more than 95% of accounting and finance students and qualified accountants believed that a prison sentence and a significant fine would deter Accounting Fraud. In fact, this was an explanatory variable in the multiple regression model for accounting &amp; finance students. This result suggests that although there are psychopathic tendencies in both samples it is acknowledged that it is an offence that should be punished, and the perpetrators or Corporate Psychopath Accountants will potentially factor this into their rationalisation process. </w:t>
      </w:r>
    </w:p>
    <w:p w14:paraId="41C8944D" w14:textId="77777777" w:rsidR="007C27A1" w:rsidRPr="007C27A1" w:rsidRDefault="007C27A1" w:rsidP="007C27A1">
      <w:pPr>
        <w:pBdr>
          <w:top w:val="single" w:sz="4" w:space="1" w:color="auto"/>
          <w:left w:val="single" w:sz="4" w:space="4" w:color="auto"/>
          <w:bottom w:val="single" w:sz="4" w:space="1" w:color="auto"/>
          <w:right w:val="single" w:sz="4" w:space="4" w:color="auto"/>
        </w:pBdr>
        <w:spacing w:before="100" w:beforeAutospacing="1" w:after="100" w:afterAutospacing="1" w:line="480" w:lineRule="auto"/>
        <w:jc w:val="both"/>
        <w:rPr>
          <w:rFonts w:ascii="Arial" w:eastAsia="Times New Roman" w:hAnsi="Arial" w:cs="Arial"/>
          <w:b/>
          <w:bCs/>
          <w:color w:val="0D0D0D" w:themeColor="text1" w:themeTint="F2"/>
          <w:kern w:val="0"/>
          <w:lang w:eastAsia="en-GB"/>
          <w14:ligatures w14:val="none"/>
        </w:rPr>
      </w:pPr>
      <w:r w:rsidRPr="007C27A1">
        <w:rPr>
          <w:rFonts w:ascii="Arial" w:eastAsia="Times New Roman" w:hAnsi="Arial" w:cs="Arial"/>
          <w:b/>
          <w:bCs/>
          <w:color w:val="0D0D0D" w:themeColor="text1" w:themeTint="F2"/>
          <w:kern w:val="0"/>
          <w:lang w:eastAsia="en-GB"/>
          <w14:ligatures w14:val="none"/>
        </w:rPr>
        <w:t>SRQ5: Have auditors ever experienced psychopathic senior managers / clients and to what extent did this impact the audit assignment?</w:t>
      </w:r>
    </w:p>
    <w:p w14:paraId="46EE195A" w14:textId="77777777" w:rsidR="007C27A1" w:rsidRPr="007C27A1" w:rsidRDefault="007C27A1" w:rsidP="007C27A1">
      <w:pPr>
        <w:spacing w:before="100" w:beforeAutospacing="1" w:after="100" w:afterAutospacing="1" w:line="480" w:lineRule="auto"/>
        <w:jc w:val="both"/>
        <w:rPr>
          <w:rFonts w:ascii="Arial" w:eastAsia="Times New Roman" w:hAnsi="Arial" w:cs="Arial"/>
          <w:color w:val="0D0D0D" w:themeColor="text1" w:themeTint="F2"/>
          <w:kern w:val="0"/>
          <w:lang w:eastAsia="en-GB"/>
          <w14:ligatures w14:val="none"/>
        </w:rPr>
      </w:pPr>
      <w:bookmarkStart w:id="794" w:name="_Hlk146392062"/>
      <w:r w:rsidRPr="007C27A1">
        <w:rPr>
          <w:rFonts w:ascii="Arial" w:eastAsia="Times New Roman" w:hAnsi="Arial" w:cs="Arial"/>
          <w:color w:val="0D0D0D" w:themeColor="text1" w:themeTint="F2"/>
          <w:kern w:val="0"/>
          <w:lang w:eastAsia="en-GB"/>
          <w14:ligatures w14:val="none"/>
        </w:rPr>
        <w:t>This was answered in section 4.</w:t>
      </w:r>
      <w:bookmarkEnd w:id="794"/>
      <w:r w:rsidRPr="007C27A1">
        <w:rPr>
          <w:rFonts w:ascii="Arial" w:eastAsia="Times New Roman" w:hAnsi="Arial" w:cs="Arial"/>
          <w:color w:val="0D0D0D" w:themeColor="text1" w:themeTint="F2"/>
          <w:kern w:val="0"/>
          <w:lang w:eastAsia="en-GB"/>
          <w14:ligatures w14:val="none"/>
        </w:rPr>
        <w:t>3 where the participants experienced and discussed psychopathic senior managers / clients or the Corporate Psychopath Accountants. The major themes and observations were noted as follows:</w:t>
      </w:r>
    </w:p>
    <w:p w14:paraId="374F6132" w14:textId="77777777" w:rsidR="007C27A1" w:rsidRPr="007C27A1" w:rsidRDefault="007C27A1">
      <w:pPr>
        <w:numPr>
          <w:ilvl w:val="0"/>
          <w:numId w:val="36"/>
        </w:numPr>
        <w:spacing w:before="240" w:line="480" w:lineRule="auto"/>
        <w:contextualSpacing/>
        <w:jc w:val="both"/>
        <w:rPr>
          <w:rFonts w:ascii="Arial" w:eastAsiaTheme="minorHAnsi" w:hAnsi="Arial" w:cs="Arial"/>
          <w:b/>
          <w:bCs/>
          <w:i/>
          <w:iCs/>
          <w:color w:val="0D0D0D" w:themeColor="text1" w:themeTint="F2"/>
          <w:kern w:val="0"/>
          <w:lang w:eastAsia="en-US"/>
          <w14:ligatures w14:val="none"/>
        </w:rPr>
      </w:pPr>
      <w:r w:rsidRPr="007C27A1">
        <w:rPr>
          <w:rFonts w:ascii="Arial" w:eastAsiaTheme="minorHAnsi" w:hAnsi="Arial" w:cs="Arial"/>
          <w:b/>
          <w:bCs/>
          <w:i/>
          <w:iCs/>
          <w:color w:val="0D0D0D" w:themeColor="text1" w:themeTint="F2"/>
          <w:kern w:val="0"/>
          <w:lang w:eastAsia="en-US"/>
          <w14:ligatures w14:val="none"/>
        </w:rPr>
        <w:t xml:space="preserve">All the participants bar one could vividly remember cases, on average 2.8 or 3 per participant, during their careers where senior finance / accounting managers showed psychopathic traits, which will presumably increase as they continue practicing. </w:t>
      </w:r>
    </w:p>
    <w:p w14:paraId="7B508A49" w14:textId="77777777" w:rsidR="007C27A1" w:rsidRPr="007C27A1" w:rsidRDefault="007C27A1" w:rsidP="007C27A1">
      <w:pPr>
        <w:spacing w:before="240" w:line="480" w:lineRule="auto"/>
        <w:ind w:left="720"/>
        <w:contextualSpacing/>
        <w:jc w:val="both"/>
        <w:rPr>
          <w:rFonts w:ascii="Arial" w:eastAsiaTheme="minorHAnsi" w:hAnsi="Arial" w:cs="Arial"/>
          <w:b/>
          <w:bCs/>
          <w:i/>
          <w:iCs/>
          <w:color w:val="0D0D0D" w:themeColor="text1" w:themeTint="F2"/>
          <w:kern w:val="0"/>
          <w:lang w:eastAsia="en-US"/>
          <w14:ligatures w14:val="none"/>
        </w:rPr>
      </w:pPr>
    </w:p>
    <w:p w14:paraId="5BD60B87" w14:textId="77777777" w:rsidR="007C27A1" w:rsidRPr="007C27A1" w:rsidRDefault="007C27A1">
      <w:pPr>
        <w:numPr>
          <w:ilvl w:val="0"/>
          <w:numId w:val="36"/>
        </w:numPr>
        <w:spacing w:before="240" w:line="480" w:lineRule="auto"/>
        <w:contextualSpacing/>
        <w:jc w:val="both"/>
        <w:rPr>
          <w:rFonts w:ascii="Arial" w:eastAsiaTheme="minorHAnsi" w:hAnsi="Arial" w:cs="Arial"/>
          <w:b/>
          <w:bCs/>
          <w:i/>
          <w:iCs/>
          <w:color w:val="0D0D0D" w:themeColor="text1" w:themeTint="F2"/>
          <w:kern w:val="0"/>
          <w:lang w:eastAsia="en-US"/>
          <w14:ligatures w14:val="none"/>
        </w:rPr>
      </w:pPr>
      <w:r w:rsidRPr="007C27A1">
        <w:rPr>
          <w:rFonts w:ascii="Arial" w:eastAsiaTheme="minorHAnsi" w:hAnsi="Arial" w:cs="Arial"/>
          <w:b/>
          <w:bCs/>
          <w:i/>
          <w:iCs/>
          <w:color w:val="0D0D0D" w:themeColor="text1" w:themeTint="F2"/>
          <w:kern w:val="0"/>
          <w:lang w:eastAsia="en-US"/>
          <w14:ligatures w14:val="none"/>
        </w:rPr>
        <w:lastRenderedPageBreak/>
        <w:t xml:space="preserve">Corporate psychopathy appears to be a white, usually male, and middle-aged occurrence ranging from 35 – 60 years. </w:t>
      </w:r>
    </w:p>
    <w:p w14:paraId="3D85215F" w14:textId="77777777" w:rsidR="007C27A1" w:rsidRPr="007C27A1" w:rsidRDefault="007C27A1" w:rsidP="007C27A1">
      <w:pPr>
        <w:spacing w:before="240" w:line="480" w:lineRule="auto"/>
        <w:contextualSpacing/>
        <w:jc w:val="both"/>
        <w:rPr>
          <w:rFonts w:ascii="Arial" w:eastAsiaTheme="minorHAnsi" w:hAnsi="Arial" w:cs="Arial"/>
          <w:b/>
          <w:bCs/>
          <w:i/>
          <w:iCs/>
          <w:color w:val="0D0D0D" w:themeColor="text1" w:themeTint="F2"/>
          <w:kern w:val="0"/>
          <w:lang w:eastAsia="en-US"/>
          <w14:ligatures w14:val="none"/>
        </w:rPr>
      </w:pPr>
    </w:p>
    <w:p w14:paraId="375DFF7F" w14:textId="77777777" w:rsidR="007C27A1" w:rsidRPr="007C27A1" w:rsidRDefault="007C27A1">
      <w:pPr>
        <w:numPr>
          <w:ilvl w:val="0"/>
          <w:numId w:val="36"/>
        </w:numPr>
        <w:spacing w:before="240" w:line="480" w:lineRule="auto"/>
        <w:contextualSpacing/>
        <w:jc w:val="both"/>
        <w:rPr>
          <w:rFonts w:ascii="Arial" w:eastAsiaTheme="minorHAnsi" w:hAnsi="Arial" w:cs="Arial"/>
          <w:b/>
          <w:bCs/>
          <w:i/>
          <w:iCs/>
          <w:color w:val="0D0D0D" w:themeColor="text1" w:themeTint="F2"/>
          <w:kern w:val="0"/>
          <w:lang w:eastAsia="en-US"/>
          <w14:ligatures w14:val="none"/>
        </w:rPr>
      </w:pPr>
      <w:r w:rsidRPr="007C27A1">
        <w:rPr>
          <w:rFonts w:ascii="Arial" w:eastAsiaTheme="minorHAnsi" w:hAnsi="Arial" w:cs="Arial"/>
          <w:b/>
          <w:bCs/>
          <w:i/>
          <w:iCs/>
          <w:color w:val="0D0D0D" w:themeColor="text1" w:themeTint="F2"/>
          <w:kern w:val="0"/>
          <w:lang w:eastAsia="en-US"/>
          <w14:ligatures w14:val="none"/>
        </w:rPr>
        <w:t>A wide spectrum of industries ranging from the public, private including Owner Managed Businesses (OMB), listed on the Alternative Investment Market (AIM), maritime and third sector experience this phenomenon.</w:t>
      </w:r>
    </w:p>
    <w:p w14:paraId="2C1F77A4" w14:textId="77777777" w:rsidR="007C27A1" w:rsidRPr="007C27A1" w:rsidRDefault="007C27A1" w:rsidP="007C27A1">
      <w:pPr>
        <w:spacing w:before="240" w:line="480" w:lineRule="auto"/>
        <w:ind w:left="720"/>
        <w:contextualSpacing/>
        <w:jc w:val="both"/>
        <w:rPr>
          <w:rFonts w:ascii="Arial" w:eastAsiaTheme="minorHAnsi" w:hAnsi="Arial" w:cs="Arial"/>
          <w:b/>
          <w:bCs/>
          <w:i/>
          <w:iCs/>
          <w:color w:val="0D0D0D" w:themeColor="text1" w:themeTint="F2"/>
          <w:kern w:val="0"/>
          <w:lang w:eastAsia="en-US"/>
          <w14:ligatures w14:val="none"/>
        </w:rPr>
      </w:pPr>
    </w:p>
    <w:p w14:paraId="4E3D9383" w14:textId="77777777" w:rsidR="007C27A1" w:rsidRPr="007C27A1" w:rsidRDefault="007C27A1">
      <w:pPr>
        <w:numPr>
          <w:ilvl w:val="0"/>
          <w:numId w:val="36"/>
        </w:numPr>
        <w:spacing w:line="480" w:lineRule="auto"/>
        <w:contextualSpacing/>
        <w:jc w:val="both"/>
        <w:rPr>
          <w:rFonts w:ascii="Arial" w:eastAsiaTheme="minorHAnsi" w:hAnsi="Arial" w:cs="Arial"/>
          <w:b/>
          <w:bCs/>
          <w:i/>
          <w:iCs/>
          <w:color w:val="0D0D0D" w:themeColor="text1" w:themeTint="F2"/>
          <w:kern w:val="0"/>
          <w:lang w:eastAsia="en-US"/>
          <w14:ligatures w14:val="none"/>
        </w:rPr>
      </w:pPr>
      <w:r w:rsidRPr="007C27A1">
        <w:rPr>
          <w:rFonts w:ascii="Arial" w:eastAsiaTheme="minorHAnsi" w:hAnsi="Arial" w:cs="Arial"/>
          <w:b/>
          <w:bCs/>
          <w:i/>
          <w:iCs/>
          <w:color w:val="0D0D0D" w:themeColor="text1" w:themeTint="F2"/>
          <w:kern w:val="0"/>
          <w:lang w:eastAsia="en-US"/>
          <w14:ligatures w14:val="none"/>
        </w:rPr>
        <w:t xml:space="preserve">It is noteworthy that the term ‘Dominant Personality’ was coined in in the 1990’s which implied a client which psychopathic tendencies such as the notorious Robert Maxwell. </w:t>
      </w:r>
    </w:p>
    <w:p w14:paraId="2B50E6A0" w14:textId="77777777" w:rsidR="007C27A1" w:rsidRPr="007C27A1" w:rsidRDefault="007C27A1" w:rsidP="007C27A1">
      <w:pPr>
        <w:spacing w:line="480" w:lineRule="auto"/>
        <w:contextualSpacing/>
        <w:jc w:val="both"/>
        <w:rPr>
          <w:rFonts w:ascii="Arial" w:eastAsiaTheme="minorHAnsi" w:hAnsi="Arial" w:cs="Arial"/>
          <w:b/>
          <w:bCs/>
          <w:i/>
          <w:iCs/>
          <w:color w:val="0D0D0D" w:themeColor="text1" w:themeTint="F2"/>
          <w:kern w:val="0"/>
          <w:lang w:eastAsia="en-US"/>
          <w14:ligatures w14:val="none"/>
        </w:rPr>
      </w:pPr>
    </w:p>
    <w:p w14:paraId="59AC6064" w14:textId="77777777" w:rsidR="007C27A1" w:rsidRPr="007C27A1" w:rsidRDefault="007C27A1">
      <w:pPr>
        <w:numPr>
          <w:ilvl w:val="0"/>
          <w:numId w:val="36"/>
        </w:numPr>
        <w:autoSpaceDE w:val="0"/>
        <w:autoSpaceDN w:val="0"/>
        <w:adjustRightInd w:val="0"/>
        <w:spacing w:after="0" w:line="480" w:lineRule="auto"/>
        <w:jc w:val="both"/>
        <w:rPr>
          <w:rFonts w:ascii="Arial" w:eastAsiaTheme="minorHAnsi" w:hAnsi="Arial" w:cs="Arial"/>
          <w:b/>
          <w:bCs/>
          <w:i/>
          <w:iCs/>
          <w:color w:val="0D0D0D" w:themeColor="text1" w:themeTint="F2"/>
          <w:kern w:val="0"/>
          <w:lang w:eastAsia="en-US"/>
          <w14:ligatures w14:val="none"/>
        </w:rPr>
      </w:pPr>
      <w:r w:rsidRPr="007C27A1">
        <w:rPr>
          <w:rFonts w:ascii="Arial" w:eastAsiaTheme="minorHAnsi" w:hAnsi="Arial" w:cs="Arial"/>
          <w:b/>
          <w:bCs/>
          <w:i/>
          <w:iCs/>
          <w:color w:val="0D0D0D" w:themeColor="text1" w:themeTint="F2"/>
          <w:kern w:val="0"/>
          <w:lang w:eastAsia="en-US"/>
          <w14:ligatures w14:val="none"/>
        </w:rPr>
        <w:t>As per the literature it was acknowledged by the participants that an absence of empathy and simulating sincerity such as politeness was observed but Corporate Psychopath Accountants were explicit bullies.</w:t>
      </w:r>
    </w:p>
    <w:p w14:paraId="44FAB51E" w14:textId="77777777" w:rsidR="007C27A1" w:rsidRPr="007C27A1" w:rsidRDefault="007C27A1" w:rsidP="007C27A1">
      <w:pPr>
        <w:autoSpaceDE w:val="0"/>
        <w:autoSpaceDN w:val="0"/>
        <w:adjustRightInd w:val="0"/>
        <w:spacing w:after="0" w:line="480" w:lineRule="auto"/>
        <w:jc w:val="both"/>
        <w:rPr>
          <w:rFonts w:ascii="Arial" w:eastAsiaTheme="minorHAnsi" w:hAnsi="Arial" w:cs="Arial"/>
          <w:b/>
          <w:bCs/>
          <w:i/>
          <w:iCs/>
          <w:color w:val="0D0D0D" w:themeColor="text1" w:themeTint="F2"/>
          <w:kern w:val="0"/>
          <w:lang w:eastAsia="en-US"/>
          <w14:ligatures w14:val="none"/>
        </w:rPr>
      </w:pPr>
    </w:p>
    <w:p w14:paraId="6103231A" w14:textId="77777777" w:rsidR="007C27A1" w:rsidRPr="007C27A1" w:rsidRDefault="007C27A1">
      <w:pPr>
        <w:numPr>
          <w:ilvl w:val="0"/>
          <w:numId w:val="36"/>
        </w:numPr>
        <w:spacing w:line="480" w:lineRule="auto"/>
        <w:contextualSpacing/>
        <w:jc w:val="both"/>
        <w:rPr>
          <w:rFonts w:ascii="Arial" w:eastAsiaTheme="minorHAnsi" w:hAnsi="Arial" w:cs="Arial"/>
          <w:b/>
          <w:bCs/>
          <w:i/>
          <w:iCs/>
          <w:color w:val="0D0D0D" w:themeColor="text1" w:themeTint="F2"/>
          <w:kern w:val="0"/>
          <w:lang w:eastAsia="en-US"/>
          <w14:ligatures w14:val="none"/>
        </w:rPr>
      </w:pPr>
      <w:r w:rsidRPr="007C27A1">
        <w:rPr>
          <w:rFonts w:ascii="Arial" w:eastAsiaTheme="minorHAnsi" w:hAnsi="Arial" w:cs="Arial"/>
          <w:b/>
          <w:bCs/>
          <w:i/>
          <w:iCs/>
          <w:color w:val="0D0D0D" w:themeColor="text1" w:themeTint="F2"/>
          <w:kern w:val="0"/>
          <w:lang w:eastAsia="en-US"/>
          <w14:ligatures w14:val="none"/>
        </w:rPr>
        <w:t>In the main the participants agreed that the Corporate Psychopath Accountants disrupted the audit process which is essentially an information gathering exercise.</w:t>
      </w:r>
    </w:p>
    <w:p w14:paraId="5066892A" w14:textId="77777777" w:rsidR="007C27A1" w:rsidRPr="007C27A1" w:rsidRDefault="007C27A1" w:rsidP="007C27A1">
      <w:pPr>
        <w:spacing w:line="480" w:lineRule="auto"/>
        <w:contextualSpacing/>
        <w:jc w:val="both"/>
        <w:rPr>
          <w:rFonts w:ascii="Arial" w:eastAsiaTheme="minorHAnsi" w:hAnsi="Arial" w:cs="Arial"/>
          <w:b/>
          <w:bCs/>
          <w:i/>
          <w:iCs/>
          <w:color w:val="0D0D0D" w:themeColor="text1" w:themeTint="F2"/>
          <w:kern w:val="0"/>
          <w:lang w:eastAsia="en-US"/>
          <w14:ligatures w14:val="none"/>
        </w:rPr>
      </w:pPr>
    </w:p>
    <w:p w14:paraId="08A8FF9B" w14:textId="77777777" w:rsidR="007C27A1" w:rsidRPr="007C27A1" w:rsidRDefault="007C27A1">
      <w:pPr>
        <w:numPr>
          <w:ilvl w:val="0"/>
          <w:numId w:val="36"/>
        </w:numPr>
        <w:spacing w:line="360" w:lineRule="auto"/>
        <w:contextualSpacing/>
        <w:jc w:val="both"/>
        <w:rPr>
          <w:rFonts w:ascii="Arial" w:eastAsiaTheme="minorHAnsi" w:hAnsi="Arial" w:cs="Arial"/>
          <w:b/>
          <w:bCs/>
          <w:i/>
          <w:iCs/>
          <w:color w:val="0D0D0D" w:themeColor="text1" w:themeTint="F2"/>
          <w:kern w:val="0"/>
          <w:lang w:eastAsia="en-US"/>
          <w14:ligatures w14:val="none"/>
        </w:rPr>
      </w:pPr>
      <w:r w:rsidRPr="007C27A1">
        <w:rPr>
          <w:rFonts w:ascii="Arial" w:eastAsiaTheme="minorHAnsi" w:hAnsi="Arial" w:cs="Arial"/>
          <w:b/>
          <w:bCs/>
          <w:i/>
          <w:iCs/>
          <w:color w:val="0D0D0D" w:themeColor="text1" w:themeTint="F2"/>
          <w:kern w:val="0"/>
          <w:lang w:eastAsia="en-US"/>
          <w14:ligatures w14:val="none"/>
        </w:rPr>
        <w:t xml:space="preserve">Three of the participants stated that the audit plan was pivoted due to the Corporate Psychopath Accountants resulting in more audit work than usual.  </w:t>
      </w:r>
    </w:p>
    <w:p w14:paraId="56628DA3" w14:textId="77777777" w:rsidR="007C27A1" w:rsidRPr="007C27A1" w:rsidRDefault="007C27A1" w:rsidP="007C27A1">
      <w:pPr>
        <w:spacing w:line="259" w:lineRule="auto"/>
        <w:ind w:left="720"/>
        <w:contextualSpacing/>
        <w:rPr>
          <w:rFonts w:ascii="Arial" w:eastAsiaTheme="minorHAnsi" w:hAnsi="Arial" w:cs="Arial"/>
          <w:b/>
          <w:bCs/>
          <w:i/>
          <w:iCs/>
          <w:color w:val="0D0D0D" w:themeColor="text1" w:themeTint="F2"/>
          <w:kern w:val="0"/>
          <w:lang w:eastAsia="en-US"/>
          <w14:ligatures w14:val="none"/>
        </w:rPr>
      </w:pPr>
    </w:p>
    <w:p w14:paraId="1DE08620" w14:textId="77777777" w:rsidR="007C27A1" w:rsidRPr="007C27A1" w:rsidRDefault="007C27A1" w:rsidP="007C27A1">
      <w:pPr>
        <w:spacing w:line="360" w:lineRule="auto"/>
        <w:ind w:left="720"/>
        <w:contextualSpacing/>
        <w:jc w:val="both"/>
        <w:rPr>
          <w:rFonts w:ascii="Arial" w:eastAsiaTheme="minorHAnsi" w:hAnsi="Arial" w:cs="Arial"/>
          <w:b/>
          <w:bCs/>
          <w:i/>
          <w:iCs/>
          <w:color w:val="0D0D0D" w:themeColor="text1" w:themeTint="F2"/>
          <w:kern w:val="0"/>
          <w:lang w:eastAsia="en-US"/>
          <w14:ligatures w14:val="none"/>
        </w:rPr>
      </w:pPr>
    </w:p>
    <w:p w14:paraId="49864048" w14:textId="77777777" w:rsidR="007C27A1" w:rsidRPr="007C27A1" w:rsidRDefault="007C27A1">
      <w:pPr>
        <w:numPr>
          <w:ilvl w:val="0"/>
          <w:numId w:val="36"/>
        </w:numPr>
        <w:spacing w:before="100" w:beforeAutospacing="1" w:after="100" w:afterAutospacing="1" w:line="480" w:lineRule="auto"/>
        <w:jc w:val="both"/>
        <w:rPr>
          <w:rFonts w:ascii="Arial" w:eastAsia="Times New Roman" w:hAnsi="Arial" w:cs="Arial"/>
          <w:b/>
          <w:bCs/>
          <w:i/>
          <w:iCs/>
          <w:color w:val="0D0D0D" w:themeColor="text1" w:themeTint="F2"/>
          <w:kern w:val="0"/>
          <w:lang w:eastAsia="en-GB"/>
          <w14:ligatures w14:val="none"/>
        </w:rPr>
      </w:pPr>
      <w:r w:rsidRPr="007C27A1">
        <w:rPr>
          <w:rFonts w:ascii="Arial" w:eastAsia="Times New Roman" w:hAnsi="Arial" w:cs="Arial"/>
          <w:b/>
          <w:bCs/>
          <w:i/>
          <w:iCs/>
          <w:color w:val="0D0D0D" w:themeColor="text1" w:themeTint="F2"/>
          <w:kern w:val="0"/>
          <w:lang w:eastAsia="en-GB"/>
          <w14:ligatures w14:val="none"/>
        </w:rPr>
        <w:t xml:space="preserve">The first three participants acknowledged that Corporate Accountant Psychopathy was implicitly undertaken when planning and executing an </w:t>
      </w:r>
      <w:r w:rsidRPr="007C27A1">
        <w:rPr>
          <w:rFonts w:ascii="Arial" w:eastAsia="Times New Roman" w:hAnsi="Arial" w:cs="Arial"/>
          <w:b/>
          <w:bCs/>
          <w:i/>
          <w:iCs/>
          <w:color w:val="0D0D0D" w:themeColor="text1" w:themeTint="F2"/>
          <w:kern w:val="0"/>
          <w:lang w:eastAsia="en-GB"/>
          <w14:ligatures w14:val="none"/>
        </w:rPr>
        <w:lastRenderedPageBreak/>
        <w:t>external audit assignment. However, the phenomenon is not actively referred to as Corporate Psychopath Accountants or corporate psychopathy and in some instances can become just a formulaic process with little appreciation for the implications.</w:t>
      </w:r>
    </w:p>
    <w:p w14:paraId="3E5CEF03" w14:textId="77777777" w:rsidR="007C27A1" w:rsidRPr="007C27A1" w:rsidRDefault="007C27A1" w:rsidP="007C27A1">
      <w:pPr>
        <w:spacing w:before="100" w:beforeAutospacing="1" w:after="100" w:afterAutospacing="1" w:line="480" w:lineRule="auto"/>
        <w:ind w:left="720"/>
        <w:jc w:val="both"/>
        <w:rPr>
          <w:rFonts w:ascii="Arial" w:eastAsia="Times New Roman" w:hAnsi="Arial" w:cs="Arial"/>
          <w:b/>
          <w:bCs/>
          <w:i/>
          <w:iCs/>
          <w:color w:val="0D0D0D" w:themeColor="text1" w:themeTint="F2"/>
          <w:kern w:val="0"/>
          <w:lang w:eastAsia="en-GB"/>
          <w14:ligatures w14:val="none"/>
        </w:rPr>
      </w:pPr>
    </w:p>
    <w:p w14:paraId="0E4A0C4D" w14:textId="77777777" w:rsidR="007C27A1" w:rsidRPr="007C27A1" w:rsidRDefault="007C27A1">
      <w:pPr>
        <w:numPr>
          <w:ilvl w:val="0"/>
          <w:numId w:val="36"/>
        </w:numPr>
        <w:spacing w:before="100" w:beforeAutospacing="1" w:after="100" w:afterAutospacing="1" w:line="480" w:lineRule="auto"/>
        <w:jc w:val="both"/>
        <w:rPr>
          <w:rFonts w:ascii="Arial" w:eastAsia="Times New Roman" w:hAnsi="Arial" w:cs="Arial"/>
          <w:b/>
          <w:bCs/>
          <w:i/>
          <w:iCs/>
          <w:color w:val="0D0D0D" w:themeColor="text1" w:themeTint="F2"/>
          <w:kern w:val="0"/>
          <w:lang w:eastAsia="en-GB"/>
          <w14:ligatures w14:val="none"/>
        </w:rPr>
      </w:pPr>
      <w:r w:rsidRPr="007C27A1">
        <w:rPr>
          <w:rFonts w:ascii="Arial" w:eastAsia="Times New Roman" w:hAnsi="Arial" w:cs="Arial"/>
          <w:b/>
          <w:bCs/>
          <w:i/>
          <w:iCs/>
          <w:color w:val="0D0D0D" w:themeColor="text1" w:themeTint="F2"/>
          <w:kern w:val="0"/>
          <w:lang w:eastAsia="en-GB"/>
          <w14:ligatures w14:val="none"/>
        </w:rPr>
        <w:t>It is now easier to resign from an audit if it is believed by the external auditor that the client is being uncooperative or hiding something especially in the wake of adverse publicity such as when Carillion collapsed within 12 months of a clean statutory audit opinion.</w:t>
      </w:r>
    </w:p>
    <w:p w14:paraId="49C6A104" w14:textId="77777777" w:rsidR="007C27A1" w:rsidRPr="007C27A1" w:rsidRDefault="007C27A1" w:rsidP="007C27A1">
      <w:pPr>
        <w:pBdr>
          <w:top w:val="single" w:sz="4" w:space="1" w:color="auto"/>
          <w:left w:val="single" w:sz="4" w:space="4" w:color="auto"/>
          <w:bottom w:val="single" w:sz="4" w:space="1" w:color="auto"/>
          <w:right w:val="single" w:sz="4" w:space="4" w:color="auto"/>
        </w:pBdr>
        <w:spacing w:before="100" w:beforeAutospacing="1" w:after="100" w:afterAutospacing="1" w:line="480" w:lineRule="auto"/>
        <w:jc w:val="both"/>
        <w:rPr>
          <w:rFonts w:ascii="Arial" w:eastAsia="Times New Roman" w:hAnsi="Arial" w:cs="Arial"/>
          <w:b/>
          <w:bCs/>
          <w:color w:val="0D0D0D" w:themeColor="text1" w:themeTint="F2"/>
          <w:kern w:val="0"/>
          <w:lang w:eastAsia="en-GB"/>
          <w14:ligatures w14:val="none"/>
        </w:rPr>
      </w:pPr>
      <w:r w:rsidRPr="007C27A1">
        <w:rPr>
          <w:rFonts w:ascii="Arial" w:eastAsia="Times New Roman" w:hAnsi="Arial" w:cs="Arial"/>
          <w:b/>
          <w:bCs/>
          <w:color w:val="0D0D0D" w:themeColor="text1" w:themeTint="F2"/>
          <w:kern w:val="0"/>
          <w:lang w:eastAsia="en-GB"/>
          <w14:ligatures w14:val="none"/>
        </w:rPr>
        <w:t>SRQ6: To what extent do auditors and / or subject matter experts believe that the BCT features of distributed ledger, immutability and permissioned rights can lessen the influence of the Corporate Accountant Psychopath and Accounting Fraud?</w:t>
      </w:r>
    </w:p>
    <w:p w14:paraId="641BF563" w14:textId="77777777" w:rsidR="007C27A1" w:rsidRPr="007C27A1" w:rsidRDefault="007C27A1" w:rsidP="007C27A1">
      <w:pPr>
        <w:spacing w:before="240" w:line="480" w:lineRule="auto"/>
        <w:jc w:val="both"/>
        <w:rPr>
          <w:rFonts w:ascii="Arial" w:eastAsiaTheme="minorHAnsi" w:hAnsi="Arial" w:cs="Arial"/>
          <w:color w:val="0D0D0D" w:themeColor="text1" w:themeTint="F2"/>
          <w:kern w:val="0"/>
          <w:lang w:eastAsia="en-US"/>
          <w14:ligatures w14:val="none"/>
        </w:rPr>
      </w:pPr>
      <w:r w:rsidRPr="007C27A1">
        <w:rPr>
          <w:rFonts w:ascii="Arial" w:eastAsia="Times New Roman" w:hAnsi="Arial" w:cs="Arial"/>
          <w:color w:val="0D0D0D" w:themeColor="text1" w:themeTint="F2"/>
          <w:kern w:val="0"/>
          <w:lang w:eastAsia="en-GB"/>
          <w14:ligatures w14:val="none"/>
        </w:rPr>
        <w:t xml:space="preserve">This was answered in section 4.3 and </w:t>
      </w:r>
      <w:r w:rsidRPr="007C27A1">
        <w:rPr>
          <w:rFonts w:ascii="Arial" w:eastAsiaTheme="minorHAnsi" w:hAnsi="Arial" w:cs="Arial"/>
          <w:color w:val="0D0D0D" w:themeColor="text1" w:themeTint="F2"/>
          <w:kern w:val="0"/>
          <w:lang w:eastAsia="en-US"/>
          <w14:ligatures w14:val="none"/>
        </w:rPr>
        <w:t>the key findings garnered were as followed:</w:t>
      </w:r>
    </w:p>
    <w:p w14:paraId="1FA1B620" w14:textId="77777777" w:rsidR="007C27A1" w:rsidRPr="007C27A1" w:rsidRDefault="007C27A1">
      <w:pPr>
        <w:numPr>
          <w:ilvl w:val="0"/>
          <w:numId w:val="37"/>
        </w:numPr>
        <w:spacing w:before="240" w:line="480" w:lineRule="auto"/>
        <w:contextualSpacing/>
        <w:jc w:val="both"/>
        <w:rPr>
          <w:rFonts w:ascii="Arial" w:eastAsiaTheme="minorHAnsi" w:hAnsi="Arial" w:cs="Arial"/>
          <w:b/>
          <w:bCs/>
          <w:i/>
          <w:iCs/>
          <w:color w:val="0D0D0D" w:themeColor="text1" w:themeTint="F2"/>
          <w:kern w:val="0"/>
          <w:lang w:eastAsia="en-US"/>
          <w14:ligatures w14:val="none"/>
        </w:rPr>
      </w:pPr>
      <w:r w:rsidRPr="007C27A1">
        <w:rPr>
          <w:rFonts w:ascii="Arial" w:eastAsiaTheme="minorHAnsi" w:hAnsi="Arial" w:cs="Arial"/>
          <w:b/>
          <w:bCs/>
          <w:i/>
          <w:iCs/>
          <w:color w:val="0D0D0D" w:themeColor="text1" w:themeTint="F2"/>
          <w:kern w:val="0"/>
          <w:lang w:eastAsia="en-US"/>
          <w14:ligatures w14:val="none"/>
        </w:rPr>
        <w:t>The participants believe that BC features of distributed ledger, immutability and permissioned rights will decrease Accounting Fraud only at the transactional level but not in areas that require judgement or opinion such as revaluations and will remain open to exploitation.</w:t>
      </w:r>
    </w:p>
    <w:p w14:paraId="19D4B754" w14:textId="77777777" w:rsidR="007C27A1" w:rsidRPr="007C27A1" w:rsidRDefault="007C27A1" w:rsidP="007C27A1">
      <w:pPr>
        <w:spacing w:before="240" w:line="480" w:lineRule="auto"/>
        <w:jc w:val="both"/>
        <w:rPr>
          <w:rFonts w:ascii="Arial" w:eastAsiaTheme="minorHAnsi" w:hAnsi="Arial" w:cs="Arial"/>
          <w:b/>
          <w:bCs/>
          <w:i/>
          <w:iCs/>
          <w:color w:val="0D0D0D" w:themeColor="text1" w:themeTint="F2"/>
          <w:kern w:val="0"/>
          <w:lang w:eastAsia="en-US"/>
          <w14:ligatures w14:val="none"/>
        </w:rPr>
      </w:pPr>
    </w:p>
    <w:p w14:paraId="1089D2DB" w14:textId="77777777" w:rsidR="007C27A1" w:rsidRPr="007C27A1" w:rsidRDefault="007C27A1">
      <w:pPr>
        <w:numPr>
          <w:ilvl w:val="0"/>
          <w:numId w:val="37"/>
        </w:numPr>
        <w:autoSpaceDE w:val="0"/>
        <w:autoSpaceDN w:val="0"/>
        <w:adjustRightInd w:val="0"/>
        <w:spacing w:after="0" w:line="480" w:lineRule="auto"/>
        <w:contextualSpacing/>
        <w:jc w:val="both"/>
        <w:rPr>
          <w:rFonts w:ascii="Arial" w:eastAsiaTheme="minorHAnsi" w:hAnsi="Arial" w:cs="Arial"/>
          <w:b/>
          <w:bCs/>
          <w:i/>
          <w:iCs/>
          <w:color w:val="0D0D0D" w:themeColor="text1" w:themeTint="F2"/>
          <w:kern w:val="0"/>
          <w:lang w:eastAsia="en-US"/>
          <w14:ligatures w14:val="none"/>
        </w:rPr>
      </w:pPr>
      <w:r w:rsidRPr="007C27A1">
        <w:rPr>
          <w:rFonts w:ascii="Arial" w:eastAsiaTheme="minorHAnsi" w:hAnsi="Arial" w:cs="Arial"/>
          <w:b/>
          <w:bCs/>
          <w:i/>
          <w:iCs/>
          <w:color w:val="0D0D0D" w:themeColor="text1" w:themeTint="F2"/>
          <w:kern w:val="0"/>
          <w:lang w:eastAsia="en-US"/>
          <w14:ligatures w14:val="none"/>
        </w:rPr>
        <w:t xml:space="preserve">All the participants thought that the human element will be reduced however, BCT may still be compromised and currently it is only suitable </w:t>
      </w:r>
      <w:r w:rsidRPr="007C27A1">
        <w:rPr>
          <w:rFonts w:ascii="Arial" w:eastAsiaTheme="minorHAnsi" w:hAnsi="Arial" w:cs="Arial"/>
          <w:b/>
          <w:bCs/>
          <w:i/>
          <w:iCs/>
          <w:color w:val="0D0D0D" w:themeColor="text1" w:themeTint="F2"/>
          <w:kern w:val="0"/>
          <w:lang w:eastAsia="en-US"/>
          <w14:ligatures w14:val="none"/>
        </w:rPr>
        <w:lastRenderedPageBreak/>
        <w:t>for the Big 4 Audit firms as they have the resources to manage and implement it.</w:t>
      </w:r>
    </w:p>
    <w:p w14:paraId="126ADE06" w14:textId="77777777" w:rsidR="007C27A1" w:rsidRPr="007C27A1" w:rsidRDefault="007C27A1" w:rsidP="007C27A1">
      <w:pPr>
        <w:spacing w:line="480" w:lineRule="auto"/>
        <w:jc w:val="both"/>
        <w:rPr>
          <w:rFonts w:ascii="Arial" w:eastAsiaTheme="minorHAnsi" w:hAnsi="Arial" w:cs="Arial"/>
          <w:b/>
          <w:bCs/>
          <w:i/>
          <w:iCs/>
          <w:color w:val="0D0D0D" w:themeColor="text1" w:themeTint="F2"/>
          <w:kern w:val="0"/>
          <w:lang w:eastAsia="en-US"/>
          <w14:ligatures w14:val="none"/>
        </w:rPr>
      </w:pPr>
    </w:p>
    <w:p w14:paraId="28D44414" w14:textId="77777777" w:rsidR="007C27A1" w:rsidRPr="007C27A1" w:rsidRDefault="007C27A1">
      <w:pPr>
        <w:numPr>
          <w:ilvl w:val="0"/>
          <w:numId w:val="37"/>
        </w:numPr>
        <w:autoSpaceDE w:val="0"/>
        <w:autoSpaceDN w:val="0"/>
        <w:adjustRightInd w:val="0"/>
        <w:spacing w:after="0" w:line="480" w:lineRule="auto"/>
        <w:contextualSpacing/>
        <w:jc w:val="both"/>
        <w:rPr>
          <w:rFonts w:ascii="Arial" w:eastAsiaTheme="minorHAnsi" w:hAnsi="Arial" w:cs="Arial"/>
          <w:b/>
          <w:bCs/>
          <w:i/>
          <w:iCs/>
          <w:color w:val="0D0D0D" w:themeColor="text1" w:themeTint="F2"/>
          <w:kern w:val="0"/>
          <w:lang w:eastAsia="en-US"/>
          <w14:ligatures w14:val="none"/>
        </w:rPr>
      </w:pPr>
      <w:r w:rsidRPr="007C27A1">
        <w:rPr>
          <w:rFonts w:ascii="Arial" w:eastAsiaTheme="minorHAnsi" w:hAnsi="Arial" w:cs="Arial"/>
          <w:b/>
          <w:bCs/>
          <w:i/>
          <w:iCs/>
          <w:color w:val="0D0D0D" w:themeColor="text1" w:themeTint="F2"/>
          <w:kern w:val="0"/>
          <w:lang w:eastAsia="en-US"/>
          <w14:ligatures w14:val="none"/>
        </w:rPr>
        <w:t xml:space="preserve">All the participants believe that BC features of distributed ledger, immutability and permissioned rights will reduce the influence but not eradicate the Corporate Psychopath Accountant. Since, there will extra levels of protection such as the use of hash tags however, in areas of judgement such as liabilities there will still be a risk from complicity and the chance for ‘control fraud’.  </w:t>
      </w:r>
    </w:p>
    <w:p w14:paraId="72447A12" w14:textId="77777777" w:rsidR="007C27A1" w:rsidRPr="007C27A1" w:rsidRDefault="007C27A1" w:rsidP="007C27A1">
      <w:pPr>
        <w:autoSpaceDE w:val="0"/>
        <w:autoSpaceDN w:val="0"/>
        <w:adjustRightInd w:val="0"/>
        <w:spacing w:after="0" w:line="480" w:lineRule="auto"/>
        <w:contextualSpacing/>
        <w:jc w:val="both"/>
        <w:rPr>
          <w:rFonts w:ascii="Arial" w:eastAsiaTheme="minorHAnsi" w:hAnsi="Arial" w:cs="Arial"/>
          <w:b/>
          <w:bCs/>
          <w:i/>
          <w:iCs/>
          <w:color w:val="0D0D0D" w:themeColor="text1" w:themeTint="F2"/>
          <w:kern w:val="0"/>
          <w:lang w:eastAsia="en-US"/>
          <w14:ligatures w14:val="none"/>
        </w:rPr>
      </w:pPr>
    </w:p>
    <w:p w14:paraId="480BF754" w14:textId="77777777" w:rsidR="007C27A1" w:rsidRPr="007C27A1" w:rsidRDefault="007C27A1">
      <w:pPr>
        <w:numPr>
          <w:ilvl w:val="0"/>
          <w:numId w:val="37"/>
        </w:numPr>
        <w:autoSpaceDE w:val="0"/>
        <w:autoSpaceDN w:val="0"/>
        <w:adjustRightInd w:val="0"/>
        <w:spacing w:after="0" w:line="360" w:lineRule="auto"/>
        <w:contextualSpacing/>
        <w:jc w:val="both"/>
        <w:rPr>
          <w:rFonts w:ascii="Arial" w:eastAsiaTheme="minorHAnsi" w:hAnsi="Arial" w:cs="Arial"/>
          <w:b/>
          <w:bCs/>
          <w:i/>
          <w:iCs/>
          <w:color w:val="0D0D0D" w:themeColor="text1" w:themeTint="F2"/>
          <w:kern w:val="0"/>
          <w:lang w:eastAsia="en-US"/>
          <w14:ligatures w14:val="none"/>
        </w:rPr>
      </w:pPr>
      <w:r w:rsidRPr="007C27A1">
        <w:rPr>
          <w:rFonts w:ascii="Arial" w:eastAsiaTheme="minorHAnsi" w:hAnsi="Arial" w:cs="Arial"/>
          <w:b/>
          <w:bCs/>
          <w:i/>
          <w:iCs/>
          <w:color w:val="0D0D0D" w:themeColor="text1" w:themeTint="F2"/>
          <w:kern w:val="0"/>
          <w:lang w:eastAsia="en-US"/>
          <w14:ligatures w14:val="none"/>
        </w:rPr>
        <w:t xml:space="preserve">All the interviewees believed that BC auditing will lead to correlation rather than causation in audit evidence as the ledgers are self-regulating and correcting. </w:t>
      </w:r>
    </w:p>
    <w:p w14:paraId="0E1C35D9" w14:textId="77777777" w:rsidR="007C27A1" w:rsidRPr="007C27A1" w:rsidRDefault="007C27A1" w:rsidP="007C27A1">
      <w:pPr>
        <w:spacing w:line="480" w:lineRule="auto"/>
        <w:jc w:val="both"/>
        <w:rPr>
          <w:rFonts w:ascii="Arial" w:eastAsiaTheme="minorHAnsi" w:hAnsi="Arial" w:cs="Arial"/>
          <w:b/>
          <w:bCs/>
          <w:i/>
          <w:iCs/>
          <w:color w:val="0D0D0D" w:themeColor="text1" w:themeTint="F2"/>
          <w:kern w:val="0"/>
          <w:lang w:eastAsia="en-US"/>
          <w14:ligatures w14:val="none"/>
        </w:rPr>
      </w:pPr>
    </w:p>
    <w:p w14:paraId="6B4A819F" w14:textId="77777777" w:rsidR="007C27A1" w:rsidRPr="007C27A1" w:rsidRDefault="007C27A1">
      <w:pPr>
        <w:numPr>
          <w:ilvl w:val="0"/>
          <w:numId w:val="37"/>
        </w:numPr>
        <w:autoSpaceDE w:val="0"/>
        <w:autoSpaceDN w:val="0"/>
        <w:adjustRightInd w:val="0"/>
        <w:spacing w:after="0" w:line="480" w:lineRule="auto"/>
        <w:contextualSpacing/>
        <w:jc w:val="both"/>
        <w:rPr>
          <w:rFonts w:ascii="Arial" w:eastAsiaTheme="minorHAnsi" w:hAnsi="Arial" w:cs="Arial"/>
          <w:b/>
          <w:bCs/>
          <w:i/>
          <w:iCs/>
          <w:color w:val="0D0D0D" w:themeColor="text1" w:themeTint="F2"/>
          <w:kern w:val="0"/>
          <w:lang w:eastAsia="en-US"/>
          <w14:ligatures w14:val="none"/>
        </w:rPr>
      </w:pPr>
      <w:r w:rsidRPr="007C27A1">
        <w:rPr>
          <w:rFonts w:ascii="Arial" w:eastAsiaTheme="minorHAnsi" w:hAnsi="Arial" w:cs="Arial"/>
          <w:b/>
          <w:bCs/>
          <w:i/>
          <w:iCs/>
          <w:color w:val="0D0D0D" w:themeColor="text1" w:themeTint="F2"/>
          <w:kern w:val="0"/>
          <w:lang w:eastAsia="en-US"/>
          <w14:ligatures w14:val="none"/>
        </w:rPr>
        <w:t xml:space="preserve">All the interviewees believe that BC auditing will lead to a better audit opinion at the transactional level as the human element will become less pronounced. </w:t>
      </w:r>
    </w:p>
    <w:p w14:paraId="245BAF05" w14:textId="77777777" w:rsidR="007C27A1" w:rsidRPr="007C27A1" w:rsidRDefault="007C27A1">
      <w:pPr>
        <w:numPr>
          <w:ilvl w:val="0"/>
          <w:numId w:val="37"/>
        </w:numPr>
        <w:autoSpaceDE w:val="0"/>
        <w:autoSpaceDN w:val="0"/>
        <w:adjustRightInd w:val="0"/>
        <w:spacing w:after="0" w:line="480" w:lineRule="auto"/>
        <w:contextualSpacing/>
        <w:jc w:val="both"/>
        <w:rPr>
          <w:rFonts w:ascii="Arial" w:eastAsiaTheme="minorHAnsi" w:hAnsi="Arial" w:cs="Arial"/>
          <w:b/>
          <w:bCs/>
          <w:i/>
          <w:iCs/>
          <w:color w:val="0D0D0D" w:themeColor="text1" w:themeTint="F2"/>
          <w:kern w:val="0"/>
          <w:lang w:eastAsia="en-US"/>
          <w14:ligatures w14:val="none"/>
        </w:rPr>
      </w:pPr>
      <w:r w:rsidRPr="007C27A1">
        <w:rPr>
          <w:rFonts w:ascii="Arial" w:eastAsiaTheme="minorHAnsi" w:hAnsi="Arial" w:cs="Arial"/>
          <w:b/>
          <w:bCs/>
          <w:i/>
          <w:iCs/>
          <w:color w:val="0D0D0D" w:themeColor="text1" w:themeTint="F2"/>
          <w:kern w:val="0"/>
          <w:lang w:eastAsia="en-US"/>
          <w14:ligatures w14:val="none"/>
        </w:rPr>
        <w:t xml:space="preserve">The chief barriers to using the nascent BCT are cost / investment and (re)training of human resources. </w:t>
      </w:r>
    </w:p>
    <w:p w14:paraId="6C5608D6" w14:textId="77777777" w:rsidR="007C27A1" w:rsidRPr="007C27A1" w:rsidRDefault="007C27A1" w:rsidP="007C27A1">
      <w:pPr>
        <w:spacing w:line="480" w:lineRule="auto"/>
        <w:jc w:val="both"/>
        <w:rPr>
          <w:rFonts w:ascii="Arial" w:eastAsiaTheme="minorHAnsi" w:hAnsi="Arial" w:cs="Arial"/>
          <w:b/>
          <w:bCs/>
          <w:i/>
          <w:iCs/>
          <w:color w:val="0D0D0D" w:themeColor="text1" w:themeTint="F2"/>
          <w:kern w:val="0"/>
          <w:lang w:eastAsia="en-US"/>
          <w14:ligatures w14:val="none"/>
        </w:rPr>
      </w:pPr>
    </w:p>
    <w:p w14:paraId="3653ED0B" w14:textId="43A61F68" w:rsidR="007C27A1" w:rsidRPr="00A227EA" w:rsidRDefault="007C27A1" w:rsidP="00A227EA">
      <w:pPr>
        <w:numPr>
          <w:ilvl w:val="0"/>
          <w:numId w:val="37"/>
        </w:numPr>
        <w:autoSpaceDE w:val="0"/>
        <w:autoSpaceDN w:val="0"/>
        <w:adjustRightInd w:val="0"/>
        <w:spacing w:after="0" w:line="480" w:lineRule="auto"/>
        <w:contextualSpacing/>
        <w:jc w:val="both"/>
        <w:rPr>
          <w:rFonts w:ascii="Arial" w:eastAsiaTheme="minorHAnsi" w:hAnsi="Arial" w:cs="Arial"/>
          <w:b/>
          <w:bCs/>
          <w:i/>
          <w:iCs/>
          <w:color w:val="0D0D0D" w:themeColor="text1" w:themeTint="F2"/>
          <w:kern w:val="0"/>
          <w:lang w:eastAsia="en-US"/>
          <w14:ligatures w14:val="none"/>
        </w:rPr>
      </w:pPr>
      <w:r w:rsidRPr="007C27A1">
        <w:rPr>
          <w:rFonts w:ascii="Arial" w:eastAsiaTheme="minorHAnsi" w:hAnsi="Arial" w:cs="Arial"/>
          <w:b/>
          <w:bCs/>
          <w:i/>
          <w:iCs/>
          <w:color w:val="0D0D0D" w:themeColor="text1" w:themeTint="F2"/>
          <w:kern w:val="0"/>
          <w:lang w:eastAsia="en-US"/>
          <w14:ligatures w14:val="none"/>
        </w:rPr>
        <w:t>It was believed that until the system becomes universal and mandatory it will be not successfully adopted in the SME / OMB market which is highly resistant to change for example the recent UK Governments Making Tax Digital (MTD) initiative remains inoperable, and deadlines are constantly being revised.</w:t>
      </w:r>
    </w:p>
    <w:p w14:paraId="4CB999F5" w14:textId="77777777" w:rsidR="007C27A1" w:rsidRPr="007C27A1" w:rsidRDefault="007C27A1">
      <w:pPr>
        <w:numPr>
          <w:ilvl w:val="0"/>
          <w:numId w:val="37"/>
        </w:numPr>
        <w:autoSpaceDE w:val="0"/>
        <w:autoSpaceDN w:val="0"/>
        <w:adjustRightInd w:val="0"/>
        <w:spacing w:after="0" w:line="480" w:lineRule="auto"/>
        <w:contextualSpacing/>
        <w:jc w:val="both"/>
        <w:rPr>
          <w:rFonts w:ascii="Arial" w:eastAsiaTheme="minorHAnsi" w:hAnsi="Arial" w:cs="Arial"/>
          <w:b/>
          <w:bCs/>
          <w:i/>
          <w:iCs/>
          <w:color w:val="0D0D0D" w:themeColor="text1" w:themeTint="F2"/>
          <w:kern w:val="0"/>
          <w:lang w:eastAsia="en-US"/>
          <w14:ligatures w14:val="none"/>
        </w:rPr>
      </w:pPr>
      <w:r w:rsidRPr="007C27A1">
        <w:rPr>
          <w:rFonts w:ascii="Arial" w:eastAsiaTheme="minorHAnsi" w:hAnsi="Arial" w:cs="Arial"/>
          <w:b/>
          <w:bCs/>
          <w:i/>
          <w:iCs/>
          <w:color w:val="0D0D0D" w:themeColor="text1" w:themeTint="F2"/>
          <w:kern w:val="0"/>
          <w:lang w:eastAsia="en-US"/>
          <w14:ligatures w14:val="none"/>
        </w:rPr>
        <w:lastRenderedPageBreak/>
        <w:t xml:space="preserve">Currently, complete adoption of BCT may be a distant reality however, automation continues that may be preparation before BCT becomes universally accepted. Thus, three of the participants currently use different technologies such as SAP which can help in the eventual switch transition to Blockchain Technology. </w:t>
      </w:r>
    </w:p>
    <w:p w14:paraId="0754397A" w14:textId="77777777" w:rsidR="007C27A1" w:rsidRPr="007C27A1" w:rsidRDefault="007C27A1" w:rsidP="007C27A1">
      <w:pPr>
        <w:spacing w:line="480" w:lineRule="auto"/>
        <w:jc w:val="both"/>
        <w:rPr>
          <w:rFonts w:ascii="Arial" w:eastAsiaTheme="minorHAnsi" w:hAnsi="Arial" w:cs="Arial"/>
          <w:b/>
          <w:bCs/>
          <w:i/>
          <w:iCs/>
          <w:color w:val="0D0D0D" w:themeColor="text1" w:themeTint="F2"/>
          <w:kern w:val="0"/>
          <w:lang w:eastAsia="en-US"/>
          <w14:ligatures w14:val="none"/>
        </w:rPr>
      </w:pPr>
    </w:p>
    <w:p w14:paraId="452DBF42" w14:textId="77777777" w:rsidR="007C27A1" w:rsidRPr="007C27A1" w:rsidRDefault="007C27A1">
      <w:pPr>
        <w:numPr>
          <w:ilvl w:val="0"/>
          <w:numId w:val="37"/>
        </w:numPr>
        <w:spacing w:line="480" w:lineRule="auto"/>
        <w:contextualSpacing/>
        <w:jc w:val="both"/>
        <w:rPr>
          <w:rFonts w:ascii="Arial" w:eastAsiaTheme="minorHAnsi" w:hAnsi="Arial" w:cs="Arial"/>
          <w:b/>
          <w:bCs/>
          <w:i/>
          <w:iCs/>
          <w:color w:val="0D0D0D" w:themeColor="text1" w:themeTint="F2"/>
          <w:kern w:val="0"/>
          <w:lang w:eastAsia="en-US"/>
          <w14:ligatures w14:val="none"/>
        </w:rPr>
      </w:pPr>
      <w:r w:rsidRPr="007C27A1">
        <w:rPr>
          <w:rFonts w:ascii="Arial" w:eastAsiaTheme="minorHAnsi" w:hAnsi="Arial" w:cs="Arial"/>
          <w:b/>
          <w:bCs/>
          <w:i/>
          <w:iCs/>
          <w:color w:val="0D0D0D" w:themeColor="text1" w:themeTint="F2"/>
          <w:kern w:val="0"/>
          <w:lang w:eastAsia="en-US"/>
          <w14:ligatures w14:val="none"/>
        </w:rPr>
        <w:t>The participants believe that the audit profession is in a state of flux and auditors are now actively looking for Accounting Fraud and transforming from to ‘watch dogs’ to ‘blood hounds’.</w:t>
      </w:r>
    </w:p>
    <w:p w14:paraId="070F1AD3" w14:textId="77777777" w:rsidR="007C27A1" w:rsidRPr="007C27A1" w:rsidRDefault="007C27A1" w:rsidP="007C27A1">
      <w:pPr>
        <w:spacing w:line="259" w:lineRule="auto"/>
        <w:ind w:left="720"/>
        <w:contextualSpacing/>
        <w:rPr>
          <w:rFonts w:ascii="Arial" w:eastAsiaTheme="minorHAnsi" w:hAnsi="Arial" w:cs="Arial"/>
          <w:b/>
          <w:bCs/>
          <w:i/>
          <w:iCs/>
          <w:color w:val="0D0D0D" w:themeColor="text1" w:themeTint="F2"/>
          <w:kern w:val="0"/>
          <w:lang w:eastAsia="en-US"/>
          <w14:ligatures w14:val="none"/>
        </w:rPr>
      </w:pPr>
    </w:p>
    <w:p w14:paraId="6984CDF1" w14:textId="77777777" w:rsidR="007C27A1" w:rsidRPr="007C27A1" w:rsidRDefault="007C27A1" w:rsidP="007C27A1">
      <w:pPr>
        <w:spacing w:line="480" w:lineRule="auto"/>
        <w:ind w:left="720"/>
        <w:contextualSpacing/>
        <w:jc w:val="both"/>
        <w:rPr>
          <w:rFonts w:ascii="Arial" w:eastAsiaTheme="minorHAnsi" w:hAnsi="Arial" w:cs="Arial"/>
          <w:b/>
          <w:bCs/>
          <w:i/>
          <w:iCs/>
          <w:color w:val="0D0D0D" w:themeColor="text1" w:themeTint="F2"/>
          <w:kern w:val="0"/>
          <w:lang w:eastAsia="en-US"/>
          <w14:ligatures w14:val="none"/>
        </w:rPr>
      </w:pPr>
    </w:p>
    <w:p w14:paraId="26DD86B8" w14:textId="77777777" w:rsidR="007C27A1" w:rsidRDefault="007C27A1">
      <w:pPr>
        <w:numPr>
          <w:ilvl w:val="0"/>
          <w:numId w:val="37"/>
        </w:numPr>
        <w:spacing w:line="480" w:lineRule="auto"/>
        <w:contextualSpacing/>
        <w:jc w:val="both"/>
        <w:rPr>
          <w:rFonts w:ascii="Arial" w:eastAsiaTheme="minorHAnsi" w:hAnsi="Arial" w:cs="Arial"/>
          <w:b/>
          <w:bCs/>
          <w:i/>
          <w:iCs/>
          <w:color w:val="0D0D0D" w:themeColor="text1" w:themeTint="F2"/>
          <w:kern w:val="0"/>
          <w:lang w:eastAsia="en-US"/>
          <w14:ligatures w14:val="none"/>
        </w:rPr>
      </w:pPr>
      <w:r w:rsidRPr="007C27A1">
        <w:rPr>
          <w:rFonts w:ascii="Arial" w:eastAsiaTheme="minorHAnsi" w:hAnsi="Arial" w:cs="Arial"/>
          <w:b/>
          <w:bCs/>
          <w:i/>
          <w:iCs/>
          <w:color w:val="0D0D0D" w:themeColor="text1" w:themeTint="F2"/>
          <w:kern w:val="0"/>
          <w:lang w:eastAsia="en-US"/>
          <w14:ligatures w14:val="none"/>
        </w:rPr>
        <w:t>It is believed that BCT should enhance assurance and will become better at reducing Accounting Fraud and potentially curb the Corporate Psychopath Accountant as the technology becomes more widespread and established.</w:t>
      </w:r>
    </w:p>
    <w:p w14:paraId="1B861777" w14:textId="77777777" w:rsidR="007C27A1" w:rsidRPr="007C27A1" w:rsidRDefault="007C27A1" w:rsidP="007C27A1">
      <w:pPr>
        <w:spacing w:line="480" w:lineRule="auto"/>
        <w:contextualSpacing/>
        <w:jc w:val="both"/>
        <w:rPr>
          <w:rFonts w:ascii="Arial" w:eastAsiaTheme="minorHAnsi" w:hAnsi="Arial" w:cs="Arial"/>
          <w:b/>
          <w:bCs/>
          <w:i/>
          <w:iCs/>
          <w:color w:val="0D0D0D" w:themeColor="text1" w:themeTint="F2"/>
          <w:kern w:val="0"/>
          <w:lang w:eastAsia="en-US"/>
          <w14:ligatures w14:val="none"/>
        </w:rPr>
      </w:pPr>
    </w:p>
    <w:bookmarkStart w:id="795" w:name="_Hlk172265337"/>
    <w:bookmarkStart w:id="796" w:name="D128"/>
    <w:p w14:paraId="023EE2D0" w14:textId="0EA03DB8" w:rsidR="007C27A1" w:rsidRPr="007C27A1" w:rsidRDefault="00491902" w:rsidP="00BB41DE">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color w:val="0D0D0D" w:themeColor="text1" w:themeTint="F2"/>
          <w:kern w:val="0"/>
          <w:lang w:eastAsia="en-US"/>
          <w14:ligatures w14:val="none"/>
        </w:rPr>
      </w:pPr>
      <w:r>
        <w:rPr>
          <w:rFonts w:ascii="Arial" w:eastAsiaTheme="minorHAnsi" w:hAnsi="Arial" w:cs="Arial"/>
          <w:b/>
          <w:bCs/>
          <w:kern w:val="0"/>
          <w:lang w:eastAsia="en-US"/>
          <w14:ligatures w14:val="none"/>
        </w:rPr>
        <w:fldChar w:fldCharType="begin"/>
      </w:r>
      <w:r>
        <w:rPr>
          <w:rFonts w:ascii="Arial" w:eastAsiaTheme="minorHAnsi" w:hAnsi="Arial" w:cs="Arial"/>
          <w:b/>
          <w:bCs/>
          <w:kern w:val="0"/>
          <w:lang w:eastAsia="en-US"/>
          <w14:ligatures w14:val="none"/>
        </w:rPr>
        <w:instrText>HYPERLINK  \l "C128"</w:instrText>
      </w:r>
      <w:r>
        <w:rPr>
          <w:rFonts w:ascii="Arial" w:eastAsiaTheme="minorHAnsi" w:hAnsi="Arial" w:cs="Arial"/>
          <w:b/>
          <w:bCs/>
          <w:kern w:val="0"/>
          <w:lang w:eastAsia="en-US"/>
          <w14:ligatures w14:val="none"/>
        </w:rPr>
      </w:r>
      <w:r>
        <w:rPr>
          <w:rFonts w:ascii="Arial" w:eastAsiaTheme="minorHAnsi" w:hAnsi="Arial" w:cs="Arial"/>
          <w:b/>
          <w:bCs/>
          <w:kern w:val="0"/>
          <w:lang w:eastAsia="en-US"/>
          <w14:ligatures w14:val="none"/>
        </w:rPr>
        <w:fldChar w:fldCharType="separate"/>
      </w:r>
      <w:r w:rsidR="007C27A1" w:rsidRPr="00491902">
        <w:rPr>
          <w:rStyle w:val="Hyperlink"/>
          <w:rFonts w:ascii="Arial" w:eastAsiaTheme="minorHAnsi" w:hAnsi="Arial" w:cs="Arial"/>
          <w:b/>
          <w:bCs/>
          <w:kern w:val="0"/>
          <w:lang w:eastAsia="en-US"/>
          <w14:ligatures w14:val="none"/>
        </w:rPr>
        <w:t>5.2 Implications based on the Research Aim, Research Objectives 1 – 5 and Research Questions 1 - 5</w:t>
      </w:r>
      <w:r>
        <w:rPr>
          <w:rFonts w:ascii="Arial" w:eastAsiaTheme="minorHAnsi" w:hAnsi="Arial" w:cs="Arial"/>
          <w:b/>
          <w:bCs/>
          <w:kern w:val="0"/>
          <w:lang w:eastAsia="en-US"/>
          <w14:ligatures w14:val="none"/>
        </w:rPr>
        <w:fldChar w:fldCharType="end"/>
      </w:r>
      <w:r w:rsidR="007C27A1" w:rsidRPr="007C27A1">
        <w:rPr>
          <w:rFonts w:ascii="Arial" w:eastAsiaTheme="minorHAnsi" w:hAnsi="Arial" w:cs="Arial"/>
          <w:color w:val="0D0D0D" w:themeColor="text1" w:themeTint="F2"/>
          <w:kern w:val="0"/>
          <w:lang w:eastAsia="en-US"/>
          <w14:ligatures w14:val="none"/>
        </w:rPr>
        <w:t xml:space="preserve"> </w:t>
      </w:r>
    </w:p>
    <w:bookmarkEnd w:id="795"/>
    <w:bookmarkEnd w:id="796"/>
    <w:p w14:paraId="418FE9FA" w14:textId="77777777" w:rsidR="007C27A1" w:rsidRPr="007C27A1" w:rsidRDefault="007C27A1" w:rsidP="007C27A1">
      <w:pPr>
        <w:spacing w:line="480" w:lineRule="auto"/>
        <w:contextualSpacing/>
        <w:jc w:val="both"/>
        <w:rPr>
          <w:rFonts w:ascii="Arial" w:eastAsiaTheme="minorHAnsi" w:hAnsi="Arial" w:cs="Arial"/>
          <w:color w:val="0D0D0D" w:themeColor="text1" w:themeTint="F2"/>
          <w:kern w:val="0"/>
          <w:lang w:eastAsia="en-US"/>
          <w14:ligatures w14:val="none"/>
        </w:rPr>
      </w:pPr>
      <w:r w:rsidRPr="007C27A1">
        <w:rPr>
          <w:rFonts w:ascii="Arial" w:eastAsiaTheme="minorHAnsi" w:hAnsi="Arial" w:cs="Arial"/>
          <w:color w:val="0D0D0D" w:themeColor="text1" w:themeTint="F2"/>
          <w:kern w:val="0"/>
          <w:lang w:eastAsia="en-US"/>
          <w14:ligatures w14:val="none"/>
        </w:rPr>
        <w:t>Based on the previous section the researcher suggests that the results, analysis and outcomes has potential implications in four areas which will be explored and underpinned by the salient literature:</w:t>
      </w:r>
    </w:p>
    <w:p w14:paraId="4910004D" w14:textId="77777777" w:rsidR="007C27A1" w:rsidRPr="00A227EA" w:rsidRDefault="007C27A1" w:rsidP="00A227EA">
      <w:pPr>
        <w:pStyle w:val="ListParagraph"/>
        <w:numPr>
          <w:ilvl w:val="0"/>
          <w:numId w:val="39"/>
        </w:numPr>
        <w:spacing w:line="480" w:lineRule="auto"/>
        <w:jc w:val="both"/>
        <w:rPr>
          <w:rFonts w:ascii="Arial" w:eastAsiaTheme="minorHAnsi" w:hAnsi="Arial" w:cs="Arial"/>
          <w:b/>
          <w:bCs/>
          <w:color w:val="0D0D0D" w:themeColor="text1" w:themeTint="F2"/>
          <w:kern w:val="0"/>
          <w:lang w:eastAsia="en-US"/>
          <w14:ligatures w14:val="none"/>
        </w:rPr>
      </w:pPr>
      <w:r w:rsidRPr="00A227EA">
        <w:rPr>
          <w:rFonts w:ascii="Arial" w:eastAsiaTheme="minorHAnsi" w:hAnsi="Arial" w:cs="Arial"/>
          <w:b/>
          <w:bCs/>
          <w:color w:val="0D0D0D" w:themeColor="text1" w:themeTint="F2"/>
          <w:kern w:val="0"/>
          <w:lang w:eastAsia="en-US"/>
          <w14:ligatures w14:val="none"/>
        </w:rPr>
        <w:t>Accounting &amp; Corporate Governance</w:t>
      </w:r>
    </w:p>
    <w:p w14:paraId="05E86AB5" w14:textId="77777777" w:rsidR="007C27A1" w:rsidRPr="00A227EA" w:rsidRDefault="007C27A1" w:rsidP="00A227EA">
      <w:pPr>
        <w:pStyle w:val="ListParagraph"/>
        <w:numPr>
          <w:ilvl w:val="0"/>
          <w:numId w:val="39"/>
        </w:numPr>
        <w:spacing w:line="480" w:lineRule="auto"/>
        <w:jc w:val="both"/>
        <w:rPr>
          <w:rFonts w:ascii="Arial" w:eastAsiaTheme="minorHAnsi" w:hAnsi="Arial" w:cs="Arial"/>
          <w:b/>
          <w:bCs/>
          <w:color w:val="0D0D0D" w:themeColor="text1" w:themeTint="F2"/>
          <w:kern w:val="0"/>
          <w:lang w:eastAsia="en-US"/>
          <w14:ligatures w14:val="none"/>
        </w:rPr>
      </w:pPr>
      <w:r w:rsidRPr="00A227EA">
        <w:rPr>
          <w:rFonts w:ascii="Arial" w:eastAsiaTheme="minorHAnsi" w:hAnsi="Arial" w:cs="Arial"/>
          <w:b/>
          <w:bCs/>
          <w:color w:val="0D0D0D" w:themeColor="text1" w:themeTint="F2"/>
          <w:kern w:val="0"/>
          <w:lang w:eastAsia="en-US"/>
          <w14:ligatures w14:val="none"/>
        </w:rPr>
        <w:t>Behavioural Studies and Psychopathy</w:t>
      </w:r>
    </w:p>
    <w:p w14:paraId="40526856" w14:textId="77777777" w:rsidR="007C27A1" w:rsidRPr="00A227EA" w:rsidRDefault="007C27A1" w:rsidP="00A227EA">
      <w:pPr>
        <w:pStyle w:val="ListParagraph"/>
        <w:numPr>
          <w:ilvl w:val="0"/>
          <w:numId w:val="39"/>
        </w:numPr>
        <w:spacing w:line="480" w:lineRule="auto"/>
        <w:jc w:val="both"/>
        <w:rPr>
          <w:rFonts w:ascii="Arial" w:eastAsiaTheme="minorHAnsi" w:hAnsi="Arial" w:cs="Arial"/>
          <w:b/>
          <w:bCs/>
          <w:color w:val="0D0D0D" w:themeColor="text1" w:themeTint="F2"/>
          <w:kern w:val="0"/>
          <w:lang w:eastAsia="en-US"/>
          <w14:ligatures w14:val="none"/>
        </w:rPr>
      </w:pPr>
      <w:r w:rsidRPr="00A227EA">
        <w:rPr>
          <w:rFonts w:ascii="Arial" w:eastAsiaTheme="minorHAnsi" w:hAnsi="Arial" w:cs="Arial"/>
          <w:b/>
          <w:bCs/>
          <w:color w:val="0D0D0D" w:themeColor="text1" w:themeTint="F2"/>
          <w:kern w:val="0"/>
          <w:lang w:eastAsia="en-US"/>
          <w14:ligatures w14:val="none"/>
        </w:rPr>
        <w:t>Policy and Regulation</w:t>
      </w:r>
    </w:p>
    <w:p w14:paraId="0F0AFD89" w14:textId="1F10A3CB" w:rsidR="00A227EA" w:rsidRPr="00A227EA" w:rsidRDefault="007C27A1" w:rsidP="00A227EA">
      <w:pPr>
        <w:pStyle w:val="ListParagraph"/>
        <w:numPr>
          <w:ilvl w:val="0"/>
          <w:numId w:val="39"/>
        </w:numPr>
        <w:spacing w:line="480" w:lineRule="auto"/>
        <w:jc w:val="both"/>
        <w:rPr>
          <w:rFonts w:ascii="Arial" w:eastAsiaTheme="minorHAnsi" w:hAnsi="Arial" w:cs="Arial"/>
          <w:b/>
          <w:bCs/>
          <w:color w:val="0D0D0D" w:themeColor="text1" w:themeTint="F2"/>
          <w:kern w:val="0"/>
          <w:lang w:eastAsia="en-US"/>
          <w14:ligatures w14:val="none"/>
        </w:rPr>
      </w:pPr>
      <w:r w:rsidRPr="00A227EA">
        <w:rPr>
          <w:rFonts w:ascii="Arial" w:eastAsiaTheme="minorHAnsi" w:hAnsi="Arial" w:cs="Arial"/>
          <w:b/>
          <w:bCs/>
          <w:color w:val="0D0D0D" w:themeColor="text1" w:themeTint="F2"/>
          <w:kern w:val="0"/>
          <w:lang w:eastAsia="en-US"/>
          <w14:ligatures w14:val="none"/>
        </w:rPr>
        <w:t>Education and Training</w:t>
      </w:r>
    </w:p>
    <w:bookmarkStart w:id="797" w:name="_Hlk172265384"/>
    <w:bookmarkStart w:id="798" w:name="D129"/>
    <w:p w14:paraId="358E8151" w14:textId="01475636" w:rsidR="007C27A1" w:rsidRPr="007C27A1" w:rsidRDefault="00DA15D5" w:rsidP="007C27A1">
      <w:pPr>
        <w:pBdr>
          <w:top w:val="single" w:sz="4" w:space="1" w:color="auto"/>
          <w:left w:val="single" w:sz="4" w:space="4" w:color="auto"/>
          <w:bottom w:val="single" w:sz="4" w:space="1" w:color="auto"/>
          <w:right w:val="single" w:sz="4" w:space="4" w:color="auto"/>
        </w:pBdr>
        <w:spacing w:before="100" w:beforeAutospacing="1" w:after="100" w:afterAutospacing="1" w:line="240" w:lineRule="auto"/>
        <w:outlineLvl w:val="2"/>
        <w:rPr>
          <w:rFonts w:asciiTheme="minorBidi" w:eastAsia="Times New Roman" w:hAnsiTheme="minorBidi"/>
          <w:b/>
          <w:bCs/>
          <w:kern w:val="0"/>
          <w14:ligatures w14:val="none"/>
        </w:rPr>
      </w:pPr>
      <w:r>
        <w:rPr>
          <w:rFonts w:asciiTheme="minorBidi" w:eastAsia="Times New Roman" w:hAnsiTheme="minorBidi"/>
          <w:b/>
          <w:bCs/>
          <w:kern w:val="0"/>
          <w14:ligatures w14:val="none"/>
        </w:rPr>
        <w:lastRenderedPageBreak/>
        <w:fldChar w:fldCharType="begin"/>
      </w:r>
      <w:r>
        <w:rPr>
          <w:rFonts w:asciiTheme="minorBidi" w:eastAsia="Times New Roman" w:hAnsiTheme="minorBidi"/>
          <w:b/>
          <w:bCs/>
          <w:kern w:val="0"/>
          <w14:ligatures w14:val="none"/>
        </w:rPr>
        <w:instrText>HYPERLINK  \l "C129"</w:instrText>
      </w:r>
      <w:r>
        <w:rPr>
          <w:rFonts w:asciiTheme="minorBidi" w:eastAsia="Times New Roman" w:hAnsiTheme="minorBidi"/>
          <w:b/>
          <w:bCs/>
          <w:kern w:val="0"/>
          <w14:ligatures w14:val="none"/>
        </w:rPr>
      </w:r>
      <w:r>
        <w:rPr>
          <w:rFonts w:asciiTheme="minorBidi" w:eastAsia="Times New Roman" w:hAnsiTheme="minorBidi"/>
          <w:b/>
          <w:bCs/>
          <w:kern w:val="0"/>
          <w14:ligatures w14:val="none"/>
        </w:rPr>
        <w:fldChar w:fldCharType="separate"/>
      </w:r>
      <w:r w:rsidR="007C27A1" w:rsidRPr="00DA15D5">
        <w:rPr>
          <w:rStyle w:val="Hyperlink"/>
          <w:rFonts w:asciiTheme="minorBidi" w:eastAsia="Times New Roman" w:hAnsiTheme="minorBidi"/>
          <w:b/>
          <w:bCs/>
          <w:kern w:val="0"/>
          <w14:ligatures w14:val="none"/>
        </w:rPr>
        <w:t>5.2.1 Implications for Accounting and Corporate Governance</w:t>
      </w:r>
      <w:r>
        <w:rPr>
          <w:rFonts w:asciiTheme="minorBidi" w:eastAsia="Times New Roman" w:hAnsiTheme="minorBidi"/>
          <w:b/>
          <w:bCs/>
          <w:kern w:val="0"/>
          <w14:ligatures w14:val="none"/>
        </w:rPr>
        <w:fldChar w:fldCharType="end"/>
      </w:r>
    </w:p>
    <w:bookmarkEnd w:id="797"/>
    <w:bookmarkEnd w:id="798"/>
    <w:p w14:paraId="3703E175" w14:textId="77777777" w:rsidR="007C27A1" w:rsidRPr="007C27A1" w:rsidRDefault="007C27A1" w:rsidP="007C27A1">
      <w:pPr>
        <w:spacing w:after="240" w:line="480" w:lineRule="auto"/>
        <w:jc w:val="both"/>
        <w:rPr>
          <w:rFonts w:asciiTheme="minorBidi" w:eastAsia="Times New Roman" w:hAnsiTheme="minorBidi"/>
          <w:kern w:val="0"/>
          <w14:ligatures w14:val="none"/>
        </w:rPr>
      </w:pPr>
      <w:r w:rsidRPr="007C27A1">
        <w:rPr>
          <w:rFonts w:asciiTheme="minorBidi" w:eastAsia="Times New Roman" w:hAnsiTheme="minorBidi"/>
          <w:kern w:val="0"/>
          <w14:ligatures w14:val="none"/>
        </w:rPr>
        <w:t>The use of Blockchain Technology has the potential to completely transform financial transactions' accountability and transparency. Blockchain Technology guarantees that every transaction is recorded in a way that cannot be changed or removed by using a decentralised and immutable ledger. This transparency is important in companies run by psychopathic personalities or Corporate Psychopath Accountants, who would otherwise take advantage of established structures for their own benefit. All stakeholders have access to the same authenticated data thanks to Blockchain Technology consequently, there is minimal information asymmetry that could be utilised fraudulently. This transparency increases stakeholder confidence in the organisation's financial integrity whilst also discouraging fraudulent activity or Accounting Fraud. In order to further minimise fraud opportunities, automated smart contracts can also be implemented to ensure adherence to organisational norms and financial regulations. Ibáñez&amp; Simó, P (2022) elaborate on how Blockchain Technology can enhance transparency and accountability across different accounting, by supplying an immutable ledger that lowers the chances of Accounting Fraud.</w:t>
      </w:r>
    </w:p>
    <w:p w14:paraId="2AED27F6" w14:textId="77777777" w:rsidR="007C27A1" w:rsidRPr="007C27A1" w:rsidRDefault="007C27A1" w:rsidP="007C27A1">
      <w:pPr>
        <w:spacing w:after="240" w:line="480" w:lineRule="auto"/>
        <w:jc w:val="both"/>
        <w:rPr>
          <w:rFonts w:asciiTheme="minorBidi" w:eastAsia="Times New Roman" w:hAnsiTheme="minorBidi"/>
          <w:kern w:val="0"/>
          <w14:ligatures w14:val="none"/>
        </w:rPr>
      </w:pPr>
      <w:r w:rsidRPr="007C27A1">
        <w:rPr>
          <w:rFonts w:asciiTheme="minorBidi" w:eastAsia="Times New Roman" w:hAnsiTheme="minorBidi"/>
          <w:kern w:val="0"/>
          <w14:ligatures w14:val="none"/>
        </w:rPr>
        <w:t xml:space="preserve">Blockchain Technology offers instruments for improved supervision and control, making it potentially a valuable component of Corporate Governance systems. By guaranteeing that all transactions are visible and verifiable, it makes the adoption of strong governance measures easier. Blockchain Technology can improve financial reporting, compliance, internal controls, and other facets of Corporate Governance. By making it simpler to identify and track down the origin of fraudulent activity, it can aid in the development of an ethical and accountable culture. This is especially crucial in settings where Corporate Psychopath Accountants would try to undermine established governance structures. Research by Xu &amp; Bellavitis (2021) discusses how </w:t>
      </w:r>
      <w:r w:rsidRPr="007C27A1">
        <w:rPr>
          <w:rFonts w:asciiTheme="minorBidi" w:eastAsia="Times New Roman" w:hAnsiTheme="minorBidi"/>
          <w:kern w:val="0"/>
          <w14:ligatures w14:val="none"/>
        </w:rPr>
        <w:lastRenderedPageBreak/>
        <w:t>Blockchain can be incorporated into Corporate Governance protocols to enhance monitoring and control, thereby lowering the risk of Accounting Fraud</w:t>
      </w:r>
    </w:p>
    <w:p w14:paraId="3E6FB265" w14:textId="3158D874" w:rsidR="007C27A1" w:rsidRPr="007C27A1" w:rsidRDefault="007C27A1" w:rsidP="00105E70">
      <w:pPr>
        <w:spacing w:before="100" w:beforeAutospacing="1" w:after="100" w:afterAutospacing="1" w:line="480" w:lineRule="auto"/>
        <w:jc w:val="both"/>
        <w:rPr>
          <w:rFonts w:asciiTheme="minorBidi" w:eastAsia="Times New Roman" w:hAnsiTheme="minorBidi"/>
          <w:kern w:val="0"/>
          <w14:ligatures w14:val="none"/>
        </w:rPr>
      </w:pPr>
      <w:r w:rsidRPr="007C27A1">
        <w:rPr>
          <w:rFonts w:asciiTheme="minorBidi" w:eastAsia="Times New Roman" w:hAnsiTheme="minorBidi"/>
          <w:kern w:val="0"/>
          <w14:ligatures w14:val="none"/>
        </w:rPr>
        <w:t xml:space="preserve">The efficiency and dependability of statutory audits can be considerably increased by including Blockchain into auditing procedures. The immutability of Blockchain data allows auditors to confirm the completeness and accuracy of financial transactions. By utilising smart contracts and automated data verification, Blockchain can automate a number of auditing process steps, eliminating the need for manual checks and the possibility of human error. This lowers the time and expense involved in the auditing operations while also increasing audit accuracy. Furthermore, as Blockchain Technology is real-time, it can help with continuous auditing by giving auditors constant insights into financial transactions and facilitating the early detection of irregularities or suspect activity i.e. Accounting Fraud. Appelbaum et. al (2022) explore how Blockchain can revolutionise internal and external auditing processes by establishing data integrity and providing a transparent, verifiable audit trail. </w:t>
      </w:r>
    </w:p>
    <w:bookmarkStart w:id="799" w:name="_Hlk172265401"/>
    <w:bookmarkStart w:id="800" w:name="D130"/>
    <w:p w14:paraId="5E1B9FA3" w14:textId="6F60434E" w:rsidR="007C27A1" w:rsidRPr="007C27A1" w:rsidRDefault="0007167C" w:rsidP="007C27A1">
      <w:pPr>
        <w:pBdr>
          <w:top w:val="single" w:sz="4" w:space="1" w:color="auto"/>
          <w:left w:val="single" w:sz="4" w:space="4" w:color="auto"/>
          <w:bottom w:val="single" w:sz="4" w:space="1" w:color="auto"/>
          <w:right w:val="single" w:sz="4" w:space="4" w:color="auto"/>
        </w:pBdr>
        <w:spacing w:before="100" w:beforeAutospacing="1" w:after="100" w:afterAutospacing="1" w:line="240" w:lineRule="auto"/>
        <w:outlineLvl w:val="2"/>
        <w:rPr>
          <w:rFonts w:asciiTheme="minorBidi" w:eastAsia="Times New Roman" w:hAnsiTheme="minorBidi"/>
          <w:b/>
          <w:bCs/>
          <w:kern w:val="0"/>
          <w14:ligatures w14:val="none"/>
        </w:rPr>
      </w:pPr>
      <w:r>
        <w:rPr>
          <w:rFonts w:asciiTheme="minorBidi" w:eastAsia="Times New Roman" w:hAnsiTheme="minorBidi"/>
          <w:b/>
          <w:bCs/>
          <w:kern w:val="0"/>
          <w14:ligatures w14:val="none"/>
        </w:rPr>
        <w:fldChar w:fldCharType="begin"/>
      </w:r>
      <w:r>
        <w:rPr>
          <w:rFonts w:asciiTheme="minorBidi" w:eastAsia="Times New Roman" w:hAnsiTheme="minorBidi"/>
          <w:b/>
          <w:bCs/>
          <w:kern w:val="0"/>
          <w14:ligatures w14:val="none"/>
        </w:rPr>
        <w:instrText>HYPERLINK  \l "C130"</w:instrText>
      </w:r>
      <w:r>
        <w:rPr>
          <w:rFonts w:asciiTheme="minorBidi" w:eastAsia="Times New Roman" w:hAnsiTheme="minorBidi"/>
          <w:b/>
          <w:bCs/>
          <w:kern w:val="0"/>
          <w14:ligatures w14:val="none"/>
        </w:rPr>
      </w:r>
      <w:r>
        <w:rPr>
          <w:rFonts w:asciiTheme="minorBidi" w:eastAsia="Times New Roman" w:hAnsiTheme="minorBidi"/>
          <w:b/>
          <w:bCs/>
          <w:kern w:val="0"/>
          <w14:ligatures w14:val="none"/>
        </w:rPr>
        <w:fldChar w:fldCharType="separate"/>
      </w:r>
      <w:r w:rsidR="007C27A1" w:rsidRPr="0007167C">
        <w:rPr>
          <w:rStyle w:val="Hyperlink"/>
          <w:rFonts w:asciiTheme="minorBidi" w:eastAsia="Times New Roman" w:hAnsiTheme="minorBidi"/>
          <w:b/>
          <w:bCs/>
          <w:kern w:val="0"/>
          <w14:ligatures w14:val="none"/>
        </w:rPr>
        <w:t>5.2.2 Implications for Behavioural Studies and Psychopathy</w:t>
      </w:r>
      <w:r>
        <w:rPr>
          <w:rFonts w:asciiTheme="minorBidi" w:eastAsia="Times New Roman" w:hAnsiTheme="minorBidi"/>
          <w:b/>
          <w:bCs/>
          <w:kern w:val="0"/>
          <w14:ligatures w14:val="none"/>
        </w:rPr>
        <w:fldChar w:fldCharType="end"/>
      </w:r>
    </w:p>
    <w:bookmarkEnd w:id="799"/>
    <w:bookmarkEnd w:id="800"/>
    <w:p w14:paraId="4D332458" w14:textId="4EFAB2E6" w:rsidR="004E2C7B" w:rsidRDefault="007C27A1" w:rsidP="007C27A1">
      <w:pPr>
        <w:spacing w:line="480" w:lineRule="auto"/>
        <w:jc w:val="both"/>
        <w:rPr>
          <w:rFonts w:asciiTheme="minorBidi" w:hAnsiTheme="minorBidi"/>
        </w:rPr>
      </w:pPr>
      <w:r w:rsidRPr="007C27A1">
        <w:rPr>
          <w:rFonts w:asciiTheme="minorBidi" w:hAnsiTheme="minorBidi"/>
        </w:rPr>
        <w:t xml:space="preserve">This study sheds insight on how psychopathic qualities can affect behaviour and decision-making processes in corporate settings by offering a thorough knowledge of these features. By making a distinction between corporate and general psychopathy, the study draws attention to the particular actions and strategies Corporate Psychopath Accountants take in order to control and take advantage of organisational resources. This knowledge is essential for creating focused plans to find and lessen the effects of Corporate Psychopath Accountants. For example, organisational regulations can be developed to limit the possibilities for Corporate Psychopath Accountants to participate in fraudulent activities, and recruitment processes can be </w:t>
      </w:r>
      <w:r w:rsidRPr="007C27A1">
        <w:rPr>
          <w:rFonts w:asciiTheme="minorBidi" w:hAnsiTheme="minorBidi"/>
        </w:rPr>
        <w:lastRenderedPageBreak/>
        <w:t>tailored to screen for psychopathic tendencies. O'Reilly et. al. (2022) supply fresh perspectives on the occurrence and influence of psychopathic characteristics in</w:t>
      </w:r>
      <w:r w:rsidR="004E2C7B">
        <w:rPr>
          <w:rFonts w:asciiTheme="minorBidi" w:hAnsiTheme="minorBidi"/>
        </w:rPr>
        <w:t xml:space="preserve"> corporate environments, informing HR and management strategies.</w:t>
      </w:r>
    </w:p>
    <w:p w14:paraId="69A6A7B6" w14:textId="77777777" w:rsidR="007C27A1" w:rsidRPr="007C27A1" w:rsidRDefault="007C27A1" w:rsidP="007C27A1">
      <w:pPr>
        <w:spacing w:line="480" w:lineRule="auto"/>
        <w:jc w:val="both"/>
        <w:rPr>
          <w:rFonts w:asciiTheme="minorBidi" w:hAnsiTheme="minorBidi"/>
        </w:rPr>
      </w:pPr>
      <w:r w:rsidRPr="007C27A1">
        <w:rPr>
          <w:rFonts w:asciiTheme="minorBidi" w:hAnsiTheme="minorBidi"/>
        </w:rPr>
        <w:t xml:space="preserve">By decreasing the possibilities for unethical activity and raising the possibility of detection and punishment, Blockchain technology has the ability to change the behaviour of people who exhibit psychopathic features. According to the study, Corporate Psychopath Accountants may be discouraged from taking advantage of Blockchain Technologies transparency and accountability because they are usually driven by the chance to take advantage of systemic flaws for their own benefit. Consequently, the technology can lessen the incentive for Corporate Psychopath Accountants to participate in fraudulent activity or Accounting Fraud by establishing a system that makes it easier to identify and track down such activity. Moreover, Blockchain Technology adoption helps promote a compliance and ethical culture in companies by making staff members aware that their activities are being monitored and documented in an unchangeable or immutable ledger. </w:t>
      </w:r>
      <w:r w:rsidRPr="007C27A1">
        <w:rPr>
          <w:rFonts w:asciiTheme="minorBidi" w:eastAsia="Times New Roman" w:hAnsiTheme="minorBidi"/>
          <w:kern w:val="0"/>
          <w14:ligatures w14:val="none"/>
        </w:rPr>
        <w:t>Brooks &amp; Dunn (2021) discuss how Blockchain Technology can potentially challenge behaviour by lowering the possibilities of manipulating data, hence, deterring Accounting Fraud.</w:t>
      </w:r>
    </w:p>
    <w:bookmarkStart w:id="801" w:name="_Hlk172265418"/>
    <w:bookmarkStart w:id="802" w:name="D131"/>
    <w:p w14:paraId="397CE99A" w14:textId="0802B3C2" w:rsidR="007C27A1" w:rsidRPr="007C27A1" w:rsidRDefault="0007167C" w:rsidP="007C27A1">
      <w:pPr>
        <w:pBdr>
          <w:top w:val="single" w:sz="4" w:space="1" w:color="auto"/>
          <w:left w:val="single" w:sz="4" w:space="4" w:color="auto"/>
          <w:bottom w:val="single" w:sz="4" w:space="1" w:color="auto"/>
          <w:right w:val="single" w:sz="4" w:space="4" w:color="auto"/>
        </w:pBdr>
        <w:spacing w:before="100" w:beforeAutospacing="1" w:after="100" w:afterAutospacing="1" w:line="240" w:lineRule="auto"/>
        <w:outlineLvl w:val="2"/>
        <w:rPr>
          <w:rFonts w:asciiTheme="minorBidi" w:eastAsia="Times New Roman" w:hAnsiTheme="minorBidi"/>
          <w:b/>
          <w:bCs/>
          <w:kern w:val="0"/>
          <w14:ligatures w14:val="none"/>
        </w:rPr>
      </w:pPr>
      <w:r>
        <w:rPr>
          <w:rFonts w:asciiTheme="minorBidi" w:eastAsia="Times New Roman" w:hAnsiTheme="minorBidi"/>
          <w:b/>
          <w:bCs/>
          <w:kern w:val="0"/>
          <w14:ligatures w14:val="none"/>
        </w:rPr>
        <w:fldChar w:fldCharType="begin"/>
      </w:r>
      <w:r>
        <w:rPr>
          <w:rFonts w:asciiTheme="minorBidi" w:eastAsia="Times New Roman" w:hAnsiTheme="minorBidi"/>
          <w:b/>
          <w:bCs/>
          <w:kern w:val="0"/>
          <w14:ligatures w14:val="none"/>
        </w:rPr>
        <w:instrText>HYPERLINK  \l "C131"</w:instrText>
      </w:r>
      <w:r>
        <w:rPr>
          <w:rFonts w:asciiTheme="minorBidi" w:eastAsia="Times New Roman" w:hAnsiTheme="minorBidi"/>
          <w:b/>
          <w:bCs/>
          <w:kern w:val="0"/>
          <w14:ligatures w14:val="none"/>
        </w:rPr>
      </w:r>
      <w:r>
        <w:rPr>
          <w:rFonts w:asciiTheme="minorBidi" w:eastAsia="Times New Roman" w:hAnsiTheme="minorBidi"/>
          <w:b/>
          <w:bCs/>
          <w:kern w:val="0"/>
          <w14:ligatures w14:val="none"/>
        </w:rPr>
        <w:fldChar w:fldCharType="separate"/>
      </w:r>
      <w:r w:rsidR="007C27A1" w:rsidRPr="0007167C">
        <w:rPr>
          <w:rStyle w:val="Hyperlink"/>
          <w:rFonts w:asciiTheme="minorBidi" w:eastAsia="Times New Roman" w:hAnsiTheme="minorBidi"/>
          <w:b/>
          <w:bCs/>
          <w:kern w:val="0"/>
          <w14:ligatures w14:val="none"/>
        </w:rPr>
        <w:t>5.2.3 Implications for Policy and Regulation</w:t>
      </w:r>
      <w:bookmarkEnd w:id="801"/>
      <w:r>
        <w:rPr>
          <w:rFonts w:asciiTheme="minorBidi" w:eastAsia="Times New Roman" w:hAnsiTheme="minorBidi"/>
          <w:b/>
          <w:bCs/>
          <w:kern w:val="0"/>
          <w14:ligatures w14:val="none"/>
        </w:rPr>
        <w:fldChar w:fldCharType="end"/>
      </w:r>
    </w:p>
    <w:bookmarkEnd w:id="802"/>
    <w:p w14:paraId="081A95C9" w14:textId="77777777" w:rsidR="007C27A1" w:rsidRPr="007C27A1" w:rsidRDefault="007C27A1" w:rsidP="007C27A1">
      <w:pPr>
        <w:spacing w:before="100" w:beforeAutospacing="1" w:after="100" w:afterAutospacing="1" w:line="480" w:lineRule="auto"/>
        <w:jc w:val="both"/>
        <w:rPr>
          <w:rFonts w:asciiTheme="minorBidi" w:eastAsia="Times New Roman" w:hAnsiTheme="minorBidi"/>
          <w:kern w:val="0"/>
          <w14:ligatures w14:val="none"/>
        </w:rPr>
      </w:pPr>
      <w:r w:rsidRPr="007C27A1">
        <w:rPr>
          <w:rFonts w:asciiTheme="minorBidi" w:eastAsia="Times New Roman" w:hAnsiTheme="minorBidi"/>
          <w:kern w:val="0"/>
          <w14:ligatures w14:val="none"/>
        </w:rPr>
        <w:t xml:space="preserve">To address Accounting Fraud, policymakers can use the study's findings to create legislation requiring the use of Blockchain Technology in Corporate Governance and Financial Reporting. The study suggests that by enhancing accountability and transparency, Blockchain Technology can dramatically lower the incidence of Accounting Fraud. These findings can be used by legislators to draft rules requiring businesses to include Blockchain Technology into their financial reporting procedures. </w:t>
      </w:r>
      <w:r w:rsidRPr="007C27A1">
        <w:rPr>
          <w:rFonts w:asciiTheme="minorBidi" w:eastAsia="Times New Roman" w:hAnsiTheme="minorBidi"/>
          <w:kern w:val="0"/>
          <w14:ligatures w14:val="none"/>
        </w:rPr>
        <w:lastRenderedPageBreak/>
        <w:t>These rules for example might specify how Blockchain Technology should be used to maintain financial records, how smart contracts must be implemented to ensure compliance, and how Blockchain Technology should be used for auditing and monitoring purposes. By lowering the risk of Acounting Fraud, these regulatory actions can contribute to the development of a more reliable and transparent financial environment. Zohar &amp; Erlich (2021) articulate the regulatory problems created by Blockchain Technology and produce policy recommendations to utilise its proven capabilities its reduce Accounting Fraud.</w:t>
      </w:r>
    </w:p>
    <w:p w14:paraId="7EF0F584" w14:textId="77777777" w:rsidR="007C27A1" w:rsidRDefault="007C27A1" w:rsidP="007C27A1">
      <w:pPr>
        <w:spacing w:before="100" w:beforeAutospacing="1" w:after="100" w:afterAutospacing="1" w:line="480" w:lineRule="auto"/>
        <w:jc w:val="both"/>
        <w:rPr>
          <w:rFonts w:asciiTheme="minorBidi" w:eastAsia="Times New Roman" w:hAnsiTheme="minorBidi"/>
          <w:kern w:val="0"/>
          <w14:ligatures w14:val="none"/>
        </w:rPr>
      </w:pPr>
      <w:r w:rsidRPr="007C27A1">
        <w:rPr>
          <w:rFonts w:asciiTheme="minorBidi" w:eastAsia="Times New Roman" w:hAnsiTheme="minorBidi"/>
          <w:kern w:val="0"/>
          <w14:ligatures w14:val="none"/>
        </w:rPr>
        <w:t>Blockchain Technology has the potential to improve transparency and decrease Accounting Fraud, and its full realisation depends on the creation and implementation of regulatory frameworks that include it. Regulators must adapt their current frameworks to consider the special features of Blockchain Technology. This entails creating precise rules for the use of Blockchain technology in financial transactions, defining security and privacy requirements for data, and guaranteeing adherence to current financial laws. In order to promote the widespread adoption of Blockchain Technology, regulators must also solve the issues posed by the cross-jurisdictional character of Blockchain transactions and create international standards. Regulators can promote the widespread deployment of BCT and improve the general integrity of financial systems by fostering a conducive regulatory environment. Jonsdottir &amp; Berg (2022) discuss the importance of updating regulatory frameworks and protocols that can better facilitate the adoption of Blockchain Technology thereby reducing fraud and consumer protection.</w:t>
      </w:r>
    </w:p>
    <w:p w14:paraId="6E9707F5" w14:textId="77777777" w:rsidR="00105E70" w:rsidRDefault="00105E70" w:rsidP="007C27A1">
      <w:pPr>
        <w:spacing w:before="100" w:beforeAutospacing="1" w:after="100" w:afterAutospacing="1" w:line="480" w:lineRule="auto"/>
        <w:jc w:val="both"/>
        <w:rPr>
          <w:rFonts w:asciiTheme="minorBidi" w:eastAsia="Times New Roman" w:hAnsiTheme="minorBidi"/>
          <w:kern w:val="0"/>
          <w14:ligatures w14:val="none"/>
        </w:rPr>
      </w:pPr>
    </w:p>
    <w:p w14:paraId="663C12C0" w14:textId="77777777" w:rsidR="004E2C7B" w:rsidRPr="007C27A1" w:rsidRDefault="004E2C7B" w:rsidP="007C27A1">
      <w:pPr>
        <w:spacing w:before="100" w:beforeAutospacing="1" w:after="100" w:afterAutospacing="1" w:line="480" w:lineRule="auto"/>
        <w:jc w:val="both"/>
        <w:rPr>
          <w:rFonts w:asciiTheme="minorBidi" w:eastAsia="Times New Roman" w:hAnsiTheme="minorBidi"/>
          <w:kern w:val="0"/>
          <w14:ligatures w14:val="none"/>
        </w:rPr>
      </w:pPr>
    </w:p>
    <w:bookmarkStart w:id="803" w:name="_Hlk172265441"/>
    <w:bookmarkStart w:id="804" w:name="D132"/>
    <w:p w14:paraId="7D07BD50" w14:textId="3615961E" w:rsidR="007C27A1" w:rsidRPr="007C27A1" w:rsidRDefault="00E67E08" w:rsidP="007C27A1">
      <w:pPr>
        <w:pBdr>
          <w:top w:val="single" w:sz="4" w:space="1" w:color="auto"/>
          <w:left w:val="single" w:sz="4" w:space="4" w:color="auto"/>
          <w:bottom w:val="single" w:sz="4" w:space="1" w:color="auto"/>
          <w:right w:val="single" w:sz="4" w:space="4" w:color="auto"/>
        </w:pBdr>
        <w:spacing w:before="100" w:beforeAutospacing="1" w:after="100" w:afterAutospacing="1" w:line="240" w:lineRule="auto"/>
        <w:outlineLvl w:val="2"/>
        <w:rPr>
          <w:rFonts w:asciiTheme="minorBidi" w:eastAsia="Times New Roman" w:hAnsiTheme="minorBidi"/>
          <w:b/>
          <w:bCs/>
          <w:kern w:val="0"/>
          <w14:ligatures w14:val="none"/>
        </w:rPr>
      </w:pPr>
      <w:r>
        <w:rPr>
          <w:rFonts w:asciiTheme="minorBidi" w:eastAsia="Times New Roman" w:hAnsiTheme="minorBidi"/>
          <w:b/>
          <w:bCs/>
          <w:kern w:val="0"/>
          <w14:ligatures w14:val="none"/>
        </w:rPr>
        <w:lastRenderedPageBreak/>
        <w:fldChar w:fldCharType="begin"/>
      </w:r>
      <w:r>
        <w:rPr>
          <w:rFonts w:asciiTheme="minorBidi" w:eastAsia="Times New Roman" w:hAnsiTheme="minorBidi"/>
          <w:b/>
          <w:bCs/>
          <w:kern w:val="0"/>
          <w14:ligatures w14:val="none"/>
        </w:rPr>
        <w:instrText>HYPERLINK  \l "C132"</w:instrText>
      </w:r>
      <w:r>
        <w:rPr>
          <w:rFonts w:asciiTheme="minorBidi" w:eastAsia="Times New Roman" w:hAnsiTheme="minorBidi"/>
          <w:b/>
          <w:bCs/>
          <w:kern w:val="0"/>
          <w14:ligatures w14:val="none"/>
        </w:rPr>
      </w:r>
      <w:r>
        <w:rPr>
          <w:rFonts w:asciiTheme="minorBidi" w:eastAsia="Times New Roman" w:hAnsiTheme="minorBidi"/>
          <w:b/>
          <w:bCs/>
          <w:kern w:val="0"/>
          <w14:ligatures w14:val="none"/>
        </w:rPr>
        <w:fldChar w:fldCharType="separate"/>
      </w:r>
      <w:r w:rsidR="007C27A1" w:rsidRPr="00E67E08">
        <w:rPr>
          <w:rStyle w:val="Hyperlink"/>
          <w:rFonts w:asciiTheme="minorBidi" w:eastAsia="Times New Roman" w:hAnsiTheme="minorBidi"/>
          <w:b/>
          <w:bCs/>
          <w:kern w:val="0"/>
          <w14:ligatures w14:val="none"/>
        </w:rPr>
        <w:t>5.2.4 Implications for Education and Training</w:t>
      </w:r>
      <w:r>
        <w:rPr>
          <w:rFonts w:asciiTheme="minorBidi" w:eastAsia="Times New Roman" w:hAnsiTheme="minorBidi"/>
          <w:b/>
          <w:bCs/>
          <w:kern w:val="0"/>
          <w14:ligatures w14:val="none"/>
        </w:rPr>
        <w:fldChar w:fldCharType="end"/>
      </w:r>
    </w:p>
    <w:bookmarkEnd w:id="803"/>
    <w:bookmarkEnd w:id="804"/>
    <w:p w14:paraId="2CF6A9B7" w14:textId="77777777" w:rsidR="007C27A1" w:rsidRPr="007C27A1" w:rsidRDefault="007C27A1" w:rsidP="007C27A1">
      <w:pPr>
        <w:spacing w:before="100" w:beforeAutospacing="1" w:after="100" w:afterAutospacing="1" w:line="480" w:lineRule="auto"/>
        <w:jc w:val="both"/>
        <w:rPr>
          <w:rFonts w:asciiTheme="minorBidi" w:eastAsia="Times New Roman" w:hAnsiTheme="minorBidi"/>
          <w:kern w:val="0"/>
          <w14:ligatures w14:val="none"/>
        </w:rPr>
      </w:pPr>
      <w:r w:rsidRPr="007C27A1">
        <w:rPr>
          <w:rFonts w:asciiTheme="minorBidi" w:eastAsia="Times New Roman" w:hAnsiTheme="minorBidi"/>
          <w:kern w:val="0"/>
          <w14:ligatures w14:val="none"/>
        </w:rPr>
        <w:t>To educate future professionals for the technological improvements in the field, accounting and finance departments should incorporate Blockchain Technology education into their curricula. The study emphasizes how BCT is becoming increasingly significant in accounting and finance. Consequently, to provide students with a thorough understanding of Blockchain Technology, including its applications, concepts, and consequences for financial reporting and auditing, educational institutions should consider reviewing and updating their curricula. This can be accomplished by creating specialised modules, adding or seeding Blockchain Technology themes to already-existing modules, and using real-world or authentic case studies and simulations to provide students actual experience. Educational institutions can guarantee that graduates are well-prepared to exploit Blockchain Technology in their professional careers by providing them with the information and skills necessary to manage the constantly evolving landscape.</w:t>
      </w:r>
      <w:r w:rsidRPr="007C27A1">
        <w:rPr>
          <w:rFonts w:ascii="Times New Roman" w:eastAsia="Times New Roman" w:hAnsi="Times New Roman" w:cs="Times New Roman"/>
          <w:kern w:val="0"/>
          <w14:ligatures w14:val="none"/>
        </w:rPr>
        <w:t xml:space="preserve"> </w:t>
      </w:r>
      <w:r w:rsidRPr="007C27A1">
        <w:rPr>
          <w:rFonts w:ascii="Arial" w:eastAsia="Times New Roman" w:hAnsi="Arial" w:cs="Arial"/>
          <w:kern w:val="0"/>
          <w14:ligatures w14:val="none"/>
        </w:rPr>
        <w:t xml:space="preserve">Warren &amp; Rajgopal, (2021) produce a framework for introducing Blockchain Technology into accounting education, suggesting the need for future professionals to be comfortable in this </w:t>
      </w:r>
      <w:r w:rsidRPr="007C27A1">
        <w:rPr>
          <w:rFonts w:asciiTheme="minorBidi" w:eastAsia="Times New Roman" w:hAnsiTheme="minorBidi"/>
          <w:kern w:val="0"/>
          <w14:ligatures w14:val="none"/>
        </w:rPr>
        <w:t>nascent technology.</w:t>
      </w:r>
    </w:p>
    <w:p w14:paraId="0DD98A81" w14:textId="77777777" w:rsidR="007C27A1" w:rsidRPr="007C27A1" w:rsidRDefault="007C27A1" w:rsidP="007C27A1">
      <w:pPr>
        <w:spacing w:before="100" w:beforeAutospacing="1" w:after="100" w:afterAutospacing="1" w:line="480" w:lineRule="auto"/>
        <w:jc w:val="both"/>
        <w:rPr>
          <w:rFonts w:ascii="Times New Roman" w:eastAsia="Times New Roman" w:hAnsi="Times New Roman" w:cs="Times New Roman"/>
          <w:kern w:val="0"/>
          <w14:ligatures w14:val="none"/>
        </w:rPr>
      </w:pPr>
      <w:r w:rsidRPr="007C27A1">
        <w:rPr>
          <w:rFonts w:asciiTheme="minorBidi" w:eastAsia="Times New Roman" w:hAnsiTheme="minorBidi"/>
          <w:kern w:val="0"/>
          <w14:ligatures w14:val="none"/>
        </w:rPr>
        <w:t xml:space="preserve">Research on psychopathy and the threat posed by the Corporate Psychopath Accountant can be used to inform ethics education for accounting professionals and students, which in turn can promote a more moral workplace culture. The study implies the importance of ethical training for reducing the negative effects of psychopathic tendencies in the workplace. Training in psychopathic behaviour detection and management, financial decision-making's ethical ramifications, and creating tactics to encourage moral behaviour should all be covered in accounting curricula. To provide students a comprehensive grasp of how technology may assist ethical activities, this </w:t>
      </w:r>
      <w:r w:rsidRPr="007C27A1">
        <w:rPr>
          <w:rFonts w:asciiTheme="minorBidi" w:eastAsia="Times New Roman" w:hAnsiTheme="minorBidi"/>
          <w:kern w:val="0"/>
          <w14:ligatures w14:val="none"/>
        </w:rPr>
        <w:lastRenderedPageBreak/>
        <w:t>training can be deepened with talks or guest lectures on how BCT can improve transparency and accountability. Furthermore, these insights must be included in continuing professional development programmes for accounting professionals in order to guarantee that they remain vigilant and competent in handling ethical dilemmas in their organisations. Tenbrunsel &amp; Smith-Crowe (2022) emphasises the significance of ethics training in forming the behaviour of accountants in training, which should be underpinned by formal insights regarding corporate psychopathy.</w:t>
      </w:r>
      <w:r w:rsidRPr="007C27A1">
        <w:rPr>
          <w:rFonts w:ascii="Times New Roman" w:eastAsia="Times New Roman" w:hAnsi="Times New Roman" w:cs="Times New Roman"/>
          <w:kern w:val="0"/>
          <w14:ligatures w14:val="none"/>
        </w:rPr>
        <w:t xml:space="preserve"> </w:t>
      </w:r>
    </w:p>
    <w:p w14:paraId="6DA3331A" w14:textId="77777777" w:rsidR="007C27A1" w:rsidRPr="007C27A1" w:rsidRDefault="007C27A1" w:rsidP="007C27A1">
      <w:pPr>
        <w:spacing w:before="100" w:beforeAutospacing="1" w:after="100" w:afterAutospacing="1" w:line="480" w:lineRule="auto"/>
        <w:jc w:val="both"/>
        <w:rPr>
          <w:rFonts w:asciiTheme="minorBidi" w:eastAsia="Times New Roman" w:hAnsiTheme="minorBidi"/>
          <w:kern w:val="0"/>
          <w14:ligatures w14:val="none"/>
        </w:rPr>
      </w:pPr>
      <w:r w:rsidRPr="007C27A1">
        <w:rPr>
          <w:rFonts w:asciiTheme="minorBidi" w:eastAsia="Times New Roman" w:hAnsiTheme="minorBidi"/>
          <w:kern w:val="0"/>
          <w14:ligatures w14:val="none"/>
        </w:rPr>
        <w:t>In the final section of chapter four the researcher discussed alternatives to Blockchain Technology namely automation and people-centric approaches until the technology becomes ubiquitous. In the next section the researcher will outline a proposed model that is guided by, Table 5.2:</w:t>
      </w:r>
    </w:p>
    <w:p w14:paraId="28EC6E26" w14:textId="77777777" w:rsidR="007C27A1" w:rsidRPr="007C27A1" w:rsidRDefault="007C27A1" w:rsidP="007C27A1">
      <w:pPr>
        <w:rPr>
          <w:rFonts w:asciiTheme="minorBidi" w:hAnsiTheme="minorBidi"/>
          <w:b/>
          <w:bCs/>
        </w:rPr>
      </w:pPr>
      <w:r w:rsidRPr="007C27A1">
        <w:rPr>
          <w:rFonts w:asciiTheme="minorBidi" w:hAnsiTheme="minorBidi"/>
          <w:b/>
          <w:bCs/>
        </w:rPr>
        <w:t>Table 5.2 Research Objective and Research Question Six</w:t>
      </w:r>
    </w:p>
    <w:tbl>
      <w:tblPr>
        <w:tblStyle w:val="TableGrid"/>
        <w:tblW w:w="0" w:type="auto"/>
        <w:tblLook w:val="04A0" w:firstRow="1" w:lastRow="0" w:firstColumn="1" w:lastColumn="0" w:noHBand="0" w:noVBand="1"/>
      </w:tblPr>
      <w:tblGrid>
        <w:gridCol w:w="603"/>
        <w:gridCol w:w="8413"/>
      </w:tblGrid>
      <w:tr w:rsidR="007C27A1" w:rsidRPr="007C27A1" w14:paraId="28ACEFE1" w14:textId="77777777" w:rsidTr="001D4222">
        <w:tc>
          <w:tcPr>
            <w:tcW w:w="603" w:type="dxa"/>
          </w:tcPr>
          <w:p w14:paraId="114A6B78" w14:textId="77777777" w:rsidR="007C27A1" w:rsidRPr="007C27A1" w:rsidRDefault="007C27A1" w:rsidP="007C27A1">
            <w:pPr>
              <w:spacing w:line="360" w:lineRule="auto"/>
              <w:contextualSpacing/>
              <w:jc w:val="both"/>
              <w:rPr>
                <w:rFonts w:asciiTheme="minorBidi" w:hAnsiTheme="minorBidi"/>
                <w:i/>
                <w:iCs/>
                <w:sz w:val="22"/>
                <w:szCs w:val="22"/>
              </w:rPr>
            </w:pPr>
            <w:r w:rsidRPr="007C27A1">
              <w:rPr>
                <w:rFonts w:asciiTheme="minorBidi" w:hAnsiTheme="minorBidi"/>
                <w:i/>
                <w:iCs/>
                <w:sz w:val="22"/>
                <w:szCs w:val="22"/>
              </w:rPr>
              <w:t>6</w:t>
            </w:r>
          </w:p>
        </w:tc>
        <w:tc>
          <w:tcPr>
            <w:tcW w:w="8413" w:type="dxa"/>
          </w:tcPr>
          <w:p w14:paraId="6F098EE4" w14:textId="77777777" w:rsidR="007C27A1" w:rsidRPr="007C27A1" w:rsidRDefault="007C27A1" w:rsidP="007C27A1">
            <w:pPr>
              <w:spacing w:line="360" w:lineRule="auto"/>
              <w:jc w:val="both"/>
              <w:rPr>
                <w:rFonts w:asciiTheme="minorBidi" w:eastAsia="Times New Roman" w:hAnsiTheme="minorBidi"/>
                <w:kern w:val="0"/>
                <w:sz w:val="22"/>
                <w:szCs w:val="22"/>
                <w14:ligatures w14:val="none"/>
              </w:rPr>
            </w:pPr>
            <w:r w:rsidRPr="007C27A1">
              <w:rPr>
                <w:rFonts w:asciiTheme="minorBidi" w:hAnsiTheme="minorBidi"/>
                <w:b/>
                <w:bCs/>
                <w:sz w:val="22"/>
                <w:szCs w:val="22"/>
                <w:u w:val="single"/>
              </w:rPr>
              <w:t>Objective 6</w:t>
            </w:r>
            <w:r w:rsidRPr="007C27A1">
              <w:rPr>
                <w:rFonts w:asciiTheme="minorBidi" w:hAnsiTheme="minorBidi"/>
                <w:sz w:val="22"/>
                <w:szCs w:val="22"/>
                <w:u w:val="single"/>
              </w:rPr>
              <w:t>:</w:t>
            </w:r>
            <w:r w:rsidRPr="007C27A1">
              <w:rPr>
                <w:rFonts w:asciiTheme="minorBidi" w:eastAsia="Times New Roman" w:hAnsiTheme="minorBidi"/>
                <w:kern w:val="0"/>
                <w:sz w:val="22"/>
                <w:szCs w:val="22"/>
                <w14:ligatures w14:val="none"/>
              </w:rPr>
              <w:t xml:space="preserve"> </w:t>
            </w:r>
            <w:r w:rsidRPr="007C27A1">
              <w:rPr>
                <w:rFonts w:asciiTheme="minorBidi" w:hAnsiTheme="minorBidi"/>
                <w:sz w:val="22"/>
                <w:szCs w:val="22"/>
              </w:rPr>
              <w:t>To propose a structured theoretical model, for consideration by the global accounting profession, with a view to implementation.</w:t>
            </w:r>
          </w:p>
          <w:p w14:paraId="5CBBB8C9" w14:textId="77777777" w:rsidR="007C27A1" w:rsidRPr="007C27A1" w:rsidRDefault="007C27A1" w:rsidP="007C27A1">
            <w:pPr>
              <w:spacing w:line="360" w:lineRule="auto"/>
              <w:jc w:val="both"/>
              <w:rPr>
                <w:rFonts w:asciiTheme="minorBidi" w:hAnsiTheme="minorBidi"/>
                <w:sz w:val="22"/>
                <w:szCs w:val="22"/>
                <w:u w:val="single"/>
              </w:rPr>
            </w:pPr>
            <w:r w:rsidRPr="007C27A1">
              <w:rPr>
                <w:rFonts w:asciiTheme="minorBidi" w:hAnsiTheme="minorBidi"/>
                <w:b/>
                <w:bCs/>
                <w:sz w:val="22"/>
                <w:szCs w:val="22"/>
                <w:u w:val="single"/>
              </w:rPr>
              <w:t>Question 6:</w:t>
            </w:r>
            <w:r w:rsidRPr="007C27A1">
              <w:rPr>
                <w:rFonts w:asciiTheme="minorBidi" w:eastAsia="Times New Roman" w:hAnsiTheme="minorBidi"/>
                <w:kern w:val="0"/>
                <w:sz w:val="22"/>
                <w:szCs w:val="22"/>
                <w14:ligatures w14:val="none"/>
              </w:rPr>
              <w:t xml:space="preserve"> </w:t>
            </w:r>
            <w:r w:rsidRPr="007C27A1">
              <w:rPr>
                <w:rFonts w:asciiTheme="minorBidi" w:hAnsiTheme="minorBidi"/>
                <w:sz w:val="22"/>
                <w:szCs w:val="22"/>
              </w:rPr>
              <w:t>What are the alternatives to Blockchain Technology which may influence the behaviour of the CPA and lessen Accounting Fraud?</w:t>
            </w:r>
          </w:p>
        </w:tc>
      </w:tr>
    </w:tbl>
    <w:p w14:paraId="0D7B640E" w14:textId="77777777" w:rsidR="007C27A1" w:rsidRPr="007C27A1" w:rsidRDefault="007C27A1" w:rsidP="007C27A1">
      <w:pPr>
        <w:spacing w:before="100" w:beforeAutospacing="1" w:after="100" w:afterAutospacing="1" w:line="480" w:lineRule="auto"/>
        <w:jc w:val="both"/>
        <w:rPr>
          <w:rFonts w:ascii="Times New Roman" w:eastAsia="Times New Roman" w:hAnsi="Times New Roman" w:cs="Times New Roman"/>
          <w:kern w:val="0"/>
          <w14:ligatures w14:val="none"/>
        </w:rPr>
      </w:pPr>
    </w:p>
    <w:bookmarkStart w:id="805" w:name="_Hlk172265464"/>
    <w:bookmarkStart w:id="806" w:name="D133"/>
    <w:p w14:paraId="51BA3458" w14:textId="5F85B3FB" w:rsidR="007C27A1" w:rsidRPr="006A594C" w:rsidRDefault="00E67E08" w:rsidP="00DF74C9">
      <w:pPr>
        <w:pBdr>
          <w:top w:val="single" w:sz="4" w:space="1" w:color="auto"/>
          <w:left w:val="single" w:sz="4" w:space="4" w:color="auto"/>
          <w:bottom w:val="single" w:sz="4" w:space="1" w:color="auto"/>
          <w:right w:val="single" w:sz="4" w:space="4" w:color="auto"/>
        </w:pBdr>
        <w:spacing w:before="100" w:beforeAutospacing="1" w:after="100" w:afterAutospacing="1" w:line="276" w:lineRule="auto"/>
        <w:jc w:val="both"/>
        <w:rPr>
          <w:rFonts w:asciiTheme="minorBidi" w:eastAsia="Times New Roman" w:hAnsiTheme="minorBidi"/>
          <w:b/>
          <w:bCs/>
          <w:kern w:val="0"/>
          <w14:ligatures w14:val="none"/>
        </w:rPr>
      </w:pPr>
      <w:r>
        <w:rPr>
          <w:rFonts w:asciiTheme="minorBidi" w:eastAsia="Times New Roman" w:hAnsiTheme="minorBidi"/>
          <w:b/>
          <w:bCs/>
          <w:kern w:val="0"/>
          <w14:ligatures w14:val="none"/>
        </w:rPr>
        <w:fldChar w:fldCharType="begin"/>
      </w:r>
      <w:r>
        <w:rPr>
          <w:rFonts w:asciiTheme="minorBidi" w:eastAsia="Times New Roman" w:hAnsiTheme="minorBidi"/>
          <w:b/>
          <w:bCs/>
          <w:kern w:val="0"/>
          <w14:ligatures w14:val="none"/>
        </w:rPr>
        <w:instrText>HYPERLINK  \l "C133"</w:instrText>
      </w:r>
      <w:r>
        <w:rPr>
          <w:rFonts w:asciiTheme="minorBidi" w:eastAsia="Times New Roman" w:hAnsiTheme="minorBidi"/>
          <w:b/>
          <w:bCs/>
          <w:kern w:val="0"/>
          <w14:ligatures w14:val="none"/>
        </w:rPr>
      </w:r>
      <w:r>
        <w:rPr>
          <w:rFonts w:asciiTheme="minorBidi" w:eastAsia="Times New Roman" w:hAnsiTheme="minorBidi"/>
          <w:b/>
          <w:bCs/>
          <w:kern w:val="0"/>
          <w14:ligatures w14:val="none"/>
        </w:rPr>
        <w:fldChar w:fldCharType="separate"/>
      </w:r>
      <w:r w:rsidR="007C27A1" w:rsidRPr="00E67E08">
        <w:rPr>
          <w:rStyle w:val="Hyperlink"/>
          <w:rFonts w:asciiTheme="minorBidi" w:eastAsia="Times New Roman" w:hAnsiTheme="minorBidi"/>
          <w:b/>
          <w:bCs/>
          <w:kern w:val="0"/>
          <w14:ligatures w14:val="none"/>
        </w:rPr>
        <w:t xml:space="preserve">5.3 </w:t>
      </w:r>
      <w:r w:rsidR="007C27A1" w:rsidRPr="00E67E08">
        <w:rPr>
          <w:rStyle w:val="Hyperlink"/>
          <w:rFonts w:asciiTheme="minorBidi" w:eastAsiaTheme="minorHAnsi" w:hAnsiTheme="minorBidi"/>
          <w:b/>
          <w:bCs/>
          <w:kern w:val="0"/>
          <w:shd w:val="clear" w:color="auto" w:fill="FFFFFF"/>
          <w:lang w:eastAsia="en-US"/>
          <w14:ligatures w14:val="none"/>
        </w:rPr>
        <w:t xml:space="preserve">The </w:t>
      </w:r>
      <w:r w:rsidR="00941CA7">
        <w:rPr>
          <w:rStyle w:val="Hyperlink"/>
          <w:rFonts w:asciiTheme="minorBidi" w:eastAsiaTheme="minorHAnsi" w:hAnsiTheme="minorBidi"/>
          <w:b/>
          <w:bCs/>
          <w:kern w:val="0"/>
          <w:shd w:val="clear" w:color="auto" w:fill="FFFFFF"/>
          <w:lang w:eastAsia="en-US"/>
          <w14:ligatures w14:val="none"/>
        </w:rPr>
        <w:t>N</w:t>
      </w:r>
      <w:r w:rsidR="007C27A1" w:rsidRPr="00E67E08">
        <w:rPr>
          <w:rStyle w:val="Hyperlink"/>
          <w:rFonts w:asciiTheme="minorBidi" w:eastAsiaTheme="minorHAnsi" w:hAnsiTheme="minorBidi"/>
          <w:b/>
          <w:bCs/>
          <w:kern w:val="0"/>
          <w:shd w:val="clear" w:color="auto" w:fill="FFFFFF"/>
          <w:lang w:eastAsia="en-US"/>
          <w14:ligatures w14:val="none"/>
        </w:rPr>
        <w:t xml:space="preserve">uts and </w:t>
      </w:r>
      <w:r w:rsidR="00941CA7">
        <w:rPr>
          <w:rStyle w:val="Hyperlink"/>
          <w:rFonts w:asciiTheme="minorBidi" w:eastAsiaTheme="minorHAnsi" w:hAnsiTheme="minorBidi"/>
          <w:b/>
          <w:bCs/>
          <w:kern w:val="0"/>
          <w:shd w:val="clear" w:color="auto" w:fill="FFFFFF"/>
          <w:lang w:eastAsia="en-US"/>
          <w14:ligatures w14:val="none"/>
        </w:rPr>
        <w:t>B</w:t>
      </w:r>
      <w:r w:rsidR="007C27A1" w:rsidRPr="00E67E08">
        <w:rPr>
          <w:rStyle w:val="Hyperlink"/>
          <w:rFonts w:asciiTheme="minorBidi" w:eastAsiaTheme="minorHAnsi" w:hAnsiTheme="minorBidi"/>
          <w:b/>
          <w:bCs/>
          <w:kern w:val="0"/>
          <w:shd w:val="clear" w:color="auto" w:fill="FFFFFF"/>
          <w:lang w:eastAsia="en-US"/>
          <w14:ligatures w14:val="none"/>
        </w:rPr>
        <w:t xml:space="preserve">olts of </w:t>
      </w:r>
      <w:r w:rsidR="00941CA7">
        <w:rPr>
          <w:rStyle w:val="Hyperlink"/>
          <w:rFonts w:asciiTheme="minorBidi" w:eastAsiaTheme="minorHAnsi" w:hAnsiTheme="minorBidi"/>
          <w:b/>
          <w:bCs/>
          <w:kern w:val="0"/>
          <w:shd w:val="clear" w:color="auto" w:fill="FFFFFF"/>
          <w:lang w:eastAsia="en-US"/>
          <w14:ligatures w14:val="none"/>
        </w:rPr>
        <w:t>C</w:t>
      </w:r>
      <w:r w:rsidR="007C27A1" w:rsidRPr="00E67E08">
        <w:rPr>
          <w:rStyle w:val="Hyperlink"/>
          <w:rFonts w:asciiTheme="minorBidi" w:eastAsiaTheme="minorHAnsi" w:hAnsiTheme="minorBidi"/>
          <w:b/>
          <w:bCs/>
          <w:kern w:val="0"/>
          <w:shd w:val="clear" w:color="auto" w:fill="FFFFFF"/>
          <w:lang w:eastAsia="en-US"/>
          <w14:ligatures w14:val="none"/>
        </w:rPr>
        <w:t xml:space="preserve">reating an </w:t>
      </w:r>
      <w:r w:rsidR="00941CA7">
        <w:rPr>
          <w:rStyle w:val="Hyperlink"/>
          <w:rFonts w:asciiTheme="minorBidi" w:eastAsiaTheme="minorHAnsi" w:hAnsiTheme="minorBidi"/>
          <w:b/>
          <w:bCs/>
          <w:kern w:val="0"/>
          <w:shd w:val="clear" w:color="auto" w:fill="FFFFFF"/>
          <w:lang w:eastAsia="en-US"/>
          <w14:ligatures w14:val="none"/>
        </w:rPr>
        <w:t>A</w:t>
      </w:r>
      <w:r w:rsidR="007C27A1" w:rsidRPr="00E67E08">
        <w:rPr>
          <w:rStyle w:val="Hyperlink"/>
          <w:rFonts w:asciiTheme="minorBidi" w:eastAsiaTheme="minorHAnsi" w:hAnsiTheme="minorBidi"/>
          <w:b/>
          <w:bCs/>
          <w:kern w:val="0"/>
          <w:shd w:val="clear" w:color="auto" w:fill="FFFFFF"/>
          <w:lang w:eastAsia="en-US"/>
          <w14:ligatures w14:val="none"/>
        </w:rPr>
        <w:t>nti-</w:t>
      </w:r>
      <w:r w:rsidR="00941CA7">
        <w:rPr>
          <w:rStyle w:val="Hyperlink"/>
          <w:rFonts w:asciiTheme="minorBidi" w:eastAsiaTheme="minorHAnsi" w:hAnsiTheme="minorBidi"/>
          <w:b/>
          <w:bCs/>
          <w:kern w:val="0"/>
          <w:shd w:val="clear" w:color="auto" w:fill="FFFFFF"/>
          <w:lang w:eastAsia="en-US"/>
          <w14:ligatures w14:val="none"/>
        </w:rPr>
        <w:t>F</w:t>
      </w:r>
      <w:r w:rsidR="007C27A1" w:rsidRPr="00E67E08">
        <w:rPr>
          <w:rStyle w:val="Hyperlink"/>
          <w:rFonts w:asciiTheme="minorBidi" w:eastAsiaTheme="minorHAnsi" w:hAnsiTheme="minorBidi"/>
          <w:b/>
          <w:bCs/>
          <w:kern w:val="0"/>
          <w:shd w:val="clear" w:color="auto" w:fill="FFFFFF"/>
          <w:lang w:eastAsia="en-US"/>
          <w14:ligatures w14:val="none"/>
        </w:rPr>
        <w:t xml:space="preserve">raud </w:t>
      </w:r>
      <w:r w:rsidR="00941CA7">
        <w:rPr>
          <w:rStyle w:val="Hyperlink"/>
          <w:rFonts w:asciiTheme="minorBidi" w:eastAsiaTheme="minorHAnsi" w:hAnsiTheme="minorBidi"/>
          <w:b/>
          <w:bCs/>
          <w:kern w:val="0"/>
          <w:shd w:val="clear" w:color="auto" w:fill="FFFFFF"/>
          <w:lang w:eastAsia="en-US"/>
          <w14:ligatures w14:val="none"/>
        </w:rPr>
        <w:t>C</w:t>
      </w:r>
      <w:r w:rsidR="007C27A1" w:rsidRPr="00E67E08">
        <w:rPr>
          <w:rStyle w:val="Hyperlink"/>
          <w:rFonts w:asciiTheme="minorBidi" w:eastAsiaTheme="minorHAnsi" w:hAnsiTheme="minorBidi"/>
          <w:b/>
          <w:bCs/>
          <w:kern w:val="0"/>
          <w:shd w:val="clear" w:color="auto" w:fill="FFFFFF"/>
          <w:lang w:eastAsia="en-US"/>
          <w14:ligatures w14:val="none"/>
        </w:rPr>
        <w:t>ulture</w:t>
      </w:r>
      <w:r>
        <w:rPr>
          <w:rFonts w:asciiTheme="minorBidi" w:eastAsia="Times New Roman" w:hAnsiTheme="minorBidi"/>
          <w:b/>
          <w:bCs/>
          <w:kern w:val="0"/>
          <w14:ligatures w14:val="none"/>
        </w:rPr>
        <w:fldChar w:fldCharType="end"/>
      </w:r>
    </w:p>
    <w:bookmarkEnd w:id="805"/>
    <w:bookmarkEnd w:id="806"/>
    <w:p w14:paraId="6F76E3D7" w14:textId="3F972A77" w:rsidR="007C27A1" w:rsidRPr="007C27A1" w:rsidRDefault="007C27A1" w:rsidP="007C27A1">
      <w:pPr>
        <w:spacing w:line="480" w:lineRule="auto"/>
        <w:jc w:val="both"/>
        <w:rPr>
          <w:rFonts w:asciiTheme="minorBidi" w:eastAsiaTheme="minorHAnsi" w:hAnsiTheme="minorBidi"/>
          <w:color w:val="000000" w:themeColor="text1"/>
          <w:kern w:val="0"/>
          <w:lang w:eastAsia="en-US"/>
          <w14:ligatures w14:val="none"/>
        </w:rPr>
      </w:pPr>
      <w:r w:rsidRPr="007C27A1">
        <w:rPr>
          <w:rFonts w:asciiTheme="minorBidi" w:eastAsiaTheme="minorHAnsi" w:hAnsiTheme="minorBidi"/>
          <w:color w:val="000000" w:themeColor="text1"/>
          <w:kern w:val="0"/>
          <w:lang w:eastAsia="en-US"/>
          <w14:ligatures w14:val="none"/>
        </w:rPr>
        <w:t>The researcher argues that for an organisation's anti-fraud efforts to endure and be effective, it is crucial to foster a culture where employees feel empowered and supported to divulge suspicions of fraud (Miceli et</w:t>
      </w:r>
      <w:r w:rsidR="000B68B5">
        <w:rPr>
          <w:rFonts w:asciiTheme="minorBidi" w:eastAsiaTheme="minorHAnsi" w:hAnsiTheme="minorBidi"/>
          <w:color w:val="000000" w:themeColor="text1"/>
          <w:kern w:val="0"/>
          <w:lang w:eastAsia="en-US"/>
          <w14:ligatures w14:val="none"/>
        </w:rPr>
        <w:t xml:space="preserve"> </w:t>
      </w:r>
      <w:r w:rsidRPr="007C27A1">
        <w:rPr>
          <w:rFonts w:asciiTheme="minorBidi" w:eastAsiaTheme="minorHAnsi" w:hAnsiTheme="minorBidi"/>
          <w:color w:val="000000" w:themeColor="text1"/>
          <w:kern w:val="0"/>
          <w:lang w:eastAsia="en-US"/>
          <w14:ligatures w14:val="none"/>
        </w:rPr>
        <w:t xml:space="preserve">al, 2008, Seifert et al, 2010, Mayer et al., 2013). If an organisation does not currently have an established or mature anti-fraud culture, then it is prudent to initially gauge what is currently going on and create policies and processes accordingly (ACFE, 2020, Albrecht et al, 2013, </w:t>
      </w:r>
      <w:r w:rsidRPr="007C27A1">
        <w:rPr>
          <w:rFonts w:asciiTheme="minorBidi" w:eastAsia="Times New Roman" w:hAnsiTheme="minorBidi"/>
          <w:kern w:val="0"/>
          <w14:ligatures w14:val="none"/>
        </w:rPr>
        <w:t xml:space="preserve">Biegelman &amp; </w:t>
      </w:r>
      <w:r w:rsidRPr="007C27A1">
        <w:rPr>
          <w:rFonts w:asciiTheme="minorBidi" w:eastAsia="Times New Roman" w:hAnsiTheme="minorBidi"/>
          <w:kern w:val="0"/>
          <w14:ligatures w14:val="none"/>
        </w:rPr>
        <w:lastRenderedPageBreak/>
        <w:t xml:space="preserve">Bartow, 2012). </w:t>
      </w:r>
      <w:r w:rsidRPr="007C27A1">
        <w:rPr>
          <w:rFonts w:asciiTheme="minorBidi" w:eastAsiaTheme="minorHAnsi" w:hAnsiTheme="minorBidi"/>
          <w:color w:val="000000" w:themeColor="text1"/>
          <w:kern w:val="0"/>
          <w:lang w:eastAsia="en-US"/>
          <w14:ligatures w14:val="none"/>
        </w:rPr>
        <w:t xml:space="preserve"> as a ‘one-size-fits-all’ approach </w:t>
      </w:r>
      <w:r w:rsidRPr="007C27A1">
        <w:rPr>
          <w:rFonts w:asciiTheme="minorBidi" w:eastAsia="Times New Roman" w:hAnsiTheme="minorBidi"/>
          <w:kern w:val="0"/>
          <w14:ligatures w14:val="none"/>
        </w:rPr>
        <w:t xml:space="preserve">(PwC, 2020, KPMG, 2019, Free &amp; Murphy, 2015) </w:t>
      </w:r>
      <w:r w:rsidRPr="007C27A1">
        <w:rPr>
          <w:rFonts w:asciiTheme="minorBidi" w:eastAsiaTheme="minorHAnsi" w:hAnsiTheme="minorBidi"/>
          <w:color w:val="000000" w:themeColor="text1"/>
          <w:kern w:val="0"/>
          <w:lang w:eastAsia="en-US"/>
          <w14:ligatures w14:val="none"/>
        </w:rPr>
        <w:t>will probably fail.</w:t>
      </w:r>
    </w:p>
    <w:p w14:paraId="2F743BCA" w14:textId="0638AB20" w:rsidR="00E43C24" w:rsidRPr="00056FC1" w:rsidRDefault="007C27A1" w:rsidP="00056FC1">
      <w:pPr>
        <w:spacing w:before="100" w:beforeAutospacing="1" w:after="100" w:afterAutospacing="1" w:line="480" w:lineRule="auto"/>
        <w:jc w:val="both"/>
        <w:rPr>
          <w:rFonts w:asciiTheme="minorBidi" w:eastAsia="Times New Roman" w:hAnsiTheme="minorBidi"/>
          <w:kern w:val="0"/>
          <w14:ligatures w14:val="none"/>
        </w:rPr>
      </w:pPr>
      <w:r w:rsidRPr="007C27A1">
        <w:rPr>
          <w:rFonts w:asciiTheme="minorBidi" w:eastAsiaTheme="minorHAnsi" w:hAnsiTheme="minorBidi"/>
          <w:color w:val="000000" w:themeColor="text1"/>
          <w:kern w:val="0"/>
          <w:lang w:eastAsia="en-US"/>
          <w14:ligatures w14:val="none"/>
        </w:rPr>
        <w:t>Consequently, the researcher took a deductive approach and developed an anti-fraud culture model in conjunction with a leading audit practitioner – Senior Partner of a top 10 firm based in UAE - entitled the SHEIKH MANIAR CROWE ANTI-FRAUD CULTURE BUILDER (‘</w:t>
      </w:r>
      <w:r w:rsidRPr="007C27A1">
        <w:rPr>
          <w:rFonts w:asciiTheme="minorBidi" w:eastAsiaTheme="minorHAnsi" w:hAnsiTheme="minorBidi"/>
          <w:b/>
          <w:bCs/>
          <w:color w:val="000000" w:themeColor="text1"/>
          <w:kern w:val="0"/>
          <w:lang w:eastAsia="en-US"/>
          <w14:ligatures w14:val="none"/>
        </w:rPr>
        <w:t>SM CROWE ANTI-FRAUD BUILDER’)</w:t>
      </w:r>
      <w:r w:rsidRPr="007C27A1">
        <w:rPr>
          <w:rFonts w:asciiTheme="minorBidi" w:eastAsiaTheme="minorHAnsi" w:hAnsiTheme="minorBidi"/>
          <w:color w:val="000000" w:themeColor="text1"/>
          <w:kern w:val="0"/>
          <w:lang w:eastAsia="en-US"/>
          <w14:ligatures w14:val="none"/>
        </w:rPr>
        <w:t xml:space="preserve">, which </w:t>
      </w:r>
      <w:r w:rsidRPr="007C27A1">
        <w:rPr>
          <w:rFonts w:asciiTheme="minorBidi" w:eastAsiaTheme="minorHAnsi" w:hAnsiTheme="minorBidi"/>
          <w:b/>
          <w:bCs/>
          <w:i/>
          <w:iCs/>
          <w:color w:val="000000" w:themeColor="text1"/>
          <w:kern w:val="0"/>
          <w:lang w:eastAsia="en-US"/>
          <w14:ligatures w14:val="none"/>
        </w:rPr>
        <w:t>(will be published in the</w:t>
      </w:r>
      <w:r w:rsidRPr="00EC2CB2">
        <w:rPr>
          <w:rFonts w:asciiTheme="minorBidi" w:eastAsiaTheme="minorHAnsi" w:hAnsiTheme="minorBidi"/>
          <w:b/>
          <w:bCs/>
          <w:i/>
          <w:iCs/>
          <w:color w:val="000000" w:themeColor="text1"/>
          <w:kern w:val="0"/>
          <w:lang w:eastAsia="en-US"/>
          <w14:ligatures w14:val="none"/>
        </w:rPr>
        <w:t xml:space="preserve"> </w:t>
      </w:r>
      <w:r w:rsidR="00EC2CB2" w:rsidRPr="00EC2CB2">
        <w:rPr>
          <w:rFonts w:ascii="Arial" w:hAnsi="Arial" w:cs="Arial"/>
          <w:b/>
          <w:bCs/>
          <w:i/>
          <w:iCs/>
          <w:color w:val="000000" w:themeColor="text1"/>
        </w:rPr>
        <w:t>researchers</w:t>
      </w:r>
      <w:r w:rsidRPr="007C27A1">
        <w:rPr>
          <w:rFonts w:asciiTheme="minorBidi" w:eastAsiaTheme="minorHAnsi" w:hAnsiTheme="minorBidi"/>
          <w:b/>
          <w:bCs/>
          <w:i/>
          <w:iCs/>
          <w:color w:val="000000" w:themeColor="text1"/>
          <w:kern w:val="0"/>
          <w:lang w:eastAsia="en-US"/>
          <w14:ligatures w14:val="none"/>
        </w:rPr>
        <w:t xml:space="preserve"> forthcoming book with Business Expert Press (USA))</w:t>
      </w:r>
      <w:r w:rsidRPr="007C27A1">
        <w:rPr>
          <w:rFonts w:asciiTheme="minorBidi" w:eastAsiaTheme="minorHAnsi" w:hAnsiTheme="minorBidi"/>
          <w:color w:val="000000" w:themeColor="text1"/>
          <w:kern w:val="0"/>
          <w:lang w:eastAsia="en-US"/>
          <w14:ligatures w14:val="none"/>
        </w:rPr>
        <w:t xml:space="preserve"> measures and analyses an organisation's capacity for ongoing progress, determines its stage on the ‘anti-fraud life cycle’ and what processes or activities may be required to </w:t>
      </w:r>
      <w:r w:rsidRPr="007C27A1">
        <w:rPr>
          <w:rFonts w:asciiTheme="minorBidi" w:eastAsiaTheme="minorHAnsi" w:hAnsiTheme="minorBidi"/>
          <w:b/>
          <w:bCs/>
          <w:i/>
          <w:iCs/>
          <w:color w:val="000000" w:themeColor="text1"/>
          <w:kern w:val="0"/>
          <w:lang w:eastAsia="en-US"/>
          <w14:ligatures w14:val="none"/>
        </w:rPr>
        <w:t>‘build’</w:t>
      </w:r>
      <w:r w:rsidRPr="007C27A1">
        <w:rPr>
          <w:rFonts w:asciiTheme="minorBidi" w:eastAsiaTheme="minorHAnsi" w:hAnsiTheme="minorBidi"/>
          <w:color w:val="000000" w:themeColor="text1"/>
          <w:kern w:val="0"/>
          <w:lang w:eastAsia="en-US"/>
          <w14:ligatures w14:val="none"/>
        </w:rPr>
        <w:t xml:space="preserve"> improvement, </w:t>
      </w:r>
      <w:r w:rsidRPr="007C27A1">
        <w:rPr>
          <w:rFonts w:asciiTheme="minorBidi" w:eastAsiaTheme="minorHAnsi" w:hAnsiTheme="minorBidi"/>
          <w:b/>
          <w:bCs/>
          <w:color w:val="000000" w:themeColor="text1"/>
          <w:kern w:val="0"/>
          <w:lang w:eastAsia="en-US"/>
          <w14:ligatures w14:val="none"/>
        </w:rPr>
        <w:t xml:space="preserve">see Table 5.5. </w:t>
      </w:r>
      <w:r w:rsidRPr="007C27A1">
        <w:rPr>
          <w:rFonts w:asciiTheme="minorBidi" w:eastAsia="Times New Roman" w:hAnsiTheme="minorBidi"/>
          <w:kern w:val="0"/>
          <w14:ligatures w14:val="none"/>
        </w:rPr>
        <w:t>The model includes clear stages and methods for promoting an anti-fraud culture, originating from sound theoretical models / constructs.</w:t>
      </w:r>
      <w:bookmarkStart w:id="807" w:name="_Hlk172308426"/>
    </w:p>
    <w:p w14:paraId="55A31404" w14:textId="562A4A60" w:rsidR="007C27A1" w:rsidRPr="007C27A1" w:rsidRDefault="007C27A1" w:rsidP="007C27A1">
      <w:pPr>
        <w:spacing w:line="480" w:lineRule="auto"/>
        <w:jc w:val="both"/>
        <w:rPr>
          <w:rFonts w:ascii="Arial" w:eastAsiaTheme="minorHAnsi" w:hAnsi="Arial" w:cs="Arial"/>
          <w:b/>
          <w:bCs/>
          <w:color w:val="000000" w:themeColor="text1"/>
          <w:kern w:val="0"/>
          <w:lang w:eastAsia="en-US"/>
          <w14:ligatures w14:val="none"/>
        </w:rPr>
      </w:pPr>
      <w:r w:rsidRPr="007C27A1">
        <w:rPr>
          <w:rFonts w:ascii="Arial" w:eastAsiaTheme="minorHAnsi" w:hAnsi="Arial" w:cs="Arial"/>
          <w:b/>
          <w:bCs/>
          <w:color w:val="000000" w:themeColor="text1"/>
          <w:kern w:val="0"/>
          <w:lang w:eastAsia="en-US"/>
          <w14:ligatures w14:val="none"/>
        </w:rPr>
        <w:t>Table 5.5 Stages and Approaches to Facilitate an Anti-Fraud Culture</w:t>
      </w:r>
    </w:p>
    <w:tbl>
      <w:tblPr>
        <w:tblStyle w:val="TableGrid2"/>
        <w:tblW w:w="0" w:type="auto"/>
        <w:tblLook w:val="04A0" w:firstRow="1" w:lastRow="0" w:firstColumn="1" w:lastColumn="0" w:noHBand="0" w:noVBand="1"/>
      </w:tblPr>
      <w:tblGrid>
        <w:gridCol w:w="2263"/>
        <w:gridCol w:w="2592"/>
        <w:gridCol w:w="4161"/>
      </w:tblGrid>
      <w:tr w:rsidR="007C27A1" w:rsidRPr="007C27A1" w14:paraId="450F5429" w14:textId="77777777" w:rsidTr="001D4222">
        <w:tc>
          <w:tcPr>
            <w:tcW w:w="2263" w:type="dxa"/>
          </w:tcPr>
          <w:bookmarkEnd w:id="807"/>
          <w:p w14:paraId="6C43CD8B" w14:textId="77777777" w:rsidR="007C27A1" w:rsidRPr="007C27A1" w:rsidRDefault="007C27A1" w:rsidP="007C27A1">
            <w:pPr>
              <w:spacing w:line="480" w:lineRule="auto"/>
              <w:rPr>
                <w:rFonts w:ascii="Arial" w:hAnsi="Arial" w:cs="Arial"/>
                <w:b/>
                <w:bCs/>
                <w:color w:val="000000" w:themeColor="text1"/>
              </w:rPr>
            </w:pPr>
            <w:r w:rsidRPr="007C27A1">
              <w:rPr>
                <w:rFonts w:ascii="Arial" w:hAnsi="Arial" w:cs="Arial"/>
                <w:b/>
                <w:bCs/>
                <w:color w:val="000000" w:themeColor="text1"/>
              </w:rPr>
              <w:t>Organisation Stage</w:t>
            </w:r>
          </w:p>
        </w:tc>
        <w:tc>
          <w:tcPr>
            <w:tcW w:w="2592" w:type="dxa"/>
          </w:tcPr>
          <w:p w14:paraId="00314383" w14:textId="77777777" w:rsidR="007C27A1" w:rsidRPr="007C27A1" w:rsidRDefault="007C27A1" w:rsidP="007C27A1">
            <w:pPr>
              <w:spacing w:line="480" w:lineRule="auto"/>
              <w:rPr>
                <w:rFonts w:ascii="Arial" w:hAnsi="Arial" w:cs="Arial"/>
                <w:b/>
                <w:bCs/>
                <w:color w:val="000000" w:themeColor="text1"/>
              </w:rPr>
            </w:pPr>
            <w:r w:rsidRPr="007C27A1">
              <w:rPr>
                <w:rFonts w:ascii="Arial" w:hAnsi="Arial" w:cs="Arial"/>
                <w:b/>
                <w:bCs/>
                <w:color w:val="000000" w:themeColor="text1"/>
              </w:rPr>
              <w:t>Features</w:t>
            </w:r>
          </w:p>
        </w:tc>
        <w:tc>
          <w:tcPr>
            <w:tcW w:w="4161" w:type="dxa"/>
          </w:tcPr>
          <w:p w14:paraId="7CF7AF5C" w14:textId="77777777" w:rsidR="007C27A1" w:rsidRPr="007C27A1" w:rsidRDefault="007C27A1" w:rsidP="007C27A1">
            <w:pPr>
              <w:spacing w:line="480" w:lineRule="auto"/>
              <w:rPr>
                <w:rFonts w:ascii="Arial" w:hAnsi="Arial" w:cs="Arial"/>
                <w:b/>
                <w:bCs/>
                <w:color w:val="000000" w:themeColor="text1"/>
              </w:rPr>
            </w:pPr>
            <w:r w:rsidRPr="007C27A1">
              <w:rPr>
                <w:rFonts w:ascii="Arial" w:hAnsi="Arial" w:cs="Arial"/>
                <w:b/>
                <w:bCs/>
                <w:color w:val="000000" w:themeColor="text1"/>
              </w:rPr>
              <w:t xml:space="preserve">Methods / Tactics </w:t>
            </w:r>
          </w:p>
        </w:tc>
      </w:tr>
      <w:tr w:rsidR="007C27A1" w:rsidRPr="007C27A1" w14:paraId="454478AC" w14:textId="77777777" w:rsidTr="001D4222">
        <w:tc>
          <w:tcPr>
            <w:tcW w:w="2263" w:type="dxa"/>
          </w:tcPr>
          <w:p w14:paraId="781C74CB" w14:textId="77777777" w:rsidR="007C27A1" w:rsidRPr="007C27A1" w:rsidRDefault="007C27A1" w:rsidP="007C27A1">
            <w:pPr>
              <w:spacing w:line="480" w:lineRule="auto"/>
              <w:rPr>
                <w:rFonts w:ascii="Arial" w:hAnsi="Arial" w:cs="Arial"/>
                <w:color w:val="000000" w:themeColor="text1"/>
              </w:rPr>
            </w:pPr>
            <w:r w:rsidRPr="007C27A1">
              <w:rPr>
                <w:rFonts w:ascii="Arial" w:hAnsi="Arial" w:cs="Arial"/>
                <w:color w:val="000000" w:themeColor="text1"/>
              </w:rPr>
              <w:t>Negative</w:t>
            </w:r>
          </w:p>
        </w:tc>
        <w:tc>
          <w:tcPr>
            <w:tcW w:w="2592" w:type="dxa"/>
          </w:tcPr>
          <w:p w14:paraId="76B99005"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No top-management buy-in</w:t>
            </w:r>
          </w:p>
          <w:p w14:paraId="47D70ED2"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Fraud prevention not a strategic priority including no budget</w:t>
            </w:r>
          </w:p>
          <w:p w14:paraId="206063A2"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 xml:space="preserve">Anti-fraud only been discussed </w:t>
            </w:r>
            <w:r w:rsidRPr="007C27A1">
              <w:rPr>
                <w:rFonts w:ascii="Arial" w:hAnsi="Arial" w:cs="Arial"/>
                <w:color w:val="000000" w:themeColor="text1"/>
              </w:rPr>
              <w:lastRenderedPageBreak/>
              <w:t xml:space="preserve">now in the face of an unfolding scandal i.e. Reactive </w:t>
            </w:r>
          </w:p>
          <w:p w14:paraId="2CDB136C" w14:textId="77777777" w:rsidR="007C27A1" w:rsidRPr="007C27A1" w:rsidRDefault="007C27A1" w:rsidP="007C27A1">
            <w:pPr>
              <w:spacing w:line="480" w:lineRule="auto"/>
              <w:rPr>
                <w:rFonts w:ascii="Arial" w:hAnsi="Arial" w:cs="Arial"/>
                <w:color w:val="000000" w:themeColor="text1"/>
              </w:rPr>
            </w:pPr>
          </w:p>
        </w:tc>
        <w:tc>
          <w:tcPr>
            <w:tcW w:w="4161" w:type="dxa"/>
          </w:tcPr>
          <w:p w14:paraId="6B84DA58"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lastRenderedPageBreak/>
              <w:t xml:space="preserve">Start fire-fighting beginning with compulsory seminars / workshops for all workers including middle and senior management </w:t>
            </w:r>
          </w:p>
          <w:p w14:paraId="62B94014"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Work with PR department to improve communications and proactively deal with negative fallout including social media strategy</w:t>
            </w:r>
          </w:p>
          <w:p w14:paraId="77DC1E7F"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lastRenderedPageBreak/>
              <w:t>Propose a root-branch review of current, if any, risk management policies and procedures</w:t>
            </w:r>
          </w:p>
          <w:p w14:paraId="528AE92B"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Immediately set-up a confidential whistle-blowers hotline</w:t>
            </w:r>
          </w:p>
          <w:p w14:paraId="361FFA5A"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Resistance from senior and middle management</w:t>
            </w:r>
          </w:p>
          <w:p w14:paraId="03D41F79"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 xml:space="preserve">Propose change-management plan </w:t>
            </w:r>
          </w:p>
          <w:p w14:paraId="7BC81116" w14:textId="77777777" w:rsidR="007C27A1" w:rsidRPr="007C27A1" w:rsidRDefault="007C27A1" w:rsidP="007C27A1">
            <w:pPr>
              <w:spacing w:line="480" w:lineRule="auto"/>
              <w:rPr>
                <w:rFonts w:ascii="Arial" w:hAnsi="Arial" w:cs="Arial"/>
                <w:color w:val="000000" w:themeColor="text1"/>
              </w:rPr>
            </w:pPr>
          </w:p>
        </w:tc>
      </w:tr>
      <w:tr w:rsidR="007C27A1" w:rsidRPr="007C27A1" w14:paraId="404E1566" w14:textId="77777777" w:rsidTr="001D4222">
        <w:tc>
          <w:tcPr>
            <w:tcW w:w="2263" w:type="dxa"/>
          </w:tcPr>
          <w:p w14:paraId="6ED625BD" w14:textId="77777777" w:rsidR="007C27A1" w:rsidRPr="007C27A1" w:rsidRDefault="007C27A1" w:rsidP="007C27A1">
            <w:pPr>
              <w:spacing w:line="480" w:lineRule="auto"/>
              <w:rPr>
                <w:rFonts w:ascii="Arial" w:hAnsi="Arial" w:cs="Arial"/>
                <w:color w:val="000000" w:themeColor="text1"/>
              </w:rPr>
            </w:pPr>
            <w:r w:rsidRPr="007C27A1">
              <w:rPr>
                <w:rFonts w:ascii="Arial" w:hAnsi="Arial" w:cs="Arial"/>
                <w:color w:val="000000" w:themeColor="text1"/>
              </w:rPr>
              <w:lastRenderedPageBreak/>
              <w:t>Partial</w:t>
            </w:r>
          </w:p>
        </w:tc>
        <w:tc>
          <w:tcPr>
            <w:tcW w:w="2592" w:type="dxa"/>
          </w:tcPr>
          <w:p w14:paraId="2872B9E6"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Little top-management buy-in</w:t>
            </w:r>
          </w:p>
          <w:p w14:paraId="5452784E"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Some awareness of anti-fraud but meagre budget</w:t>
            </w:r>
          </w:p>
          <w:p w14:paraId="7ADE3AAC"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 xml:space="preserve">Anti-fraud only been discussed now in the face of an unfolding scandal i.e. Reactive </w:t>
            </w:r>
          </w:p>
          <w:p w14:paraId="3A7DDFBB" w14:textId="77777777" w:rsidR="007C27A1" w:rsidRPr="007C27A1" w:rsidRDefault="007C27A1" w:rsidP="007C27A1">
            <w:pPr>
              <w:spacing w:line="480" w:lineRule="auto"/>
              <w:rPr>
                <w:rFonts w:ascii="Arial" w:hAnsi="Arial" w:cs="Arial"/>
                <w:color w:val="000000" w:themeColor="text1"/>
              </w:rPr>
            </w:pPr>
          </w:p>
          <w:p w14:paraId="09FCDD88" w14:textId="77777777" w:rsidR="007C27A1" w:rsidRPr="007C27A1" w:rsidRDefault="007C27A1" w:rsidP="007C27A1">
            <w:pPr>
              <w:spacing w:line="480" w:lineRule="auto"/>
              <w:rPr>
                <w:rFonts w:ascii="Arial" w:hAnsi="Arial" w:cs="Arial"/>
                <w:b/>
                <w:bCs/>
                <w:color w:val="000000" w:themeColor="text1"/>
              </w:rPr>
            </w:pPr>
          </w:p>
        </w:tc>
        <w:tc>
          <w:tcPr>
            <w:tcW w:w="4161" w:type="dxa"/>
          </w:tcPr>
          <w:p w14:paraId="44CB60A8"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 xml:space="preserve">Start fire-fighting beginning with compulsory seminars / workshops for all workers including middle and senior management </w:t>
            </w:r>
          </w:p>
          <w:p w14:paraId="4947D3FD"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Work with PR department to improve communications and proactively deal with negative fallout including social media strategy</w:t>
            </w:r>
          </w:p>
          <w:p w14:paraId="639C6B46"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Propose a root-branch review of current, if any, risk management policies and procedures</w:t>
            </w:r>
          </w:p>
          <w:p w14:paraId="02CC3885"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Immediately set-up a confidential whistle-blowers hotline</w:t>
            </w:r>
          </w:p>
          <w:p w14:paraId="6FA102DB"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Some resistance from senior and middle management</w:t>
            </w:r>
          </w:p>
          <w:p w14:paraId="0EF782C6"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lastRenderedPageBreak/>
              <w:t xml:space="preserve">Propose change-management plan </w:t>
            </w:r>
          </w:p>
          <w:p w14:paraId="4860B009" w14:textId="77777777" w:rsidR="007C27A1" w:rsidRPr="007C27A1" w:rsidRDefault="007C27A1" w:rsidP="007C27A1">
            <w:pPr>
              <w:spacing w:line="480" w:lineRule="auto"/>
              <w:rPr>
                <w:rFonts w:ascii="Arial" w:hAnsi="Arial" w:cs="Arial"/>
                <w:b/>
                <w:bCs/>
                <w:color w:val="000000" w:themeColor="text1"/>
              </w:rPr>
            </w:pPr>
          </w:p>
        </w:tc>
      </w:tr>
      <w:tr w:rsidR="007C27A1" w:rsidRPr="007C27A1" w14:paraId="0BDE07FB" w14:textId="77777777" w:rsidTr="001D4222">
        <w:tc>
          <w:tcPr>
            <w:tcW w:w="2263" w:type="dxa"/>
          </w:tcPr>
          <w:p w14:paraId="0E97B284" w14:textId="77777777" w:rsidR="007C27A1" w:rsidRPr="007C27A1" w:rsidRDefault="007C27A1" w:rsidP="007C27A1">
            <w:pPr>
              <w:spacing w:line="480" w:lineRule="auto"/>
              <w:rPr>
                <w:rFonts w:ascii="Arial" w:hAnsi="Arial" w:cs="Arial"/>
                <w:color w:val="000000" w:themeColor="text1"/>
              </w:rPr>
            </w:pPr>
            <w:r w:rsidRPr="007C27A1">
              <w:rPr>
                <w:rFonts w:ascii="Arial" w:hAnsi="Arial" w:cs="Arial"/>
                <w:color w:val="000000" w:themeColor="text1"/>
              </w:rPr>
              <w:lastRenderedPageBreak/>
              <w:t>Positive</w:t>
            </w:r>
          </w:p>
        </w:tc>
        <w:tc>
          <w:tcPr>
            <w:tcW w:w="2592" w:type="dxa"/>
          </w:tcPr>
          <w:p w14:paraId="6CA817DD"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Genuine buy-in from senior management and open to new ideas</w:t>
            </w:r>
          </w:p>
          <w:p w14:paraId="07A8760B"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Established policies and procedures including Whistle-blowers Hotline although dated</w:t>
            </w:r>
          </w:p>
          <w:p w14:paraId="64C5481B"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Some success in fraud prevention but dealt with internally to avoid reputational damage and sending negative signals to the market</w:t>
            </w:r>
          </w:p>
          <w:p w14:paraId="7F6C11EA" w14:textId="77777777" w:rsidR="007C27A1" w:rsidRPr="007C27A1" w:rsidRDefault="007C27A1" w:rsidP="007C27A1">
            <w:pPr>
              <w:spacing w:line="480" w:lineRule="auto"/>
              <w:rPr>
                <w:rFonts w:ascii="Arial" w:hAnsi="Arial" w:cs="Arial"/>
                <w:color w:val="000000" w:themeColor="text1"/>
              </w:rPr>
            </w:pPr>
          </w:p>
          <w:p w14:paraId="6FF8439A" w14:textId="77777777" w:rsidR="007C27A1" w:rsidRPr="007C27A1" w:rsidRDefault="007C27A1" w:rsidP="007C27A1">
            <w:pPr>
              <w:spacing w:line="480" w:lineRule="auto"/>
              <w:rPr>
                <w:rFonts w:ascii="Arial" w:hAnsi="Arial" w:cs="Arial"/>
                <w:color w:val="000000" w:themeColor="text1"/>
              </w:rPr>
            </w:pPr>
          </w:p>
        </w:tc>
        <w:tc>
          <w:tcPr>
            <w:tcW w:w="4161" w:type="dxa"/>
          </w:tcPr>
          <w:p w14:paraId="2246660E"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lastRenderedPageBreak/>
              <w:t>Review current fraud risk management policies and processes</w:t>
            </w:r>
          </w:p>
          <w:p w14:paraId="01C5EB5A"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Evaluate past organisational frauds and work with PR or Communications Team to review organisation comms</w:t>
            </w:r>
          </w:p>
          <w:p w14:paraId="20E27B04"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Hold open and safe workshops with entire staff including senior management discussing the ‘What, Why, How and Prevention’ of white-collar crime</w:t>
            </w:r>
          </w:p>
          <w:p w14:paraId="2B961F73"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Expand fraud training across the organisation</w:t>
            </w:r>
          </w:p>
          <w:p w14:paraId="394144D6"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Celebrate good practice and reward good behaviour</w:t>
            </w:r>
          </w:p>
          <w:p w14:paraId="17FA9937"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 xml:space="preserve">Propose internal and external benchmarking </w:t>
            </w:r>
          </w:p>
          <w:p w14:paraId="03D493CC" w14:textId="77777777" w:rsidR="007C27A1" w:rsidRPr="007C27A1" w:rsidRDefault="007C27A1" w:rsidP="007C27A1">
            <w:pPr>
              <w:spacing w:line="480" w:lineRule="auto"/>
              <w:rPr>
                <w:rFonts w:ascii="Arial" w:hAnsi="Arial" w:cs="Arial"/>
                <w:color w:val="000000" w:themeColor="text1"/>
              </w:rPr>
            </w:pPr>
          </w:p>
          <w:p w14:paraId="0D36B129" w14:textId="77777777" w:rsidR="007C27A1" w:rsidRPr="007C27A1" w:rsidRDefault="007C27A1" w:rsidP="007C27A1">
            <w:pPr>
              <w:spacing w:line="480" w:lineRule="auto"/>
              <w:rPr>
                <w:rFonts w:ascii="Arial" w:hAnsi="Arial" w:cs="Arial"/>
                <w:color w:val="000000" w:themeColor="text1"/>
              </w:rPr>
            </w:pPr>
          </w:p>
          <w:p w14:paraId="06372047" w14:textId="77777777" w:rsidR="007C27A1" w:rsidRPr="007C27A1" w:rsidRDefault="007C27A1" w:rsidP="007C27A1">
            <w:pPr>
              <w:spacing w:line="480" w:lineRule="auto"/>
              <w:rPr>
                <w:rFonts w:ascii="Arial" w:hAnsi="Arial" w:cs="Arial"/>
                <w:color w:val="000000" w:themeColor="text1"/>
              </w:rPr>
            </w:pPr>
          </w:p>
        </w:tc>
      </w:tr>
      <w:tr w:rsidR="007C27A1" w:rsidRPr="007C27A1" w14:paraId="10B5DF86" w14:textId="77777777" w:rsidTr="001D4222">
        <w:tc>
          <w:tcPr>
            <w:tcW w:w="2263" w:type="dxa"/>
          </w:tcPr>
          <w:p w14:paraId="5FE4E6E6" w14:textId="77777777" w:rsidR="007C27A1" w:rsidRPr="007C27A1" w:rsidRDefault="007C27A1" w:rsidP="007C27A1">
            <w:pPr>
              <w:spacing w:line="480" w:lineRule="auto"/>
              <w:rPr>
                <w:rFonts w:ascii="Arial" w:hAnsi="Arial" w:cs="Arial"/>
                <w:color w:val="000000" w:themeColor="text1"/>
              </w:rPr>
            </w:pPr>
            <w:r w:rsidRPr="007C27A1">
              <w:rPr>
                <w:rFonts w:ascii="Arial" w:hAnsi="Arial" w:cs="Arial"/>
                <w:color w:val="000000" w:themeColor="text1"/>
              </w:rPr>
              <w:t>Take-off</w:t>
            </w:r>
          </w:p>
        </w:tc>
        <w:tc>
          <w:tcPr>
            <w:tcW w:w="2592" w:type="dxa"/>
          </w:tcPr>
          <w:p w14:paraId="6B7AE0AA"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Strategic buy-in from senior management and open to new ideas</w:t>
            </w:r>
          </w:p>
          <w:p w14:paraId="6409D52A"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 xml:space="preserve">Robust policies and processes </w:t>
            </w:r>
          </w:p>
          <w:p w14:paraId="68438C64"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Established KPIs including external benchmarking</w:t>
            </w:r>
          </w:p>
          <w:p w14:paraId="026DB3E5"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Anti-fraud champions across the organisations</w:t>
            </w:r>
          </w:p>
          <w:p w14:paraId="459B0A52"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 xml:space="preserve">Strong anti-fraud culture </w:t>
            </w:r>
          </w:p>
          <w:p w14:paraId="67E7B31F" w14:textId="77777777" w:rsidR="007C27A1" w:rsidRPr="007C27A1" w:rsidRDefault="007C27A1" w:rsidP="007C27A1">
            <w:pPr>
              <w:spacing w:line="480" w:lineRule="auto"/>
              <w:rPr>
                <w:rFonts w:ascii="Arial" w:hAnsi="Arial" w:cs="Arial"/>
                <w:color w:val="000000" w:themeColor="text1"/>
              </w:rPr>
            </w:pPr>
          </w:p>
          <w:p w14:paraId="3ECF9A1B" w14:textId="77777777" w:rsidR="007C27A1" w:rsidRPr="007C27A1" w:rsidRDefault="007C27A1" w:rsidP="007C27A1">
            <w:pPr>
              <w:spacing w:line="480" w:lineRule="auto"/>
              <w:rPr>
                <w:rFonts w:ascii="Arial" w:hAnsi="Arial" w:cs="Arial"/>
                <w:b/>
                <w:bCs/>
                <w:color w:val="000000" w:themeColor="text1"/>
              </w:rPr>
            </w:pPr>
          </w:p>
        </w:tc>
        <w:tc>
          <w:tcPr>
            <w:tcW w:w="4161" w:type="dxa"/>
          </w:tcPr>
          <w:p w14:paraId="3D57E296"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Audit current fraud risk management policies and processes including comms</w:t>
            </w:r>
          </w:p>
          <w:p w14:paraId="6F9C7A18"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 xml:space="preserve">Celebrate good practice and establish a reward structure for good behaviour </w:t>
            </w:r>
          </w:p>
          <w:p w14:paraId="6104D03F" w14:textId="77777777" w:rsidR="007C27A1" w:rsidRPr="007C27A1" w:rsidRDefault="007C27A1" w:rsidP="007C27A1">
            <w:pPr>
              <w:spacing w:line="480" w:lineRule="auto"/>
              <w:rPr>
                <w:rFonts w:ascii="Arial" w:hAnsi="Arial" w:cs="Arial"/>
                <w:color w:val="000000" w:themeColor="text1"/>
              </w:rPr>
            </w:pPr>
          </w:p>
        </w:tc>
      </w:tr>
      <w:tr w:rsidR="007C27A1" w:rsidRPr="007C27A1" w14:paraId="2339AFED" w14:textId="77777777" w:rsidTr="001D4222">
        <w:tc>
          <w:tcPr>
            <w:tcW w:w="2263" w:type="dxa"/>
          </w:tcPr>
          <w:p w14:paraId="2C4CDAF8" w14:textId="77777777" w:rsidR="007C27A1" w:rsidRPr="007C27A1" w:rsidRDefault="007C27A1" w:rsidP="007C27A1">
            <w:pPr>
              <w:spacing w:line="480" w:lineRule="auto"/>
              <w:rPr>
                <w:rFonts w:ascii="Arial" w:hAnsi="Arial" w:cs="Arial"/>
                <w:color w:val="000000" w:themeColor="text1"/>
              </w:rPr>
            </w:pPr>
            <w:r w:rsidRPr="007C27A1">
              <w:rPr>
                <w:rFonts w:ascii="Arial" w:hAnsi="Arial" w:cs="Arial"/>
                <w:color w:val="000000" w:themeColor="text1"/>
              </w:rPr>
              <w:t xml:space="preserve">Mature </w:t>
            </w:r>
          </w:p>
        </w:tc>
        <w:tc>
          <w:tcPr>
            <w:tcW w:w="2592" w:type="dxa"/>
          </w:tcPr>
          <w:p w14:paraId="1B7913EB"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Permanent buy-in from senior management and across the organisation</w:t>
            </w:r>
          </w:p>
          <w:p w14:paraId="0EFDDE37"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 xml:space="preserve">Good practice and behaviour </w:t>
            </w:r>
            <w:r w:rsidRPr="007C27A1">
              <w:rPr>
                <w:rFonts w:ascii="Arial" w:hAnsi="Arial" w:cs="Arial"/>
                <w:color w:val="000000" w:themeColor="text1"/>
              </w:rPr>
              <w:lastRenderedPageBreak/>
              <w:t>routinely acknowledged and celebrated</w:t>
            </w:r>
          </w:p>
          <w:p w14:paraId="3C428E2A"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Awarding winning organisation for culture and employee satisfaction</w:t>
            </w:r>
          </w:p>
        </w:tc>
        <w:tc>
          <w:tcPr>
            <w:tcW w:w="4161" w:type="dxa"/>
          </w:tcPr>
          <w:p w14:paraId="6054C536"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lastRenderedPageBreak/>
              <w:t>Audit current fraud risk management policies and processes including comms</w:t>
            </w:r>
          </w:p>
          <w:p w14:paraId="2F1E8E4C"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 xml:space="preserve">Celebrate good practice and establish a reward structure for good behaviour </w:t>
            </w:r>
          </w:p>
          <w:p w14:paraId="4245BFBE"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lastRenderedPageBreak/>
              <w:t xml:space="preserve">Collaborate with senior management and perform applied research or write a business case study holding out the organisation to be </w:t>
            </w:r>
            <w:proofErr w:type="spellStart"/>
            <w:proofErr w:type="gramStart"/>
            <w:r w:rsidRPr="007C27A1">
              <w:rPr>
                <w:rFonts w:ascii="Arial" w:hAnsi="Arial" w:cs="Arial"/>
                <w:color w:val="000000" w:themeColor="text1"/>
              </w:rPr>
              <w:t>a</w:t>
            </w:r>
            <w:proofErr w:type="spellEnd"/>
            <w:proofErr w:type="gramEnd"/>
            <w:r w:rsidRPr="007C27A1">
              <w:rPr>
                <w:rFonts w:ascii="Arial" w:hAnsi="Arial" w:cs="Arial"/>
                <w:color w:val="000000" w:themeColor="text1"/>
              </w:rPr>
              <w:t xml:space="preserve"> industry model </w:t>
            </w:r>
          </w:p>
          <w:p w14:paraId="08D9B677" w14:textId="77777777" w:rsidR="007C27A1" w:rsidRPr="007C27A1" w:rsidRDefault="007C27A1">
            <w:pPr>
              <w:numPr>
                <w:ilvl w:val="0"/>
                <w:numId w:val="34"/>
              </w:numPr>
              <w:spacing w:line="480" w:lineRule="auto"/>
              <w:contextualSpacing/>
              <w:rPr>
                <w:rFonts w:ascii="Arial" w:hAnsi="Arial" w:cs="Arial"/>
                <w:color w:val="000000" w:themeColor="text1"/>
              </w:rPr>
            </w:pPr>
            <w:r w:rsidRPr="007C27A1">
              <w:rPr>
                <w:rFonts w:ascii="Arial" w:hAnsi="Arial" w:cs="Arial"/>
                <w:color w:val="000000" w:themeColor="text1"/>
              </w:rPr>
              <w:t>Ensure anti-fraud and ethical mindset is part of the recruitment and promotion process for workers to CEO</w:t>
            </w:r>
          </w:p>
        </w:tc>
      </w:tr>
    </w:tbl>
    <w:p w14:paraId="771ECF84" w14:textId="77777777" w:rsidR="007C27A1" w:rsidRPr="007C27A1" w:rsidRDefault="007C27A1" w:rsidP="007C27A1">
      <w:pPr>
        <w:spacing w:before="100" w:beforeAutospacing="1" w:after="100" w:afterAutospacing="1" w:line="480" w:lineRule="auto"/>
        <w:jc w:val="both"/>
        <w:rPr>
          <w:rFonts w:asciiTheme="minorBidi" w:eastAsia="Times New Roman" w:hAnsiTheme="minorBidi"/>
          <w:kern w:val="0"/>
          <w14:ligatures w14:val="none"/>
        </w:rPr>
      </w:pPr>
      <w:r w:rsidRPr="007C27A1">
        <w:rPr>
          <w:rFonts w:asciiTheme="minorBidi" w:eastAsia="Times New Roman" w:hAnsiTheme="minorBidi"/>
          <w:kern w:val="0"/>
          <w14:ligatures w14:val="none"/>
        </w:rPr>
        <w:lastRenderedPageBreak/>
        <w:t>The researcher posits that the SM CROWE ANTI-FRAUD BUILDER is a structured framework that methodically classifies organisations into various stages of anti-fraud culture maturity, with resulting characteristics and techniques for each stage, see Table 5.5. Hence, this structured approach better aligns with deductive reasoning, where general theory is applied to specific case studies. The researcher created the SM CROWE ANTI-FRAUD BUILDER to quantify and analyse an organisation's capability for continuous anti-fraud efforts, established upon existing knowledge and benchmarks in the literature (Albrecht et al., 2021; Wells, 2020).</w:t>
      </w:r>
    </w:p>
    <w:p w14:paraId="740BF289" w14:textId="77777777" w:rsidR="007C27A1" w:rsidRPr="007C27A1" w:rsidRDefault="007C27A1" w:rsidP="007C27A1">
      <w:pPr>
        <w:spacing w:before="100" w:beforeAutospacing="1" w:after="100" w:afterAutospacing="1" w:line="480" w:lineRule="auto"/>
        <w:jc w:val="both"/>
        <w:rPr>
          <w:rFonts w:asciiTheme="minorBidi" w:eastAsia="Times New Roman" w:hAnsiTheme="minorBidi"/>
          <w:kern w:val="0"/>
          <w14:ligatures w14:val="none"/>
        </w:rPr>
      </w:pPr>
      <w:r w:rsidRPr="007C27A1">
        <w:rPr>
          <w:rFonts w:asciiTheme="minorBidi" w:eastAsia="Times New Roman" w:hAnsiTheme="minorBidi"/>
          <w:kern w:val="0"/>
          <w14:ligatures w14:val="none"/>
        </w:rPr>
        <w:t xml:space="preserve">The development of the </w:t>
      </w:r>
      <w:bookmarkStart w:id="808" w:name="_Hlk172099263"/>
      <w:r w:rsidRPr="007C27A1">
        <w:rPr>
          <w:rFonts w:asciiTheme="minorBidi" w:eastAsia="Times New Roman" w:hAnsiTheme="minorBidi"/>
          <w:kern w:val="0"/>
          <w14:ligatures w14:val="none"/>
        </w:rPr>
        <w:t xml:space="preserve">SM CROWE ANTI-FRAUD BUILDER </w:t>
      </w:r>
      <w:bookmarkEnd w:id="808"/>
      <w:r w:rsidRPr="007C27A1">
        <w:rPr>
          <w:rFonts w:asciiTheme="minorBidi" w:eastAsia="Times New Roman" w:hAnsiTheme="minorBidi"/>
          <w:kern w:val="0"/>
          <w14:ligatures w14:val="none"/>
        </w:rPr>
        <w:t xml:space="preserve">is located in proven theories and models in the literature of fraud examination and risk management, including the Fraud Triangle (Cressey, 1973), Fraud Diamond (Wolfe &amp; Hermanson, 2004), and COSO's Fraud Risk Management Guide (COSO, 2016) and </w:t>
      </w:r>
      <w:r w:rsidRPr="007C27A1">
        <w:rPr>
          <w:rFonts w:asciiTheme="minorBidi" w:eastAsia="Times New Roman" w:hAnsiTheme="minorBidi"/>
          <w:b/>
          <w:bCs/>
          <w:i/>
          <w:iCs/>
          <w:kern w:val="0"/>
          <w14:ligatures w14:val="none"/>
        </w:rPr>
        <w:t>particularly</w:t>
      </w:r>
      <w:r w:rsidRPr="007C27A1">
        <w:rPr>
          <w:rFonts w:asciiTheme="minorBidi" w:eastAsia="Times New Roman" w:hAnsiTheme="minorBidi"/>
          <w:kern w:val="0"/>
          <w14:ligatures w14:val="none"/>
        </w:rPr>
        <w:t xml:space="preserve"> the Dark Triad feature of Psychopathy (</w:t>
      </w:r>
      <w:r w:rsidRPr="007C27A1">
        <w:rPr>
          <w:rFonts w:asciiTheme="minorBidi" w:eastAsia="Times New Roman" w:hAnsiTheme="minorBidi"/>
          <w:b/>
          <w:bCs/>
          <w:kern w:val="0"/>
          <w14:ligatures w14:val="none"/>
        </w:rPr>
        <w:t xml:space="preserve">Jonason, &amp; Ktoff, 2020) or the researchers Corporate Psychopath Accountant, see Table 5.6. </w:t>
      </w:r>
      <w:r w:rsidRPr="007C27A1">
        <w:rPr>
          <w:rFonts w:asciiTheme="minorBidi" w:eastAsia="Times New Roman" w:hAnsiTheme="minorBidi"/>
          <w:kern w:val="0"/>
          <w14:ligatures w14:val="none"/>
        </w:rPr>
        <w:t xml:space="preserve">The SM CROWE ANTI-FRAUD BUILDER incorporates deep insights and best praxis from these current frameworks / </w:t>
      </w:r>
      <w:r w:rsidRPr="007C27A1">
        <w:rPr>
          <w:rFonts w:asciiTheme="minorBidi" w:eastAsia="Times New Roman" w:hAnsiTheme="minorBidi"/>
          <w:kern w:val="0"/>
          <w14:ligatures w14:val="none"/>
        </w:rPr>
        <w:lastRenderedPageBreak/>
        <w:t>constructs, highlighting that the researcher began with a broad theoretical conceptual understanding of fraud risk management.</w:t>
      </w:r>
    </w:p>
    <w:p w14:paraId="09646E14" w14:textId="77777777" w:rsidR="007C27A1" w:rsidRPr="007C27A1" w:rsidRDefault="007C27A1" w:rsidP="007C27A1">
      <w:pPr>
        <w:spacing w:before="100" w:beforeAutospacing="1" w:after="100" w:afterAutospacing="1" w:line="480" w:lineRule="auto"/>
        <w:jc w:val="both"/>
        <w:rPr>
          <w:rFonts w:ascii="Arial" w:eastAsiaTheme="minorHAnsi" w:hAnsi="Arial" w:cs="Arial"/>
          <w:b/>
          <w:bCs/>
          <w:color w:val="000000" w:themeColor="text1"/>
          <w:kern w:val="0"/>
          <w:lang w:eastAsia="en-US"/>
          <w14:ligatures w14:val="none"/>
        </w:rPr>
      </w:pPr>
      <w:bookmarkStart w:id="809" w:name="_Hlk172308513"/>
      <w:r w:rsidRPr="007C27A1">
        <w:rPr>
          <w:rFonts w:asciiTheme="minorBidi" w:eastAsia="Times New Roman" w:hAnsiTheme="minorBidi"/>
          <w:b/>
          <w:bCs/>
          <w:kern w:val="0"/>
          <w14:ligatures w14:val="none"/>
        </w:rPr>
        <w:t>Table 5.6 The Theoretical Models and Corporate Psychopath Accountant Construct underpinning the</w:t>
      </w:r>
      <w:r w:rsidRPr="007C27A1">
        <w:rPr>
          <w:rFonts w:ascii="Arial" w:eastAsiaTheme="minorHAnsi" w:hAnsi="Arial" w:cs="Arial"/>
          <w:b/>
          <w:bCs/>
          <w:color w:val="000000" w:themeColor="text1"/>
          <w:kern w:val="0"/>
          <w:lang w:eastAsia="en-US"/>
          <w14:ligatures w14:val="none"/>
        </w:rPr>
        <w:t xml:space="preserve"> SM CROWE ANTI-FRAUD BUILDER </w:t>
      </w:r>
      <w:bookmarkEnd w:id="809"/>
      <w:r w:rsidRPr="007C27A1">
        <w:rPr>
          <w:rFonts w:ascii="Arial" w:eastAsiaTheme="minorHAnsi" w:hAnsi="Arial" w:cs="Arial"/>
          <w:b/>
          <w:bCs/>
          <w:color w:val="000000" w:themeColor="text1"/>
          <w:kern w:val="0"/>
          <w:lang w:eastAsia="en-US"/>
          <w14:ligatures w14:val="none"/>
        </w:rPr>
        <w:t>(Fraud Triangle: FT, Fraud Diamond: FD, COSO 2016: C, Dark Triad: D)</w:t>
      </w:r>
    </w:p>
    <w:tbl>
      <w:tblPr>
        <w:tblStyle w:val="TableGrid2"/>
        <w:tblW w:w="0" w:type="auto"/>
        <w:tblLook w:val="04A0" w:firstRow="1" w:lastRow="0" w:firstColumn="1" w:lastColumn="0" w:noHBand="0" w:noVBand="1"/>
      </w:tblPr>
      <w:tblGrid>
        <w:gridCol w:w="1980"/>
        <w:gridCol w:w="1626"/>
        <w:gridCol w:w="2059"/>
        <w:gridCol w:w="1701"/>
        <w:gridCol w:w="1650"/>
      </w:tblGrid>
      <w:tr w:rsidR="007C27A1" w:rsidRPr="007C27A1" w14:paraId="3435792A" w14:textId="77777777" w:rsidTr="001D4222">
        <w:tc>
          <w:tcPr>
            <w:tcW w:w="1980" w:type="dxa"/>
          </w:tcPr>
          <w:p w14:paraId="6CDFB5ED" w14:textId="77777777" w:rsidR="007C27A1" w:rsidRPr="007C27A1" w:rsidRDefault="007C27A1" w:rsidP="007C27A1">
            <w:pPr>
              <w:rPr>
                <w:rFonts w:asciiTheme="minorBidi" w:hAnsiTheme="minorBidi"/>
                <w:b/>
                <w:bCs/>
                <w:sz w:val="20"/>
                <w:szCs w:val="20"/>
              </w:rPr>
            </w:pPr>
            <w:r w:rsidRPr="007C27A1">
              <w:rPr>
                <w:rFonts w:asciiTheme="minorBidi" w:hAnsiTheme="minorBidi"/>
                <w:b/>
                <w:bCs/>
                <w:sz w:val="20"/>
                <w:szCs w:val="20"/>
              </w:rPr>
              <w:t>Model Aspect</w:t>
            </w:r>
          </w:p>
          <w:p w14:paraId="5D533BEF" w14:textId="77777777" w:rsidR="007C27A1" w:rsidRPr="007C27A1" w:rsidRDefault="007C27A1" w:rsidP="007C27A1">
            <w:pPr>
              <w:rPr>
                <w:rFonts w:asciiTheme="minorBidi" w:hAnsiTheme="minorBidi"/>
                <w:b/>
                <w:bCs/>
                <w:sz w:val="20"/>
                <w:szCs w:val="20"/>
              </w:rPr>
            </w:pPr>
          </w:p>
        </w:tc>
        <w:tc>
          <w:tcPr>
            <w:tcW w:w="1626" w:type="dxa"/>
          </w:tcPr>
          <w:p w14:paraId="5D2F1CF5" w14:textId="77777777" w:rsidR="007C27A1" w:rsidRPr="007C27A1" w:rsidRDefault="007C27A1" w:rsidP="007C27A1">
            <w:pPr>
              <w:rPr>
                <w:rFonts w:asciiTheme="minorBidi" w:hAnsiTheme="minorBidi"/>
                <w:b/>
                <w:bCs/>
                <w:sz w:val="20"/>
                <w:szCs w:val="20"/>
              </w:rPr>
            </w:pPr>
            <w:r w:rsidRPr="007C27A1">
              <w:rPr>
                <w:rFonts w:asciiTheme="minorBidi" w:hAnsiTheme="minorBidi"/>
                <w:b/>
                <w:bCs/>
                <w:sz w:val="20"/>
                <w:szCs w:val="20"/>
              </w:rPr>
              <w:t>Issues</w:t>
            </w:r>
          </w:p>
        </w:tc>
        <w:tc>
          <w:tcPr>
            <w:tcW w:w="2059" w:type="dxa"/>
          </w:tcPr>
          <w:p w14:paraId="7376DABD" w14:textId="77777777" w:rsidR="007C27A1" w:rsidRPr="007C27A1" w:rsidRDefault="007C27A1" w:rsidP="007C27A1">
            <w:pPr>
              <w:rPr>
                <w:rFonts w:asciiTheme="minorBidi" w:hAnsiTheme="minorBidi"/>
                <w:b/>
                <w:bCs/>
                <w:sz w:val="20"/>
                <w:szCs w:val="20"/>
              </w:rPr>
            </w:pPr>
            <w:r w:rsidRPr="007C27A1">
              <w:rPr>
                <w:rFonts w:asciiTheme="minorBidi" w:hAnsiTheme="minorBidi"/>
                <w:b/>
                <w:bCs/>
                <w:sz w:val="20"/>
                <w:szCs w:val="20"/>
              </w:rPr>
              <w:t>D: Psychopathic Considerations</w:t>
            </w:r>
          </w:p>
        </w:tc>
        <w:tc>
          <w:tcPr>
            <w:tcW w:w="1701" w:type="dxa"/>
          </w:tcPr>
          <w:p w14:paraId="31B2688A" w14:textId="77777777" w:rsidR="007C27A1" w:rsidRPr="007C27A1" w:rsidRDefault="007C27A1" w:rsidP="007C27A1">
            <w:pPr>
              <w:rPr>
                <w:rFonts w:asciiTheme="minorBidi" w:hAnsiTheme="minorBidi"/>
                <w:b/>
                <w:bCs/>
                <w:sz w:val="20"/>
                <w:szCs w:val="20"/>
              </w:rPr>
            </w:pPr>
            <w:r w:rsidRPr="007C27A1">
              <w:rPr>
                <w:rFonts w:asciiTheme="minorBidi" w:hAnsiTheme="minorBidi"/>
                <w:b/>
                <w:bCs/>
                <w:sz w:val="20"/>
                <w:szCs w:val="20"/>
              </w:rPr>
              <w:t>Incorporated into SM CROWE AF. BUILDER</w:t>
            </w:r>
          </w:p>
          <w:p w14:paraId="246154EB" w14:textId="77777777" w:rsidR="007C27A1" w:rsidRPr="007C27A1" w:rsidRDefault="007C27A1" w:rsidP="007C27A1">
            <w:pPr>
              <w:rPr>
                <w:rFonts w:asciiTheme="minorBidi" w:hAnsiTheme="minorBidi"/>
                <w:b/>
                <w:bCs/>
                <w:sz w:val="20"/>
                <w:szCs w:val="20"/>
              </w:rPr>
            </w:pPr>
          </w:p>
        </w:tc>
        <w:tc>
          <w:tcPr>
            <w:tcW w:w="1650" w:type="dxa"/>
          </w:tcPr>
          <w:p w14:paraId="45038C98" w14:textId="77777777" w:rsidR="007C27A1" w:rsidRPr="007C27A1" w:rsidRDefault="007C27A1" w:rsidP="007C27A1">
            <w:pPr>
              <w:rPr>
                <w:rFonts w:asciiTheme="minorBidi" w:hAnsiTheme="minorBidi"/>
                <w:b/>
                <w:bCs/>
                <w:sz w:val="20"/>
                <w:szCs w:val="20"/>
              </w:rPr>
            </w:pPr>
            <w:r w:rsidRPr="007C27A1">
              <w:rPr>
                <w:rFonts w:asciiTheme="minorBidi" w:hAnsiTheme="minorBidi"/>
                <w:b/>
                <w:bCs/>
                <w:sz w:val="20"/>
                <w:szCs w:val="20"/>
              </w:rPr>
              <w:t>References</w:t>
            </w:r>
          </w:p>
        </w:tc>
      </w:tr>
      <w:tr w:rsidR="007C27A1" w:rsidRPr="007C27A1" w14:paraId="3BDB6E90" w14:textId="77777777" w:rsidTr="001D4222">
        <w:tc>
          <w:tcPr>
            <w:tcW w:w="1980" w:type="dxa"/>
          </w:tcPr>
          <w:p w14:paraId="027600DA" w14:textId="77777777" w:rsidR="007C27A1" w:rsidRPr="007C27A1" w:rsidRDefault="007C27A1" w:rsidP="007C27A1">
            <w:pPr>
              <w:rPr>
                <w:rFonts w:asciiTheme="minorBidi" w:hAnsiTheme="minorBidi"/>
                <w:sz w:val="20"/>
                <w:szCs w:val="20"/>
              </w:rPr>
            </w:pPr>
          </w:p>
          <w:p w14:paraId="040B4E57" w14:textId="77777777" w:rsidR="007C27A1" w:rsidRPr="007C27A1" w:rsidRDefault="007C27A1" w:rsidP="007C27A1">
            <w:pPr>
              <w:rPr>
                <w:rFonts w:asciiTheme="minorBidi" w:hAnsiTheme="minorBidi"/>
                <w:sz w:val="20"/>
                <w:szCs w:val="20"/>
              </w:rPr>
            </w:pPr>
          </w:p>
          <w:p w14:paraId="40C91A5A" w14:textId="77777777" w:rsidR="007C27A1" w:rsidRPr="007C27A1" w:rsidRDefault="007C27A1" w:rsidP="007C27A1">
            <w:pPr>
              <w:rPr>
                <w:rFonts w:asciiTheme="minorBidi" w:hAnsiTheme="minorBidi"/>
                <w:sz w:val="20"/>
                <w:szCs w:val="20"/>
              </w:rPr>
            </w:pPr>
          </w:p>
          <w:p w14:paraId="7E04C8BF" w14:textId="77777777" w:rsidR="007C27A1" w:rsidRPr="007C27A1" w:rsidRDefault="007C27A1" w:rsidP="007C27A1">
            <w:pPr>
              <w:rPr>
                <w:rFonts w:asciiTheme="minorBidi" w:hAnsiTheme="minorBidi"/>
                <w:sz w:val="20"/>
                <w:szCs w:val="20"/>
              </w:rPr>
            </w:pPr>
            <w:r w:rsidRPr="007C27A1">
              <w:rPr>
                <w:rFonts w:asciiTheme="minorBidi" w:hAnsiTheme="minorBidi"/>
                <w:sz w:val="20"/>
                <w:szCs w:val="20"/>
              </w:rPr>
              <w:t xml:space="preserve">FT: Pressure </w:t>
            </w:r>
          </w:p>
          <w:p w14:paraId="1896450B" w14:textId="77777777" w:rsidR="007C27A1" w:rsidRPr="007C27A1" w:rsidRDefault="007C27A1" w:rsidP="007C27A1">
            <w:pPr>
              <w:rPr>
                <w:rFonts w:asciiTheme="minorBidi" w:hAnsiTheme="minorBidi"/>
                <w:sz w:val="20"/>
                <w:szCs w:val="20"/>
              </w:rPr>
            </w:pPr>
          </w:p>
        </w:tc>
        <w:tc>
          <w:tcPr>
            <w:tcW w:w="1626" w:type="dxa"/>
            <w:vAlign w:val="center"/>
          </w:tcPr>
          <w:p w14:paraId="57E38200" w14:textId="77777777" w:rsidR="007C27A1" w:rsidRPr="007C27A1" w:rsidRDefault="007C27A1" w:rsidP="007C27A1">
            <w:pPr>
              <w:rPr>
                <w:rFonts w:asciiTheme="minorBidi" w:hAnsiTheme="minorBidi"/>
                <w:sz w:val="20"/>
                <w:szCs w:val="20"/>
              </w:rPr>
            </w:pPr>
            <w:r w:rsidRPr="007C27A1">
              <w:rPr>
                <w:rFonts w:asciiTheme="minorBidi" w:eastAsia="Times New Roman" w:hAnsiTheme="minorBidi"/>
                <w:sz w:val="20"/>
                <w:szCs w:val="20"/>
              </w:rPr>
              <w:t>Incentive</w:t>
            </w:r>
          </w:p>
        </w:tc>
        <w:tc>
          <w:tcPr>
            <w:tcW w:w="2059" w:type="dxa"/>
            <w:vAlign w:val="center"/>
          </w:tcPr>
          <w:p w14:paraId="4DFF0D05" w14:textId="77777777" w:rsidR="007C27A1" w:rsidRPr="007C27A1" w:rsidRDefault="007C27A1" w:rsidP="007C27A1">
            <w:pPr>
              <w:rPr>
                <w:rFonts w:asciiTheme="minorBidi" w:eastAsia="Times New Roman" w:hAnsiTheme="minorBidi"/>
                <w:sz w:val="20"/>
                <w:szCs w:val="20"/>
              </w:rPr>
            </w:pPr>
          </w:p>
          <w:p w14:paraId="4CA35C8C" w14:textId="77777777" w:rsidR="007C27A1" w:rsidRPr="007C27A1" w:rsidRDefault="007C27A1" w:rsidP="007C27A1">
            <w:pPr>
              <w:rPr>
                <w:rFonts w:asciiTheme="minorBidi" w:hAnsiTheme="minorBidi"/>
                <w:sz w:val="20"/>
                <w:szCs w:val="20"/>
              </w:rPr>
            </w:pPr>
            <w:r w:rsidRPr="007C27A1">
              <w:rPr>
                <w:rFonts w:asciiTheme="minorBidi" w:eastAsia="Times New Roman" w:hAnsiTheme="minorBidi"/>
                <w:sz w:val="20"/>
                <w:szCs w:val="20"/>
              </w:rPr>
              <w:t>Manipulation of pressure</w:t>
            </w:r>
          </w:p>
        </w:tc>
        <w:tc>
          <w:tcPr>
            <w:tcW w:w="1701" w:type="dxa"/>
            <w:vAlign w:val="center"/>
          </w:tcPr>
          <w:p w14:paraId="322237A2" w14:textId="77777777" w:rsidR="007C27A1" w:rsidRPr="007C27A1" w:rsidRDefault="007C27A1" w:rsidP="007C27A1">
            <w:pPr>
              <w:rPr>
                <w:rFonts w:asciiTheme="minorBidi" w:eastAsia="Times New Roman" w:hAnsiTheme="minorBidi"/>
                <w:sz w:val="20"/>
                <w:szCs w:val="20"/>
              </w:rPr>
            </w:pPr>
            <w:r w:rsidRPr="007C27A1">
              <w:rPr>
                <w:rFonts w:asciiTheme="minorBidi" w:eastAsia="Times New Roman" w:hAnsiTheme="minorBidi"/>
                <w:sz w:val="20"/>
                <w:szCs w:val="20"/>
              </w:rPr>
              <w:t>Review &amp; contain workplace pressures to lower abusive / exploitative behaviour.</w:t>
            </w:r>
          </w:p>
          <w:p w14:paraId="65BD1458" w14:textId="77777777" w:rsidR="007C27A1" w:rsidRPr="007C27A1" w:rsidRDefault="007C27A1" w:rsidP="007C27A1">
            <w:pPr>
              <w:rPr>
                <w:rFonts w:asciiTheme="minorBidi" w:eastAsia="Times New Roman" w:hAnsiTheme="minorBidi"/>
                <w:sz w:val="20"/>
                <w:szCs w:val="20"/>
              </w:rPr>
            </w:pPr>
          </w:p>
        </w:tc>
        <w:tc>
          <w:tcPr>
            <w:tcW w:w="1650" w:type="dxa"/>
          </w:tcPr>
          <w:p w14:paraId="21C273A6" w14:textId="77777777" w:rsidR="007C27A1" w:rsidRPr="007C27A1" w:rsidRDefault="007C27A1" w:rsidP="007C27A1">
            <w:pPr>
              <w:rPr>
                <w:rFonts w:asciiTheme="minorBidi" w:hAnsiTheme="minorBidi"/>
                <w:sz w:val="20"/>
                <w:szCs w:val="20"/>
              </w:rPr>
            </w:pPr>
            <w:r w:rsidRPr="007C27A1">
              <w:rPr>
                <w:rFonts w:asciiTheme="minorBidi" w:eastAsia="Times New Roman" w:hAnsiTheme="minorBidi"/>
                <w:sz w:val="20"/>
                <w:szCs w:val="20"/>
              </w:rPr>
              <w:t>Paulhus &amp; Williams (2002); Jonason &amp; Ktoff (2020)</w:t>
            </w:r>
          </w:p>
        </w:tc>
      </w:tr>
      <w:tr w:rsidR="007C27A1" w:rsidRPr="007C27A1" w14:paraId="716BBA8D" w14:textId="77777777" w:rsidTr="001D4222">
        <w:tc>
          <w:tcPr>
            <w:tcW w:w="1980" w:type="dxa"/>
          </w:tcPr>
          <w:p w14:paraId="6C2D5A2F" w14:textId="77777777" w:rsidR="007C27A1" w:rsidRPr="007C27A1" w:rsidRDefault="007C27A1" w:rsidP="007C27A1">
            <w:pPr>
              <w:rPr>
                <w:rFonts w:asciiTheme="minorBidi" w:hAnsiTheme="minorBidi"/>
                <w:sz w:val="20"/>
                <w:szCs w:val="20"/>
              </w:rPr>
            </w:pPr>
          </w:p>
          <w:p w14:paraId="22E9AF0B" w14:textId="77777777" w:rsidR="007C27A1" w:rsidRPr="007C27A1" w:rsidRDefault="007C27A1" w:rsidP="007C27A1">
            <w:pPr>
              <w:rPr>
                <w:rFonts w:asciiTheme="minorBidi" w:hAnsiTheme="minorBidi"/>
                <w:sz w:val="20"/>
                <w:szCs w:val="20"/>
              </w:rPr>
            </w:pPr>
            <w:r w:rsidRPr="007C27A1">
              <w:rPr>
                <w:rFonts w:asciiTheme="minorBidi" w:hAnsiTheme="minorBidi"/>
                <w:sz w:val="20"/>
                <w:szCs w:val="20"/>
              </w:rPr>
              <w:t>FT: Opportunity</w:t>
            </w:r>
          </w:p>
          <w:p w14:paraId="79ECF71C" w14:textId="77777777" w:rsidR="007C27A1" w:rsidRPr="007C27A1" w:rsidRDefault="007C27A1" w:rsidP="007C27A1">
            <w:pPr>
              <w:rPr>
                <w:rFonts w:asciiTheme="minorBidi" w:hAnsiTheme="minorBidi"/>
                <w:sz w:val="20"/>
                <w:szCs w:val="20"/>
              </w:rPr>
            </w:pPr>
          </w:p>
        </w:tc>
        <w:tc>
          <w:tcPr>
            <w:tcW w:w="1626" w:type="dxa"/>
          </w:tcPr>
          <w:p w14:paraId="12D0DD45" w14:textId="77777777" w:rsidR="007C27A1" w:rsidRPr="007C27A1" w:rsidRDefault="007C27A1" w:rsidP="007C27A1">
            <w:pPr>
              <w:rPr>
                <w:rFonts w:asciiTheme="minorBidi" w:eastAsia="Times New Roman" w:hAnsiTheme="minorBidi"/>
                <w:sz w:val="20"/>
                <w:szCs w:val="20"/>
              </w:rPr>
            </w:pPr>
          </w:p>
          <w:p w14:paraId="71C54959" w14:textId="77777777" w:rsidR="007C27A1" w:rsidRPr="007C27A1" w:rsidRDefault="007C27A1" w:rsidP="007C27A1">
            <w:pPr>
              <w:rPr>
                <w:rFonts w:asciiTheme="minorBidi" w:hAnsiTheme="minorBidi"/>
                <w:sz w:val="20"/>
                <w:szCs w:val="20"/>
              </w:rPr>
            </w:pPr>
            <w:r w:rsidRPr="007C27A1">
              <w:rPr>
                <w:rFonts w:asciiTheme="minorBidi" w:eastAsia="Times New Roman" w:hAnsiTheme="minorBidi"/>
                <w:sz w:val="20"/>
                <w:szCs w:val="20"/>
              </w:rPr>
              <w:t>Environment</w:t>
            </w:r>
          </w:p>
        </w:tc>
        <w:tc>
          <w:tcPr>
            <w:tcW w:w="2059" w:type="dxa"/>
          </w:tcPr>
          <w:p w14:paraId="389BDEC2" w14:textId="77777777" w:rsidR="007C27A1" w:rsidRPr="007C27A1" w:rsidRDefault="007C27A1" w:rsidP="007C27A1">
            <w:pPr>
              <w:rPr>
                <w:rFonts w:asciiTheme="minorBidi" w:eastAsia="Times New Roman" w:hAnsiTheme="minorBidi"/>
                <w:sz w:val="20"/>
                <w:szCs w:val="20"/>
              </w:rPr>
            </w:pPr>
          </w:p>
          <w:p w14:paraId="4EBD8308" w14:textId="77777777" w:rsidR="007C27A1" w:rsidRPr="007C27A1" w:rsidRDefault="007C27A1" w:rsidP="007C27A1">
            <w:pPr>
              <w:rPr>
                <w:rFonts w:asciiTheme="minorBidi" w:eastAsia="Times New Roman" w:hAnsiTheme="minorBidi"/>
                <w:sz w:val="20"/>
                <w:szCs w:val="20"/>
              </w:rPr>
            </w:pPr>
            <w:r w:rsidRPr="007C27A1">
              <w:rPr>
                <w:rFonts w:asciiTheme="minorBidi" w:eastAsia="Times New Roman" w:hAnsiTheme="minorBidi"/>
                <w:sz w:val="20"/>
                <w:szCs w:val="20"/>
              </w:rPr>
              <w:t>Abusing deficiencies</w:t>
            </w:r>
          </w:p>
        </w:tc>
        <w:tc>
          <w:tcPr>
            <w:tcW w:w="1701" w:type="dxa"/>
            <w:vAlign w:val="center"/>
          </w:tcPr>
          <w:p w14:paraId="5758997B" w14:textId="77777777" w:rsidR="007C27A1" w:rsidRPr="007C27A1" w:rsidRDefault="007C27A1" w:rsidP="007C27A1">
            <w:pPr>
              <w:rPr>
                <w:rFonts w:asciiTheme="minorBidi" w:eastAsia="Times New Roman" w:hAnsiTheme="minorBidi"/>
                <w:sz w:val="20"/>
                <w:szCs w:val="20"/>
              </w:rPr>
            </w:pPr>
            <w:r w:rsidRPr="007C27A1">
              <w:rPr>
                <w:rFonts w:asciiTheme="minorBidi" w:eastAsia="Times New Roman" w:hAnsiTheme="minorBidi"/>
                <w:sz w:val="20"/>
                <w:szCs w:val="20"/>
              </w:rPr>
              <w:t>Boost protocols for checking high-risk positions.</w:t>
            </w:r>
          </w:p>
          <w:p w14:paraId="7D04D9C6" w14:textId="77777777" w:rsidR="007C27A1" w:rsidRPr="007C27A1" w:rsidRDefault="007C27A1" w:rsidP="007C27A1">
            <w:pPr>
              <w:rPr>
                <w:rFonts w:asciiTheme="minorBidi" w:hAnsiTheme="minorBidi"/>
                <w:sz w:val="20"/>
                <w:szCs w:val="20"/>
              </w:rPr>
            </w:pPr>
          </w:p>
        </w:tc>
        <w:tc>
          <w:tcPr>
            <w:tcW w:w="1650" w:type="dxa"/>
            <w:vAlign w:val="center"/>
          </w:tcPr>
          <w:p w14:paraId="3E2375D1" w14:textId="77777777" w:rsidR="007C27A1" w:rsidRPr="007C27A1" w:rsidRDefault="007C27A1" w:rsidP="007C27A1">
            <w:pPr>
              <w:rPr>
                <w:rFonts w:asciiTheme="minorBidi" w:hAnsiTheme="minorBidi"/>
                <w:sz w:val="20"/>
                <w:szCs w:val="20"/>
              </w:rPr>
            </w:pPr>
            <w:r w:rsidRPr="007C27A1">
              <w:rPr>
                <w:rFonts w:asciiTheme="minorBidi" w:eastAsia="Times New Roman" w:hAnsiTheme="minorBidi"/>
                <w:sz w:val="20"/>
                <w:szCs w:val="20"/>
              </w:rPr>
              <w:t>Hare (1999); Babiak &amp; Hare (2006)</w:t>
            </w:r>
          </w:p>
        </w:tc>
      </w:tr>
      <w:tr w:rsidR="007C27A1" w:rsidRPr="007C27A1" w14:paraId="66512314" w14:textId="77777777" w:rsidTr="001D4222">
        <w:tc>
          <w:tcPr>
            <w:tcW w:w="1980" w:type="dxa"/>
          </w:tcPr>
          <w:p w14:paraId="4CE09514" w14:textId="77777777" w:rsidR="007C27A1" w:rsidRPr="007C27A1" w:rsidRDefault="007C27A1" w:rsidP="007C27A1">
            <w:pPr>
              <w:rPr>
                <w:rFonts w:asciiTheme="minorBidi" w:hAnsiTheme="minorBidi"/>
                <w:sz w:val="20"/>
                <w:szCs w:val="20"/>
              </w:rPr>
            </w:pPr>
          </w:p>
          <w:p w14:paraId="5EC402CB" w14:textId="77777777" w:rsidR="007C27A1" w:rsidRPr="007C27A1" w:rsidRDefault="007C27A1" w:rsidP="007C27A1">
            <w:pPr>
              <w:rPr>
                <w:rFonts w:asciiTheme="minorBidi" w:hAnsiTheme="minorBidi"/>
                <w:sz w:val="20"/>
                <w:szCs w:val="20"/>
              </w:rPr>
            </w:pPr>
            <w:r w:rsidRPr="007C27A1">
              <w:rPr>
                <w:rFonts w:asciiTheme="minorBidi" w:hAnsiTheme="minorBidi"/>
                <w:sz w:val="20"/>
                <w:szCs w:val="20"/>
              </w:rPr>
              <w:t>FT: Rationalisation</w:t>
            </w:r>
          </w:p>
          <w:p w14:paraId="20AC207B" w14:textId="77777777" w:rsidR="007C27A1" w:rsidRPr="007C27A1" w:rsidRDefault="007C27A1" w:rsidP="007C27A1">
            <w:pPr>
              <w:rPr>
                <w:rFonts w:asciiTheme="minorBidi" w:hAnsiTheme="minorBidi"/>
                <w:sz w:val="20"/>
                <w:szCs w:val="20"/>
              </w:rPr>
            </w:pPr>
          </w:p>
        </w:tc>
        <w:tc>
          <w:tcPr>
            <w:tcW w:w="1626" w:type="dxa"/>
          </w:tcPr>
          <w:p w14:paraId="0666D665" w14:textId="77777777" w:rsidR="007C27A1" w:rsidRPr="007C27A1" w:rsidRDefault="007C27A1" w:rsidP="007C27A1">
            <w:pPr>
              <w:rPr>
                <w:rFonts w:asciiTheme="minorBidi" w:eastAsia="Times New Roman" w:hAnsiTheme="minorBidi"/>
                <w:sz w:val="20"/>
                <w:szCs w:val="20"/>
              </w:rPr>
            </w:pPr>
          </w:p>
          <w:p w14:paraId="323B8DA6" w14:textId="77777777" w:rsidR="007C27A1" w:rsidRPr="007C27A1" w:rsidRDefault="007C27A1" w:rsidP="007C27A1">
            <w:pPr>
              <w:rPr>
                <w:rFonts w:asciiTheme="minorBidi" w:hAnsiTheme="minorBidi"/>
                <w:sz w:val="20"/>
                <w:szCs w:val="20"/>
              </w:rPr>
            </w:pPr>
            <w:r w:rsidRPr="007C27A1">
              <w:rPr>
                <w:rFonts w:asciiTheme="minorBidi" w:eastAsia="Times New Roman" w:hAnsiTheme="minorBidi"/>
                <w:sz w:val="20"/>
                <w:szCs w:val="20"/>
              </w:rPr>
              <w:t>Confirmation</w:t>
            </w:r>
          </w:p>
        </w:tc>
        <w:tc>
          <w:tcPr>
            <w:tcW w:w="2059" w:type="dxa"/>
          </w:tcPr>
          <w:p w14:paraId="31B5F28C" w14:textId="77777777" w:rsidR="007C27A1" w:rsidRPr="007C27A1" w:rsidRDefault="007C27A1" w:rsidP="007C27A1">
            <w:pPr>
              <w:rPr>
                <w:rFonts w:asciiTheme="minorBidi" w:eastAsia="Times New Roman" w:hAnsiTheme="minorBidi"/>
                <w:sz w:val="20"/>
                <w:szCs w:val="20"/>
              </w:rPr>
            </w:pPr>
          </w:p>
          <w:p w14:paraId="2C26A526" w14:textId="77777777" w:rsidR="007C27A1" w:rsidRPr="007C27A1" w:rsidRDefault="007C27A1" w:rsidP="007C27A1">
            <w:pPr>
              <w:rPr>
                <w:rFonts w:asciiTheme="minorBidi" w:hAnsiTheme="minorBidi"/>
                <w:sz w:val="20"/>
                <w:szCs w:val="20"/>
              </w:rPr>
            </w:pPr>
            <w:r w:rsidRPr="007C27A1">
              <w:rPr>
                <w:rFonts w:asciiTheme="minorBidi" w:eastAsia="Times New Roman" w:hAnsiTheme="minorBidi"/>
                <w:sz w:val="20"/>
                <w:szCs w:val="20"/>
              </w:rPr>
              <w:t>Validation of deceit</w:t>
            </w:r>
          </w:p>
        </w:tc>
        <w:tc>
          <w:tcPr>
            <w:tcW w:w="1701" w:type="dxa"/>
          </w:tcPr>
          <w:p w14:paraId="619A76CC" w14:textId="77777777" w:rsidR="007C27A1" w:rsidRPr="007C27A1" w:rsidRDefault="007C27A1" w:rsidP="007C27A1">
            <w:pPr>
              <w:rPr>
                <w:rFonts w:asciiTheme="minorBidi" w:eastAsia="Times New Roman" w:hAnsiTheme="minorBidi"/>
                <w:sz w:val="20"/>
                <w:szCs w:val="20"/>
              </w:rPr>
            </w:pPr>
            <w:r w:rsidRPr="007C27A1">
              <w:rPr>
                <w:rFonts w:asciiTheme="minorBidi" w:eastAsia="Times New Roman" w:hAnsiTheme="minorBidi"/>
                <w:sz w:val="20"/>
                <w:szCs w:val="20"/>
              </w:rPr>
              <w:t>Enhance and support ethical standards and regularise CPD training</w:t>
            </w:r>
          </w:p>
          <w:p w14:paraId="7DCC61B2" w14:textId="77777777" w:rsidR="007C27A1" w:rsidRPr="007C27A1" w:rsidRDefault="007C27A1" w:rsidP="007C27A1">
            <w:pPr>
              <w:rPr>
                <w:rFonts w:asciiTheme="minorBidi" w:hAnsiTheme="minorBidi"/>
                <w:sz w:val="20"/>
                <w:szCs w:val="20"/>
              </w:rPr>
            </w:pPr>
          </w:p>
        </w:tc>
        <w:tc>
          <w:tcPr>
            <w:tcW w:w="1650" w:type="dxa"/>
          </w:tcPr>
          <w:p w14:paraId="24CCF7F4" w14:textId="77777777" w:rsidR="007C27A1" w:rsidRPr="007C27A1" w:rsidRDefault="007C27A1" w:rsidP="007C27A1">
            <w:pPr>
              <w:rPr>
                <w:rFonts w:asciiTheme="minorBidi" w:hAnsiTheme="minorBidi"/>
                <w:sz w:val="20"/>
                <w:szCs w:val="20"/>
              </w:rPr>
            </w:pPr>
            <w:r w:rsidRPr="007C27A1">
              <w:rPr>
                <w:rFonts w:asciiTheme="minorBidi" w:eastAsia="Times New Roman" w:hAnsiTheme="minorBidi"/>
                <w:sz w:val="20"/>
                <w:szCs w:val="20"/>
              </w:rPr>
              <w:t>Sutton &amp; Callahan (1987); Dutton &amp; Dutton (2020)</w:t>
            </w:r>
          </w:p>
        </w:tc>
      </w:tr>
      <w:tr w:rsidR="007C27A1" w:rsidRPr="007C27A1" w14:paraId="7BFB4217" w14:textId="77777777" w:rsidTr="001D4222">
        <w:tc>
          <w:tcPr>
            <w:tcW w:w="1980" w:type="dxa"/>
          </w:tcPr>
          <w:p w14:paraId="51BBB57E" w14:textId="77777777" w:rsidR="007C27A1" w:rsidRPr="007C27A1" w:rsidRDefault="007C27A1" w:rsidP="007C27A1">
            <w:pPr>
              <w:rPr>
                <w:rFonts w:asciiTheme="minorBidi" w:hAnsiTheme="minorBidi"/>
                <w:sz w:val="20"/>
                <w:szCs w:val="20"/>
              </w:rPr>
            </w:pPr>
          </w:p>
          <w:p w14:paraId="292E8CF3" w14:textId="77777777" w:rsidR="007C27A1" w:rsidRPr="007C27A1" w:rsidRDefault="007C27A1" w:rsidP="007C27A1">
            <w:pPr>
              <w:rPr>
                <w:rFonts w:asciiTheme="minorBidi" w:hAnsiTheme="minorBidi"/>
                <w:sz w:val="20"/>
                <w:szCs w:val="20"/>
              </w:rPr>
            </w:pPr>
          </w:p>
          <w:p w14:paraId="79E20883" w14:textId="77777777" w:rsidR="007C27A1" w:rsidRPr="007C27A1" w:rsidRDefault="007C27A1" w:rsidP="007C27A1">
            <w:pPr>
              <w:rPr>
                <w:rFonts w:asciiTheme="minorBidi" w:hAnsiTheme="minorBidi"/>
                <w:sz w:val="20"/>
                <w:szCs w:val="20"/>
              </w:rPr>
            </w:pPr>
            <w:r w:rsidRPr="007C27A1">
              <w:rPr>
                <w:rFonts w:asciiTheme="minorBidi" w:hAnsiTheme="minorBidi"/>
                <w:sz w:val="20"/>
                <w:szCs w:val="20"/>
              </w:rPr>
              <w:t>FD: Capability</w:t>
            </w:r>
          </w:p>
          <w:p w14:paraId="6F6D794E" w14:textId="77777777" w:rsidR="007C27A1" w:rsidRPr="007C27A1" w:rsidRDefault="007C27A1" w:rsidP="007C27A1">
            <w:pPr>
              <w:rPr>
                <w:rFonts w:asciiTheme="minorBidi" w:hAnsiTheme="minorBidi"/>
                <w:sz w:val="20"/>
                <w:szCs w:val="20"/>
              </w:rPr>
            </w:pPr>
          </w:p>
        </w:tc>
        <w:tc>
          <w:tcPr>
            <w:tcW w:w="1626" w:type="dxa"/>
            <w:vAlign w:val="center"/>
          </w:tcPr>
          <w:p w14:paraId="55D39EF2" w14:textId="77777777" w:rsidR="007C27A1" w:rsidRPr="007C27A1" w:rsidRDefault="007C27A1" w:rsidP="007C27A1">
            <w:pPr>
              <w:rPr>
                <w:rFonts w:asciiTheme="minorBidi" w:hAnsiTheme="minorBidi"/>
                <w:sz w:val="20"/>
                <w:szCs w:val="20"/>
              </w:rPr>
            </w:pPr>
            <w:r w:rsidRPr="007C27A1">
              <w:rPr>
                <w:rFonts w:asciiTheme="minorBidi" w:eastAsia="Times New Roman" w:hAnsiTheme="minorBidi"/>
                <w:sz w:val="20"/>
                <w:szCs w:val="20"/>
              </w:rPr>
              <w:t>Personal Characteristics</w:t>
            </w:r>
          </w:p>
        </w:tc>
        <w:tc>
          <w:tcPr>
            <w:tcW w:w="2059" w:type="dxa"/>
            <w:vAlign w:val="center"/>
          </w:tcPr>
          <w:p w14:paraId="32857C43" w14:textId="77777777" w:rsidR="007C27A1" w:rsidRPr="007C27A1" w:rsidRDefault="007C27A1" w:rsidP="007C27A1">
            <w:pPr>
              <w:rPr>
                <w:rFonts w:asciiTheme="minorBidi" w:hAnsiTheme="minorBidi"/>
                <w:sz w:val="20"/>
                <w:szCs w:val="20"/>
              </w:rPr>
            </w:pPr>
            <w:r w:rsidRPr="007C27A1">
              <w:rPr>
                <w:rFonts w:asciiTheme="minorBidi" w:eastAsia="Times New Roman" w:hAnsiTheme="minorBidi"/>
                <w:sz w:val="20"/>
                <w:szCs w:val="20"/>
              </w:rPr>
              <w:t>Psychopathic tendencies</w:t>
            </w:r>
          </w:p>
        </w:tc>
        <w:tc>
          <w:tcPr>
            <w:tcW w:w="1701" w:type="dxa"/>
          </w:tcPr>
          <w:p w14:paraId="45FCE1B8" w14:textId="77777777" w:rsidR="007C27A1" w:rsidRPr="007C27A1" w:rsidRDefault="007C27A1" w:rsidP="007C27A1">
            <w:pPr>
              <w:rPr>
                <w:rFonts w:asciiTheme="minorBidi" w:hAnsiTheme="minorBidi"/>
                <w:sz w:val="20"/>
                <w:szCs w:val="20"/>
              </w:rPr>
            </w:pPr>
            <w:r w:rsidRPr="007C27A1">
              <w:rPr>
                <w:rFonts w:asciiTheme="minorBidi" w:eastAsia="Times New Roman" w:hAnsiTheme="minorBidi"/>
                <w:sz w:val="20"/>
                <w:szCs w:val="20"/>
              </w:rPr>
              <w:t>Utilise psychological assessment tools for high -risk roles</w:t>
            </w:r>
          </w:p>
        </w:tc>
        <w:tc>
          <w:tcPr>
            <w:tcW w:w="1650" w:type="dxa"/>
          </w:tcPr>
          <w:p w14:paraId="116C1F59" w14:textId="77777777" w:rsidR="007C27A1" w:rsidRPr="007C27A1" w:rsidRDefault="007C27A1" w:rsidP="007C27A1">
            <w:pPr>
              <w:rPr>
                <w:rFonts w:asciiTheme="minorBidi" w:hAnsiTheme="minorBidi"/>
                <w:sz w:val="20"/>
                <w:szCs w:val="20"/>
              </w:rPr>
            </w:pPr>
            <w:r w:rsidRPr="007C27A1">
              <w:rPr>
                <w:rFonts w:asciiTheme="minorBidi" w:eastAsia="Times New Roman" w:hAnsiTheme="minorBidi"/>
                <w:sz w:val="20"/>
                <w:szCs w:val="20"/>
              </w:rPr>
              <w:t>Miller, Lynam, &amp; Campbell (2016); Jonason &amp; Ktoff (2020)</w:t>
            </w:r>
          </w:p>
        </w:tc>
      </w:tr>
      <w:tr w:rsidR="007C27A1" w:rsidRPr="007C27A1" w14:paraId="70136D65" w14:textId="77777777" w:rsidTr="001D4222">
        <w:tc>
          <w:tcPr>
            <w:tcW w:w="1980" w:type="dxa"/>
          </w:tcPr>
          <w:p w14:paraId="7123655D" w14:textId="77777777" w:rsidR="007C27A1" w:rsidRPr="007C27A1" w:rsidRDefault="007C27A1" w:rsidP="007C27A1">
            <w:pPr>
              <w:rPr>
                <w:rFonts w:asciiTheme="minorBidi" w:hAnsiTheme="minorBidi"/>
                <w:sz w:val="20"/>
                <w:szCs w:val="20"/>
              </w:rPr>
            </w:pPr>
          </w:p>
          <w:p w14:paraId="75F4881C" w14:textId="77777777" w:rsidR="007C27A1" w:rsidRPr="007C27A1" w:rsidRDefault="007C27A1" w:rsidP="007C27A1">
            <w:pPr>
              <w:rPr>
                <w:rFonts w:asciiTheme="minorBidi" w:hAnsiTheme="minorBidi"/>
                <w:sz w:val="20"/>
                <w:szCs w:val="20"/>
              </w:rPr>
            </w:pPr>
          </w:p>
          <w:p w14:paraId="41168698" w14:textId="77777777" w:rsidR="007C27A1" w:rsidRPr="007C27A1" w:rsidRDefault="007C27A1" w:rsidP="007C27A1">
            <w:pPr>
              <w:rPr>
                <w:rFonts w:asciiTheme="minorBidi" w:hAnsiTheme="minorBidi"/>
                <w:sz w:val="20"/>
                <w:szCs w:val="20"/>
              </w:rPr>
            </w:pPr>
            <w:r w:rsidRPr="007C27A1">
              <w:rPr>
                <w:rFonts w:asciiTheme="minorBidi" w:hAnsiTheme="minorBidi"/>
                <w:sz w:val="20"/>
                <w:szCs w:val="20"/>
              </w:rPr>
              <w:t>C: Governance &amp; Culture</w:t>
            </w:r>
          </w:p>
          <w:p w14:paraId="183648C4" w14:textId="77777777" w:rsidR="007C27A1" w:rsidRPr="007C27A1" w:rsidRDefault="007C27A1" w:rsidP="007C27A1">
            <w:pPr>
              <w:rPr>
                <w:rFonts w:asciiTheme="minorBidi" w:hAnsiTheme="minorBidi"/>
                <w:sz w:val="20"/>
                <w:szCs w:val="20"/>
              </w:rPr>
            </w:pPr>
          </w:p>
        </w:tc>
        <w:tc>
          <w:tcPr>
            <w:tcW w:w="1626" w:type="dxa"/>
          </w:tcPr>
          <w:p w14:paraId="75924EFB" w14:textId="77777777" w:rsidR="007C27A1" w:rsidRPr="007C27A1" w:rsidRDefault="007C27A1" w:rsidP="007C27A1">
            <w:pPr>
              <w:rPr>
                <w:rFonts w:asciiTheme="minorBidi" w:hAnsiTheme="minorBidi"/>
                <w:sz w:val="20"/>
                <w:szCs w:val="20"/>
              </w:rPr>
            </w:pPr>
          </w:p>
          <w:p w14:paraId="08ECF3D7" w14:textId="77777777" w:rsidR="007C27A1" w:rsidRPr="007C27A1" w:rsidRDefault="007C27A1" w:rsidP="007C27A1">
            <w:pPr>
              <w:rPr>
                <w:rFonts w:asciiTheme="minorBidi" w:hAnsiTheme="minorBidi"/>
                <w:sz w:val="20"/>
                <w:szCs w:val="20"/>
              </w:rPr>
            </w:pPr>
          </w:p>
          <w:p w14:paraId="05532DF1" w14:textId="77777777" w:rsidR="007C27A1" w:rsidRPr="007C27A1" w:rsidRDefault="007C27A1" w:rsidP="007C27A1">
            <w:pPr>
              <w:rPr>
                <w:rFonts w:asciiTheme="minorBidi" w:hAnsiTheme="minorBidi"/>
                <w:sz w:val="20"/>
                <w:szCs w:val="20"/>
              </w:rPr>
            </w:pPr>
            <w:r w:rsidRPr="007C27A1">
              <w:rPr>
                <w:rFonts w:asciiTheme="minorBidi" w:hAnsiTheme="minorBidi"/>
                <w:sz w:val="20"/>
                <w:szCs w:val="20"/>
              </w:rPr>
              <w:t>Culture</w:t>
            </w:r>
          </w:p>
        </w:tc>
        <w:tc>
          <w:tcPr>
            <w:tcW w:w="2059" w:type="dxa"/>
            <w:vAlign w:val="center"/>
          </w:tcPr>
          <w:p w14:paraId="631617D1" w14:textId="77777777" w:rsidR="007C27A1" w:rsidRPr="007C27A1" w:rsidRDefault="007C27A1" w:rsidP="007C27A1">
            <w:pPr>
              <w:rPr>
                <w:rFonts w:asciiTheme="minorBidi" w:hAnsiTheme="minorBidi"/>
                <w:sz w:val="20"/>
                <w:szCs w:val="20"/>
              </w:rPr>
            </w:pPr>
            <w:r w:rsidRPr="007C27A1">
              <w:rPr>
                <w:rFonts w:asciiTheme="minorBidi" w:eastAsia="Times New Roman" w:hAnsiTheme="minorBidi"/>
                <w:sz w:val="20"/>
                <w:szCs w:val="20"/>
              </w:rPr>
              <w:t>Cultural problems</w:t>
            </w:r>
          </w:p>
        </w:tc>
        <w:tc>
          <w:tcPr>
            <w:tcW w:w="1701" w:type="dxa"/>
          </w:tcPr>
          <w:p w14:paraId="619C9FA4" w14:textId="77777777" w:rsidR="007C27A1" w:rsidRPr="007C27A1" w:rsidRDefault="007C27A1" w:rsidP="007C27A1">
            <w:pPr>
              <w:rPr>
                <w:rFonts w:asciiTheme="minorBidi" w:eastAsia="Times New Roman" w:hAnsiTheme="minorBidi"/>
                <w:sz w:val="20"/>
                <w:szCs w:val="20"/>
              </w:rPr>
            </w:pPr>
            <w:r w:rsidRPr="007C27A1">
              <w:rPr>
                <w:rFonts w:asciiTheme="minorBidi" w:eastAsia="Times New Roman" w:hAnsiTheme="minorBidi"/>
                <w:sz w:val="20"/>
                <w:szCs w:val="20"/>
              </w:rPr>
              <w:t>Create policies &amp; procedures that underpin a robust ethical culture.</w:t>
            </w:r>
          </w:p>
          <w:p w14:paraId="50A533F0" w14:textId="77777777" w:rsidR="007C27A1" w:rsidRPr="007C27A1" w:rsidRDefault="007C27A1" w:rsidP="007C27A1">
            <w:pPr>
              <w:rPr>
                <w:rFonts w:asciiTheme="minorBidi" w:hAnsiTheme="minorBidi"/>
                <w:sz w:val="20"/>
                <w:szCs w:val="20"/>
              </w:rPr>
            </w:pPr>
          </w:p>
        </w:tc>
        <w:tc>
          <w:tcPr>
            <w:tcW w:w="1650" w:type="dxa"/>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434"/>
            </w:tblGrid>
            <w:tr w:rsidR="007C27A1" w:rsidRPr="007C27A1" w14:paraId="120900C0" w14:textId="77777777" w:rsidTr="001D4222">
              <w:trPr>
                <w:tblCellSpacing w:w="15" w:type="dxa"/>
              </w:trPr>
              <w:tc>
                <w:tcPr>
                  <w:tcW w:w="0" w:type="auto"/>
                  <w:vAlign w:val="center"/>
                  <w:hideMark/>
                </w:tcPr>
                <w:p w14:paraId="6CC66476" w14:textId="77777777" w:rsidR="007C27A1" w:rsidRPr="007C27A1" w:rsidRDefault="007C27A1" w:rsidP="007C27A1">
                  <w:pPr>
                    <w:spacing w:after="0" w:line="240" w:lineRule="auto"/>
                    <w:rPr>
                      <w:rFonts w:asciiTheme="minorBidi" w:eastAsia="Times New Roman" w:hAnsiTheme="minorBidi"/>
                      <w:kern w:val="0"/>
                      <w:sz w:val="20"/>
                      <w:szCs w:val="20"/>
                      <w14:ligatures w14:val="none"/>
                    </w:rPr>
                  </w:pPr>
                  <w:r w:rsidRPr="007C27A1">
                    <w:rPr>
                      <w:rFonts w:asciiTheme="minorBidi" w:eastAsia="Times New Roman" w:hAnsiTheme="minorBidi"/>
                      <w:kern w:val="0"/>
                      <w:sz w:val="20"/>
                      <w:szCs w:val="20"/>
                      <w14:ligatures w14:val="none"/>
                    </w:rPr>
                    <w:t>COSO (2016); Sweeney &amp; Roberts (1996)</w:t>
                  </w:r>
                </w:p>
              </w:tc>
            </w:tr>
          </w:tbl>
          <w:p w14:paraId="7E6E7F37" w14:textId="77777777" w:rsidR="007C27A1" w:rsidRPr="007C27A1" w:rsidRDefault="007C27A1" w:rsidP="007C27A1">
            <w:pPr>
              <w:rPr>
                <w:rFonts w:asciiTheme="minorBidi" w:hAnsiTheme="minorBidi"/>
                <w:sz w:val="20"/>
                <w:szCs w:val="20"/>
              </w:rPr>
            </w:pPr>
          </w:p>
        </w:tc>
      </w:tr>
      <w:tr w:rsidR="007C27A1" w:rsidRPr="007C27A1" w14:paraId="2B8C921E" w14:textId="77777777" w:rsidTr="001D4222">
        <w:tc>
          <w:tcPr>
            <w:tcW w:w="1980" w:type="dxa"/>
          </w:tcPr>
          <w:p w14:paraId="3458A4D1" w14:textId="77777777" w:rsidR="007C27A1" w:rsidRPr="007C27A1" w:rsidRDefault="007C27A1" w:rsidP="007C27A1">
            <w:pPr>
              <w:rPr>
                <w:rFonts w:asciiTheme="minorBidi" w:hAnsiTheme="minorBidi"/>
                <w:sz w:val="20"/>
                <w:szCs w:val="20"/>
              </w:rPr>
            </w:pPr>
          </w:p>
          <w:p w14:paraId="47B7B9C5" w14:textId="77777777" w:rsidR="007C27A1" w:rsidRPr="007C27A1" w:rsidRDefault="007C27A1" w:rsidP="007C27A1">
            <w:pPr>
              <w:rPr>
                <w:rFonts w:asciiTheme="minorBidi" w:eastAsia="Times New Roman" w:hAnsiTheme="minorBidi"/>
                <w:sz w:val="20"/>
                <w:szCs w:val="20"/>
              </w:rPr>
            </w:pPr>
            <w:r w:rsidRPr="007C27A1">
              <w:rPr>
                <w:rFonts w:asciiTheme="minorBidi" w:hAnsiTheme="minorBidi"/>
                <w:sz w:val="20"/>
                <w:szCs w:val="20"/>
              </w:rPr>
              <w:t>C:</w:t>
            </w:r>
            <w:r w:rsidRPr="007C27A1">
              <w:rPr>
                <w:rFonts w:asciiTheme="minorBidi" w:eastAsia="Times New Roman" w:hAnsiTheme="minorBidi"/>
                <w:sz w:val="20"/>
                <w:szCs w:val="20"/>
              </w:rPr>
              <w:t xml:space="preserve"> Fraud Risk Assessment</w:t>
            </w:r>
          </w:p>
          <w:p w14:paraId="6E5E9E38" w14:textId="77777777" w:rsidR="007C27A1" w:rsidRPr="007C27A1" w:rsidRDefault="007C27A1" w:rsidP="007C27A1">
            <w:pPr>
              <w:rPr>
                <w:rFonts w:asciiTheme="minorBidi" w:hAnsiTheme="minorBidi"/>
                <w:sz w:val="20"/>
                <w:szCs w:val="20"/>
              </w:rPr>
            </w:pPr>
          </w:p>
        </w:tc>
        <w:tc>
          <w:tcPr>
            <w:tcW w:w="1626" w:type="dxa"/>
          </w:tcPr>
          <w:p w14:paraId="3EE8BA83" w14:textId="77777777" w:rsidR="007C27A1" w:rsidRPr="007C27A1" w:rsidRDefault="007C27A1" w:rsidP="007C27A1">
            <w:pPr>
              <w:rPr>
                <w:rFonts w:asciiTheme="minorBidi" w:hAnsiTheme="minorBidi"/>
                <w:sz w:val="20"/>
                <w:szCs w:val="20"/>
              </w:rPr>
            </w:pPr>
          </w:p>
          <w:p w14:paraId="01480A49" w14:textId="77777777" w:rsidR="007C27A1" w:rsidRPr="007C27A1" w:rsidRDefault="007C27A1" w:rsidP="007C27A1">
            <w:pPr>
              <w:rPr>
                <w:rFonts w:asciiTheme="minorBidi" w:hAnsiTheme="minorBidi"/>
                <w:sz w:val="20"/>
                <w:szCs w:val="20"/>
              </w:rPr>
            </w:pPr>
            <w:r w:rsidRPr="007C27A1">
              <w:rPr>
                <w:rFonts w:asciiTheme="minorBidi" w:hAnsiTheme="minorBidi"/>
                <w:sz w:val="20"/>
                <w:szCs w:val="20"/>
              </w:rPr>
              <w:t>Risk Recognition Measures</w:t>
            </w:r>
          </w:p>
          <w:p w14:paraId="43BF4C11" w14:textId="77777777" w:rsidR="007C27A1" w:rsidRPr="007C27A1" w:rsidRDefault="007C27A1" w:rsidP="007C27A1">
            <w:pPr>
              <w:rPr>
                <w:rFonts w:asciiTheme="minorBidi" w:hAnsiTheme="minorBidi"/>
                <w:sz w:val="20"/>
                <w:szCs w:val="20"/>
              </w:rPr>
            </w:pPr>
          </w:p>
        </w:tc>
        <w:tc>
          <w:tcPr>
            <w:tcW w:w="2059" w:type="dxa"/>
          </w:tcPr>
          <w:p w14:paraId="1CD5EED6" w14:textId="77777777" w:rsidR="007C27A1" w:rsidRPr="007C27A1" w:rsidRDefault="007C27A1" w:rsidP="007C27A1">
            <w:pPr>
              <w:rPr>
                <w:rFonts w:asciiTheme="minorBidi" w:eastAsia="Times New Roman" w:hAnsiTheme="minorBidi"/>
                <w:sz w:val="20"/>
                <w:szCs w:val="20"/>
              </w:rPr>
            </w:pPr>
          </w:p>
          <w:p w14:paraId="563851B2" w14:textId="77777777" w:rsidR="007C27A1" w:rsidRPr="007C27A1" w:rsidRDefault="007C27A1" w:rsidP="007C27A1">
            <w:pPr>
              <w:rPr>
                <w:rFonts w:asciiTheme="minorBidi" w:hAnsiTheme="minorBidi"/>
                <w:sz w:val="20"/>
                <w:szCs w:val="20"/>
              </w:rPr>
            </w:pPr>
            <w:r w:rsidRPr="007C27A1">
              <w:rPr>
                <w:rFonts w:asciiTheme="minorBidi" w:eastAsia="Times New Roman" w:hAnsiTheme="minorBidi"/>
                <w:sz w:val="20"/>
                <w:szCs w:val="20"/>
              </w:rPr>
              <w:t>Identifying psychopathic traits</w:t>
            </w:r>
          </w:p>
        </w:tc>
        <w:tc>
          <w:tcPr>
            <w:tcW w:w="1701" w:type="dxa"/>
          </w:tcPr>
          <w:p w14:paraId="49A2FE38" w14:textId="77777777" w:rsidR="007C27A1" w:rsidRPr="007C27A1" w:rsidRDefault="007C27A1" w:rsidP="007C27A1">
            <w:pPr>
              <w:rPr>
                <w:rFonts w:asciiTheme="minorBidi" w:eastAsia="Times New Roman" w:hAnsiTheme="minorBidi"/>
                <w:sz w:val="20"/>
                <w:szCs w:val="20"/>
              </w:rPr>
            </w:pPr>
            <w:r w:rsidRPr="007C27A1">
              <w:rPr>
                <w:rFonts w:asciiTheme="minorBidi" w:eastAsia="Times New Roman" w:hAnsiTheme="minorBidi"/>
                <w:sz w:val="20"/>
                <w:szCs w:val="20"/>
              </w:rPr>
              <w:t xml:space="preserve">Regularly assess for Corporate Psychopathy / The Corporate Psychopath Accountant </w:t>
            </w:r>
          </w:p>
          <w:p w14:paraId="0CFF7B0C" w14:textId="77777777" w:rsidR="007C27A1" w:rsidRPr="007C27A1" w:rsidRDefault="007C27A1" w:rsidP="007C27A1">
            <w:pPr>
              <w:rPr>
                <w:rFonts w:asciiTheme="minorBidi" w:hAnsiTheme="minorBidi"/>
                <w:sz w:val="20"/>
                <w:szCs w:val="20"/>
              </w:rPr>
            </w:pPr>
          </w:p>
        </w:tc>
        <w:tc>
          <w:tcPr>
            <w:tcW w:w="1650" w:type="dxa"/>
          </w:tcPr>
          <w:p w14:paraId="40202086" w14:textId="77777777" w:rsidR="007C27A1" w:rsidRPr="007C27A1" w:rsidRDefault="007C27A1" w:rsidP="007C27A1">
            <w:pPr>
              <w:rPr>
                <w:rFonts w:asciiTheme="minorBidi" w:hAnsiTheme="minorBidi"/>
                <w:sz w:val="20"/>
                <w:szCs w:val="20"/>
              </w:rPr>
            </w:pPr>
            <w:r w:rsidRPr="007C27A1">
              <w:rPr>
                <w:rFonts w:asciiTheme="minorBidi" w:eastAsia="Times New Roman" w:hAnsiTheme="minorBidi"/>
                <w:sz w:val="20"/>
                <w:szCs w:val="20"/>
              </w:rPr>
              <w:t>COSO (2016); Babiak &amp; Hare (2006)</w:t>
            </w:r>
          </w:p>
        </w:tc>
      </w:tr>
      <w:tr w:rsidR="007C27A1" w:rsidRPr="007C27A1" w14:paraId="48B1A1CA" w14:textId="77777777" w:rsidTr="001D4222">
        <w:tc>
          <w:tcPr>
            <w:tcW w:w="1980" w:type="dxa"/>
          </w:tcPr>
          <w:p w14:paraId="4ACE4FC8" w14:textId="77777777" w:rsidR="007C27A1" w:rsidRPr="007C27A1" w:rsidRDefault="007C27A1" w:rsidP="007C27A1">
            <w:pPr>
              <w:rPr>
                <w:rFonts w:asciiTheme="minorBidi" w:hAnsiTheme="minorBidi"/>
                <w:sz w:val="20"/>
                <w:szCs w:val="20"/>
              </w:rPr>
            </w:pPr>
          </w:p>
          <w:p w14:paraId="67D77F0D" w14:textId="77777777" w:rsidR="007C27A1" w:rsidRPr="007C27A1" w:rsidRDefault="007C27A1" w:rsidP="007C27A1">
            <w:pPr>
              <w:rPr>
                <w:rFonts w:asciiTheme="minorBidi" w:hAnsiTheme="minorBidi"/>
                <w:sz w:val="20"/>
                <w:szCs w:val="20"/>
              </w:rPr>
            </w:pPr>
            <w:r w:rsidRPr="007C27A1">
              <w:rPr>
                <w:rFonts w:asciiTheme="minorBidi" w:hAnsiTheme="minorBidi"/>
                <w:sz w:val="20"/>
                <w:szCs w:val="20"/>
              </w:rPr>
              <w:t>C:</w:t>
            </w:r>
            <w:r w:rsidRPr="007C27A1">
              <w:rPr>
                <w:rFonts w:asciiTheme="minorBidi" w:eastAsia="Times New Roman" w:hAnsiTheme="minorBidi"/>
                <w:sz w:val="20"/>
                <w:szCs w:val="20"/>
              </w:rPr>
              <w:t xml:space="preserve"> Control Activities</w:t>
            </w:r>
          </w:p>
        </w:tc>
        <w:tc>
          <w:tcPr>
            <w:tcW w:w="1626" w:type="dxa"/>
          </w:tcPr>
          <w:p w14:paraId="5131F5EE" w14:textId="77777777" w:rsidR="007C27A1" w:rsidRPr="007C27A1" w:rsidRDefault="007C27A1" w:rsidP="007C27A1">
            <w:pPr>
              <w:rPr>
                <w:rFonts w:asciiTheme="minorBidi" w:hAnsiTheme="minorBidi"/>
                <w:sz w:val="20"/>
                <w:szCs w:val="20"/>
              </w:rPr>
            </w:pPr>
          </w:p>
          <w:p w14:paraId="04B48DFF" w14:textId="77777777" w:rsidR="007C27A1" w:rsidRPr="007C27A1" w:rsidRDefault="007C27A1" w:rsidP="007C27A1">
            <w:pPr>
              <w:rPr>
                <w:rFonts w:asciiTheme="minorBidi" w:hAnsiTheme="minorBidi"/>
                <w:sz w:val="20"/>
                <w:szCs w:val="20"/>
              </w:rPr>
            </w:pPr>
            <w:r w:rsidRPr="007C27A1">
              <w:rPr>
                <w:rFonts w:asciiTheme="minorBidi" w:hAnsiTheme="minorBidi"/>
                <w:sz w:val="20"/>
                <w:szCs w:val="20"/>
              </w:rPr>
              <w:lastRenderedPageBreak/>
              <w:t>Pre-emptive Measures</w:t>
            </w:r>
          </w:p>
          <w:p w14:paraId="1DB81DA5" w14:textId="77777777" w:rsidR="007C27A1" w:rsidRPr="007C27A1" w:rsidRDefault="007C27A1" w:rsidP="007C27A1">
            <w:pPr>
              <w:rPr>
                <w:rFonts w:asciiTheme="minorBidi" w:hAnsiTheme="minorBidi"/>
                <w:sz w:val="20"/>
                <w:szCs w:val="20"/>
              </w:rPr>
            </w:pPr>
          </w:p>
        </w:tc>
        <w:tc>
          <w:tcPr>
            <w:tcW w:w="2059" w:type="dxa"/>
          </w:tcPr>
          <w:p w14:paraId="3B560AA6" w14:textId="77777777" w:rsidR="007C27A1" w:rsidRPr="007C27A1" w:rsidRDefault="007C27A1" w:rsidP="007C27A1">
            <w:pPr>
              <w:rPr>
                <w:rFonts w:asciiTheme="minorBidi" w:eastAsia="Times New Roman" w:hAnsiTheme="minorBidi"/>
                <w:sz w:val="20"/>
                <w:szCs w:val="20"/>
              </w:rPr>
            </w:pPr>
          </w:p>
          <w:p w14:paraId="6EE3559F" w14:textId="77777777" w:rsidR="007C27A1" w:rsidRPr="007C27A1" w:rsidRDefault="007C27A1" w:rsidP="007C27A1">
            <w:pPr>
              <w:rPr>
                <w:rFonts w:asciiTheme="minorBidi" w:hAnsiTheme="minorBidi"/>
                <w:sz w:val="20"/>
                <w:szCs w:val="20"/>
              </w:rPr>
            </w:pPr>
            <w:r w:rsidRPr="007C27A1">
              <w:rPr>
                <w:rFonts w:asciiTheme="minorBidi" w:eastAsia="Times New Roman" w:hAnsiTheme="minorBidi"/>
                <w:sz w:val="20"/>
                <w:szCs w:val="20"/>
              </w:rPr>
              <w:t>Better oversight</w:t>
            </w:r>
          </w:p>
        </w:tc>
        <w:tc>
          <w:tcPr>
            <w:tcW w:w="1701" w:type="dxa"/>
            <w:vAlign w:val="center"/>
          </w:tcPr>
          <w:p w14:paraId="2258B45E" w14:textId="77777777" w:rsidR="007C27A1" w:rsidRPr="007C27A1" w:rsidRDefault="007C27A1" w:rsidP="007C27A1">
            <w:pPr>
              <w:rPr>
                <w:rFonts w:asciiTheme="minorBidi" w:eastAsia="Times New Roman" w:hAnsiTheme="minorBidi"/>
                <w:sz w:val="20"/>
                <w:szCs w:val="20"/>
              </w:rPr>
            </w:pPr>
          </w:p>
          <w:p w14:paraId="400C3A83" w14:textId="77777777" w:rsidR="007C27A1" w:rsidRPr="007C27A1" w:rsidRDefault="007C27A1" w:rsidP="007C27A1">
            <w:pPr>
              <w:rPr>
                <w:rFonts w:asciiTheme="minorBidi" w:eastAsia="Times New Roman" w:hAnsiTheme="minorBidi"/>
                <w:sz w:val="20"/>
                <w:szCs w:val="20"/>
              </w:rPr>
            </w:pPr>
            <w:r w:rsidRPr="007C27A1">
              <w:rPr>
                <w:rFonts w:asciiTheme="minorBidi" w:eastAsia="Times New Roman" w:hAnsiTheme="minorBidi"/>
                <w:sz w:val="20"/>
                <w:szCs w:val="20"/>
              </w:rPr>
              <w:lastRenderedPageBreak/>
              <w:t>Produce and install strong controls and undertake regular behavioural audits.</w:t>
            </w:r>
          </w:p>
          <w:p w14:paraId="302D8E8E" w14:textId="77777777" w:rsidR="007C27A1" w:rsidRPr="007C27A1" w:rsidRDefault="007C27A1" w:rsidP="007C27A1">
            <w:pPr>
              <w:rPr>
                <w:rFonts w:asciiTheme="minorBidi" w:hAnsiTheme="minorBidi"/>
                <w:sz w:val="20"/>
                <w:szCs w:val="20"/>
              </w:rPr>
            </w:pPr>
          </w:p>
        </w:tc>
        <w:tc>
          <w:tcPr>
            <w:tcW w:w="1650" w:type="dxa"/>
          </w:tcPr>
          <w:p w14:paraId="5EC2A4B1" w14:textId="77777777" w:rsidR="007C27A1" w:rsidRPr="007C27A1" w:rsidRDefault="007C27A1" w:rsidP="007C27A1">
            <w:pPr>
              <w:rPr>
                <w:rFonts w:asciiTheme="minorBidi" w:eastAsia="Times New Roman" w:hAnsiTheme="minorBidi"/>
                <w:sz w:val="20"/>
                <w:szCs w:val="20"/>
              </w:rPr>
            </w:pPr>
          </w:p>
          <w:p w14:paraId="6C350299" w14:textId="77777777" w:rsidR="007C27A1" w:rsidRPr="007C27A1" w:rsidRDefault="007C27A1" w:rsidP="007C27A1">
            <w:pPr>
              <w:rPr>
                <w:rFonts w:asciiTheme="minorBidi" w:hAnsiTheme="minorBidi"/>
                <w:sz w:val="20"/>
                <w:szCs w:val="20"/>
              </w:rPr>
            </w:pPr>
            <w:r w:rsidRPr="007C27A1">
              <w:rPr>
                <w:rFonts w:asciiTheme="minorBidi" w:eastAsia="Times New Roman" w:hAnsiTheme="minorBidi"/>
                <w:sz w:val="20"/>
                <w:szCs w:val="20"/>
              </w:rPr>
              <w:lastRenderedPageBreak/>
              <w:t>COSO (2016); Hare (1999)</w:t>
            </w:r>
          </w:p>
        </w:tc>
      </w:tr>
      <w:tr w:rsidR="007C27A1" w:rsidRPr="007C27A1" w14:paraId="3C51335F" w14:textId="77777777" w:rsidTr="001D4222">
        <w:tc>
          <w:tcPr>
            <w:tcW w:w="1980" w:type="dxa"/>
          </w:tcPr>
          <w:p w14:paraId="6198A61C" w14:textId="77777777" w:rsidR="007C27A1" w:rsidRPr="007C27A1" w:rsidRDefault="007C27A1" w:rsidP="007C27A1">
            <w:pPr>
              <w:rPr>
                <w:rFonts w:asciiTheme="minorBidi" w:hAnsiTheme="minorBidi"/>
                <w:sz w:val="20"/>
                <w:szCs w:val="20"/>
              </w:rPr>
            </w:pPr>
          </w:p>
          <w:p w14:paraId="3829774F" w14:textId="77777777" w:rsidR="007C27A1" w:rsidRPr="007C27A1" w:rsidRDefault="007C27A1" w:rsidP="007C27A1">
            <w:pPr>
              <w:rPr>
                <w:rFonts w:asciiTheme="minorBidi" w:hAnsiTheme="minorBidi"/>
                <w:sz w:val="20"/>
                <w:szCs w:val="20"/>
              </w:rPr>
            </w:pPr>
            <w:r w:rsidRPr="007C27A1">
              <w:rPr>
                <w:rFonts w:asciiTheme="minorBidi" w:hAnsiTheme="minorBidi"/>
                <w:sz w:val="20"/>
                <w:szCs w:val="20"/>
              </w:rPr>
              <w:t>C:</w:t>
            </w:r>
            <w:r w:rsidRPr="007C27A1">
              <w:rPr>
                <w:rFonts w:asciiTheme="minorBidi" w:eastAsia="Times New Roman" w:hAnsiTheme="minorBidi"/>
                <w:sz w:val="20"/>
                <w:szCs w:val="20"/>
              </w:rPr>
              <w:t xml:space="preserve"> Information and Communication</w:t>
            </w:r>
          </w:p>
        </w:tc>
        <w:tc>
          <w:tcPr>
            <w:tcW w:w="1626" w:type="dxa"/>
          </w:tcPr>
          <w:p w14:paraId="29D2E432" w14:textId="77777777" w:rsidR="007C27A1" w:rsidRPr="007C27A1" w:rsidRDefault="007C27A1" w:rsidP="007C27A1">
            <w:pPr>
              <w:rPr>
                <w:rFonts w:asciiTheme="minorBidi" w:hAnsiTheme="minorBidi"/>
                <w:sz w:val="20"/>
                <w:szCs w:val="20"/>
              </w:rPr>
            </w:pPr>
          </w:p>
          <w:p w14:paraId="1A892B7B" w14:textId="77777777" w:rsidR="007C27A1" w:rsidRPr="007C27A1" w:rsidRDefault="007C27A1" w:rsidP="007C27A1">
            <w:pPr>
              <w:rPr>
                <w:rFonts w:asciiTheme="minorBidi" w:hAnsiTheme="minorBidi"/>
                <w:sz w:val="20"/>
                <w:szCs w:val="20"/>
              </w:rPr>
            </w:pPr>
            <w:r w:rsidRPr="007C27A1">
              <w:rPr>
                <w:rFonts w:asciiTheme="minorBidi" w:hAnsiTheme="minorBidi"/>
                <w:sz w:val="20"/>
                <w:szCs w:val="20"/>
              </w:rPr>
              <w:t>Reporting Function</w:t>
            </w:r>
          </w:p>
          <w:p w14:paraId="1B55D4F1" w14:textId="77777777" w:rsidR="007C27A1" w:rsidRPr="007C27A1" w:rsidRDefault="007C27A1" w:rsidP="007C27A1">
            <w:pPr>
              <w:rPr>
                <w:rFonts w:asciiTheme="minorBidi" w:hAnsiTheme="minorBidi"/>
                <w:sz w:val="20"/>
                <w:szCs w:val="20"/>
              </w:rPr>
            </w:pPr>
          </w:p>
        </w:tc>
        <w:tc>
          <w:tcPr>
            <w:tcW w:w="2059" w:type="dxa"/>
          </w:tcPr>
          <w:p w14:paraId="46D6F16D" w14:textId="77777777" w:rsidR="007C27A1" w:rsidRPr="007C27A1" w:rsidRDefault="007C27A1" w:rsidP="007C27A1">
            <w:pPr>
              <w:rPr>
                <w:rFonts w:asciiTheme="minorBidi" w:eastAsia="Times New Roman" w:hAnsiTheme="minorBidi"/>
                <w:sz w:val="20"/>
                <w:szCs w:val="20"/>
              </w:rPr>
            </w:pPr>
          </w:p>
          <w:p w14:paraId="3EF8AE33" w14:textId="77777777" w:rsidR="007C27A1" w:rsidRPr="007C27A1" w:rsidRDefault="007C27A1" w:rsidP="007C27A1">
            <w:pPr>
              <w:rPr>
                <w:rFonts w:asciiTheme="minorBidi" w:hAnsiTheme="minorBidi"/>
                <w:sz w:val="20"/>
                <w:szCs w:val="20"/>
              </w:rPr>
            </w:pPr>
            <w:r w:rsidRPr="007C27A1">
              <w:rPr>
                <w:rFonts w:asciiTheme="minorBidi" w:eastAsia="Times New Roman" w:hAnsiTheme="minorBidi"/>
                <w:sz w:val="20"/>
                <w:szCs w:val="20"/>
              </w:rPr>
              <w:t>Reporting and transparency</w:t>
            </w:r>
          </w:p>
        </w:tc>
        <w:tc>
          <w:tcPr>
            <w:tcW w:w="1701" w:type="dxa"/>
            <w:vAlign w:val="center"/>
          </w:tcPr>
          <w:p w14:paraId="653FBEEE" w14:textId="77777777" w:rsidR="007C27A1" w:rsidRPr="007C27A1" w:rsidRDefault="007C27A1" w:rsidP="007C27A1">
            <w:pPr>
              <w:rPr>
                <w:rFonts w:asciiTheme="minorBidi" w:eastAsia="Times New Roman" w:hAnsiTheme="minorBidi"/>
                <w:sz w:val="20"/>
                <w:szCs w:val="20"/>
              </w:rPr>
            </w:pPr>
            <w:r w:rsidRPr="007C27A1">
              <w:rPr>
                <w:rFonts w:asciiTheme="minorBidi" w:eastAsia="Times New Roman" w:hAnsiTheme="minorBidi"/>
                <w:sz w:val="20"/>
                <w:szCs w:val="20"/>
              </w:rPr>
              <w:t>Ensure and highlight clear reporting mechanisms and raise fraud awareness</w:t>
            </w:r>
          </w:p>
          <w:p w14:paraId="598C9996" w14:textId="77777777" w:rsidR="007C27A1" w:rsidRPr="007C27A1" w:rsidRDefault="007C27A1" w:rsidP="007C27A1">
            <w:pPr>
              <w:rPr>
                <w:rFonts w:asciiTheme="minorBidi" w:hAnsiTheme="minorBidi"/>
                <w:sz w:val="20"/>
                <w:szCs w:val="20"/>
              </w:rPr>
            </w:pPr>
          </w:p>
        </w:tc>
        <w:tc>
          <w:tcPr>
            <w:tcW w:w="1650" w:type="dxa"/>
          </w:tcPr>
          <w:p w14:paraId="01ECE344" w14:textId="77777777" w:rsidR="007C27A1" w:rsidRPr="007C27A1" w:rsidRDefault="007C27A1" w:rsidP="007C27A1"/>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434"/>
            </w:tblGrid>
            <w:tr w:rsidR="007C27A1" w:rsidRPr="007C27A1" w14:paraId="1C3F0079" w14:textId="77777777" w:rsidTr="001D4222">
              <w:trPr>
                <w:tblCellSpacing w:w="15" w:type="dxa"/>
              </w:trPr>
              <w:tc>
                <w:tcPr>
                  <w:tcW w:w="0" w:type="auto"/>
                  <w:vAlign w:val="center"/>
                  <w:hideMark/>
                </w:tcPr>
                <w:p w14:paraId="77D75E06" w14:textId="77777777" w:rsidR="007C27A1" w:rsidRPr="007C27A1" w:rsidRDefault="007C27A1" w:rsidP="007C27A1">
                  <w:pPr>
                    <w:spacing w:after="0" w:line="240" w:lineRule="auto"/>
                    <w:rPr>
                      <w:rFonts w:asciiTheme="minorBidi" w:eastAsia="Times New Roman" w:hAnsiTheme="minorBidi"/>
                      <w:kern w:val="0"/>
                      <w:sz w:val="20"/>
                      <w:szCs w:val="20"/>
                      <w14:ligatures w14:val="none"/>
                    </w:rPr>
                  </w:pPr>
                  <w:r w:rsidRPr="007C27A1">
                    <w:rPr>
                      <w:rFonts w:asciiTheme="minorBidi" w:eastAsia="Times New Roman" w:hAnsiTheme="minorBidi"/>
                      <w:kern w:val="0"/>
                      <w:sz w:val="20"/>
                      <w:szCs w:val="20"/>
                      <w14:ligatures w14:val="none"/>
                    </w:rPr>
                    <w:t>COSO (2016); Dutton &amp; Dutton (2020)</w:t>
                  </w:r>
                </w:p>
              </w:tc>
            </w:tr>
          </w:tbl>
          <w:p w14:paraId="3801E8EA" w14:textId="77777777" w:rsidR="007C27A1" w:rsidRPr="007C27A1" w:rsidRDefault="007C27A1" w:rsidP="007C27A1">
            <w:pPr>
              <w:rPr>
                <w:rFonts w:asciiTheme="minorBidi" w:hAnsiTheme="minorBidi"/>
                <w:sz w:val="20"/>
                <w:szCs w:val="20"/>
              </w:rPr>
            </w:pPr>
          </w:p>
        </w:tc>
      </w:tr>
      <w:tr w:rsidR="007C27A1" w:rsidRPr="007C27A1" w14:paraId="3A99F0A3" w14:textId="77777777" w:rsidTr="001D4222">
        <w:tc>
          <w:tcPr>
            <w:tcW w:w="1980" w:type="dxa"/>
          </w:tcPr>
          <w:p w14:paraId="122C9F9A" w14:textId="77777777" w:rsidR="007C27A1" w:rsidRPr="007C27A1" w:rsidRDefault="007C27A1" w:rsidP="007C27A1">
            <w:pPr>
              <w:rPr>
                <w:rFonts w:asciiTheme="minorBidi" w:hAnsiTheme="minorBidi"/>
                <w:sz w:val="20"/>
                <w:szCs w:val="20"/>
              </w:rPr>
            </w:pPr>
          </w:p>
          <w:p w14:paraId="54F3937D" w14:textId="77777777" w:rsidR="007C27A1" w:rsidRPr="007C27A1" w:rsidRDefault="007C27A1" w:rsidP="007C27A1">
            <w:pPr>
              <w:rPr>
                <w:rFonts w:asciiTheme="minorBidi" w:hAnsiTheme="minorBidi"/>
                <w:sz w:val="20"/>
                <w:szCs w:val="20"/>
              </w:rPr>
            </w:pPr>
            <w:r w:rsidRPr="007C27A1">
              <w:rPr>
                <w:rFonts w:asciiTheme="minorBidi" w:hAnsiTheme="minorBidi"/>
                <w:sz w:val="20"/>
                <w:szCs w:val="20"/>
              </w:rPr>
              <w:t>C:</w:t>
            </w:r>
            <w:r w:rsidRPr="007C27A1">
              <w:rPr>
                <w:rFonts w:asciiTheme="minorBidi" w:eastAsia="Times New Roman" w:hAnsiTheme="minorBidi"/>
                <w:sz w:val="20"/>
                <w:szCs w:val="20"/>
              </w:rPr>
              <w:t xml:space="preserve"> Monitoring Activities</w:t>
            </w:r>
          </w:p>
        </w:tc>
        <w:tc>
          <w:tcPr>
            <w:tcW w:w="1626" w:type="dxa"/>
          </w:tcPr>
          <w:p w14:paraId="1F6DF343" w14:textId="77777777" w:rsidR="007C27A1" w:rsidRPr="007C27A1" w:rsidRDefault="007C27A1" w:rsidP="007C27A1">
            <w:pPr>
              <w:rPr>
                <w:rFonts w:asciiTheme="minorBidi" w:hAnsiTheme="minorBidi"/>
                <w:sz w:val="20"/>
                <w:szCs w:val="20"/>
              </w:rPr>
            </w:pPr>
          </w:p>
          <w:p w14:paraId="581A0471" w14:textId="77777777" w:rsidR="007C27A1" w:rsidRPr="007C27A1" w:rsidRDefault="007C27A1" w:rsidP="007C27A1">
            <w:pPr>
              <w:rPr>
                <w:rFonts w:asciiTheme="minorBidi" w:hAnsiTheme="minorBidi"/>
                <w:sz w:val="20"/>
                <w:szCs w:val="20"/>
              </w:rPr>
            </w:pPr>
            <w:r w:rsidRPr="007C27A1">
              <w:rPr>
                <w:rFonts w:asciiTheme="minorBidi" w:hAnsiTheme="minorBidi"/>
                <w:sz w:val="20"/>
                <w:szCs w:val="20"/>
              </w:rPr>
              <w:t>Continuous Assessment</w:t>
            </w:r>
          </w:p>
          <w:p w14:paraId="7929383E" w14:textId="77777777" w:rsidR="007C27A1" w:rsidRPr="007C27A1" w:rsidRDefault="007C27A1" w:rsidP="007C27A1">
            <w:pPr>
              <w:rPr>
                <w:rFonts w:asciiTheme="minorBidi" w:hAnsiTheme="minorBidi"/>
                <w:sz w:val="20"/>
                <w:szCs w:val="20"/>
              </w:rPr>
            </w:pPr>
          </w:p>
          <w:p w14:paraId="3D5F9085" w14:textId="77777777" w:rsidR="007C27A1" w:rsidRPr="007C27A1" w:rsidRDefault="007C27A1" w:rsidP="007C27A1">
            <w:pPr>
              <w:rPr>
                <w:rFonts w:asciiTheme="minorBidi" w:hAnsiTheme="minorBidi"/>
                <w:sz w:val="20"/>
                <w:szCs w:val="20"/>
              </w:rPr>
            </w:pPr>
          </w:p>
        </w:tc>
        <w:tc>
          <w:tcPr>
            <w:tcW w:w="2059" w:type="dxa"/>
          </w:tcPr>
          <w:p w14:paraId="16380AAC" w14:textId="77777777" w:rsidR="007C27A1" w:rsidRPr="007C27A1" w:rsidRDefault="007C27A1" w:rsidP="007C27A1">
            <w:pPr>
              <w:rPr>
                <w:rFonts w:asciiTheme="minorBidi" w:eastAsia="Times New Roman" w:hAnsiTheme="minorBidi"/>
                <w:sz w:val="20"/>
                <w:szCs w:val="20"/>
              </w:rPr>
            </w:pPr>
          </w:p>
          <w:p w14:paraId="7EFE1F7A" w14:textId="77777777" w:rsidR="007C27A1" w:rsidRPr="007C27A1" w:rsidRDefault="007C27A1" w:rsidP="007C27A1">
            <w:pPr>
              <w:rPr>
                <w:rFonts w:asciiTheme="minorBidi" w:hAnsiTheme="minorBidi"/>
                <w:sz w:val="20"/>
                <w:szCs w:val="20"/>
              </w:rPr>
            </w:pPr>
            <w:r w:rsidRPr="007C27A1">
              <w:rPr>
                <w:rFonts w:asciiTheme="minorBidi" w:eastAsia="Times New Roman" w:hAnsiTheme="minorBidi"/>
                <w:sz w:val="20"/>
                <w:szCs w:val="20"/>
              </w:rPr>
              <w:t>Safeguarding against fraudulent behaviour</w:t>
            </w:r>
          </w:p>
        </w:tc>
        <w:tc>
          <w:tcPr>
            <w:tcW w:w="1701" w:type="dxa"/>
          </w:tcPr>
          <w:p w14:paraId="760A97F5" w14:textId="77777777" w:rsidR="007C27A1" w:rsidRPr="007C27A1" w:rsidRDefault="007C27A1" w:rsidP="007C27A1">
            <w:pPr>
              <w:rPr>
                <w:rFonts w:asciiTheme="minorBidi" w:eastAsia="Times New Roman" w:hAnsiTheme="minorBidi"/>
                <w:sz w:val="20"/>
                <w:szCs w:val="20"/>
              </w:rPr>
            </w:pPr>
            <w:r w:rsidRPr="007C27A1">
              <w:rPr>
                <w:rFonts w:asciiTheme="minorBidi" w:eastAsia="Times New Roman" w:hAnsiTheme="minorBidi"/>
                <w:sz w:val="20"/>
                <w:szCs w:val="20"/>
              </w:rPr>
              <w:t>Periodically review and pivot anti-fraud measures based on fresh insights from academia and practice.</w:t>
            </w:r>
          </w:p>
          <w:p w14:paraId="0F748FF6" w14:textId="77777777" w:rsidR="007C27A1" w:rsidRPr="007C27A1" w:rsidRDefault="007C27A1" w:rsidP="007C27A1">
            <w:pPr>
              <w:rPr>
                <w:rFonts w:asciiTheme="minorBidi" w:hAnsiTheme="minorBidi"/>
                <w:sz w:val="20"/>
                <w:szCs w:val="20"/>
              </w:rPr>
            </w:pPr>
          </w:p>
        </w:tc>
        <w:tc>
          <w:tcPr>
            <w:tcW w:w="1650" w:type="dxa"/>
            <w:vAlign w:val="center"/>
          </w:tcPr>
          <w:p w14:paraId="05C390E2" w14:textId="77777777" w:rsidR="007C27A1" w:rsidRPr="007C27A1" w:rsidRDefault="007C27A1" w:rsidP="007C27A1">
            <w:pPr>
              <w:rPr>
                <w:rFonts w:asciiTheme="minorBidi" w:hAnsiTheme="minorBidi"/>
                <w:sz w:val="20"/>
                <w:szCs w:val="20"/>
              </w:rPr>
            </w:pPr>
            <w:r w:rsidRPr="007C27A1">
              <w:rPr>
                <w:rFonts w:asciiTheme="minorBidi" w:eastAsia="Times New Roman" w:hAnsiTheme="minorBidi"/>
                <w:sz w:val="20"/>
                <w:szCs w:val="20"/>
              </w:rPr>
              <w:t>COSO (2016); Miller, Lynam, &amp; Campbell (2016)</w:t>
            </w:r>
          </w:p>
        </w:tc>
      </w:tr>
    </w:tbl>
    <w:p w14:paraId="3EB18272" w14:textId="77777777" w:rsidR="007C27A1" w:rsidRPr="007C27A1" w:rsidRDefault="007C27A1" w:rsidP="007C27A1">
      <w:pPr>
        <w:spacing w:line="480" w:lineRule="auto"/>
        <w:jc w:val="both"/>
        <w:rPr>
          <w:rFonts w:ascii="Arial" w:eastAsiaTheme="minorHAnsi" w:hAnsi="Arial" w:cs="Arial"/>
          <w:color w:val="000000" w:themeColor="text1"/>
          <w:kern w:val="0"/>
          <w:lang w:eastAsia="en-US"/>
          <w14:ligatures w14:val="none"/>
        </w:rPr>
      </w:pPr>
    </w:p>
    <w:p w14:paraId="3AE6121A" w14:textId="77777777" w:rsidR="007C27A1" w:rsidRPr="004C5C6F" w:rsidRDefault="007C27A1" w:rsidP="007C27A1">
      <w:pPr>
        <w:spacing w:line="480" w:lineRule="auto"/>
        <w:jc w:val="both"/>
        <w:rPr>
          <w:rFonts w:asciiTheme="minorBidi" w:eastAsiaTheme="minorHAnsi" w:hAnsiTheme="minorBidi"/>
          <w:color w:val="000000" w:themeColor="text1"/>
          <w:kern w:val="0"/>
          <w:lang w:eastAsia="en-US"/>
          <w14:ligatures w14:val="none"/>
        </w:rPr>
      </w:pPr>
      <w:r w:rsidRPr="004C5C6F">
        <w:rPr>
          <w:rFonts w:asciiTheme="minorBidi" w:eastAsiaTheme="minorHAnsi" w:hAnsiTheme="minorBidi"/>
          <w:color w:val="000000" w:themeColor="text1"/>
          <w:kern w:val="0"/>
          <w:lang w:eastAsia="en-US"/>
          <w14:ligatures w14:val="none"/>
        </w:rPr>
        <w:t>It is important to note that all models have their limitations (Nair, 2012) but they are excellent tools for facilitating dialogue and organisational introspection (</w:t>
      </w:r>
      <w:r w:rsidRPr="004C5C6F">
        <w:rPr>
          <w:rFonts w:asciiTheme="minorBidi" w:eastAsia="Times New Roman" w:hAnsiTheme="minorBidi"/>
          <w:kern w:val="0"/>
          <w14:ligatures w14:val="none"/>
        </w:rPr>
        <w:t>Meyer, &amp; Rowan, 2006)</w:t>
      </w:r>
      <w:r w:rsidRPr="004C5C6F">
        <w:rPr>
          <w:rFonts w:asciiTheme="minorBidi" w:eastAsiaTheme="minorHAnsi" w:hAnsiTheme="minorBidi"/>
          <w:color w:val="000000" w:themeColor="text1"/>
          <w:kern w:val="0"/>
          <w:lang w:eastAsia="en-US"/>
          <w14:ligatures w14:val="none"/>
        </w:rPr>
        <w:t>. The SM CROWE ANTI-FRAUD BUILDER can be adopted in the following way, beginning by posing the following questions to ascertain anti-fraud maturity or development of an organisation (</w:t>
      </w:r>
      <w:r w:rsidRPr="004C5C6F">
        <w:rPr>
          <w:rFonts w:asciiTheme="minorBidi" w:eastAsia="Times New Roman" w:hAnsiTheme="minorBidi"/>
          <w:kern w:val="0"/>
          <w14:ligatures w14:val="none"/>
        </w:rPr>
        <w:t>Bendovschi, 2015)</w:t>
      </w:r>
      <w:r w:rsidRPr="004C5C6F">
        <w:rPr>
          <w:rFonts w:asciiTheme="minorBidi" w:eastAsiaTheme="minorHAnsi" w:hAnsiTheme="minorBidi"/>
          <w:color w:val="000000" w:themeColor="text1"/>
          <w:kern w:val="0"/>
          <w:lang w:eastAsia="en-US"/>
          <w14:ligatures w14:val="none"/>
        </w:rPr>
        <w:t xml:space="preserve">: </w:t>
      </w:r>
    </w:p>
    <w:p w14:paraId="27513C40" w14:textId="77777777" w:rsidR="007C27A1" w:rsidRPr="007C27A1" w:rsidRDefault="007C27A1">
      <w:pPr>
        <w:numPr>
          <w:ilvl w:val="0"/>
          <w:numId w:val="33"/>
        </w:numPr>
        <w:spacing w:line="480" w:lineRule="auto"/>
        <w:contextualSpacing/>
        <w:jc w:val="both"/>
        <w:rPr>
          <w:rFonts w:ascii="Arial" w:eastAsiaTheme="minorHAnsi" w:hAnsi="Arial" w:cs="Arial"/>
          <w:b/>
          <w:bCs/>
          <w:i/>
          <w:iCs/>
          <w:color w:val="000000" w:themeColor="text1"/>
          <w:kern w:val="0"/>
          <w:lang w:eastAsia="en-US"/>
          <w14:ligatures w14:val="none"/>
        </w:rPr>
      </w:pPr>
      <w:r w:rsidRPr="007C27A1">
        <w:rPr>
          <w:rFonts w:ascii="Arial" w:eastAsiaTheme="minorHAnsi" w:hAnsi="Arial" w:cs="Arial"/>
          <w:b/>
          <w:bCs/>
          <w:i/>
          <w:iCs/>
          <w:color w:val="000000" w:themeColor="text1"/>
          <w:kern w:val="0"/>
          <w:lang w:eastAsia="en-US"/>
          <w14:ligatures w14:val="none"/>
        </w:rPr>
        <w:t>Does the organisation have senior management or leadership buy-in?</w:t>
      </w:r>
    </w:p>
    <w:p w14:paraId="72811DB1" w14:textId="77777777" w:rsidR="007C27A1" w:rsidRPr="007C27A1" w:rsidRDefault="007C27A1">
      <w:pPr>
        <w:numPr>
          <w:ilvl w:val="0"/>
          <w:numId w:val="33"/>
        </w:numPr>
        <w:spacing w:line="480" w:lineRule="auto"/>
        <w:contextualSpacing/>
        <w:jc w:val="both"/>
        <w:rPr>
          <w:rFonts w:ascii="Arial" w:eastAsiaTheme="minorHAnsi" w:hAnsi="Arial" w:cs="Arial"/>
          <w:b/>
          <w:bCs/>
          <w:i/>
          <w:iCs/>
          <w:color w:val="000000" w:themeColor="text1"/>
          <w:kern w:val="0"/>
          <w:lang w:eastAsia="en-US"/>
          <w14:ligatures w14:val="none"/>
        </w:rPr>
      </w:pPr>
      <w:r w:rsidRPr="007C27A1">
        <w:rPr>
          <w:rFonts w:ascii="Arial" w:eastAsiaTheme="minorHAnsi" w:hAnsi="Arial" w:cs="Arial"/>
          <w:b/>
          <w:bCs/>
          <w:i/>
          <w:iCs/>
          <w:color w:val="000000" w:themeColor="text1"/>
          <w:kern w:val="0"/>
          <w:lang w:eastAsia="en-US"/>
          <w14:ligatures w14:val="none"/>
        </w:rPr>
        <w:t>To what extent are the current organisation’s risk management processes known?</w:t>
      </w:r>
    </w:p>
    <w:p w14:paraId="5E5D0337" w14:textId="77777777" w:rsidR="007C27A1" w:rsidRPr="007C27A1" w:rsidRDefault="007C27A1">
      <w:pPr>
        <w:numPr>
          <w:ilvl w:val="0"/>
          <w:numId w:val="33"/>
        </w:numPr>
        <w:spacing w:line="480" w:lineRule="auto"/>
        <w:contextualSpacing/>
        <w:jc w:val="both"/>
        <w:rPr>
          <w:rFonts w:ascii="Arial" w:eastAsiaTheme="minorHAnsi" w:hAnsi="Arial" w:cs="Arial"/>
          <w:b/>
          <w:bCs/>
          <w:i/>
          <w:iCs/>
          <w:color w:val="000000" w:themeColor="text1"/>
          <w:kern w:val="0"/>
          <w:lang w:eastAsia="en-US"/>
          <w14:ligatures w14:val="none"/>
        </w:rPr>
      </w:pPr>
      <w:r w:rsidRPr="007C27A1">
        <w:rPr>
          <w:rFonts w:ascii="Arial" w:eastAsiaTheme="minorHAnsi" w:hAnsi="Arial" w:cs="Arial"/>
          <w:b/>
          <w:bCs/>
          <w:i/>
          <w:iCs/>
          <w:color w:val="000000" w:themeColor="text1"/>
          <w:kern w:val="0"/>
          <w:lang w:eastAsia="en-US"/>
          <w14:ligatures w14:val="none"/>
        </w:rPr>
        <w:t>How well are the organisation's current risk management processes operating?</w:t>
      </w:r>
    </w:p>
    <w:p w14:paraId="31512ED2" w14:textId="77777777" w:rsidR="007C27A1" w:rsidRPr="007C27A1" w:rsidRDefault="007C27A1">
      <w:pPr>
        <w:numPr>
          <w:ilvl w:val="0"/>
          <w:numId w:val="33"/>
        </w:numPr>
        <w:spacing w:line="480" w:lineRule="auto"/>
        <w:contextualSpacing/>
        <w:jc w:val="both"/>
        <w:rPr>
          <w:rFonts w:ascii="Arial" w:eastAsiaTheme="minorHAnsi" w:hAnsi="Arial" w:cs="Arial"/>
          <w:b/>
          <w:bCs/>
          <w:i/>
          <w:iCs/>
          <w:color w:val="000000" w:themeColor="text1"/>
          <w:kern w:val="0"/>
          <w:lang w:eastAsia="en-US"/>
          <w14:ligatures w14:val="none"/>
        </w:rPr>
      </w:pPr>
      <w:r w:rsidRPr="007C27A1">
        <w:rPr>
          <w:rFonts w:ascii="Arial" w:eastAsiaTheme="minorHAnsi" w:hAnsi="Arial" w:cs="Arial"/>
          <w:b/>
          <w:bCs/>
          <w:i/>
          <w:iCs/>
          <w:color w:val="000000" w:themeColor="text1"/>
          <w:kern w:val="0"/>
          <w:lang w:eastAsia="en-US"/>
          <w14:ligatures w14:val="none"/>
        </w:rPr>
        <w:t>Does the organisation adhere to any external or industry risk management benchmarks?</w:t>
      </w:r>
    </w:p>
    <w:p w14:paraId="127DFFF7" w14:textId="77777777" w:rsidR="007C27A1" w:rsidRPr="007C27A1" w:rsidRDefault="007C27A1">
      <w:pPr>
        <w:numPr>
          <w:ilvl w:val="0"/>
          <w:numId w:val="33"/>
        </w:numPr>
        <w:spacing w:line="480" w:lineRule="auto"/>
        <w:contextualSpacing/>
        <w:jc w:val="both"/>
        <w:rPr>
          <w:rFonts w:ascii="Arial" w:eastAsiaTheme="minorHAnsi" w:hAnsi="Arial" w:cs="Arial"/>
          <w:b/>
          <w:bCs/>
          <w:i/>
          <w:iCs/>
          <w:color w:val="000000" w:themeColor="text1"/>
          <w:kern w:val="0"/>
          <w:lang w:eastAsia="en-US"/>
          <w14:ligatures w14:val="none"/>
        </w:rPr>
      </w:pPr>
      <w:r w:rsidRPr="007C27A1">
        <w:rPr>
          <w:rFonts w:ascii="Arial" w:eastAsiaTheme="minorHAnsi" w:hAnsi="Arial" w:cs="Arial"/>
          <w:b/>
          <w:bCs/>
          <w:i/>
          <w:iCs/>
          <w:color w:val="000000" w:themeColor="text1"/>
          <w:kern w:val="0"/>
          <w:lang w:eastAsia="en-US"/>
          <w14:ligatures w14:val="none"/>
        </w:rPr>
        <w:t>Does the organisation have the capacity to undertake fraud risk assessment workshops, or will it need to subcontract?</w:t>
      </w:r>
    </w:p>
    <w:p w14:paraId="06D159C3" w14:textId="77777777" w:rsidR="007C27A1" w:rsidRPr="007C27A1" w:rsidRDefault="007C27A1">
      <w:pPr>
        <w:numPr>
          <w:ilvl w:val="0"/>
          <w:numId w:val="33"/>
        </w:numPr>
        <w:spacing w:line="480" w:lineRule="auto"/>
        <w:contextualSpacing/>
        <w:jc w:val="both"/>
        <w:rPr>
          <w:rFonts w:ascii="Arial" w:eastAsiaTheme="minorHAnsi" w:hAnsi="Arial" w:cs="Arial"/>
          <w:b/>
          <w:bCs/>
          <w:i/>
          <w:iCs/>
          <w:color w:val="000000" w:themeColor="text1"/>
          <w:kern w:val="0"/>
          <w:lang w:eastAsia="en-US"/>
          <w14:ligatures w14:val="none"/>
        </w:rPr>
      </w:pPr>
      <w:r w:rsidRPr="007C27A1">
        <w:rPr>
          <w:rFonts w:ascii="Arial" w:eastAsiaTheme="minorHAnsi" w:hAnsi="Arial" w:cs="Arial"/>
          <w:b/>
          <w:bCs/>
          <w:i/>
          <w:iCs/>
          <w:color w:val="000000" w:themeColor="text1"/>
          <w:kern w:val="0"/>
          <w:lang w:eastAsia="en-US"/>
          <w14:ligatures w14:val="none"/>
        </w:rPr>
        <w:lastRenderedPageBreak/>
        <w:t>Does the organisation have the tools, techniques, procedures, and necessary competence to effectively identify, mitigate, and manage the risk of Accounting Fraud or white-collar fraud in general?</w:t>
      </w:r>
    </w:p>
    <w:p w14:paraId="286D35B4" w14:textId="77777777" w:rsidR="007C27A1" w:rsidRPr="007C27A1" w:rsidRDefault="007C27A1" w:rsidP="007C27A1">
      <w:pPr>
        <w:spacing w:after="0" w:line="480" w:lineRule="auto"/>
        <w:jc w:val="both"/>
        <w:rPr>
          <w:rFonts w:ascii="Arial" w:eastAsia="Times New Roman" w:hAnsi="Arial" w:cs="Arial"/>
          <w:kern w:val="0"/>
          <w14:ligatures w14:val="none"/>
        </w:rPr>
      </w:pPr>
      <w:r w:rsidRPr="007C27A1">
        <w:rPr>
          <w:rFonts w:ascii="Arial" w:eastAsia="Times New Roman" w:hAnsi="Arial" w:cs="Arial"/>
          <w:kern w:val="0"/>
          <w14:ligatures w14:val="none"/>
        </w:rPr>
        <w:t>In summary, the researcher contends that creating a strong anti-fraud culture is a process that requires strategic support or buy-in from top staff members in any organisation. An effective anti-fraud culture, according to ACFE 2020, requires a clear commitment from senior management, which includes establishing an ethical standard at the top and emphasising the value of integrity and ethical behaviour (ACFE, 2020). Murphy and Dacin (2011) emphasise the importance of an ethical climate and organizational culture in stopping fraud. They contend that the creation and upkeep of these cultural norms depend heavily on leadership.</w:t>
      </w:r>
    </w:p>
    <w:p w14:paraId="00B20626" w14:textId="77777777" w:rsidR="007C27A1" w:rsidRPr="007C27A1" w:rsidRDefault="007C27A1" w:rsidP="007C27A1">
      <w:pPr>
        <w:spacing w:after="0" w:line="480" w:lineRule="auto"/>
        <w:ind w:left="720"/>
        <w:contextualSpacing/>
        <w:jc w:val="both"/>
        <w:rPr>
          <w:rFonts w:ascii="Arial" w:hAnsi="Arial" w:cs="Arial"/>
        </w:rPr>
      </w:pPr>
    </w:p>
    <w:p w14:paraId="48A2856B" w14:textId="77777777" w:rsidR="007C27A1" w:rsidRPr="007C27A1" w:rsidRDefault="007C27A1" w:rsidP="007C27A1">
      <w:pPr>
        <w:spacing w:after="0" w:line="480" w:lineRule="auto"/>
        <w:jc w:val="both"/>
        <w:rPr>
          <w:rFonts w:ascii="Arial" w:eastAsia="Times New Roman" w:hAnsi="Arial" w:cs="Arial"/>
          <w:kern w:val="0"/>
          <w14:ligatures w14:val="none"/>
        </w:rPr>
      </w:pPr>
      <w:r w:rsidRPr="007C27A1">
        <w:rPr>
          <w:rFonts w:ascii="Arial" w:eastAsia="Times New Roman" w:hAnsi="Arial" w:cs="Arial"/>
          <w:kern w:val="0"/>
          <w14:ligatures w14:val="none"/>
        </w:rPr>
        <w:t>Furthermore, according to the model, even an established organization cannot sit back and rest upon its laurels. Therefore, the idea of continuous development is crucial to the fight against fraud. According to Cressey (1953), fraud risk is dynamic, and in order for businesses to stay ahead of potential fraudsters, they must constantly adapt and enhance their controls and culture. Similarly, Rae and Subramaniam (2008) address how mature businesses must maintain constant vigilance and routinely re-evaluate fraud risks and controls in order to avoid complacency and ensure successful fraud protection.</w:t>
      </w:r>
    </w:p>
    <w:p w14:paraId="1DE53AC2" w14:textId="77777777" w:rsidR="007C27A1" w:rsidRPr="007C27A1" w:rsidRDefault="007C27A1" w:rsidP="007C27A1">
      <w:pPr>
        <w:spacing w:after="0" w:line="480" w:lineRule="auto"/>
        <w:jc w:val="both"/>
        <w:rPr>
          <w:rFonts w:ascii="Arial" w:hAnsi="Arial" w:cs="Arial"/>
        </w:rPr>
      </w:pPr>
    </w:p>
    <w:p w14:paraId="7E0BDE18" w14:textId="77777777" w:rsidR="007C27A1" w:rsidRPr="007C27A1" w:rsidRDefault="007C27A1" w:rsidP="007C27A1">
      <w:pPr>
        <w:spacing w:after="0" w:line="480" w:lineRule="auto"/>
        <w:jc w:val="both"/>
        <w:rPr>
          <w:rFonts w:ascii="Arial" w:eastAsia="Times New Roman" w:hAnsi="Arial" w:cs="Arial"/>
          <w:kern w:val="0"/>
          <w14:ligatures w14:val="none"/>
        </w:rPr>
      </w:pPr>
      <w:r w:rsidRPr="007C27A1">
        <w:rPr>
          <w:rFonts w:ascii="Arial" w:eastAsia="Times New Roman" w:hAnsi="Arial" w:cs="Arial"/>
          <w:kern w:val="0"/>
          <w14:ligatures w14:val="none"/>
        </w:rPr>
        <w:t xml:space="preserve">The researcher recommends that it should be standard practice to incorporate anti-fraud measures into recruitment and promotion plans. According to research by Klotz and Neubaum (2016), incorporating moral issues into the hiring and promotion procedures facilitates the development of a moral workplace culture. This entails </w:t>
      </w:r>
      <w:r w:rsidRPr="007C27A1">
        <w:rPr>
          <w:rFonts w:ascii="Arial" w:eastAsia="Times New Roman" w:hAnsi="Arial" w:cs="Arial"/>
          <w:kern w:val="0"/>
          <w14:ligatures w14:val="none"/>
        </w:rPr>
        <w:lastRenderedPageBreak/>
        <w:t>evaluating applicants' ethical principles and elevating those who exhibit strong ethical behaviour. According to McDaniel and Jones (2020), recruiting procedures that prioritise morality and integrity can lead to the early detection of possible fraud concerns. They advise evaluating candidates' ethical dispositions through behavioural interviewing methods and background investigations.</w:t>
      </w:r>
    </w:p>
    <w:p w14:paraId="285432B6" w14:textId="77777777" w:rsidR="007C27A1" w:rsidRPr="007C27A1" w:rsidRDefault="007C27A1" w:rsidP="007C27A1">
      <w:pPr>
        <w:spacing w:after="0" w:line="480" w:lineRule="auto"/>
        <w:jc w:val="both"/>
        <w:rPr>
          <w:rFonts w:ascii="Arial" w:eastAsia="Times New Roman" w:hAnsi="Arial" w:cs="Arial"/>
          <w:kern w:val="0"/>
          <w14:ligatures w14:val="none"/>
        </w:rPr>
      </w:pPr>
    </w:p>
    <w:p w14:paraId="412A2A7D" w14:textId="77777777" w:rsidR="007C27A1" w:rsidRPr="007C27A1" w:rsidRDefault="007C27A1" w:rsidP="007C27A1">
      <w:pPr>
        <w:spacing w:after="0" w:line="480" w:lineRule="auto"/>
        <w:jc w:val="both"/>
        <w:rPr>
          <w:rFonts w:ascii="Arial" w:eastAsia="Times New Roman" w:hAnsi="Arial" w:cs="Arial"/>
          <w:kern w:val="0"/>
          <w14:ligatures w14:val="none"/>
        </w:rPr>
      </w:pPr>
      <w:r w:rsidRPr="007C27A1">
        <w:rPr>
          <w:rFonts w:ascii="Arial" w:eastAsia="Times New Roman" w:hAnsi="Arial" w:cs="Arial"/>
          <w:kern w:val="0"/>
          <w14:ligatures w14:val="none"/>
        </w:rPr>
        <w:t xml:space="preserve">It is hoped that the </w:t>
      </w:r>
      <w:r w:rsidRPr="007C27A1">
        <w:rPr>
          <w:rFonts w:ascii="Arial" w:eastAsiaTheme="minorHAnsi" w:hAnsi="Arial" w:cs="Arial"/>
          <w:color w:val="000000" w:themeColor="text1"/>
          <w:kern w:val="0"/>
          <w:lang w:eastAsia="en-US"/>
          <w14:ligatures w14:val="none"/>
        </w:rPr>
        <w:t xml:space="preserve">SM CROWE ANTI-FRAUD BUILDER </w:t>
      </w:r>
      <w:r w:rsidRPr="007C27A1">
        <w:rPr>
          <w:rFonts w:ascii="Arial" w:eastAsia="Times New Roman" w:hAnsi="Arial" w:cs="Arial"/>
          <w:kern w:val="0"/>
          <w14:ligatures w14:val="none"/>
        </w:rPr>
        <w:t>will help detect business psychopaths or Corporate Psychopath Accountants and filter out potential offenders in the future. Babiak and Hare (2006) offer proof that specific recruitment and promotion tactics can be used to identify corporate psychopaths, who frequently display unethical behaviour. They recommend that in order to prevent these people from joining or moving up the corporate ladder, companies should exercise caution when it comes to their hiring practices. Boddy (2011) examines the ways in which business psychopaths can play a major role in organisational fraud and other unethical activities. Strict hiring and promotion standards can aid in identifying and removing these people from important or strategi roles.</w:t>
      </w:r>
    </w:p>
    <w:p w14:paraId="09ACC3FF" w14:textId="77777777" w:rsidR="007C27A1" w:rsidRPr="007C27A1" w:rsidRDefault="007C27A1" w:rsidP="007C27A1">
      <w:pPr>
        <w:spacing w:before="100" w:beforeAutospacing="1" w:after="100" w:afterAutospacing="1" w:line="480" w:lineRule="auto"/>
        <w:jc w:val="both"/>
        <w:rPr>
          <w:rFonts w:asciiTheme="minorBidi" w:eastAsia="Times New Roman" w:hAnsiTheme="minorBidi"/>
          <w:kern w:val="0"/>
          <w14:ligatures w14:val="none"/>
        </w:rPr>
      </w:pPr>
      <w:r w:rsidRPr="007C27A1">
        <w:rPr>
          <w:rFonts w:ascii="Arial" w:eastAsia="Times New Roman" w:hAnsi="Arial" w:cs="Arial"/>
          <w:kern w:val="0"/>
          <w14:ligatures w14:val="none"/>
        </w:rPr>
        <w:t xml:space="preserve">Lastly, the </w:t>
      </w:r>
      <w:r w:rsidRPr="007C27A1">
        <w:rPr>
          <w:rFonts w:ascii="Arial" w:eastAsiaTheme="minorHAnsi" w:hAnsi="Arial" w:cs="Arial"/>
          <w:color w:val="000000" w:themeColor="text1"/>
          <w:kern w:val="0"/>
          <w:lang w:eastAsia="en-US"/>
          <w14:ligatures w14:val="none"/>
        </w:rPr>
        <w:t xml:space="preserve">SM CROWE ANTI-FRAUD BUILDER </w:t>
      </w:r>
      <w:r w:rsidRPr="007C27A1">
        <w:rPr>
          <w:rFonts w:ascii="Arial" w:eastAsia="Times New Roman" w:hAnsi="Arial" w:cs="Arial"/>
          <w:kern w:val="0"/>
          <w14:ligatures w14:val="none"/>
        </w:rPr>
        <w:t>may reduce both Accounting Fraud and fraud overall. Albrecht, Albrecht, and Albrecht (2006) stress the importance of a solid anti-fraud framework that includes preventive measures including moral hiring procedures and effective internal controls. They stress the significance of an all-encompassing strategy that include detection, deterrent, and education. According to Cohen et al. (2010) Accounting Fraud is less common in companies with strong ethical cultures and strict fraud prevention procedures. They contend that in order to effectively combat fraud, ethical standards must be ingrained in every facet of the business, including hiring and promotion.</w:t>
      </w:r>
    </w:p>
    <w:bookmarkStart w:id="810" w:name="_Hlk147083404"/>
    <w:bookmarkStart w:id="811" w:name="D134"/>
    <w:bookmarkStart w:id="812" w:name="_Hlk172265510"/>
    <w:p w14:paraId="43E7C529" w14:textId="4AA40483" w:rsidR="007C27A1" w:rsidRPr="007C27A1" w:rsidRDefault="00E67E08" w:rsidP="00056FC1">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b/>
          <w:bCs/>
          <w:kern w:val="0"/>
          <w:lang w:eastAsia="en-US"/>
          <w14:ligatures w14:val="none"/>
        </w:rPr>
      </w:pPr>
      <w:r>
        <w:rPr>
          <w:rFonts w:ascii="Arial" w:eastAsiaTheme="minorHAnsi" w:hAnsi="Arial" w:cs="Arial"/>
          <w:b/>
          <w:bCs/>
          <w:kern w:val="0"/>
          <w:lang w:eastAsia="en-US"/>
          <w14:ligatures w14:val="none"/>
        </w:rPr>
        <w:lastRenderedPageBreak/>
        <w:fldChar w:fldCharType="begin"/>
      </w:r>
      <w:r>
        <w:rPr>
          <w:rFonts w:ascii="Arial" w:eastAsiaTheme="minorHAnsi" w:hAnsi="Arial" w:cs="Arial"/>
          <w:b/>
          <w:bCs/>
          <w:kern w:val="0"/>
          <w:lang w:eastAsia="en-US"/>
          <w14:ligatures w14:val="none"/>
        </w:rPr>
        <w:instrText>HYPERLINK  \l "C134"</w:instrText>
      </w:r>
      <w:r>
        <w:rPr>
          <w:rFonts w:ascii="Arial" w:eastAsiaTheme="minorHAnsi" w:hAnsi="Arial" w:cs="Arial"/>
          <w:b/>
          <w:bCs/>
          <w:kern w:val="0"/>
          <w:lang w:eastAsia="en-US"/>
          <w14:ligatures w14:val="none"/>
        </w:rPr>
      </w:r>
      <w:r>
        <w:rPr>
          <w:rFonts w:ascii="Arial" w:eastAsiaTheme="minorHAnsi" w:hAnsi="Arial" w:cs="Arial"/>
          <w:b/>
          <w:bCs/>
          <w:kern w:val="0"/>
          <w:lang w:eastAsia="en-US"/>
          <w14:ligatures w14:val="none"/>
        </w:rPr>
        <w:fldChar w:fldCharType="separate"/>
      </w:r>
      <w:r w:rsidR="007C27A1" w:rsidRPr="00E67E08">
        <w:rPr>
          <w:rStyle w:val="Hyperlink"/>
          <w:rFonts w:ascii="Arial" w:eastAsiaTheme="minorHAnsi" w:hAnsi="Arial" w:cs="Arial"/>
          <w:b/>
          <w:bCs/>
          <w:kern w:val="0"/>
          <w:lang w:eastAsia="en-US"/>
          <w14:ligatures w14:val="none"/>
        </w:rPr>
        <w:t>5.4 Contributions, Limitations and Further Avenues for Research</w:t>
      </w:r>
      <w:r>
        <w:rPr>
          <w:rFonts w:ascii="Arial" w:eastAsiaTheme="minorHAnsi" w:hAnsi="Arial" w:cs="Arial"/>
          <w:b/>
          <w:bCs/>
          <w:kern w:val="0"/>
          <w:lang w:eastAsia="en-US"/>
          <w14:ligatures w14:val="none"/>
        </w:rPr>
        <w:fldChar w:fldCharType="end"/>
      </w:r>
      <w:r w:rsidR="007C27A1" w:rsidRPr="007C27A1">
        <w:rPr>
          <w:rFonts w:ascii="Arial" w:eastAsiaTheme="minorHAnsi" w:hAnsi="Arial" w:cs="Arial"/>
          <w:b/>
          <w:bCs/>
          <w:kern w:val="0"/>
          <w:lang w:eastAsia="en-US"/>
          <w14:ligatures w14:val="none"/>
        </w:rPr>
        <w:t xml:space="preserve"> </w:t>
      </w:r>
    </w:p>
    <w:bookmarkEnd w:id="810"/>
    <w:bookmarkEnd w:id="811"/>
    <w:p w14:paraId="2D83803A" w14:textId="77777777" w:rsidR="007C27A1" w:rsidRPr="007C27A1" w:rsidRDefault="007C27A1" w:rsidP="007C27A1">
      <w:pPr>
        <w:spacing w:line="480" w:lineRule="auto"/>
        <w:jc w:val="both"/>
        <w:rPr>
          <w:rFonts w:ascii="Arial" w:eastAsiaTheme="minorHAnsi" w:hAnsi="Arial" w:cs="Arial"/>
          <w:b/>
          <w:bCs/>
          <w:color w:val="0D0D0D" w:themeColor="text1" w:themeTint="F2"/>
          <w:kern w:val="0"/>
          <w:lang w:eastAsia="en-US"/>
          <w14:ligatures w14:val="none"/>
        </w:rPr>
      </w:pPr>
      <w:r w:rsidRPr="007C27A1">
        <w:rPr>
          <w:rFonts w:ascii="Arial" w:eastAsiaTheme="minorHAnsi" w:hAnsi="Arial" w:cs="Arial"/>
          <w:b/>
          <w:bCs/>
          <w:color w:val="0D0D0D" w:themeColor="text1" w:themeTint="F2"/>
          <w:kern w:val="0"/>
          <w:lang w:eastAsia="en-US"/>
          <w14:ligatures w14:val="none"/>
        </w:rPr>
        <w:t>In the following sections the researcher will outline the major contributions, limitations, and further avenues for research.</w:t>
      </w:r>
    </w:p>
    <w:bookmarkStart w:id="813" w:name="_Hlk171501944"/>
    <w:bookmarkStart w:id="814" w:name="D135"/>
    <w:p w14:paraId="28DAEBBE" w14:textId="174D421E" w:rsidR="007C27A1" w:rsidRPr="007C27A1" w:rsidRDefault="00E67E08" w:rsidP="00056FC1">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b/>
          <w:bCs/>
          <w:kern w:val="0"/>
          <w:lang w:eastAsia="en-US"/>
          <w14:ligatures w14:val="none"/>
        </w:rPr>
      </w:pPr>
      <w:r>
        <w:rPr>
          <w:rFonts w:ascii="Arial" w:eastAsiaTheme="minorHAnsi" w:hAnsi="Arial" w:cs="Arial"/>
          <w:b/>
          <w:bCs/>
          <w:kern w:val="0"/>
          <w:lang w:eastAsia="en-US"/>
          <w14:ligatures w14:val="none"/>
        </w:rPr>
        <w:fldChar w:fldCharType="begin"/>
      </w:r>
      <w:r>
        <w:rPr>
          <w:rFonts w:ascii="Arial" w:eastAsiaTheme="minorHAnsi" w:hAnsi="Arial" w:cs="Arial"/>
          <w:b/>
          <w:bCs/>
          <w:kern w:val="0"/>
          <w:lang w:eastAsia="en-US"/>
          <w14:ligatures w14:val="none"/>
        </w:rPr>
        <w:instrText>HYPERLINK  \l "C135"</w:instrText>
      </w:r>
      <w:r>
        <w:rPr>
          <w:rFonts w:ascii="Arial" w:eastAsiaTheme="minorHAnsi" w:hAnsi="Arial" w:cs="Arial"/>
          <w:b/>
          <w:bCs/>
          <w:kern w:val="0"/>
          <w:lang w:eastAsia="en-US"/>
          <w14:ligatures w14:val="none"/>
        </w:rPr>
      </w:r>
      <w:r>
        <w:rPr>
          <w:rFonts w:ascii="Arial" w:eastAsiaTheme="minorHAnsi" w:hAnsi="Arial" w:cs="Arial"/>
          <w:b/>
          <w:bCs/>
          <w:kern w:val="0"/>
          <w:lang w:eastAsia="en-US"/>
          <w14:ligatures w14:val="none"/>
        </w:rPr>
        <w:fldChar w:fldCharType="separate"/>
      </w:r>
      <w:r w:rsidR="007C27A1" w:rsidRPr="00E67E08">
        <w:rPr>
          <w:rStyle w:val="Hyperlink"/>
          <w:rFonts w:ascii="Arial" w:eastAsiaTheme="minorHAnsi" w:hAnsi="Arial" w:cs="Arial"/>
          <w:b/>
          <w:bCs/>
          <w:kern w:val="0"/>
          <w:lang w:eastAsia="en-US"/>
          <w14:ligatures w14:val="none"/>
        </w:rPr>
        <w:t>5.4.1 Contributions</w:t>
      </w:r>
      <w:r>
        <w:rPr>
          <w:rFonts w:ascii="Arial" w:eastAsiaTheme="minorHAnsi" w:hAnsi="Arial" w:cs="Arial"/>
          <w:b/>
          <w:bCs/>
          <w:kern w:val="0"/>
          <w:lang w:eastAsia="en-US"/>
          <w14:ligatures w14:val="none"/>
        </w:rPr>
        <w:fldChar w:fldCharType="end"/>
      </w:r>
    </w:p>
    <w:bookmarkEnd w:id="812"/>
    <w:bookmarkEnd w:id="813"/>
    <w:bookmarkEnd w:id="814"/>
    <w:p w14:paraId="7192941D" w14:textId="77777777" w:rsidR="007C27A1" w:rsidRPr="007C27A1" w:rsidRDefault="007C27A1" w:rsidP="007C27A1">
      <w:pPr>
        <w:spacing w:after="0" w:line="480" w:lineRule="auto"/>
        <w:jc w:val="both"/>
        <w:rPr>
          <w:rFonts w:asciiTheme="minorBidi" w:hAnsiTheme="minorBidi"/>
          <w:color w:val="0D0D0D" w:themeColor="text1" w:themeTint="F2"/>
        </w:rPr>
      </w:pPr>
      <w:r w:rsidRPr="007C27A1">
        <w:rPr>
          <w:rFonts w:asciiTheme="minorBidi" w:hAnsiTheme="minorBidi"/>
          <w:color w:val="0D0D0D" w:themeColor="text1" w:themeTint="F2"/>
        </w:rPr>
        <w:t>The researcher believes that he has fully described the "what" and "how" of Accounting Fraud and suggests that the ‘Dark Triad’ (Machiavellianism, Narcissism, and Psychopathy personality trait of psychopathy is the primary cause of this nefarious phenomenon. Not only did the researcher thoroughly examine the concept of corporate psychopathy but highlighted the Corporate Psychopath Accountant. This claim is based on the knowledge that Accounting Fraud by Corporate Psychopath Accountants will occur regardless of the "pressure" and "opportunity" that exist within an organisation. Consequently, this realisation prompts a reassessment of the conventional Fraud Triangle, suggesting that it potentially collapses into:</w:t>
      </w:r>
      <w:r w:rsidRPr="007C27A1">
        <w:rPr>
          <w:rFonts w:asciiTheme="minorBidi" w:hAnsiTheme="minorBidi"/>
          <w:color w:val="0D0D0D" w:themeColor="text1" w:themeTint="F2"/>
        </w:rPr>
        <w:br/>
      </w:r>
    </w:p>
    <w:p w14:paraId="1F49104D" w14:textId="77777777" w:rsidR="007C27A1" w:rsidRPr="007C27A1" w:rsidRDefault="007C27A1" w:rsidP="007C27A1">
      <w:pPr>
        <w:spacing w:after="240" w:line="480" w:lineRule="auto"/>
        <w:jc w:val="center"/>
        <w:rPr>
          <w:rFonts w:asciiTheme="minorBidi" w:eastAsia="Times New Roman" w:hAnsiTheme="minorBidi"/>
          <w:color w:val="0D0D0D" w:themeColor="text1" w:themeTint="F2"/>
          <w:kern w:val="0"/>
          <w14:ligatures w14:val="none"/>
        </w:rPr>
      </w:pPr>
      <w:r w:rsidRPr="007C27A1">
        <w:rPr>
          <w:rFonts w:asciiTheme="minorBidi" w:eastAsia="Times New Roman" w:hAnsiTheme="minorBidi"/>
          <w:color w:val="0D0D0D" w:themeColor="text1" w:themeTint="F2"/>
          <w:kern w:val="0"/>
          <w14:ligatures w14:val="none"/>
        </w:rPr>
        <w:t>Rationalisation = Corporate Accountant Psychopathy = Accounting Fraud</w:t>
      </w:r>
    </w:p>
    <w:p w14:paraId="5A17805C" w14:textId="4679298E" w:rsidR="00330B37" w:rsidRDefault="007C27A1" w:rsidP="00330B37">
      <w:pPr>
        <w:spacing w:after="240" w:line="480" w:lineRule="auto"/>
        <w:jc w:val="both"/>
        <w:rPr>
          <w:rFonts w:asciiTheme="minorBidi" w:eastAsia="Times New Roman" w:hAnsiTheme="minorBidi"/>
          <w:color w:val="0D0D0D" w:themeColor="text1" w:themeTint="F2"/>
          <w:kern w:val="0"/>
          <w14:ligatures w14:val="none"/>
        </w:rPr>
      </w:pPr>
      <w:r w:rsidRPr="007C27A1">
        <w:rPr>
          <w:rFonts w:asciiTheme="minorBidi" w:eastAsia="Times New Roman" w:hAnsiTheme="minorBidi"/>
          <w:color w:val="0D0D0D" w:themeColor="text1" w:themeTint="F2"/>
          <w:kern w:val="0"/>
          <w14:ligatures w14:val="none"/>
        </w:rPr>
        <w:t xml:space="preserve">The Cooks Recipe Incentives Monitoring End outcomes (CRIME) model developed by Rezaee (2005) was expanded upon by the </w:t>
      </w:r>
      <w:r w:rsidR="00EC4CD0">
        <w:rPr>
          <w:rFonts w:asciiTheme="minorBidi" w:eastAsia="Times New Roman" w:hAnsiTheme="minorBidi"/>
          <w:color w:val="0D0D0D" w:themeColor="text1" w:themeTint="F2"/>
          <w:kern w:val="0"/>
          <w14:ligatures w14:val="none"/>
        </w:rPr>
        <w:t>researcher</w:t>
      </w:r>
      <w:r w:rsidRPr="007C27A1">
        <w:rPr>
          <w:rFonts w:asciiTheme="minorBidi" w:eastAsia="Times New Roman" w:hAnsiTheme="minorBidi"/>
          <w:color w:val="0D0D0D" w:themeColor="text1" w:themeTint="F2"/>
          <w:kern w:val="0"/>
          <w14:ligatures w14:val="none"/>
        </w:rPr>
        <w:t xml:space="preserve"> to include 'Learning,' leading to the creation of the CRIMEL framework (see section 2.8), prior to extending Bailey's (2017) work. This framework was used to examine 33 cases from around the world and consistently found corporate psychopathy or the Corporate Psychopath Accountant among the perpetrators. The findings of the study demonstrated that psychopathy is a strong predictor of dishonest behaviour in the accounting profession, offering a fresh </w:t>
      </w:r>
      <w:r w:rsidR="00330B37">
        <w:rPr>
          <w:rFonts w:asciiTheme="minorBidi" w:eastAsia="Times New Roman" w:hAnsiTheme="minorBidi"/>
          <w:color w:val="0D0D0D" w:themeColor="text1" w:themeTint="F2"/>
          <w:kern w:val="0"/>
          <w14:ligatures w14:val="none"/>
        </w:rPr>
        <w:t>perspective on how to identify and prevent such malfeasance.</w:t>
      </w:r>
    </w:p>
    <w:p w14:paraId="510325E0" w14:textId="4B301AB5" w:rsidR="007C27A1" w:rsidRPr="007C27A1" w:rsidRDefault="007C27A1" w:rsidP="00330B37">
      <w:pPr>
        <w:spacing w:after="240" w:line="480" w:lineRule="auto"/>
        <w:jc w:val="both"/>
        <w:rPr>
          <w:rFonts w:asciiTheme="minorBidi" w:eastAsia="Times New Roman" w:hAnsiTheme="minorBidi"/>
          <w:color w:val="0D0D0D" w:themeColor="text1" w:themeTint="F2"/>
          <w:kern w:val="0"/>
          <w14:ligatures w14:val="none"/>
        </w:rPr>
      </w:pPr>
      <w:r w:rsidRPr="007C27A1">
        <w:rPr>
          <w:rFonts w:asciiTheme="minorBidi" w:eastAsia="Times New Roman" w:hAnsiTheme="minorBidi"/>
          <w:color w:val="0D0D0D" w:themeColor="text1" w:themeTint="F2"/>
          <w:kern w:val="0"/>
          <w14:ligatures w14:val="none"/>
        </w:rPr>
        <w:lastRenderedPageBreak/>
        <w:t>The researcher went on to create two more multiple regression models using data from qualified professionals (which has never been done in the literature) and final year accounting and finance undergraduates to predict psychopathy. This approach, attempted to quantify the relationship between psychopathic characteristics and the propensity for Accounting Fraud, offering empirical support for the theoretical claims.</w:t>
      </w:r>
      <w:r w:rsidRPr="007C27A1">
        <w:rPr>
          <w:rFonts w:asciiTheme="minorBidi" w:eastAsia="Times New Roman" w:hAnsiTheme="minorBidi"/>
          <w:color w:val="0D0D0D" w:themeColor="text1" w:themeTint="F2"/>
          <w:kern w:val="0"/>
          <w14:ligatures w14:val="none"/>
        </w:rPr>
        <w:br/>
      </w:r>
      <w:r w:rsidRPr="007C27A1">
        <w:rPr>
          <w:rFonts w:asciiTheme="minorBidi" w:eastAsia="Times New Roman" w:hAnsiTheme="minorBidi"/>
          <w:color w:val="0D0D0D" w:themeColor="text1" w:themeTint="F2"/>
          <w:kern w:val="0"/>
          <w14:ligatures w14:val="none"/>
        </w:rPr>
        <w:br/>
        <w:t xml:space="preserve">The </w:t>
      </w:r>
      <w:r w:rsidR="00EC4CD0">
        <w:rPr>
          <w:rFonts w:asciiTheme="minorBidi" w:eastAsia="Times New Roman" w:hAnsiTheme="minorBidi"/>
          <w:color w:val="0D0D0D" w:themeColor="text1" w:themeTint="F2"/>
          <w:kern w:val="0"/>
          <w14:ligatures w14:val="none"/>
        </w:rPr>
        <w:t>researcher</w:t>
      </w:r>
      <w:r w:rsidRPr="007C27A1">
        <w:rPr>
          <w:rFonts w:asciiTheme="minorBidi" w:eastAsia="Times New Roman" w:hAnsiTheme="minorBidi"/>
          <w:color w:val="0D0D0D" w:themeColor="text1" w:themeTint="F2"/>
          <w:kern w:val="0"/>
          <w14:ligatures w14:val="none"/>
        </w:rPr>
        <w:t xml:space="preserve"> then suggested that the emerging field of Blockchain Technology would be able to help reduce Accounting Fraud and the impact of the Corporate Psychopath Accountant. Six participants were interviewed for the study, which revealed that although Blockchain technology is not yet widely used or ubiquitous, it has potential to improve transactional transparency and improve the audit opinion thus lowering Accounting Fraud. On the other hand, the technology is still vulnerable to ‘control fraud’ where multiple stakeholders collaborate to game the system to benefit themselves. Since, there remains areas of judgement in accounting such as the revaluation of non-current assets which is achieved by using an external expert to the organisation who can be compromised. Also, with respect to ‘going concern’ where an auditor comments on the solvency of an organisation for the next 12 months, Blockchain Technology will currently only have transactional value as the auditor is looking into the future based on historical data.  Notwithstanding these drawbacks, it was noteworthy that participants saw a substantial change in the audit profession—an auditor's role changing from that of a passive "watchdog" to that of a proactive "bloodhound," actively searching for fraud.</w:t>
      </w:r>
    </w:p>
    <w:p w14:paraId="6A6BD7F5" w14:textId="77777777" w:rsidR="008E1B6A" w:rsidRDefault="008E1B6A" w:rsidP="007C27A1">
      <w:pPr>
        <w:spacing w:after="240" w:line="480" w:lineRule="auto"/>
        <w:jc w:val="both"/>
        <w:rPr>
          <w:rFonts w:asciiTheme="minorBidi" w:eastAsia="Times New Roman" w:hAnsiTheme="minorBidi"/>
          <w:color w:val="0D0D0D" w:themeColor="text1" w:themeTint="F2"/>
          <w:kern w:val="0"/>
          <w14:ligatures w14:val="none"/>
        </w:rPr>
      </w:pPr>
    </w:p>
    <w:p w14:paraId="330843D0" w14:textId="2D12A455" w:rsidR="00685456" w:rsidRDefault="007C27A1" w:rsidP="00685456">
      <w:pPr>
        <w:spacing w:after="240" w:line="480" w:lineRule="auto"/>
        <w:jc w:val="both"/>
        <w:rPr>
          <w:rFonts w:asciiTheme="minorBidi" w:eastAsia="Times New Roman" w:hAnsiTheme="minorBidi"/>
          <w:color w:val="0D0D0D" w:themeColor="text1" w:themeTint="F2"/>
          <w:kern w:val="0"/>
          <w14:ligatures w14:val="none"/>
        </w:rPr>
      </w:pPr>
      <w:r w:rsidRPr="007C27A1">
        <w:rPr>
          <w:rFonts w:asciiTheme="minorBidi" w:eastAsia="Times New Roman" w:hAnsiTheme="minorBidi"/>
          <w:color w:val="0D0D0D" w:themeColor="text1" w:themeTint="F2"/>
          <w:kern w:val="0"/>
          <w14:ligatures w14:val="none"/>
        </w:rPr>
        <w:lastRenderedPageBreak/>
        <w:t xml:space="preserve">The </w:t>
      </w:r>
      <w:r w:rsidR="00581426">
        <w:rPr>
          <w:rFonts w:asciiTheme="minorBidi" w:eastAsia="Times New Roman" w:hAnsiTheme="minorBidi"/>
          <w:color w:val="0D0D0D" w:themeColor="text1" w:themeTint="F2"/>
          <w:kern w:val="0"/>
          <w14:ligatures w14:val="none"/>
        </w:rPr>
        <w:t>researcher</w:t>
      </w:r>
      <w:r w:rsidRPr="007C27A1">
        <w:rPr>
          <w:rFonts w:asciiTheme="minorBidi" w:eastAsia="Times New Roman" w:hAnsiTheme="minorBidi"/>
          <w:color w:val="0D0D0D" w:themeColor="text1" w:themeTint="F2"/>
          <w:kern w:val="0"/>
          <w14:ligatures w14:val="none"/>
        </w:rPr>
        <w:t xml:space="preserve"> also noted an important trend toward automation and ‘people-centred’ methods as an interim preparation until BCT becomes the norm. The </w:t>
      </w:r>
      <w:r w:rsidR="00581426">
        <w:rPr>
          <w:rFonts w:asciiTheme="minorBidi" w:eastAsia="Times New Roman" w:hAnsiTheme="minorBidi"/>
          <w:color w:val="0D0D0D" w:themeColor="text1" w:themeTint="F2"/>
          <w:kern w:val="0"/>
          <w14:ligatures w14:val="none"/>
        </w:rPr>
        <w:t>researcher</w:t>
      </w:r>
      <w:r w:rsidRPr="007C27A1">
        <w:rPr>
          <w:rFonts w:asciiTheme="minorBidi" w:eastAsia="Times New Roman" w:hAnsiTheme="minorBidi"/>
          <w:color w:val="0D0D0D" w:themeColor="text1" w:themeTint="F2"/>
          <w:kern w:val="0"/>
          <w14:ligatures w14:val="none"/>
        </w:rPr>
        <w:t xml:space="preserve"> developed a unique people-centred approach which attempts to promote an anti-fraud culture in organisations. The goal of this programme, known as the SHEIKH MANIAR CROWE ANTI-FRAUD CULTURE BUILDER (see section 5.3), is to strengthen organisational resilience against Accounting Fraud and encourage ethical behaviour </w:t>
      </w:r>
      <w:r w:rsidR="00685456">
        <w:rPr>
          <w:rFonts w:asciiTheme="minorBidi" w:eastAsia="Times New Roman" w:hAnsiTheme="minorBidi"/>
          <w:color w:val="0D0D0D" w:themeColor="text1" w:themeTint="F2"/>
          <w:kern w:val="0"/>
          <w14:ligatures w14:val="none"/>
        </w:rPr>
        <w:t>to lessen the effects of Corporate Psychopath Accountants.</w:t>
      </w:r>
    </w:p>
    <w:p w14:paraId="00D0DC4B" w14:textId="29FCB667" w:rsidR="007C27A1" w:rsidRPr="007C27A1" w:rsidRDefault="007C27A1" w:rsidP="00685456">
      <w:pPr>
        <w:spacing w:after="240" w:line="480" w:lineRule="auto"/>
        <w:jc w:val="both"/>
        <w:rPr>
          <w:rFonts w:asciiTheme="minorBidi" w:eastAsia="Times New Roman" w:hAnsiTheme="minorBidi"/>
          <w:color w:val="0D0D0D" w:themeColor="text1" w:themeTint="F2"/>
          <w:kern w:val="0"/>
          <w14:ligatures w14:val="none"/>
        </w:rPr>
      </w:pPr>
      <w:r w:rsidRPr="007C27A1">
        <w:rPr>
          <w:rFonts w:asciiTheme="minorBidi" w:eastAsia="Times New Roman" w:hAnsiTheme="minorBidi"/>
          <w:color w:val="0D0D0D" w:themeColor="text1" w:themeTint="F2"/>
          <w:kern w:val="0"/>
          <w14:ligatures w14:val="none"/>
        </w:rPr>
        <w:t xml:space="preserve">In general, the study adds to the corpus of current knowledge by: </w:t>
      </w:r>
    </w:p>
    <w:p w14:paraId="679FDB85" w14:textId="77777777" w:rsidR="007C27A1" w:rsidRPr="007C27A1" w:rsidRDefault="007C27A1">
      <w:pPr>
        <w:numPr>
          <w:ilvl w:val="0"/>
          <w:numId w:val="38"/>
        </w:numPr>
        <w:spacing w:before="100" w:beforeAutospacing="1" w:after="100" w:afterAutospacing="1" w:line="480" w:lineRule="auto"/>
        <w:contextualSpacing/>
        <w:jc w:val="both"/>
        <w:rPr>
          <w:rFonts w:asciiTheme="minorBidi" w:eastAsia="Times New Roman" w:hAnsiTheme="minorBidi"/>
          <w:color w:val="0D0D0D" w:themeColor="text1" w:themeTint="F2"/>
          <w:kern w:val="0"/>
          <w14:ligatures w14:val="none"/>
        </w:rPr>
      </w:pPr>
      <w:r w:rsidRPr="007C27A1">
        <w:rPr>
          <w:rFonts w:asciiTheme="minorBidi" w:eastAsia="Times New Roman" w:hAnsiTheme="minorBidi"/>
          <w:b/>
          <w:bCs/>
          <w:color w:val="0D0D0D" w:themeColor="text1" w:themeTint="F2"/>
          <w:kern w:val="0"/>
          <w14:ligatures w14:val="none"/>
        </w:rPr>
        <w:t>Redefining the Fraud Triangle &amp; Extending Models:</w:t>
      </w:r>
      <w:r w:rsidRPr="007C27A1">
        <w:rPr>
          <w:rFonts w:asciiTheme="minorBidi" w:eastAsia="Times New Roman" w:hAnsiTheme="minorBidi"/>
          <w:color w:val="0D0D0D" w:themeColor="text1" w:themeTint="F2"/>
          <w:kern w:val="0"/>
          <w14:ligatures w14:val="none"/>
        </w:rPr>
        <w:t xml:space="preserve"> By highlighting the role of Corporate Psychopaths in Accounting fraud, the research challenges traditional models (Murphy &amp; Free, 2016) and suggests a novel perspective on the motivations behind fraudulent behaviour. Hence, pressure (usually lifestyle problems such as gambling) and opportunity (typically weak internal controls) may be irrelevant as the fraudster will immediately rationalise their behaviour as they may have a high psychopathic (Babiak &amp; Hare, 2019, Boddy, 2017, Goshal &amp; Morgan 2016, Smith &amp; Lilienfield, 2013) tendencies as witnessed in the researchers C R I M E L model. </w:t>
      </w:r>
    </w:p>
    <w:p w14:paraId="7AB578F2" w14:textId="77777777" w:rsidR="007C27A1" w:rsidRPr="007C27A1" w:rsidRDefault="007C27A1" w:rsidP="007C27A1">
      <w:pPr>
        <w:spacing w:before="100" w:beforeAutospacing="1" w:after="100" w:afterAutospacing="1" w:line="480" w:lineRule="auto"/>
        <w:ind w:left="720"/>
        <w:contextualSpacing/>
        <w:jc w:val="both"/>
        <w:rPr>
          <w:rFonts w:asciiTheme="minorBidi" w:eastAsia="Times New Roman" w:hAnsiTheme="minorBidi"/>
          <w:color w:val="0D0D0D" w:themeColor="text1" w:themeTint="F2"/>
          <w:kern w:val="0"/>
          <w14:ligatures w14:val="none"/>
        </w:rPr>
      </w:pPr>
    </w:p>
    <w:p w14:paraId="1EEDDC58" w14:textId="77777777" w:rsidR="007C27A1" w:rsidRPr="007C27A1" w:rsidRDefault="007C27A1">
      <w:pPr>
        <w:numPr>
          <w:ilvl w:val="0"/>
          <w:numId w:val="38"/>
        </w:numPr>
        <w:spacing w:before="100" w:beforeAutospacing="1" w:after="100" w:afterAutospacing="1" w:line="480" w:lineRule="auto"/>
        <w:contextualSpacing/>
        <w:jc w:val="both"/>
        <w:rPr>
          <w:rFonts w:asciiTheme="minorBidi" w:eastAsia="Times New Roman" w:hAnsiTheme="minorBidi"/>
          <w:color w:val="0D0D0D" w:themeColor="text1" w:themeTint="F2"/>
          <w:kern w:val="0"/>
          <w14:ligatures w14:val="none"/>
        </w:rPr>
      </w:pPr>
      <w:r w:rsidRPr="007C27A1">
        <w:rPr>
          <w:rFonts w:asciiTheme="minorBidi" w:eastAsia="Times New Roman" w:hAnsiTheme="minorBidi"/>
          <w:b/>
          <w:bCs/>
          <w:color w:val="0D0D0D" w:themeColor="text1" w:themeTint="F2"/>
          <w:kern w:val="0"/>
          <w14:ligatures w14:val="none"/>
        </w:rPr>
        <w:t>Developing Predictive Models:</w:t>
      </w:r>
      <w:r w:rsidRPr="007C27A1">
        <w:rPr>
          <w:rFonts w:asciiTheme="minorBidi" w:eastAsia="Times New Roman" w:hAnsiTheme="minorBidi"/>
          <w:color w:val="0D0D0D" w:themeColor="text1" w:themeTint="F2"/>
          <w:kern w:val="0"/>
          <w14:ligatures w14:val="none"/>
        </w:rPr>
        <w:t xml:space="preserve"> The creation of multiple regression models to predict psychopathy in accounting professionals and accounting &amp; finance students (future accountants) offers a valuable tool for identifying and challenging potential fraudsters before they can cause significant harm. Consequently, a participant with a high psychopathic score could be closely scrutinised and given more complex assignments to undertake as it is apparent </w:t>
      </w:r>
      <w:r w:rsidRPr="007C27A1">
        <w:rPr>
          <w:rFonts w:asciiTheme="minorBidi" w:eastAsia="Times New Roman" w:hAnsiTheme="minorBidi"/>
          <w:color w:val="0D0D0D" w:themeColor="text1" w:themeTint="F2"/>
          <w:kern w:val="0"/>
          <w14:ligatures w14:val="none"/>
        </w:rPr>
        <w:lastRenderedPageBreak/>
        <w:t xml:space="preserve">that they be better problem solvers and decisionmakers (Babiak &amp; Hare, 2019, Boddy, 2015, Smith &amp; Lilienfield, 2013, Mokros et al, 2013, Gao et al, 2011) </w:t>
      </w:r>
    </w:p>
    <w:p w14:paraId="262ADC56" w14:textId="77777777" w:rsidR="007C27A1" w:rsidRPr="007C27A1" w:rsidRDefault="007C27A1" w:rsidP="007C27A1">
      <w:pPr>
        <w:ind w:left="720"/>
        <w:contextualSpacing/>
        <w:rPr>
          <w:rFonts w:asciiTheme="minorBidi" w:eastAsia="Times New Roman" w:hAnsiTheme="minorBidi"/>
          <w:color w:val="0D0D0D" w:themeColor="text1" w:themeTint="F2"/>
          <w:kern w:val="0"/>
          <w14:ligatures w14:val="none"/>
        </w:rPr>
      </w:pPr>
    </w:p>
    <w:p w14:paraId="555383D7" w14:textId="77777777" w:rsidR="007C27A1" w:rsidRPr="007C27A1" w:rsidRDefault="007C27A1" w:rsidP="007C27A1">
      <w:pPr>
        <w:spacing w:before="100" w:beforeAutospacing="1" w:after="100" w:afterAutospacing="1" w:line="480" w:lineRule="auto"/>
        <w:ind w:left="720"/>
        <w:contextualSpacing/>
        <w:jc w:val="both"/>
        <w:rPr>
          <w:rFonts w:asciiTheme="minorBidi" w:eastAsia="Times New Roman" w:hAnsiTheme="minorBidi"/>
          <w:color w:val="0D0D0D" w:themeColor="text1" w:themeTint="F2"/>
          <w:kern w:val="0"/>
          <w14:ligatures w14:val="none"/>
        </w:rPr>
      </w:pPr>
    </w:p>
    <w:p w14:paraId="7F05A3B1" w14:textId="2C182BF7" w:rsidR="00F362F3" w:rsidRDefault="007C27A1" w:rsidP="00F362F3">
      <w:pPr>
        <w:numPr>
          <w:ilvl w:val="0"/>
          <w:numId w:val="38"/>
        </w:numPr>
        <w:spacing w:before="100" w:beforeAutospacing="1" w:after="100" w:afterAutospacing="1" w:line="480" w:lineRule="auto"/>
        <w:jc w:val="both"/>
        <w:rPr>
          <w:rFonts w:asciiTheme="minorBidi" w:eastAsia="Times New Roman" w:hAnsiTheme="minorBidi"/>
          <w:color w:val="0D0D0D" w:themeColor="text1" w:themeTint="F2"/>
          <w:kern w:val="0"/>
          <w14:ligatures w14:val="none"/>
        </w:rPr>
      </w:pPr>
      <w:r w:rsidRPr="007C27A1">
        <w:rPr>
          <w:rFonts w:asciiTheme="minorBidi" w:eastAsia="Times New Roman" w:hAnsiTheme="minorBidi"/>
          <w:b/>
          <w:bCs/>
          <w:color w:val="0D0D0D" w:themeColor="text1" w:themeTint="F2"/>
          <w:kern w:val="0"/>
          <w14:ligatures w14:val="none"/>
        </w:rPr>
        <w:t>Exploring Technological Solutions:</w:t>
      </w:r>
      <w:r w:rsidRPr="007C27A1">
        <w:rPr>
          <w:rFonts w:asciiTheme="minorBidi" w:eastAsia="Times New Roman" w:hAnsiTheme="minorBidi"/>
          <w:color w:val="0D0D0D" w:themeColor="text1" w:themeTint="F2"/>
          <w:kern w:val="0"/>
          <w14:ligatures w14:val="none"/>
        </w:rPr>
        <w:t xml:space="preserve"> The investigation into Blockchain Technology provides a forward-looking perspective on how technological advancements could revolutionise Accounting Fraud detection and prevention (Coyne &amp; McMickle, 2017). It is argued that as the Blockchain Technology improves and will be underpinned by better computing or processing power (Schmitz &amp; Leoni, 2019) the distributed ledgers will become even more robust and expert at detecting and preventing Accounting Fraud (Dai &amp; Vasarhelyi, 2017, Trieblmaier, 2019, Yermack, 2017).</w:t>
      </w:r>
    </w:p>
    <w:p w14:paraId="69AAD98D" w14:textId="77777777" w:rsidR="00F362F3" w:rsidRPr="00F362F3" w:rsidRDefault="00F362F3" w:rsidP="00F362F3">
      <w:pPr>
        <w:spacing w:before="100" w:beforeAutospacing="1" w:after="100" w:afterAutospacing="1" w:line="480" w:lineRule="auto"/>
        <w:ind w:left="720"/>
        <w:jc w:val="both"/>
        <w:rPr>
          <w:rFonts w:asciiTheme="minorBidi" w:eastAsia="Times New Roman" w:hAnsiTheme="minorBidi"/>
          <w:color w:val="0D0D0D" w:themeColor="text1" w:themeTint="F2"/>
          <w:kern w:val="0"/>
          <w14:ligatures w14:val="none"/>
        </w:rPr>
      </w:pPr>
    </w:p>
    <w:p w14:paraId="4E0F3C3C" w14:textId="77777777" w:rsidR="007C27A1" w:rsidRPr="007C27A1" w:rsidRDefault="007C27A1">
      <w:pPr>
        <w:numPr>
          <w:ilvl w:val="0"/>
          <w:numId w:val="38"/>
        </w:numPr>
        <w:spacing w:before="100" w:beforeAutospacing="1" w:after="100" w:afterAutospacing="1" w:line="480" w:lineRule="auto"/>
        <w:jc w:val="both"/>
        <w:rPr>
          <w:rFonts w:asciiTheme="minorBidi" w:eastAsia="Times New Roman" w:hAnsiTheme="minorBidi"/>
          <w:color w:val="0D0D0D" w:themeColor="text1" w:themeTint="F2"/>
          <w:kern w:val="0"/>
          <w14:ligatures w14:val="none"/>
        </w:rPr>
      </w:pPr>
      <w:r w:rsidRPr="007C27A1">
        <w:rPr>
          <w:rFonts w:asciiTheme="minorBidi" w:eastAsia="Times New Roman" w:hAnsiTheme="minorBidi"/>
          <w:b/>
          <w:bCs/>
          <w:color w:val="0D0D0D" w:themeColor="text1" w:themeTint="F2"/>
          <w:kern w:val="0"/>
          <w14:ligatures w14:val="none"/>
        </w:rPr>
        <w:t>Promoting Cultural Change:</w:t>
      </w:r>
      <w:r w:rsidRPr="007C27A1">
        <w:rPr>
          <w:rFonts w:asciiTheme="minorBidi" w:eastAsia="Times New Roman" w:hAnsiTheme="minorBidi"/>
          <w:color w:val="0D0D0D" w:themeColor="text1" w:themeTint="F2"/>
          <w:kern w:val="0"/>
          <w14:ligatures w14:val="none"/>
        </w:rPr>
        <w:t xml:space="preserve"> The development of the SHEIKH MANIAR CROWE ANTI-FRAUD CULTURE </w:t>
      </w:r>
      <w:r w:rsidRPr="00B714B9">
        <w:rPr>
          <w:rFonts w:asciiTheme="minorBidi" w:eastAsia="Times New Roman" w:hAnsiTheme="minorBidi"/>
          <w:color w:val="0D0D0D" w:themeColor="text1" w:themeTint="F2"/>
          <w:kern w:val="0"/>
          <w14:ligatures w14:val="none"/>
        </w:rPr>
        <w:t>BUILDER stresses the importance of creating an ethical organisational culture (Botes &amp; Saadeh, 2018) as a means of deterring Accounting Fraud, as prevention is better than cure. It is also a much more cost-effective approach (Hess &amp; Cottrell, 2016) then using Blockchain Technology but requires a significant amount of buy in from top management (König &amp; Steinmetz, 2020) and investment</w:t>
      </w:r>
      <w:r w:rsidRPr="007C27A1">
        <w:rPr>
          <w:rFonts w:asciiTheme="minorBidi" w:eastAsia="Times New Roman" w:hAnsiTheme="minorBidi"/>
          <w:color w:val="0D0D0D" w:themeColor="text1" w:themeTint="F2"/>
          <w:kern w:val="0"/>
          <w14:ligatures w14:val="none"/>
        </w:rPr>
        <w:t xml:space="preserve"> from an organisation. However, if the model was coupled with Blockchain Technology (Di Vaio et al, 2021, Schmitz &amp; Leoni, 2019) then the organisation would become highly resilient from Accounting Fraud since, systems and human actors / stakeholders would operate in a formidable unison.</w:t>
      </w:r>
    </w:p>
    <w:p w14:paraId="3986AD74" w14:textId="5A68F141" w:rsidR="007C27A1" w:rsidRPr="007C27A1" w:rsidRDefault="007C27A1" w:rsidP="007C27A1">
      <w:pPr>
        <w:spacing w:after="240" w:line="480" w:lineRule="auto"/>
        <w:jc w:val="both"/>
        <w:rPr>
          <w:rFonts w:asciiTheme="minorBidi" w:eastAsia="Times New Roman" w:hAnsiTheme="minorBidi"/>
          <w:kern w:val="0"/>
          <w14:ligatures w14:val="none"/>
        </w:rPr>
      </w:pPr>
      <w:r w:rsidRPr="007C27A1">
        <w:rPr>
          <w:rFonts w:asciiTheme="minorBidi" w:eastAsia="Times New Roman" w:hAnsiTheme="minorBidi"/>
          <w:color w:val="0D0D0D" w:themeColor="text1" w:themeTint="F2"/>
          <w:kern w:val="0"/>
          <w14:ligatures w14:val="none"/>
        </w:rPr>
        <w:lastRenderedPageBreak/>
        <w:t xml:space="preserve">The researcher believes these scholarly contributions have a practical impact on enhancing Accounting Fraud prevention techniques and advancing academic understanding. Through the examination of Accounting Frauds from a psychological and technological vantage points, this research provides a thorough strategy for better </w:t>
      </w:r>
      <w:r w:rsidRPr="007C27A1">
        <w:rPr>
          <w:rFonts w:asciiTheme="minorBidi" w:eastAsia="Times New Roman" w:hAnsiTheme="minorBidi"/>
          <w:kern w:val="0"/>
          <w14:ligatures w14:val="none"/>
        </w:rPr>
        <w:t>understanding and fighting this widespread problem.</w:t>
      </w:r>
    </w:p>
    <w:bookmarkStart w:id="815" w:name="_Hlk171501985"/>
    <w:bookmarkStart w:id="816" w:name="D136"/>
    <w:p w14:paraId="7EB904F1" w14:textId="30C91F9D" w:rsidR="007C27A1" w:rsidRPr="007C27A1" w:rsidRDefault="00E67E08" w:rsidP="00F362F3">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b/>
          <w:bCs/>
          <w:kern w:val="0"/>
          <w:lang w:eastAsia="en-US"/>
          <w14:ligatures w14:val="none"/>
        </w:rPr>
      </w:pPr>
      <w:r>
        <w:rPr>
          <w:rFonts w:ascii="Arial" w:eastAsiaTheme="minorHAnsi" w:hAnsi="Arial" w:cs="Arial"/>
          <w:b/>
          <w:bCs/>
          <w:kern w:val="0"/>
          <w:lang w:eastAsia="en-US"/>
          <w14:ligatures w14:val="none"/>
        </w:rPr>
        <w:fldChar w:fldCharType="begin"/>
      </w:r>
      <w:r>
        <w:rPr>
          <w:rFonts w:ascii="Arial" w:eastAsiaTheme="minorHAnsi" w:hAnsi="Arial" w:cs="Arial"/>
          <w:b/>
          <w:bCs/>
          <w:kern w:val="0"/>
          <w:lang w:eastAsia="en-US"/>
          <w14:ligatures w14:val="none"/>
        </w:rPr>
        <w:instrText>HYPERLINK  \l "C136"</w:instrText>
      </w:r>
      <w:r>
        <w:rPr>
          <w:rFonts w:ascii="Arial" w:eastAsiaTheme="minorHAnsi" w:hAnsi="Arial" w:cs="Arial"/>
          <w:b/>
          <w:bCs/>
          <w:kern w:val="0"/>
          <w:lang w:eastAsia="en-US"/>
          <w14:ligatures w14:val="none"/>
        </w:rPr>
      </w:r>
      <w:r>
        <w:rPr>
          <w:rFonts w:ascii="Arial" w:eastAsiaTheme="minorHAnsi" w:hAnsi="Arial" w:cs="Arial"/>
          <w:b/>
          <w:bCs/>
          <w:kern w:val="0"/>
          <w:lang w:eastAsia="en-US"/>
          <w14:ligatures w14:val="none"/>
        </w:rPr>
        <w:fldChar w:fldCharType="separate"/>
      </w:r>
      <w:r w:rsidR="007C27A1" w:rsidRPr="00E67E08">
        <w:rPr>
          <w:rStyle w:val="Hyperlink"/>
          <w:rFonts w:ascii="Arial" w:eastAsiaTheme="minorHAnsi" w:hAnsi="Arial" w:cs="Arial"/>
          <w:b/>
          <w:bCs/>
          <w:kern w:val="0"/>
          <w:lang w:eastAsia="en-US"/>
          <w14:ligatures w14:val="none"/>
        </w:rPr>
        <w:t>5.4.2 Limitations</w:t>
      </w:r>
      <w:r>
        <w:rPr>
          <w:rFonts w:ascii="Arial" w:eastAsiaTheme="minorHAnsi" w:hAnsi="Arial" w:cs="Arial"/>
          <w:b/>
          <w:bCs/>
          <w:kern w:val="0"/>
          <w:lang w:eastAsia="en-US"/>
          <w14:ligatures w14:val="none"/>
        </w:rPr>
        <w:fldChar w:fldCharType="end"/>
      </w:r>
    </w:p>
    <w:bookmarkEnd w:id="815"/>
    <w:bookmarkEnd w:id="816"/>
    <w:p w14:paraId="703B9105" w14:textId="77777777" w:rsidR="001E668A" w:rsidRDefault="007C27A1" w:rsidP="007C27A1">
      <w:pPr>
        <w:spacing w:before="100" w:beforeAutospacing="1" w:after="100" w:afterAutospacing="1" w:line="480" w:lineRule="auto"/>
        <w:jc w:val="both"/>
        <w:outlineLvl w:val="2"/>
        <w:rPr>
          <w:rFonts w:asciiTheme="minorBidi" w:eastAsia="Times New Roman" w:hAnsiTheme="minorBidi"/>
          <w:color w:val="0D0D0D" w:themeColor="text1" w:themeTint="F2"/>
          <w:kern w:val="0"/>
          <w14:ligatures w14:val="none"/>
        </w:rPr>
      </w:pPr>
      <w:r w:rsidRPr="007C27A1">
        <w:rPr>
          <w:rFonts w:asciiTheme="minorBidi" w:eastAsia="Times New Roman" w:hAnsiTheme="minorBidi"/>
          <w:color w:val="0D0D0D" w:themeColor="text1" w:themeTint="F2"/>
          <w:kern w:val="0"/>
          <w14:ligatures w14:val="none"/>
        </w:rPr>
        <w:t>This research has made several important contributions, but it should also be acknowledged that it has some limits. First, the researcher was not able to collect a wider range of data from different student samples because of time restrictions, particularly due to the protracted procedure of gaining ethical approval. This constraint was exacerbated by other UK universities' unwillingness to take part in the research, even after repeated guarantees of privacy, confidentiality, and potential non-disclosure agreements. If a larger range of student samples had been used for data collection, it might have revealed further explanatory variables, strengthening the validity of the results.</w:t>
      </w:r>
      <w:r w:rsidRPr="007C27A1">
        <w:rPr>
          <w:rFonts w:asciiTheme="minorBidi" w:eastAsia="Times New Roman" w:hAnsiTheme="minorBidi"/>
          <w:color w:val="0D0D0D" w:themeColor="text1" w:themeTint="F2"/>
          <w:kern w:val="0"/>
          <w14:ligatures w14:val="none"/>
        </w:rPr>
        <w:br/>
        <w:t>Moreover, financial considerations hindered the acquisition of a more varied group of competent accountants. A wider range of individuals could have yielded more thorough insights, even if the study's sample was statistically sound and the first of its type to simulate the Corporate Psychopath Accountant among accounting and audit professionals. For example, collecting information from accountants across different industries and sizes of organisations may highlight how contextual circumstances affect the impact and prevalence of psychopathic tendencies in Accounting Fraud.</w:t>
      </w:r>
      <w:r w:rsidRPr="007C27A1">
        <w:rPr>
          <w:rFonts w:asciiTheme="minorBidi" w:eastAsia="Times New Roman" w:hAnsiTheme="minorBidi"/>
          <w:color w:val="0D0D0D" w:themeColor="text1" w:themeTint="F2"/>
          <w:kern w:val="0"/>
          <w14:ligatures w14:val="none"/>
        </w:rPr>
        <w:br/>
      </w:r>
    </w:p>
    <w:p w14:paraId="1AFF8E89" w14:textId="38375019" w:rsidR="007C27A1" w:rsidRPr="007C27A1" w:rsidRDefault="007C27A1" w:rsidP="007C27A1">
      <w:pPr>
        <w:spacing w:before="100" w:beforeAutospacing="1" w:after="100" w:afterAutospacing="1" w:line="480" w:lineRule="auto"/>
        <w:jc w:val="both"/>
        <w:outlineLvl w:val="2"/>
        <w:rPr>
          <w:rFonts w:asciiTheme="minorBidi" w:eastAsia="Times New Roman" w:hAnsiTheme="minorBidi"/>
          <w:color w:val="0D0D0D" w:themeColor="text1" w:themeTint="F2"/>
          <w:kern w:val="0"/>
          <w14:ligatures w14:val="none"/>
        </w:rPr>
      </w:pPr>
      <w:r w:rsidRPr="007C27A1">
        <w:rPr>
          <w:rFonts w:asciiTheme="minorBidi" w:eastAsia="Times New Roman" w:hAnsiTheme="minorBidi"/>
          <w:color w:val="0D0D0D" w:themeColor="text1" w:themeTint="F2"/>
          <w:kern w:val="0"/>
          <w14:ligatures w14:val="none"/>
        </w:rPr>
        <w:lastRenderedPageBreak/>
        <w:t>Furthermore, the use of self-reported data raises the potential of biases such as social desirability bias, in which participants may underreport negative characteristics or behaviours. Although measures were implemented to alleviate these biases, like safeguarding confidentiality and utilising verified survey tools, bias cannot be completely eradicated.</w:t>
      </w:r>
    </w:p>
    <w:p w14:paraId="590BD058" w14:textId="77777777" w:rsidR="007C27A1" w:rsidRPr="007C27A1" w:rsidRDefault="007C27A1" w:rsidP="007C27A1">
      <w:pPr>
        <w:spacing w:before="100" w:beforeAutospacing="1" w:after="100" w:afterAutospacing="1" w:line="480" w:lineRule="auto"/>
        <w:jc w:val="both"/>
        <w:outlineLvl w:val="2"/>
        <w:rPr>
          <w:rFonts w:asciiTheme="minorBidi" w:eastAsia="Times New Roman" w:hAnsiTheme="minorBidi"/>
          <w:color w:val="0D0D0D" w:themeColor="text1" w:themeTint="F2"/>
          <w:kern w:val="0"/>
          <w14:ligatures w14:val="none"/>
        </w:rPr>
      </w:pPr>
      <w:r w:rsidRPr="007C27A1">
        <w:rPr>
          <w:rFonts w:asciiTheme="minorBidi" w:eastAsia="Times New Roman" w:hAnsiTheme="minorBidi"/>
          <w:color w:val="0D0D0D" w:themeColor="text1" w:themeTint="F2"/>
          <w:kern w:val="0"/>
          <w14:ligatures w14:val="none"/>
        </w:rPr>
        <w:t xml:space="preserve">The study's scope was also restricted to the preliminary investigation of Blockchain Technology's potential to combat Accounting Fraud. Although encouraging, the investigation was early, and a thorough assessment of Blockchain's long-term viability and practical application in real-world scenarios is still pending. To further understand how Blockchain may be linked with current systems and how it can lower Accounting Fraud at various organisational levels, more research is required. </w:t>
      </w:r>
    </w:p>
    <w:p w14:paraId="3544B11D" w14:textId="77777777" w:rsidR="007C27A1" w:rsidRPr="007C27A1" w:rsidRDefault="007C27A1" w:rsidP="007C27A1">
      <w:pPr>
        <w:spacing w:line="480" w:lineRule="auto"/>
        <w:jc w:val="both"/>
        <w:rPr>
          <w:rFonts w:asciiTheme="minorBidi" w:eastAsia="Times New Roman" w:hAnsiTheme="minorBidi"/>
          <w:color w:val="0D0D0D" w:themeColor="text1" w:themeTint="F2"/>
          <w:kern w:val="0"/>
          <w14:ligatures w14:val="none"/>
        </w:rPr>
      </w:pPr>
      <w:r w:rsidRPr="007C27A1">
        <w:rPr>
          <w:rFonts w:asciiTheme="minorBidi" w:eastAsia="Times New Roman" w:hAnsiTheme="minorBidi"/>
          <w:color w:val="0D0D0D" w:themeColor="text1" w:themeTint="F2"/>
          <w:kern w:val="0"/>
          <w14:ligatures w14:val="none"/>
        </w:rPr>
        <w:t>Finally, the study focussed exclusively on the psychopathic side of the Dark Triad than on narcissism and Machiavellianism due to the scope of the study, and time and budgetary constraints. When combined with psychopathy, these characteristics could yield further insights as they are also potentially important explanatory variables in explaining in unethical behaviour or in this study, Accounting Fraud. A more comprehensive knowledge of the personality could result from a more holistic analysis of all three features of the Dark Triad which may collectively be driving Accounting Fraud.</w:t>
      </w:r>
    </w:p>
    <w:bookmarkStart w:id="817" w:name="_Hlk171502001"/>
    <w:bookmarkStart w:id="818" w:name="D137"/>
    <w:p w14:paraId="274B63A7" w14:textId="63454644" w:rsidR="007C27A1" w:rsidRPr="007C27A1" w:rsidRDefault="00E67E08" w:rsidP="00B06C3B">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b/>
          <w:bCs/>
          <w:kern w:val="0"/>
          <w:lang w:eastAsia="en-US"/>
          <w14:ligatures w14:val="none"/>
        </w:rPr>
      </w:pPr>
      <w:r>
        <w:rPr>
          <w:rFonts w:ascii="Arial" w:eastAsiaTheme="minorHAnsi" w:hAnsi="Arial" w:cs="Arial"/>
          <w:b/>
          <w:bCs/>
          <w:kern w:val="0"/>
          <w:lang w:eastAsia="en-US"/>
          <w14:ligatures w14:val="none"/>
        </w:rPr>
        <w:fldChar w:fldCharType="begin"/>
      </w:r>
      <w:r>
        <w:rPr>
          <w:rFonts w:ascii="Arial" w:eastAsiaTheme="minorHAnsi" w:hAnsi="Arial" w:cs="Arial"/>
          <w:b/>
          <w:bCs/>
          <w:kern w:val="0"/>
          <w:lang w:eastAsia="en-US"/>
          <w14:ligatures w14:val="none"/>
        </w:rPr>
        <w:instrText>HYPERLINK  \l "C137"</w:instrText>
      </w:r>
      <w:r>
        <w:rPr>
          <w:rFonts w:ascii="Arial" w:eastAsiaTheme="minorHAnsi" w:hAnsi="Arial" w:cs="Arial"/>
          <w:b/>
          <w:bCs/>
          <w:kern w:val="0"/>
          <w:lang w:eastAsia="en-US"/>
          <w14:ligatures w14:val="none"/>
        </w:rPr>
      </w:r>
      <w:r>
        <w:rPr>
          <w:rFonts w:ascii="Arial" w:eastAsiaTheme="minorHAnsi" w:hAnsi="Arial" w:cs="Arial"/>
          <w:b/>
          <w:bCs/>
          <w:kern w:val="0"/>
          <w:lang w:eastAsia="en-US"/>
          <w14:ligatures w14:val="none"/>
        </w:rPr>
        <w:fldChar w:fldCharType="separate"/>
      </w:r>
      <w:r w:rsidR="007C27A1" w:rsidRPr="00E67E08">
        <w:rPr>
          <w:rStyle w:val="Hyperlink"/>
          <w:rFonts w:ascii="Arial" w:eastAsiaTheme="minorHAnsi" w:hAnsi="Arial" w:cs="Arial"/>
          <w:b/>
          <w:bCs/>
          <w:kern w:val="0"/>
          <w:lang w:eastAsia="en-US"/>
          <w14:ligatures w14:val="none"/>
        </w:rPr>
        <w:t>5.4.3 Further Research</w:t>
      </w:r>
      <w:r>
        <w:rPr>
          <w:rFonts w:ascii="Arial" w:eastAsiaTheme="minorHAnsi" w:hAnsi="Arial" w:cs="Arial"/>
          <w:b/>
          <w:bCs/>
          <w:kern w:val="0"/>
          <w:lang w:eastAsia="en-US"/>
          <w14:ligatures w14:val="none"/>
        </w:rPr>
        <w:fldChar w:fldCharType="end"/>
      </w:r>
    </w:p>
    <w:bookmarkEnd w:id="817"/>
    <w:bookmarkEnd w:id="818"/>
    <w:p w14:paraId="123AC767" w14:textId="77777777" w:rsidR="007C27A1" w:rsidRPr="007C27A1" w:rsidRDefault="007C27A1" w:rsidP="007C27A1">
      <w:pPr>
        <w:spacing w:after="240" w:line="480" w:lineRule="auto"/>
        <w:jc w:val="both"/>
        <w:rPr>
          <w:rFonts w:ascii="Arial" w:eastAsia="Times New Roman" w:hAnsi="Arial" w:cs="Arial"/>
          <w:color w:val="0D0D0D" w:themeColor="text1" w:themeTint="F2"/>
          <w:kern w:val="0"/>
          <w14:ligatures w14:val="none"/>
        </w:rPr>
      </w:pPr>
      <w:r w:rsidRPr="007C27A1">
        <w:rPr>
          <w:rFonts w:ascii="Arial" w:eastAsia="Times New Roman" w:hAnsi="Arial" w:cs="Arial"/>
          <w:color w:val="0D0D0D" w:themeColor="text1" w:themeTint="F2"/>
          <w:kern w:val="0"/>
          <w14:ligatures w14:val="none"/>
        </w:rPr>
        <w:t>The researcher has already moved to another English Higher Education Institution in their Accounting &amp; Finance department in a senior academic role. Consequently, the researcher plans to expand on the existing research after receiving his Ph.D. by using a structured student survey and conducting it through several initiatives including:</w:t>
      </w:r>
    </w:p>
    <w:p w14:paraId="740063B3" w14:textId="77777777" w:rsidR="007C27A1" w:rsidRPr="007C27A1" w:rsidRDefault="007C27A1" w:rsidP="007C27A1">
      <w:pPr>
        <w:spacing w:after="240" w:line="480" w:lineRule="auto"/>
        <w:jc w:val="both"/>
        <w:rPr>
          <w:rFonts w:ascii="Arial" w:eastAsia="Times New Roman" w:hAnsi="Arial" w:cs="Arial"/>
          <w:color w:val="0D0D0D" w:themeColor="text1" w:themeTint="F2"/>
          <w:kern w:val="0"/>
          <w14:ligatures w14:val="none"/>
        </w:rPr>
      </w:pPr>
      <w:r w:rsidRPr="007C27A1">
        <w:rPr>
          <w:rFonts w:ascii="Arial" w:eastAsia="Times New Roman" w:hAnsi="Arial" w:cs="Arial"/>
          <w:color w:val="0D0D0D" w:themeColor="text1" w:themeTint="F2"/>
          <w:kern w:val="0"/>
          <w14:ligatures w14:val="none"/>
        </w:rPr>
        <w:lastRenderedPageBreak/>
        <w:br/>
        <w:t xml:space="preserve">1. Longitudinal Study: Within his new department, conduct a longitudinal study that follows accounting and finance students from their first year to the postgraduate level. This method will make it possible to track how attitudes and behaviours develop over time, giving researchers more insight into how psychopathic traits evolve and how they affect moral judgment. </w:t>
      </w:r>
    </w:p>
    <w:p w14:paraId="4DFDCD73" w14:textId="77777777" w:rsidR="007C27A1" w:rsidRPr="007C27A1" w:rsidRDefault="007C27A1" w:rsidP="007C27A1">
      <w:pPr>
        <w:spacing w:after="240" w:line="480" w:lineRule="auto"/>
        <w:jc w:val="both"/>
        <w:rPr>
          <w:rFonts w:ascii="Arial" w:eastAsia="Times New Roman" w:hAnsi="Arial" w:cs="Arial"/>
          <w:color w:val="0D0D0D" w:themeColor="text1" w:themeTint="F2"/>
          <w:kern w:val="0"/>
          <w14:ligatures w14:val="none"/>
        </w:rPr>
      </w:pPr>
      <w:r w:rsidRPr="007C27A1">
        <w:rPr>
          <w:rFonts w:ascii="Arial" w:eastAsia="Times New Roman" w:hAnsi="Arial" w:cs="Arial"/>
          <w:color w:val="0D0D0D" w:themeColor="text1" w:themeTint="F2"/>
          <w:kern w:val="0"/>
          <w14:ligatures w14:val="none"/>
        </w:rPr>
        <w:br/>
        <w:t xml:space="preserve">2. International Collaboration: By including partner institutions from other countries in the research. Through the integration of varied cultural and educational backgrounds, the research can investigate the possible ways in which cultural nuances impact the expression of Dark Triad characteristics and the inclination towards Accounting Fraud. </w:t>
      </w:r>
    </w:p>
    <w:p w14:paraId="2FB7791E" w14:textId="77777777" w:rsidR="000516AB" w:rsidRDefault="007C27A1" w:rsidP="00647A95">
      <w:pPr>
        <w:spacing w:after="240" w:line="480" w:lineRule="auto"/>
        <w:jc w:val="both"/>
        <w:rPr>
          <w:rFonts w:ascii="Arial" w:eastAsia="Times New Roman" w:hAnsi="Arial" w:cs="Arial"/>
          <w:color w:val="0D0D0D" w:themeColor="text1" w:themeTint="F2"/>
          <w:kern w:val="0"/>
          <w14:ligatures w14:val="none"/>
        </w:rPr>
      </w:pPr>
      <w:r w:rsidRPr="007C27A1">
        <w:rPr>
          <w:rFonts w:ascii="Arial" w:eastAsia="Times New Roman" w:hAnsi="Arial" w:cs="Arial"/>
          <w:color w:val="0D0D0D" w:themeColor="text1" w:themeTint="F2"/>
          <w:kern w:val="0"/>
          <w14:ligatures w14:val="none"/>
        </w:rPr>
        <w:br/>
        <w:t xml:space="preserve">3. UK-Based Universities: Extend the poll to incorporate more universities located in the United Kingdom. Expanding the dataset to include a wider range of academic settings would improve the findings' generalisability and help identify institution-specific factors that either encourage or discourage fraudulent behaviour / Accounting Fraud. </w:t>
      </w:r>
    </w:p>
    <w:p w14:paraId="7F446D3C" w14:textId="50217CA4" w:rsidR="007C27A1" w:rsidRDefault="007C27A1" w:rsidP="00647A95">
      <w:pPr>
        <w:spacing w:after="240" w:line="480" w:lineRule="auto"/>
        <w:jc w:val="both"/>
        <w:rPr>
          <w:rFonts w:ascii="Arial" w:eastAsia="Times New Roman" w:hAnsi="Arial" w:cs="Arial"/>
          <w:color w:val="0D0D0D" w:themeColor="text1" w:themeTint="F2"/>
          <w:kern w:val="0"/>
          <w14:ligatures w14:val="none"/>
        </w:rPr>
      </w:pPr>
      <w:r w:rsidRPr="007C27A1">
        <w:rPr>
          <w:rFonts w:ascii="Arial" w:eastAsia="Times New Roman" w:hAnsi="Arial" w:cs="Arial"/>
          <w:color w:val="0D0D0D" w:themeColor="text1" w:themeTint="F2"/>
          <w:kern w:val="0"/>
          <w14:ligatures w14:val="none"/>
        </w:rPr>
        <w:br/>
        <w:t>4. Professional Surveys: Make the structured survey available to professionals working in other disciplines and corporate environments. This will potentially yield insightful comparative data regarding psychopathic tendencies across various organisational cultures.</w:t>
      </w:r>
    </w:p>
    <w:p w14:paraId="36423953" w14:textId="77777777" w:rsidR="000516AB" w:rsidRPr="007C27A1" w:rsidRDefault="000516AB" w:rsidP="00647A95">
      <w:pPr>
        <w:spacing w:after="240" w:line="480" w:lineRule="auto"/>
        <w:jc w:val="both"/>
        <w:rPr>
          <w:rFonts w:ascii="Arial" w:eastAsia="Times New Roman" w:hAnsi="Arial" w:cs="Arial"/>
          <w:color w:val="0D0D0D" w:themeColor="text1" w:themeTint="F2"/>
          <w:kern w:val="0"/>
          <w14:ligatures w14:val="none"/>
        </w:rPr>
      </w:pPr>
    </w:p>
    <w:p w14:paraId="7F1F9340" w14:textId="77777777" w:rsidR="007C27A1" w:rsidRPr="007C27A1" w:rsidRDefault="007C27A1" w:rsidP="007C27A1">
      <w:pPr>
        <w:spacing w:after="240" w:line="480" w:lineRule="auto"/>
        <w:jc w:val="both"/>
        <w:rPr>
          <w:rFonts w:ascii="Arial" w:eastAsia="Times New Roman" w:hAnsi="Arial" w:cs="Arial"/>
          <w:color w:val="0D0D0D" w:themeColor="text1" w:themeTint="F2"/>
          <w:kern w:val="0"/>
          <w14:ligatures w14:val="none"/>
        </w:rPr>
      </w:pPr>
      <w:r w:rsidRPr="007C27A1">
        <w:rPr>
          <w:rFonts w:ascii="Arial" w:eastAsia="Times New Roman" w:hAnsi="Arial" w:cs="Arial"/>
          <w:color w:val="0D0D0D" w:themeColor="text1" w:themeTint="F2"/>
          <w:kern w:val="0"/>
          <w14:ligatures w14:val="none"/>
        </w:rPr>
        <w:lastRenderedPageBreak/>
        <w:t>5. Anti-Fraud Culture Model: Evaluate and improve the model that was co-created by the researcher to combat Accounting Fraud by testing in real-world settings. As noted previously this model aims to foster an ethical organisational culture, therefore, reducing the influence of Corporate Psychopath Accountants.</w:t>
      </w:r>
    </w:p>
    <w:p w14:paraId="7960F336" w14:textId="77777777" w:rsidR="007C27A1" w:rsidRPr="007C27A1" w:rsidRDefault="007C27A1" w:rsidP="007C27A1">
      <w:pPr>
        <w:spacing w:before="100" w:beforeAutospacing="1" w:after="100" w:afterAutospacing="1" w:line="480" w:lineRule="auto"/>
        <w:jc w:val="both"/>
        <w:rPr>
          <w:rFonts w:ascii="Arial" w:eastAsia="Times New Roman" w:hAnsi="Arial" w:cs="Arial"/>
          <w:color w:val="0D0D0D" w:themeColor="text1" w:themeTint="F2"/>
          <w:kern w:val="0"/>
          <w14:ligatures w14:val="none"/>
        </w:rPr>
      </w:pPr>
      <w:r w:rsidRPr="007C27A1">
        <w:rPr>
          <w:rFonts w:ascii="Arial" w:eastAsia="Times New Roman" w:hAnsi="Arial" w:cs="Arial"/>
          <w:color w:val="0D0D0D" w:themeColor="text1" w:themeTint="F2"/>
          <w:kern w:val="0"/>
          <w14:ligatures w14:val="none"/>
        </w:rPr>
        <w:t>In addition to these specific research projects, the researcher is planning to deepen his understanding and application of the other facets of the Dark Triad, namely Machiavellianism and Narcissism. By integrating these Dark Triad traits into his research, he aims to provide a broader and deeper analysis of the personality factors leading to unethical behaviour in accounting and finance. This comprehensive focus will probably lead to further contributions to the accounting and finance fraud literature, offering more refined or fresh strategies for identifying and managing the risk posed by individuals with Dark Triad characteristics.</w:t>
      </w:r>
    </w:p>
    <w:p w14:paraId="175F4D4A" w14:textId="77777777" w:rsidR="007C27A1" w:rsidRPr="007C27A1" w:rsidRDefault="007C27A1" w:rsidP="007C27A1">
      <w:pPr>
        <w:spacing w:line="480" w:lineRule="auto"/>
        <w:jc w:val="both"/>
        <w:rPr>
          <w:rFonts w:ascii="Arial" w:eastAsia="Times New Roman" w:hAnsi="Arial" w:cs="Arial"/>
          <w:color w:val="0D0D0D" w:themeColor="text1" w:themeTint="F2"/>
          <w:kern w:val="0"/>
          <w14:ligatures w14:val="none"/>
        </w:rPr>
      </w:pPr>
      <w:r w:rsidRPr="007C27A1">
        <w:rPr>
          <w:rFonts w:ascii="Arial" w:eastAsia="Times New Roman" w:hAnsi="Arial" w:cs="Arial"/>
          <w:color w:val="0D0D0D" w:themeColor="text1" w:themeTint="F2"/>
          <w:kern w:val="0"/>
          <w14:ligatures w14:val="none"/>
        </w:rPr>
        <w:t>The researcher will now conclude this thesis with several recommendations aimed at both academic researchers and practitioners. These proposals are intended to influence future research initiatives and practical implementations aimed at mitigating Accounting Fraud and fostering ethical behaviour within the profession.</w:t>
      </w:r>
    </w:p>
    <w:bookmarkStart w:id="819" w:name="_Hlk147083377"/>
    <w:bookmarkStart w:id="820" w:name="D138"/>
    <w:p w14:paraId="3E24CE4C" w14:textId="1096282E" w:rsidR="007C27A1" w:rsidRPr="007C27A1" w:rsidRDefault="006A594C" w:rsidP="000516AB">
      <w:pPr>
        <w:pBdr>
          <w:top w:val="single" w:sz="4" w:space="1" w:color="auto"/>
          <w:left w:val="single" w:sz="4" w:space="4" w:color="auto"/>
          <w:bottom w:val="single" w:sz="4" w:space="1" w:color="auto"/>
          <w:right w:val="single" w:sz="4" w:space="4" w:color="auto"/>
        </w:pBdr>
        <w:spacing w:line="240" w:lineRule="auto"/>
        <w:jc w:val="both"/>
        <w:rPr>
          <w:rFonts w:ascii="Arial" w:eastAsiaTheme="minorHAnsi" w:hAnsi="Arial" w:cs="Arial"/>
          <w:b/>
          <w:bCs/>
          <w:kern w:val="0"/>
          <w:lang w:eastAsia="en-US"/>
          <w14:ligatures w14:val="none"/>
        </w:rPr>
      </w:pPr>
      <w:r>
        <w:rPr>
          <w:rFonts w:ascii="Arial" w:eastAsiaTheme="minorHAnsi" w:hAnsi="Arial" w:cs="Arial"/>
          <w:b/>
          <w:bCs/>
          <w:kern w:val="0"/>
          <w:lang w:eastAsia="en-US"/>
          <w14:ligatures w14:val="none"/>
        </w:rPr>
        <w:fldChar w:fldCharType="begin"/>
      </w:r>
      <w:r>
        <w:rPr>
          <w:rFonts w:ascii="Arial" w:eastAsiaTheme="minorHAnsi" w:hAnsi="Arial" w:cs="Arial"/>
          <w:b/>
          <w:bCs/>
          <w:kern w:val="0"/>
          <w:lang w:eastAsia="en-US"/>
          <w14:ligatures w14:val="none"/>
        </w:rPr>
        <w:instrText>HYPERLINK  \l "C138"</w:instrText>
      </w:r>
      <w:r>
        <w:rPr>
          <w:rFonts w:ascii="Arial" w:eastAsiaTheme="minorHAnsi" w:hAnsi="Arial" w:cs="Arial"/>
          <w:b/>
          <w:bCs/>
          <w:kern w:val="0"/>
          <w:lang w:eastAsia="en-US"/>
          <w14:ligatures w14:val="none"/>
        </w:rPr>
      </w:r>
      <w:r>
        <w:rPr>
          <w:rFonts w:ascii="Arial" w:eastAsiaTheme="minorHAnsi" w:hAnsi="Arial" w:cs="Arial"/>
          <w:b/>
          <w:bCs/>
          <w:kern w:val="0"/>
          <w:lang w:eastAsia="en-US"/>
          <w14:ligatures w14:val="none"/>
        </w:rPr>
        <w:fldChar w:fldCharType="separate"/>
      </w:r>
      <w:r w:rsidR="007C27A1" w:rsidRPr="006A594C">
        <w:rPr>
          <w:rStyle w:val="Hyperlink"/>
          <w:rFonts w:ascii="Arial" w:eastAsiaTheme="minorHAnsi" w:hAnsi="Arial" w:cs="Arial"/>
          <w:b/>
          <w:bCs/>
          <w:kern w:val="0"/>
          <w:lang w:eastAsia="en-US"/>
          <w14:ligatures w14:val="none"/>
        </w:rPr>
        <w:t>5.5 Recommendations</w:t>
      </w:r>
      <w:r>
        <w:rPr>
          <w:rFonts w:ascii="Arial" w:eastAsiaTheme="minorHAnsi" w:hAnsi="Arial" w:cs="Arial"/>
          <w:b/>
          <w:bCs/>
          <w:kern w:val="0"/>
          <w:lang w:eastAsia="en-US"/>
          <w14:ligatures w14:val="none"/>
        </w:rPr>
        <w:fldChar w:fldCharType="end"/>
      </w:r>
    </w:p>
    <w:bookmarkEnd w:id="819"/>
    <w:bookmarkEnd w:id="820"/>
    <w:p w14:paraId="250B1F37" w14:textId="77777777" w:rsidR="007C27A1" w:rsidRPr="007C27A1" w:rsidRDefault="007C27A1" w:rsidP="007C27A1">
      <w:pPr>
        <w:spacing w:after="0" w:line="480" w:lineRule="auto"/>
        <w:jc w:val="both"/>
        <w:rPr>
          <w:rFonts w:asciiTheme="minorBidi" w:eastAsia="Times New Roman" w:hAnsiTheme="minorBidi"/>
          <w:color w:val="0D0D0D" w:themeColor="text1" w:themeTint="F2"/>
          <w:kern w:val="0"/>
          <w14:ligatures w14:val="none"/>
        </w:rPr>
      </w:pPr>
      <w:r w:rsidRPr="007C27A1">
        <w:rPr>
          <w:rFonts w:asciiTheme="minorBidi" w:eastAsia="Times New Roman" w:hAnsiTheme="minorBidi"/>
          <w:color w:val="0D0D0D" w:themeColor="text1" w:themeTint="F2"/>
          <w:kern w:val="0"/>
          <w14:ligatures w14:val="none"/>
        </w:rPr>
        <w:t xml:space="preserve">The worldwide Blockchain market is projected to reach a valuation of $60 billion by 2024 (Mohammed et al., 2020). The transition to a financial system based on Blockchain Technology offers the accounting industry potential opportunities. Since auditors are experts at giving assurance to stakeholders and accountants are regarded as specialists in record-keeping, applying complex rules, business planning, and standard setting, consequently they have a unique opportunity to direct and impact how Blockchain is used and implemented in the future. Resulting in innovative </w:t>
      </w:r>
      <w:r w:rsidRPr="007C27A1">
        <w:rPr>
          <w:rFonts w:asciiTheme="minorBidi" w:eastAsia="Times New Roman" w:hAnsiTheme="minorBidi"/>
          <w:color w:val="0D0D0D" w:themeColor="text1" w:themeTint="F2"/>
          <w:kern w:val="0"/>
          <w14:ligatures w14:val="none"/>
        </w:rPr>
        <w:lastRenderedPageBreak/>
        <w:t>Blockchain-led services and solutions that will be essential to the global financial ecosystem, accountants, and auditors. It may take another ten years to nurture, harmonise, and augment Blockchain before it becomes a vital component of this global financial ecosystem. Nonetheless, there are substantial operational and financial rewards for those that take the initiative and invest in the appropriate human capital.</w:t>
      </w:r>
    </w:p>
    <w:p w14:paraId="36B94025" w14:textId="77777777" w:rsidR="007C27A1" w:rsidRPr="007C27A1" w:rsidRDefault="007C27A1" w:rsidP="007C27A1">
      <w:pPr>
        <w:spacing w:after="0" w:line="480" w:lineRule="auto"/>
        <w:jc w:val="both"/>
        <w:rPr>
          <w:rFonts w:asciiTheme="minorBidi" w:hAnsiTheme="minorBidi"/>
          <w:color w:val="0D0D0D" w:themeColor="text1" w:themeTint="F2"/>
        </w:rPr>
      </w:pPr>
    </w:p>
    <w:p w14:paraId="7BDEA9FF" w14:textId="63123EE5" w:rsidR="007C27A1" w:rsidRPr="007C27A1" w:rsidRDefault="007C27A1" w:rsidP="007C27A1">
      <w:pPr>
        <w:spacing w:after="0" w:line="480" w:lineRule="auto"/>
        <w:jc w:val="both"/>
        <w:rPr>
          <w:rFonts w:asciiTheme="minorBidi" w:eastAsia="Times New Roman" w:hAnsiTheme="minorBidi"/>
          <w:color w:val="0D0D0D" w:themeColor="text1" w:themeTint="F2"/>
          <w:kern w:val="0"/>
          <w14:ligatures w14:val="none"/>
        </w:rPr>
      </w:pPr>
      <w:r w:rsidRPr="007C27A1">
        <w:rPr>
          <w:rFonts w:asciiTheme="minorBidi" w:eastAsia="Times New Roman" w:hAnsiTheme="minorBidi"/>
          <w:color w:val="0D0D0D" w:themeColor="text1" w:themeTint="F2"/>
          <w:kern w:val="0"/>
          <w14:ligatures w14:val="none"/>
        </w:rPr>
        <w:t xml:space="preserve">The researcher argues that automation and 'people-centric' approaches—examined in Chapter Four—are essential preconditions until Blockchain Technology is widely adopted or ubiquitous and fully operational. Until then Accounting Fraud can be detected and prevented in several ways by automating an </w:t>
      </w:r>
      <w:r w:rsidR="00033F71" w:rsidRPr="007C27A1">
        <w:rPr>
          <w:rFonts w:asciiTheme="minorBidi" w:eastAsia="Times New Roman" w:hAnsiTheme="minorBidi"/>
          <w:color w:val="0D0D0D" w:themeColor="text1" w:themeTint="F2"/>
          <w:kern w:val="0"/>
          <w14:ligatures w14:val="none"/>
        </w:rPr>
        <w:t>organisation’s</w:t>
      </w:r>
      <w:r w:rsidRPr="007C27A1">
        <w:rPr>
          <w:rFonts w:asciiTheme="minorBidi" w:eastAsia="Times New Roman" w:hAnsiTheme="minorBidi"/>
          <w:color w:val="0D0D0D" w:themeColor="text1" w:themeTint="F2"/>
          <w:kern w:val="0"/>
          <w14:ligatures w14:val="none"/>
        </w:rPr>
        <w:t xml:space="preserve"> accounting and financial reporting operations.</w:t>
      </w:r>
    </w:p>
    <w:p w14:paraId="282CA4AF" w14:textId="77777777" w:rsidR="007C27A1" w:rsidRPr="007C27A1" w:rsidRDefault="007C27A1" w:rsidP="007C27A1">
      <w:pPr>
        <w:spacing w:line="480" w:lineRule="auto"/>
        <w:jc w:val="both"/>
        <w:rPr>
          <w:rFonts w:asciiTheme="minorBidi" w:hAnsiTheme="minorBidi"/>
          <w:color w:val="0D0D0D" w:themeColor="text1" w:themeTint="F2"/>
        </w:rPr>
      </w:pPr>
    </w:p>
    <w:p w14:paraId="53B68997" w14:textId="77777777" w:rsidR="007C27A1" w:rsidRPr="007C27A1" w:rsidRDefault="007C27A1" w:rsidP="007C27A1">
      <w:pPr>
        <w:spacing w:after="240" w:line="480" w:lineRule="auto"/>
        <w:jc w:val="both"/>
        <w:rPr>
          <w:rFonts w:asciiTheme="minorBidi" w:eastAsia="Times New Roman" w:hAnsiTheme="minorBidi"/>
          <w:color w:val="0D0D0D" w:themeColor="text1" w:themeTint="F2"/>
          <w:kern w:val="0"/>
          <w14:ligatures w14:val="none"/>
        </w:rPr>
      </w:pPr>
      <w:r w:rsidRPr="00545323">
        <w:rPr>
          <w:rFonts w:asciiTheme="minorBidi" w:eastAsia="Times New Roman" w:hAnsiTheme="minorBidi"/>
          <w:b/>
          <w:bCs/>
          <w:color w:val="0D0D0D" w:themeColor="text1" w:themeTint="F2"/>
          <w:kern w:val="0"/>
          <w14:ligatures w14:val="none"/>
        </w:rPr>
        <w:t>1. Efficiency and Accuracy in Routine Procedures:</w:t>
      </w:r>
      <w:r w:rsidRPr="007C27A1">
        <w:rPr>
          <w:rFonts w:asciiTheme="minorBidi" w:eastAsia="Times New Roman" w:hAnsiTheme="minorBidi"/>
          <w:color w:val="0D0D0D" w:themeColor="text1" w:themeTint="F2"/>
          <w:kern w:val="0"/>
          <w14:ligatures w14:val="none"/>
        </w:rPr>
        <w:t xml:space="preserve"> Employees can concentrate on identifying risky areas by using automation to simplify and improve the accuracy of routine procedures. This change frees up staff members to spend less time laboriously handling journal entries, reconciliations, and other tedious tasks when compiling financial statements and audits. As a result, they have more time to devote to evaluating risks, making decisions, and actively looking for Accounting Fraud. </w:t>
      </w:r>
      <w:r w:rsidRPr="007C27A1">
        <w:rPr>
          <w:rFonts w:asciiTheme="minorBidi" w:eastAsia="Times New Roman" w:hAnsiTheme="minorBidi"/>
          <w:color w:val="0D0D0D" w:themeColor="text1" w:themeTint="F2"/>
          <w:kern w:val="0"/>
          <w14:ligatures w14:val="none"/>
        </w:rPr>
        <w:br/>
      </w:r>
      <w:r w:rsidRPr="007C27A1">
        <w:rPr>
          <w:rFonts w:asciiTheme="minorBidi" w:eastAsia="Times New Roman" w:hAnsiTheme="minorBidi"/>
          <w:color w:val="0D0D0D" w:themeColor="text1" w:themeTint="F2"/>
          <w:kern w:val="0"/>
          <w14:ligatures w14:val="none"/>
        </w:rPr>
        <w:br/>
      </w:r>
      <w:r w:rsidRPr="00545323">
        <w:rPr>
          <w:rFonts w:asciiTheme="minorBidi" w:eastAsia="Times New Roman" w:hAnsiTheme="minorBidi"/>
          <w:b/>
          <w:bCs/>
          <w:color w:val="0D0D0D" w:themeColor="text1" w:themeTint="F2"/>
          <w:kern w:val="0"/>
          <w14:ligatures w14:val="none"/>
        </w:rPr>
        <w:t>2. Increased Focus on Red Flags</w:t>
      </w:r>
      <w:r w:rsidRPr="007C27A1">
        <w:rPr>
          <w:rFonts w:asciiTheme="minorBidi" w:eastAsia="Times New Roman" w:hAnsiTheme="minorBidi"/>
          <w:color w:val="0D0D0D" w:themeColor="text1" w:themeTint="F2"/>
          <w:kern w:val="0"/>
          <w14:ligatures w14:val="none"/>
        </w:rPr>
        <w:t>: When repetitive jobs are automated, staff members have more time to focus on Red Flags or warning signs that an organisation confronts and make the appropriate process changes. Thus, staff members and auditors may more effectively assess risks and actively look for Accounting Fraud thanks to this proactive strategy, which also improves general vigilance and fraud detection capabilities.</w:t>
      </w:r>
    </w:p>
    <w:p w14:paraId="1CC952A7" w14:textId="77777777" w:rsidR="007C27A1" w:rsidRPr="007C27A1" w:rsidRDefault="007C27A1" w:rsidP="007C27A1">
      <w:pPr>
        <w:spacing w:after="240" w:line="480" w:lineRule="auto"/>
        <w:jc w:val="both"/>
        <w:rPr>
          <w:rFonts w:asciiTheme="minorBidi" w:eastAsia="Times New Roman" w:hAnsiTheme="minorBidi"/>
          <w:color w:val="0D0D0D" w:themeColor="text1" w:themeTint="F2"/>
          <w:kern w:val="0"/>
          <w14:ligatures w14:val="none"/>
        </w:rPr>
      </w:pPr>
      <w:r w:rsidRPr="007C27A1">
        <w:rPr>
          <w:rFonts w:asciiTheme="minorBidi" w:eastAsia="Times New Roman" w:hAnsiTheme="minorBidi"/>
          <w:color w:val="0D0D0D" w:themeColor="text1" w:themeTint="F2"/>
          <w:kern w:val="0"/>
          <w14:ligatures w14:val="none"/>
        </w:rPr>
        <w:lastRenderedPageBreak/>
        <w:t xml:space="preserve">Most companies give priority to front-end tasks like developing new point-of-sale systems, managing orders more skilfully, and streamlining the processes for collecting cash and credit cards. However, to prevent the chances of system abuse, the finance function also needs care and similar attention. Hence, workflow efficiency is greatly increased by automation, particularly during busy times like year-end financial statement production or audits. By granting auditors access to and querying the same financial reporting system that the business uses on a regular basis, it facilitates data centralisation and increases accountability. While maintaining consumer engagement, this integration saves time and resources for external auditors. Since, automation gathers all required financial reporting data into a single, secure location that is only available to those with permission. Subsequently, due to this consolidation, there is less Accounting Fraud and managerial override, which frequently happens when there is no regulatory control. Moreover, automation lessens the impact of the Corporate Psychopath Accountant by reducing these hazards. </w:t>
      </w:r>
    </w:p>
    <w:p w14:paraId="0E9C37BB" w14:textId="77777777" w:rsidR="00584B30" w:rsidRDefault="007C27A1" w:rsidP="00584B30">
      <w:pPr>
        <w:spacing w:after="240" w:line="480" w:lineRule="auto"/>
        <w:jc w:val="both"/>
        <w:rPr>
          <w:rFonts w:asciiTheme="minorBidi" w:eastAsia="Times New Roman" w:hAnsiTheme="minorBidi"/>
          <w:color w:val="0D0D0D" w:themeColor="text1" w:themeTint="F2"/>
          <w:kern w:val="0"/>
          <w14:ligatures w14:val="none"/>
        </w:rPr>
      </w:pPr>
      <w:r w:rsidRPr="007C27A1">
        <w:rPr>
          <w:rFonts w:asciiTheme="minorBidi" w:eastAsia="Times New Roman" w:hAnsiTheme="minorBidi"/>
          <w:color w:val="0D0D0D" w:themeColor="text1" w:themeTint="F2"/>
          <w:kern w:val="0"/>
          <w14:ligatures w14:val="none"/>
        </w:rPr>
        <w:t xml:space="preserve">As discussed by the researcher in Chapter Four, an authentic ‘people-centric approach to reducing Accounting Fraud is based on several important principles. The </w:t>
      </w:r>
      <w:r w:rsidR="00D97EBD">
        <w:rPr>
          <w:rFonts w:asciiTheme="minorBidi" w:eastAsia="Times New Roman" w:hAnsiTheme="minorBidi"/>
          <w:color w:val="0D0D0D" w:themeColor="text1" w:themeTint="F2"/>
          <w:kern w:val="0"/>
          <w14:ligatures w14:val="none"/>
        </w:rPr>
        <w:t>researcher</w:t>
      </w:r>
      <w:r w:rsidRPr="007C27A1">
        <w:rPr>
          <w:rFonts w:asciiTheme="minorBidi" w:eastAsia="Times New Roman" w:hAnsiTheme="minorBidi"/>
          <w:color w:val="0D0D0D" w:themeColor="text1" w:themeTint="F2"/>
          <w:kern w:val="0"/>
          <w14:ligatures w14:val="none"/>
        </w:rPr>
        <w:t xml:space="preserve"> created the SHEIKH MANIAR CROWE ANTI-FRAUD CULTURE BUILDER (SM CROWE ANTI-FRAUD CULTURE BUILDER), which evaluates an organisation's ability for ongoing development and identifies where it is in the ‘anti-fraud life cycle’, and what procedures or initiatives might be required to ‘build’ improvement. This model highlights the significance of encouraging moral behaviour, building organisational resilience, and cultivating an anti-fraud culture within </w:t>
      </w:r>
      <w:r w:rsidR="00584B30">
        <w:rPr>
          <w:rFonts w:asciiTheme="minorBidi" w:eastAsia="Times New Roman" w:hAnsiTheme="minorBidi"/>
          <w:color w:val="0D0D0D" w:themeColor="text1" w:themeTint="F2"/>
          <w:kern w:val="0"/>
          <w14:ligatures w14:val="none"/>
        </w:rPr>
        <w:t>companies against fraud.</w:t>
      </w:r>
    </w:p>
    <w:p w14:paraId="7F429FF7" w14:textId="4DD5654E" w:rsidR="007C27A1" w:rsidRPr="007C27A1" w:rsidRDefault="007C27A1" w:rsidP="00584B30">
      <w:pPr>
        <w:spacing w:after="240" w:line="480" w:lineRule="auto"/>
        <w:jc w:val="both"/>
        <w:rPr>
          <w:rFonts w:asciiTheme="minorBidi" w:eastAsia="Times New Roman" w:hAnsiTheme="minorBidi"/>
          <w:color w:val="0D0D0D" w:themeColor="text1" w:themeTint="F2"/>
          <w:kern w:val="0"/>
          <w14:ligatures w14:val="none"/>
        </w:rPr>
      </w:pPr>
      <w:r w:rsidRPr="007C27A1">
        <w:rPr>
          <w:rFonts w:asciiTheme="minorBidi" w:eastAsia="Times New Roman" w:hAnsiTheme="minorBidi"/>
          <w:color w:val="0D0D0D" w:themeColor="text1" w:themeTint="F2"/>
          <w:kern w:val="0"/>
          <w14:ligatures w14:val="none"/>
        </w:rPr>
        <w:lastRenderedPageBreak/>
        <w:t>Automation and 'people-centric' approaches are currently the most appropriate strategies to decrease Accounting Fraud and lessen the power of the Corporate Psychopath Accountant, who will otherwise remain an organisational parasite, until Blockchain Technology becomes a practical alternative for most organisations. When it comes to preventing fraud, organisations need to be proactive and on the lookout. As Rumi astutely put it:</w:t>
      </w:r>
    </w:p>
    <w:p w14:paraId="39FFCD87" w14:textId="77777777" w:rsidR="007C27A1" w:rsidRPr="007C27A1" w:rsidRDefault="007C27A1" w:rsidP="007C27A1">
      <w:pPr>
        <w:spacing w:after="240" w:line="480" w:lineRule="auto"/>
        <w:jc w:val="both"/>
        <w:rPr>
          <w:rFonts w:asciiTheme="minorBidi" w:eastAsia="Times New Roman" w:hAnsiTheme="minorBidi"/>
          <w:color w:val="0D0D0D" w:themeColor="text1" w:themeTint="F2"/>
          <w:kern w:val="0"/>
          <w14:ligatures w14:val="none"/>
        </w:rPr>
      </w:pPr>
      <w:r w:rsidRPr="007C27A1">
        <w:rPr>
          <w:rFonts w:asciiTheme="minorBidi" w:hAnsiTheme="minorBidi"/>
          <w:color w:val="0D0D0D" w:themeColor="text1" w:themeTint="F2"/>
        </w:rPr>
        <w:t>‘If thou wilt be observant and vigilant, thou wilt see at every moment the response to thy action. Be observant if thou wouldst have a pure heart, for something is born to thee in consequence of every action.’</w:t>
      </w:r>
    </w:p>
    <w:p w14:paraId="257C8531" w14:textId="77777777" w:rsidR="007C27A1" w:rsidRPr="007C27A1" w:rsidRDefault="007C27A1" w:rsidP="007C27A1">
      <w:pPr>
        <w:spacing w:after="240" w:line="480" w:lineRule="auto"/>
        <w:jc w:val="both"/>
        <w:rPr>
          <w:rFonts w:asciiTheme="minorBidi" w:eastAsia="Times New Roman" w:hAnsiTheme="minorBidi"/>
          <w:color w:val="0D0D0D" w:themeColor="text1" w:themeTint="F2"/>
          <w:kern w:val="0"/>
          <w14:ligatures w14:val="none"/>
        </w:rPr>
      </w:pPr>
      <w:r w:rsidRPr="007C27A1">
        <w:rPr>
          <w:rFonts w:asciiTheme="minorBidi" w:eastAsia="Times New Roman" w:hAnsiTheme="minorBidi"/>
          <w:color w:val="0D0D0D" w:themeColor="text1" w:themeTint="F2"/>
          <w:kern w:val="0"/>
          <w14:ligatures w14:val="none"/>
        </w:rPr>
        <w:t xml:space="preserve">Organisations can greatly lower the threat of Accounting Fraud and shield themselves from the damaging influence of dishonest people by embracing automation and developing a strong anti-fraud culture. This strategy will protect the organisation's financial integrity while also enhancing its long-term viability and success. </w:t>
      </w:r>
    </w:p>
    <w:p w14:paraId="350E77C7" w14:textId="77777777" w:rsidR="007C27A1" w:rsidRPr="007C27A1" w:rsidRDefault="007C27A1" w:rsidP="007C27A1">
      <w:pPr>
        <w:spacing w:after="240" w:line="480" w:lineRule="auto"/>
        <w:jc w:val="both"/>
        <w:rPr>
          <w:rFonts w:asciiTheme="minorBidi" w:eastAsia="Times New Roman" w:hAnsiTheme="minorBidi"/>
          <w:color w:val="0D0D0D" w:themeColor="text1" w:themeTint="F2"/>
          <w:kern w:val="0"/>
          <w14:ligatures w14:val="none"/>
        </w:rPr>
      </w:pPr>
      <w:r w:rsidRPr="007C27A1">
        <w:rPr>
          <w:rFonts w:asciiTheme="minorBidi" w:eastAsia="Times New Roman" w:hAnsiTheme="minorBidi"/>
          <w:color w:val="0D0D0D" w:themeColor="text1" w:themeTint="F2"/>
          <w:kern w:val="0"/>
          <w14:ligatures w14:val="none"/>
        </w:rPr>
        <w:t>Furthermore, the automation and Blockchain revolution will require a major change in the abilities and skillset needed by accounting professionals. Keeping up with the latest technical developments and changing regulatory environments will require ongoing education and training. To provide upcoming accountants and auditors with the skills they need, professional associations and educational institutions need to give top priority to creating curricula that incorporate Blockchain Technology, data analytics, and novel auditing methodologies.</w:t>
      </w:r>
    </w:p>
    <w:p w14:paraId="0715D202" w14:textId="77777777" w:rsidR="007C27A1" w:rsidRPr="007C27A1" w:rsidRDefault="007C27A1" w:rsidP="007C27A1">
      <w:pPr>
        <w:spacing w:after="240" w:line="480" w:lineRule="auto"/>
        <w:jc w:val="both"/>
        <w:rPr>
          <w:rFonts w:asciiTheme="minorBidi" w:eastAsia="Times New Roman" w:hAnsiTheme="minorBidi"/>
          <w:color w:val="0D0D0D" w:themeColor="text1" w:themeTint="F2"/>
          <w:kern w:val="0"/>
          <w14:ligatures w14:val="none"/>
        </w:rPr>
      </w:pPr>
      <w:r w:rsidRPr="007C27A1">
        <w:rPr>
          <w:rFonts w:asciiTheme="minorBidi" w:eastAsia="Times New Roman" w:hAnsiTheme="minorBidi"/>
          <w:color w:val="0D0D0D" w:themeColor="text1" w:themeTint="F2"/>
          <w:kern w:val="0"/>
          <w14:ligatures w14:val="none"/>
        </w:rPr>
        <w:t xml:space="preserve">In addition, regulatory structures will have to change to accommodate the new complexity that Blockchain Technology brings. To develop norms and guidelines that guarantee the success of Blockchain Technology, policymakers, regulators, and industry professionals must work together. This cooperation will be necessary to </w:t>
      </w:r>
      <w:r w:rsidRPr="007C27A1">
        <w:rPr>
          <w:rFonts w:asciiTheme="minorBidi" w:eastAsia="Times New Roman" w:hAnsiTheme="minorBidi"/>
          <w:color w:val="0D0D0D" w:themeColor="text1" w:themeTint="F2"/>
          <w:kern w:val="0"/>
          <w14:ligatures w14:val="none"/>
        </w:rPr>
        <w:lastRenderedPageBreak/>
        <w:t>handle any legal and compliance issues that may arise from the broad use of Blockchain technology, as well as to stop the emergence of new fraud schemes especially ‘control fraud’.</w:t>
      </w:r>
    </w:p>
    <w:p w14:paraId="6B26397E" w14:textId="77777777" w:rsidR="007C27A1" w:rsidRDefault="007C27A1" w:rsidP="007C27A1">
      <w:pPr>
        <w:spacing w:line="480" w:lineRule="auto"/>
        <w:jc w:val="both"/>
        <w:rPr>
          <w:rFonts w:asciiTheme="minorBidi" w:eastAsia="Times New Roman" w:hAnsiTheme="minorBidi"/>
          <w:color w:val="0D0D0D" w:themeColor="text1" w:themeTint="F2"/>
          <w:kern w:val="0"/>
          <w14:ligatures w14:val="none"/>
        </w:rPr>
      </w:pPr>
      <w:r w:rsidRPr="007C27A1">
        <w:rPr>
          <w:rFonts w:asciiTheme="minorBidi" w:eastAsia="Times New Roman" w:hAnsiTheme="minorBidi"/>
          <w:b/>
          <w:bCs/>
          <w:color w:val="0D0D0D" w:themeColor="text1" w:themeTint="F2"/>
          <w:kern w:val="0"/>
          <w14:ligatures w14:val="none"/>
        </w:rPr>
        <w:t>In conclusion,</w:t>
      </w:r>
      <w:r w:rsidRPr="007C27A1">
        <w:rPr>
          <w:rFonts w:asciiTheme="minorBidi" w:eastAsia="Times New Roman" w:hAnsiTheme="minorBidi"/>
          <w:color w:val="0D0D0D" w:themeColor="text1" w:themeTint="F2"/>
          <w:kern w:val="0"/>
          <w14:ligatures w14:val="none"/>
        </w:rPr>
        <w:t xml:space="preserve"> the projected development and expansion of the Blockchain industry marks a sea change or paradigm shift for the accounting and auditing industry. Proactively using automation and cultivating a robust anti-fraud culture can greatly reduce the likelihood of accounting fraud and improve organisational integrity for accountants and auditors. Making strategic investments in human resources, ongoing education, and cooperation with regulatory bodies will be essential to effectively manage this technology revolution. Businesses that put these tactics first will not only safeguard their financial stability but also put themselves in a resilient and successful long-term position within the ever-changing and complex global financial system.</w:t>
      </w:r>
    </w:p>
    <w:p w14:paraId="06E3EE9D" w14:textId="77777777" w:rsidR="00602DBA" w:rsidRDefault="00602DBA" w:rsidP="007C27A1">
      <w:pPr>
        <w:spacing w:line="480" w:lineRule="auto"/>
        <w:jc w:val="both"/>
        <w:rPr>
          <w:rFonts w:asciiTheme="minorBidi" w:eastAsia="Times New Roman" w:hAnsiTheme="minorBidi"/>
          <w:color w:val="0D0D0D" w:themeColor="text1" w:themeTint="F2"/>
          <w:kern w:val="0"/>
          <w14:ligatures w14:val="none"/>
        </w:rPr>
      </w:pPr>
    </w:p>
    <w:p w14:paraId="18708043" w14:textId="77777777" w:rsidR="00602DBA" w:rsidRDefault="00602DBA" w:rsidP="007C27A1">
      <w:pPr>
        <w:spacing w:line="480" w:lineRule="auto"/>
        <w:jc w:val="both"/>
        <w:rPr>
          <w:rFonts w:asciiTheme="minorBidi" w:eastAsia="Times New Roman" w:hAnsiTheme="minorBidi"/>
          <w:color w:val="0D0D0D" w:themeColor="text1" w:themeTint="F2"/>
          <w:kern w:val="0"/>
          <w14:ligatures w14:val="none"/>
        </w:rPr>
      </w:pPr>
    </w:p>
    <w:p w14:paraId="7A0B7648" w14:textId="77777777" w:rsidR="00602DBA" w:rsidRDefault="00602DBA" w:rsidP="007C27A1">
      <w:pPr>
        <w:spacing w:line="480" w:lineRule="auto"/>
        <w:jc w:val="both"/>
        <w:rPr>
          <w:rFonts w:asciiTheme="minorBidi" w:eastAsia="Times New Roman" w:hAnsiTheme="minorBidi"/>
          <w:color w:val="0D0D0D" w:themeColor="text1" w:themeTint="F2"/>
          <w:kern w:val="0"/>
          <w14:ligatures w14:val="none"/>
        </w:rPr>
      </w:pPr>
    </w:p>
    <w:p w14:paraId="56E33E94" w14:textId="77777777" w:rsidR="00545323" w:rsidRDefault="00545323" w:rsidP="007C27A1">
      <w:pPr>
        <w:spacing w:line="480" w:lineRule="auto"/>
        <w:jc w:val="both"/>
        <w:rPr>
          <w:rFonts w:asciiTheme="minorBidi" w:eastAsia="Times New Roman" w:hAnsiTheme="minorBidi"/>
          <w:color w:val="0D0D0D" w:themeColor="text1" w:themeTint="F2"/>
          <w:kern w:val="0"/>
          <w14:ligatures w14:val="none"/>
        </w:rPr>
      </w:pPr>
    </w:p>
    <w:p w14:paraId="6CDC39A7" w14:textId="77777777" w:rsidR="00545323" w:rsidRDefault="00545323" w:rsidP="007C27A1">
      <w:pPr>
        <w:spacing w:line="480" w:lineRule="auto"/>
        <w:jc w:val="both"/>
        <w:rPr>
          <w:rFonts w:asciiTheme="minorBidi" w:eastAsia="Times New Roman" w:hAnsiTheme="minorBidi"/>
          <w:color w:val="0D0D0D" w:themeColor="text1" w:themeTint="F2"/>
          <w:kern w:val="0"/>
          <w14:ligatures w14:val="none"/>
        </w:rPr>
      </w:pPr>
    </w:p>
    <w:p w14:paraId="32E30B8E" w14:textId="77777777" w:rsidR="00545323" w:rsidRDefault="00545323" w:rsidP="007C27A1">
      <w:pPr>
        <w:spacing w:line="480" w:lineRule="auto"/>
        <w:jc w:val="both"/>
        <w:rPr>
          <w:rFonts w:asciiTheme="minorBidi" w:eastAsia="Times New Roman" w:hAnsiTheme="minorBidi"/>
          <w:color w:val="0D0D0D" w:themeColor="text1" w:themeTint="F2"/>
          <w:kern w:val="0"/>
          <w14:ligatures w14:val="none"/>
        </w:rPr>
      </w:pPr>
    </w:p>
    <w:p w14:paraId="4F1C6F28" w14:textId="77777777" w:rsidR="00545323" w:rsidRDefault="00545323" w:rsidP="007C27A1">
      <w:pPr>
        <w:spacing w:line="480" w:lineRule="auto"/>
        <w:jc w:val="both"/>
        <w:rPr>
          <w:rFonts w:asciiTheme="minorBidi" w:eastAsia="Times New Roman" w:hAnsiTheme="minorBidi"/>
          <w:color w:val="0D0D0D" w:themeColor="text1" w:themeTint="F2"/>
          <w:kern w:val="0"/>
          <w14:ligatures w14:val="none"/>
        </w:rPr>
      </w:pPr>
    </w:p>
    <w:p w14:paraId="2C65E95D" w14:textId="77777777" w:rsidR="00545323" w:rsidRDefault="00545323" w:rsidP="007C27A1">
      <w:pPr>
        <w:spacing w:line="480" w:lineRule="auto"/>
        <w:jc w:val="both"/>
        <w:rPr>
          <w:rFonts w:asciiTheme="minorBidi" w:eastAsia="Times New Roman" w:hAnsiTheme="minorBidi"/>
          <w:color w:val="0D0D0D" w:themeColor="text1" w:themeTint="F2"/>
          <w:kern w:val="0"/>
          <w14:ligatures w14:val="none"/>
        </w:rPr>
      </w:pPr>
    </w:p>
    <w:p w14:paraId="5955149F" w14:textId="77777777" w:rsidR="00545323" w:rsidRDefault="00545323" w:rsidP="007C27A1">
      <w:pPr>
        <w:spacing w:line="480" w:lineRule="auto"/>
        <w:jc w:val="both"/>
        <w:rPr>
          <w:rFonts w:asciiTheme="minorBidi" w:eastAsia="Times New Roman" w:hAnsiTheme="minorBidi"/>
          <w:color w:val="0D0D0D" w:themeColor="text1" w:themeTint="F2"/>
          <w:kern w:val="0"/>
          <w14:ligatures w14:val="none"/>
        </w:rPr>
      </w:pPr>
    </w:p>
    <w:p w14:paraId="49E3450A" w14:textId="77777777" w:rsidR="00545323" w:rsidRDefault="00545323" w:rsidP="007C27A1">
      <w:pPr>
        <w:spacing w:line="480" w:lineRule="auto"/>
        <w:jc w:val="both"/>
        <w:rPr>
          <w:rFonts w:asciiTheme="minorBidi" w:eastAsia="Times New Roman" w:hAnsiTheme="minorBidi"/>
          <w:color w:val="0D0D0D" w:themeColor="text1" w:themeTint="F2"/>
          <w:kern w:val="0"/>
          <w14:ligatures w14:val="none"/>
        </w:rPr>
      </w:pPr>
    </w:p>
    <w:bookmarkStart w:id="821" w:name="REFD"/>
    <w:p w14:paraId="4F2BD3E8" w14:textId="1998601B" w:rsidR="00602DBA" w:rsidRPr="00602DBA" w:rsidRDefault="00E67E08" w:rsidP="00602DBA">
      <w:pPr>
        <w:pBdr>
          <w:top w:val="single" w:sz="4" w:space="1" w:color="auto"/>
          <w:left w:val="single" w:sz="4" w:space="4" w:color="auto"/>
          <w:bottom w:val="single" w:sz="4" w:space="1" w:color="auto"/>
          <w:right w:val="single" w:sz="4" w:space="4" w:color="auto"/>
        </w:pBdr>
        <w:rPr>
          <w:rFonts w:asciiTheme="minorBidi" w:eastAsiaTheme="minorHAnsi" w:hAnsiTheme="minorBidi"/>
          <w:b/>
          <w:bCs/>
          <w:sz w:val="22"/>
          <w:szCs w:val="22"/>
          <w:lang w:eastAsia="en-US"/>
        </w:rPr>
      </w:pPr>
      <w:r>
        <w:rPr>
          <w:rFonts w:asciiTheme="minorBidi" w:hAnsiTheme="minorBidi"/>
          <w:b/>
          <w:bCs/>
        </w:rPr>
        <w:lastRenderedPageBreak/>
        <w:fldChar w:fldCharType="begin"/>
      </w:r>
      <w:r>
        <w:rPr>
          <w:rFonts w:asciiTheme="minorBidi" w:hAnsiTheme="minorBidi"/>
          <w:b/>
          <w:bCs/>
        </w:rPr>
        <w:instrText>HYPERLINK  \l "REFC"</w:instrText>
      </w:r>
      <w:r>
        <w:rPr>
          <w:rFonts w:asciiTheme="minorBidi" w:hAnsiTheme="minorBidi"/>
          <w:b/>
          <w:bCs/>
        </w:rPr>
      </w:r>
      <w:r>
        <w:rPr>
          <w:rFonts w:asciiTheme="minorBidi" w:hAnsiTheme="minorBidi"/>
          <w:b/>
          <w:bCs/>
        </w:rPr>
        <w:fldChar w:fldCharType="separate"/>
      </w:r>
      <w:r w:rsidR="00602DBA" w:rsidRPr="00E67E08">
        <w:rPr>
          <w:rStyle w:val="Hyperlink"/>
          <w:rFonts w:asciiTheme="minorBidi" w:hAnsiTheme="minorBidi"/>
          <w:b/>
          <w:bCs/>
        </w:rPr>
        <w:t>References</w:t>
      </w:r>
      <w:bookmarkEnd w:id="821"/>
      <w:r>
        <w:rPr>
          <w:rFonts w:asciiTheme="minorBidi" w:hAnsiTheme="minorBidi"/>
          <w:b/>
          <w:bCs/>
        </w:rPr>
        <w:fldChar w:fldCharType="end"/>
      </w:r>
      <w:r w:rsidR="00602DBA" w:rsidRPr="00602DBA">
        <w:rPr>
          <w:rFonts w:asciiTheme="minorBidi" w:hAnsiTheme="minorBidi"/>
          <w:b/>
          <w:bCs/>
        </w:rPr>
        <w:t xml:space="preserve"> </w:t>
      </w:r>
    </w:p>
    <w:p w14:paraId="7A9B925D" w14:textId="77777777" w:rsidR="004B3F8F" w:rsidRPr="004B3F8F" w:rsidRDefault="004B3F8F" w:rsidP="004B3F8F">
      <w:pPr>
        <w:spacing w:line="480" w:lineRule="auto"/>
        <w:ind w:left="851" w:hanging="851"/>
        <w:jc w:val="both"/>
        <w:rPr>
          <w:rFonts w:ascii="Arial" w:eastAsiaTheme="minorHAnsi" w:hAnsi="Arial" w:cs="Arial"/>
          <w:color w:val="222222"/>
          <w:kern w:val="0"/>
          <w:shd w:val="clear" w:color="auto" w:fill="FFFFFF"/>
          <w:lang w:eastAsia="en-US"/>
          <w14:ligatures w14:val="none"/>
        </w:rPr>
      </w:pPr>
      <w:r w:rsidRPr="004B3F8F">
        <w:rPr>
          <w:rFonts w:ascii="Arial" w:eastAsiaTheme="minorHAnsi" w:hAnsi="Arial" w:cs="Arial"/>
          <w:color w:val="222222"/>
          <w:kern w:val="0"/>
          <w:shd w:val="clear" w:color="auto" w:fill="FFFFFF"/>
          <w:lang w:eastAsia="en-US"/>
          <w14:ligatures w14:val="none"/>
        </w:rPr>
        <w:t>Abas Hashmi, Z., &amp; Pettersson, W. 2023. The Structural Brain Correlates of Psychopathy and Violent Crime.</w:t>
      </w:r>
    </w:p>
    <w:p w14:paraId="3D4B01A1"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Abrams, M.D., S. Jajodia, and H.J. Podell. 1995. </w:t>
      </w:r>
      <w:r w:rsidRPr="004B3F8F">
        <w:rPr>
          <w:rFonts w:ascii="Arial" w:eastAsiaTheme="minorHAnsi" w:hAnsi="Arial" w:cs="Arial"/>
          <w:i/>
          <w:iCs/>
          <w:kern w:val="0"/>
          <w:lang w:val="en-US" w:eastAsia="en-US"/>
          <w14:ligatures w14:val="none"/>
        </w:rPr>
        <w:t>Information Security: An Integrated Collection of Essays</w:t>
      </w:r>
      <w:r w:rsidRPr="004B3F8F">
        <w:rPr>
          <w:rFonts w:ascii="Arial" w:eastAsiaTheme="minorHAnsi" w:hAnsi="Arial" w:cs="Arial"/>
          <w:kern w:val="0"/>
          <w:lang w:val="en-US" w:eastAsia="en-US"/>
          <w14:ligatures w14:val="none"/>
        </w:rPr>
        <w:t>. Los Alamitos, CA: IEEE Computer Society Press.</w:t>
      </w:r>
    </w:p>
    <w:p w14:paraId="018A6378"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r w:rsidRPr="004B3F8F">
        <w:rPr>
          <w:rFonts w:ascii="Arial" w:eastAsiaTheme="minorHAnsi" w:hAnsi="Arial" w:cs="Arial"/>
          <w:kern w:val="0"/>
          <w:lang w:val="en-US" w:eastAsia="en-US"/>
          <w14:ligatures w14:val="none"/>
        </w:rPr>
        <w:t xml:space="preserve">ACCA. 2017. “Auditors Get to Grips with New Challenges.” http://www.accaglobal.com/uk/en/member/member/accounting business/2017/01/insights/audit-challenges.html, </w:t>
      </w:r>
      <w:r w:rsidRPr="004B3F8F">
        <w:rPr>
          <w:rFonts w:ascii="Arial" w:eastAsiaTheme="minorHAnsi" w:hAnsi="Arial" w:cs="Arial"/>
          <w:kern w:val="0"/>
          <w:shd w:val="clear" w:color="auto" w:fill="FFFFFF"/>
          <w:lang w:val="en-US" w:eastAsia="en-US"/>
          <w14:ligatures w14:val="none"/>
        </w:rPr>
        <w:t>(</w:t>
      </w:r>
      <w:r w:rsidRPr="004B3F8F">
        <w:rPr>
          <w:rFonts w:ascii="Arial" w:eastAsiaTheme="minorHAnsi" w:hAnsi="Arial" w:cs="Arial"/>
          <w:kern w:val="0"/>
          <w:lang w:val="en-US" w:eastAsia="en-US"/>
          <w14:ligatures w14:val="none"/>
        </w:rPr>
        <w:t>accessed</w:t>
      </w:r>
      <w:r w:rsidRPr="004B3F8F">
        <w:rPr>
          <w:rFonts w:ascii="Arial" w:eastAsiaTheme="minorHAnsi" w:hAnsi="Arial" w:cs="Arial"/>
          <w:kern w:val="0"/>
          <w:shd w:val="clear" w:color="auto" w:fill="FFFFFF"/>
          <w:lang w:val="en-US" w:eastAsia="en-US"/>
          <w14:ligatures w14:val="none"/>
        </w:rPr>
        <w:t xml:space="preserve"> December 22, 2017).</w:t>
      </w:r>
    </w:p>
    <w:p w14:paraId="3516AE3D"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r w:rsidRPr="004B3F8F">
        <w:rPr>
          <w:rFonts w:ascii="Arial" w:eastAsiaTheme="minorHAnsi" w:hAnsi="Arial" w:cs="Arial"/>
          <w:kern w:val="0"/>
          <w:lang w:val="en-US" w:eastAsia="en-US"/>
          <w14:ligatures w14:val="none"/>
        </w:rPr>
        <w:t xml:space="preserve">ACFE. 2014. “Report to the Nations on Occupational Fraud and Abuse,” </w:t>
      </w:r>
      <w:r w:rsidRPr="004B3F8F">
        <w:rPr>
          <w:rFonts w:ascii="Arial" w:eastAsiaTheme="minorHAnsi" w:hAnsi="Arial" w:cs="Arial"/>
          <w:i/>
          <w:kern w:val="0"/>
          <w:lang w:val="en-US" w:eastAsia="en-US"/>
          <w14:ligatures w14:val="none"/>
        </w:rPr>
        <w:t>Global Fraud Study</w:t>
      </w:r>
      <w:r w:rsidRPr="004B3F8F">
        <w:rPr>
          <w:rFonts w:ascii="Arial" w:eastAsiaTheme="minorHAnsi" w:hAnsi="Arial" w:cs="Arial"/>
          <w:kern w:val="0"/>
          <w:lang w:val="en-US" w:eastAsia="en-US"/>
          <w14:ligatures w14:val="none"/>
        </w:rPr>
        <w:t xml:space="preserve">. </w:t>
      </w:r>
      <w:hyperlink r:id="rId52" w:history="1">
        <w:r w:rsidRPr="004B3F8F">
          <w:rPr>
            <w:rFonts w:ascii="Arial" w:eastAsiaTheme="minorHAnsi" w:hAnsi="Arial" w:cs="Arial"/>
            <w:kern w:val="0"/>
            <w:lang w:val="en-US" w:eastAsia="en-US"/>
            <w14:ligatures w14:val="none"/>
          </w:rPr>
          <w:t>http://www.acfe.com</w:t>
        </w:r>
      </w:hyperlink>
      <w:r w:rsidRPr="004B3F8F">
        <w:rPr>
          <w:rFonts w:ascii="Arial" w:eastAsiaTheme="minorHAnsi" w:hAnsi="Arial" w:cs="Arial"/>
          <w:kern w:val="0"/>
          <w:lang w:val="en-US" w:eastAsia="en-US"/>
          <w14:ligatures w14:val="none"/>
        </w:rPr>
        <w:t>, (</w:t>
      </w:r>
      <w:r w:rsidRPr="004B3F8F">
        <w:rPr>
          <w:rFonts w:ascii="Arial" w:eastAsiaTheme="minorHAnsi" w:hAnsi="Arial" w:cs="Arial"/>
          <w:kern w:val="0"/>
          <w:shd w:val="clear" w:color="auto" w:fill="FFFFFF"/>
          <w:lang w:val="en-US" w:eastAsia="en-US"/>
          <w14:ligatures w14:val="none"/>
        </w:rPr>
        <w:t>accessed January 1, 2019).</w:t>
      </w:r>
    </w:p>
    <w:p w14:paraId="4227241E"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r w:rsidRPr="004B3F8F">
        <w:rPr>
          <w:rFonts w:ascii="Arial" w:eastAsiaTheme="minorHAnsi" w:hAnsi="Arial" w:cs="Arial"/>
          <w:kern w:val="0"/>
          <w:lang w:val="en-US" w:eastAsia="en-US"/>
          <w14:ligatures w14:val="none"/>
        </w:rPr>
        <w:t xml:space="preserve">ACFE. 2016. “Report to the Nations on Occupational Fraud and Abuse,” </w:t>
      </w:r>
      <w:r w:rsidRPr="004B3F8F">
        <w:rPr>
          <w:rFonts w:ascii="Arial" w:eastAsiaTheme="minorHAnsi" w:hAnsi="Arial" w:cs="Arial"/>
          <w:i/>
          <w:kern w:val="0"/>
          <w:lang w:val="en-US" w:eastAsia="en-US"/>
          <w14:ligatures w14:val="none"/>
        </w:rPr>
        <w:t>Global Fraud Study</w:t>
      </w:r>
      <w:r w:rsidRPr="004B3F8F">
        <w:rPr>
          <w:rFonts w:ascii="Arial" w:eastAsiaTheme="minorHAnsi" w:hAnsi="Arial" w:cs="Arial"/>
          <w:kern w:val="0"/>
          <w:lang w:val="en-US" w:eastAsia="en-US"/>
          <w14:ligatures w14:val="none"/>
        </w:rPr>
        <w:t xml:space="preserve">. </w:t>
      </w:r>
      <w:hyperlink r:id="rId53" w:history="1">
        <w:r w:rsidRPr="004B3F8F">
          <w:rPr>
            <w:rFonts w:ascii="Arial" w:eastAsiaTheme="minorHAnsi" w:hAnsi="Arial" w:cs="Arial"/>
            <w:kern w:val="0"/>
            <w:lang w:val="en-US" w:eastAsia="en-US"/>
            <w14:ligatures w14:val="none"/>
          </w:rPr>
          <w:t>http://www.acfe.com</w:t>
        </w:r>
      </w:hyperlink>
      <w:r w:rsidRPr="004B3F8F">
        <w:rPr>
          <w:rFonts w:ascii="Arial" w:eastAsiaTheme="minorHAnsi" w:hAnsi="Arial" w:cs="Arial"/>
          <w:kern w:val="0"/>
          <w:lang w:val="en-US" w:eastAsia="en-US"/>
          <w14:ligatures w14:val="none"/>
        </w:rPr>
        <w:t>, (</w:t>
      </w:r>
      <w:r w:rsidRPr="004B3F8F">
        <w:rPr>
          <w:rFonts w:ascii="Arial" w:eastAsiaTheme="minorHAnsi" w:hAnsi="Arial" w:cs="Arial"/>
          <w:kern w:val="0"/>
          <w:shd w:val="clear" w:color="auto" w:fill="FFFFFF"/>
          <w:lang w:val="en-US" w:eastAsia="en-US"/>
          <w14:ligatures w14:val="none"/>
        </w:rPr>
        <w:t>accessed January 1, 2019).</w:t>
      </w:r>
    </w:p>
    <w:p w14:paraId="72A15C96"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bookmarkStart w:id="822" w:name="_Hlk147213888"/>
      <w:r w:rsidRPr="004B3F8F">
        <w:rPr>
          <w:rFonts w:ascii="Arial" w:eastAsiaTheme="minorHAnsi" w:hAnsi="Arial" w:cs="Arial"/>
          <w:kern w:val="0"/>
          <w:lang w:val="en-US" w:eastAsia="en-US"/>
          <w14:ligatures w14:val="none"/>
        </w:rPr>
        <w:t xml:space="preserve">ACFE. 2018. “Report to the Nations on Occupational Fraud and Abuse,” </w:t>
      </w:r>
      <w:r w:rsidRPr="004B3F8F">
        <w:rPr>
          <w:rFonts w:ascii="Arial" w:eastAsiaTheme="minorHAnsi" w:hAnsi="Arial" w:cs="Arial"/>
          <w:i/>
          <w:kern w:val="0"/>
          <w:lang w:val="en-US" w:eastAsia="en-US"/>
          <w14:ligatures w14:val="none"/>
        </w:rPr>
        <w:t>Global Fraud Study</w:t>
      </w:r>
      <w:r w:rsidRPr="004B3F8F">
        <w:rPr>
          <w:rFonts w:ascii="Arial" w:eastAsiaTheme="minorHAnsi" w:hAnsi="Arial" w:cs="Arial"/>
          <w:kern w:val="0"/>
          <w:lang w:val="en-US" w:eastAsia="en-US"/>
          <w14:ligatures w14:val="none"/>
        </w:rPr>
        <w:t xml:space="preserve">. </w:t>
      </w:r>
      <w:hyperlink r:id="rId54" w:history="1">
        <w:r w:rsidRPr="004B3F8F">
          <w:rPr>
            <w:rFonts w:ascii="Arial" w:eastAsiaTheme="minorHAnsi" w:hAnsi="Arial" w:cs="Arial"/>
            <w:kern w:val="0"/>
            <w:lang w:val="en-US" w:eastAsia="en-US"/>
            <w14:ligatures w14:val="none"/>
          </w:rPr>
          <w:t>http://www.acfe.com</w:t>
        </w:r>
      </w:hyperlink>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shd w:val="clear" w:color="auto" w:fill="FFFFFF"/>
          <w:lang w:val="en-US" w:eastAsia="en-US"/>
          <w14:ligatures w14:val="none"/>
        </w:rPr>
        <w:t>(accessed February 1, 2020).</w:t>
      </w:r>
    </w:p>
    <w:bookmarkEnd w:id="822"/>
    <w:p w14:paraId="3369EC2A" w14:textId="77777777" w:rsidR="004B3F8F" w:rsidRPr="004B3F8F" w:rsidRDefault="004B3F8F" w:rsidP="004B3F8F">
      <w:pPr>
        <w:spacing w:after="0" w:line="360" w:lineRule="auto"/>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t xml:space="preserve">ACFE. 2019. ‘’Report to the nations – 2018’’, </w:t>
      </w:r>
    </w:p>
    <w:p w14:paraId="0195E2E6" w14:textId="77777777" w:rsidR="004B3F8F" w:rsidRPr="004B3F8F" w:rsidRDefault="00000000" w:rsidP="004B3F8F">
      <w:pPr>
        <w:spacing w:after="0" w:line="360" w:lineRule="auto"/>
        <w:ind w:left="720"/>
        <w:rPr>
          <w:rFonts w:ascii="Arial" w:eastAsiaTheme="minorHAnsi" w:hAnsi="Arial" w:cs="Arial"/>
          <w:color w:val="0000FF"/>
          <w:kern w:val="0"/>
          <w:lang w:eastAsia="en-US"/>
          <w14:ligatures w14:val="none"/>
        </w:rPr>
      </w:pPr>
      <w:hyperlink r:id="rId55" w:history="1">
        <w:r w:rsidR="004B3F8F" w:rsidRPr="004B3F8F">
          <w:rPr>
            <w:rFonts w:ascii="Arial" w:eastAsiaTheme="minorHAnsi" w:hAnsi="Arial" w:cs="Arial"/>
            <w:kern w:val="0"/>
            <w:lang w:eastAsia="en-US"/>
            <w14:ligatures w14:val="none"/>
          </w:rPr>
          <w:t>https://s3-us-west-2.amazonaws.com/acfepublic/2018-report-to-the-nation (accessed  December 22,2019</w:t>
        </w:r>
        <w:r w:rsidR="004B3F8F" w:rsidRPr="004B3F8F">
          <w:rPr>
            <w:rFonts w:ascii="Arial" w:eastAsiaTheme="minorHAnsi" w:hAnsi="Arial" w:cs="Arial"/>
            <w:color w:val="0000FF"/>
            <w:kern w:val="0"/>
            <w:lang w:eastAsia="en-US"/>
            <w14:ligatures w14:val="none"/>
          </w:rPr>
          <w:t>)</w:t>
        </w:r>
      </w:hyperlink>
    </w:p>
    <w:p w14:paraId="6E2E4AA6"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ACFE. 2020. "Report to the Nations: 2020 Global Study on Occupational Fraud and Abuse." The report emphasizes the importance of understanding an organization's unique risk environment and creating specific policies to combat fraud effectively.</w:t>
      </w:r>
    </w:p>
    <w:p w14:paraId="00F2ABE2" w14:textId="77777777" w:rsidR="004B3F8F" w:rsidRPr="004B3F8F" w:rsidRDefault="004B3F8F" w:rsidP="004B3F8F">
      <w:pPr>
        <w:spacing w:after="0" w:line="360" w:lineRule="auto"/>
        <w:ind w:left="720"/>
        <w:rPr>
          <w:rFonts w:ascii="Arial" w:eastAsiaTheme="minorHAnsi" w:hAnsi="Arial" w:cs="Arial"/>
          <w:color w:val="0000FF"/>
          <w:kern w:val="0"/>
          <w:u w:val="single"/>
          <w:lang w:eastAsia="en-US"/>
          <w14:ligatures w14:val="none"/>
        </w:rPr>
      </w:pPr>
    </w:p>
    <w:p w14:paraId="78B8B991" w14:textId="77777777" w:rsidR="004B3F8F" w:rsidRPr="004B3F8F" w:rsidRDefault="004B3F8F" w:rsidP="004B3F8F">
      <w:pPr>
        <w:spacing w:before="100" w:beforeAutospacing="1" w:after="100" w:afterAutospacing="1" w:line="480" w:lineRule="auto"/>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lastRenderedPageBreak/>
        <w:t>ACFE. 2022. Report to the Nations: 2022 Global Study on Occupational Fraud and Abuse. Association of Certified Fraud Examiners.</w:t>
      </w:r>
    </w:p>
    <w:p w14:paraId="61B3DFEB"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Aghghaleh, S.F., M.T. Iskandar, and Z.M. Mohamed. 2014. “Fraud Risk Factors of Fraud Triangle and the Likelihood of Fraud Occurrence: Evidence from Malaysia.” </w:t>
      </w:r>
      <w:r w:rsidRPr="004B3F8F">
        <w:rPr>
          <w:rFonts w:ascii="Arial" w:eastAsiaTheme="minorHAnsi" w:hAnsi="Arial" w:cs="Arial"/>
          <w:i/>
          <w:iCs/>
          <w:kern w:val="0"/>
          <w:lang w:val="en-US" w:eastAsia="en-US"/>
          <w14:ligatures w14:val="none"/>
        </w:rPr>
        <w:t>Information Management &amp; Business Review</w:t>
      </w:r>
      <w:r w:rsidRPr="004B3F8F">
        <w:rPr>
          <w:rFonts w:ascii="Arial" w:eastAsiaTheme="minorHAnsi" w:hAnsi="Arial" w:cs="Arial"/>
          <w:kern w:val="0"/>
          <w:lang w:val="en-US" w:eastAsia="en-US"/>
          <w14:ligatures w14:val="none"/>
        </w:rPr>
        <w:t xml:space="preserve"> 6, no. 1, pp. 1-7.</w:t>
      </w:r>
    </w:p>
    <w:p w14:paraId="4CA2237F" w14:textId="77777777" w:rsidR="004B3F8F" w:rsidRPr="004B3F8F" w:rsidRDefault="004B3F8F" w:rsidP="004B3F8F">
      <w:pPr>
        <w:spacing w:after="200" w:line="480" w:lineRule="auto"/>
        <w:ind w:left="785" w:hangingChars="327" w:hanging="785"/>
        <w:jc w:val="both"/>
        <w:rPr>
          <w:rFonts w:asciiTheme="minorBidi" w:eastAsiaTheme="minorHAnsi" w:hAnsiTheme="minorBidi"/>
          <w:kern w:val="0"/>
          <w:lang w:val="en-US" w:eastAsia="en-US"/>
          <w14:ligatures w14:val="none"/>
        </w:rPr>
      </w:pPr>
      <w:r w:rsidRPr="004B3F8F">
        <w:rPr>
          <w:rFonts w:asciiTheme="minorBidi" w:eastAsiaTheme="minorHAnsi" w:hAnsiTheme="minorBidi"/>
          <w:kern w:val="0"/>
          <w:lang w:eastAsia="en-US"/>
          <w14:ligatures w14:val="none"/>
        </w:rPr>
        <w:t>Alharahsheh, H.H. and Pius, A., 2020. A review of key paradigms: Positivism VS interpretivism. Global Academic Journal of Humanities and Social Sciences, 2(3), pp.39-43</w:t>
      </w:r>
    </w:p>
    <w:p w14:paraId="033892E9"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AICPA. 2002. “Consideration of Fraud in a Financial Statement Audit.” </w:t>
      </w:r>
      <w:r w:rsidRPr="004B3F8F">
        <w:rPr>
          <w:rFonts w:ascii="Arial" w:eastAsiaTheme="minorHAnsi" w:hAnsi="Arial" w:cs="Arial"/>
          <w:i/>
          <w:iCs/>
          <w:kern w:val="0"/>
          <w:lang w:val="en-US" w:eastAsia="en-US"/>
          <w14:ligatures w14:val="none"/>
        </w:rPr>
        <w:t>Statement on Auditing Standards</w:t>
      </w:r>
      <w:r w:rsidRPr="004B3F8F">
        <w:rPr>
          <w:rFonts w:ascii="Arial" w:eastAsiaTheme="minorHAnsi" w:hAnsi="Arial" w:cs="Arial"/>
          <w:kern w:val="0"/>
          <w:lang w:val="en-US" w:eastAsia="en-US"/>
          <w14:ligatures w14:val="none"/>
        </w:rPr>
        <w:t xml:space="preserve"> 99.</w:t>
      </w:r>
    </w:p>
    <w:p w14:paraId="2C68AAF8"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AICPA. 2005. </w:t>
      </w:r>
      <w:r w:rsidRPr="004B3F8F">
        <w:rPr>
          <w:rFonts w:ascii="Arial" w:eastAsiaTheme="minorHAnsi" w:hAnsi="Arial" w:cs="Arial"/>
          <w:i/>
          <w:iCs/>
          <w:kern w:val="0"/>
          <w:lang w:val="en-US" w:eastAsia="en-US"/>
          <w14:ligatures w14:val="none"/>
        </w:rPr>
        <w:t>Management Override of Internal Controls: The Achilles’ Heel of Fraud Prevention.</w:t>
      </w:r>
      <w:r w:rsidRPr="004B3F8F">
        <w:rPr>
          <w:rFonts w:ascii="Arial" w:eastAsiaTheme="minorHAnsi" w:hAnsi="Arial" w:cs="Arial"/>
          <w:kern w:val="0"/>
          <w:lang w:val="en-US" w:eastAsia="en-US"/>
          <w14:ligatures w14:val="none"/>
        </w:rPr>
        <w:t xml:space="preserve"> New York: AICPA.</w:t>
      </w:r>
    </w:p>
    <w:p w14:paraId="4673BA05"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Alareeni, B., &amp; Hamdan, A. 2022. The effect of corporate governance on accounting fraud: Evidence from Arab countries. </w:t>
      </w:r>
      <w:r w:rsidRPr="004B3F8F">
        <w:rPr>
          <w:rFonts w:asciiTheme="minorBidi" w:eastAsia="Times New Roman" w:hAnsiTheme="minorBidi"/>
          <w:i/>
          <w:iCs/>
          <w:kern w:val="0"/>
          <w14:ligatures w14:val="none"/>
        </w:rPr>
        <w:t>International Journal of Disclosure and Governance, 19</w:t>
      </w:r>
      <w:r w:rsidRPr="004B3F8F">
        <w:rPr>
          <w:rFonts w:asciiTheme="minorBidi" w:eastAsia="Times New Roman" w:hAnsiTheme="minorBidi"/>
          <w:kern w:val="0"/>
          <w14:ligatures w14:val="none"/>
        </w:rPr>
        <w:t>(2), 128-142.</w:t>
      </w:r>
    </w:p>
    <w:p w14:paraId="60B43F0F"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t xml:space="preserve">Alrawi, H. A., &amp; Ambashe, M. 2018. </w:t>
      </w:r>
      <w:r w:rsidRPr="004B3F8F">
        <w:rPr>
          <w:rFonts w:ascii="Arial" w:eastAsiaTheme="minorHAnsi" w:hAnsi="Arial" w:cs="Arial"/>
          <w:i/>
          <w:iCs/>
          <w:kern w:val="0"/>
          <w:lang w:eastAsia="en-US"/>
          <w14:ligatures w14:val="none"/>
        </w:rPr>
        <w:t>‘’The development of accounting through the history’’</w:t>
      </w:r>
      <w:r w:rsidRPr="004B3F8F">
        <w:rPr>
          <w:rFonts w:ascii="Arial" w:eastAsiaTheme="minorHAnsi" w:hAnsi="Arial" w:cs="Arial"/>
          <w:kern w:val="0"/>
          <w:lang w:eastAsia="en-US"/>
          <w14:ligatures w14:val="none"/>
        </w:rPr>
        <w:t>. Ijame. Mar.-April. 2013 | Vol.2 | Issue 2|95-100</w:t>
      </w:r>
    </w:p>
    <w:p w14:paraId="7DE41C34" w14:textId="77777777" w:rsidR="004B3F8F" w:rsidRPr="004B3F8F" w:rsidRDefault="004B3F8F" w:rsidP="004B3F8F">
      <w:pPr>
        <w:spacing w:before="100" w:beforeAutospacing="1" w:after="100" w:afterAutospacing="1" w:line="480" w:lineRule="auto"/>
        <w:ind w:left="709" w:hanging="709"/>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Albrecht, C.C., Holland, D.V., Malagueno, R., Dolan, S., &amp; Tzafrir, S. 2015. "The role of power in financial statement fraud schemes." Journal of Business Ethics, 131(4), 803-813. This paper discusses how power dynamics and organizational culture affect fraud and the need for tailored approaches.</w:t>
      </w:r>
    </w:p>
    <w:p w14:paraId="331AFD77"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de-DE" w:eastAsia="en-US"/>
          <w14:ligatures w14:val="none"/>
        </w:rPr>
        <w:lastRenderedPageBreak/>
        <w:t xml:space="preserve">Albrecht, C., C.C. Albrecht, and S. Dolan. </w:t>
      </w:r>
      <w:r w:rsidRPr="004B3F8F">
        <w:rPr>
          <w:rFonts w:ascii="Arial" w:eastAsiaTheme="minorHAnsi" w:hAnsi="Arial" w:cs="Arial"/>
          <w:kern w:val="0"/>
          <w:lang w:val="en-US" w:eastAsia="en-US"/>
          <w14:ligatures w14:val="none"/>
        </w:rPr>
        <w:t xml:space="preserve">2007. “Financial Fraud: The How and Why.” </w:t>
      </w:r>
      <w:r w:rsidRPr="004B3F8F">
        <w:rPr>
          <w:rFonts w:ascii="Arial" w:eastAsiaTheme="minorHAnsi" w:hAnsi="Arial" w:cs="Arial"/>
          <w:i/>
          <w:iCs/>
          <w:kern w:val="0"/>
          <w:lang w:val="en-US" w:eastAsia="en-US"/>
          <w14:ligatures w14:val="none"/>
        </w:rPr>
        <w:t>European Business Forum</w:t>
      </w:r>
      <w:r w:rsidRPr="004B3F8F">
        <w:rPr>
          <w:rFonts w:ascii="Arial" w:eastAsiaTheme="minorHAnsi" w:hAnsi="Arial" w:cs="Arial"/>
          <w:kern w:val="0"/>
          <w:lang w:val="en-US" w:eastAsia="en-US"/>
          <w14:ligatures w14:val="none"/>
        </w:rPr>
        <w:t xml:space="preserve"> (29), pp. 34-39.</w:t>
      </w:r>
    </w:p>
    <w:p w14:paraId="2D7A7A66"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23" w:name="_Hlk44156671"/>
      <w:r w:rsidRPr="004B3F8F">
        <w:rPr>
          <w:rFonts w:ascii="Arial" w:eastAsiaTheme="minorHAnsi" w:hAnsi="Arial" w:cs="Arial"/>
          <w:kern w:val="0"/>
          <w:lang w:val="en-US" w:eastAsia="en-US"/>
          <w14:ligatures w14:val="none"/>
        </w:rPr>
        <w:t xml:space="preserve">Albrecht, C., C. Turnbull, Y. Zhang, and C.J. Skousen. 2010. “The Relationship Between South Korean Chaebols and Fraud.” </w:t>
      </w:r>
      <w:r w:rsidRPr="004B3F8F">
        <w:rPr>
          <w:rFonts w:ascii="Arial" w:eastAsiaTheme="minorHAnsi" w:hAnsi="Arial" w:cs="Arial"/>
          <w:i/>
          <w:iCs/>
          <w:kern w:val="0"/>
          <w:lang w:val="en-US" w:eastAsia="en-US"/>
          <w14:ligatures w14:val="none"/>
        </w:rPr>
        <w:t>Managerial Auditing Journal</w:t>
      </w:r>
      <w:r w:rsidRPr="004B3F8F">
        <w:rPr>
          <w:rFonts w:ascii="Arial" w:eastAsiaTheme="minorHAnsi" w:hAnsi="Arial" w:cs="Arial"/>
          <w:kern w:val="0"/>
          <w:lang w:val="en-US" w:eastAsia="en-US"/>
          <w14:ligatures w14:val="none"/>
        </w:rPr>
        <w:t xml:space="preserve"> 33, no. 3. 257-268</w:t>
      </w:r>
    </w:p>
    <w:bookmarkEnd w:id="823"/>
    <w:p w14:paraId="4EB66F6C"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Albrecht, S., K. Howe, and M. Romney. 1984. “Deterring Fraud: The Internal Auditor’s Perspective.” </w:t>
      </w:r>
      <w:r w:rsidRPr="004B3F8F">
        <w:rPr>
          <w:rFonts w:ascii="Arial" w:eastAsiaTheme="minorHAnsi" w:hAnsi="Arial" w:cs="Arial"/>
          <w:i/>
          <w:iCs/>
          <w:kern w:val="0"/>
          <w:lang w:val="en-US" w:eastAsia="en-US"/>
          <w14:ligatures w14:val="none"/>
        </w:rPr>
        <w:t>Institute of Internal Auditors Research Foundation</w:t>
      </w:r>
      <w:r w:rsidRPr="004B3F8F">
        <w:rPr>
          <w:rFonts w:ascii="Arial" w:eastAsiaTheme="minorHAnsi" w:hAnsi="Arial" w:cs="Arial"/>
          <w:kern w:val="0"/>
          <w:lang w:val="en-US" w:eastAsia="en-US"/>
          <w14:ligatures w14:val="none"/>
        </w:rPr>
        <w:t xml:space="preserve"> 3, no. 3, pp. 1-42.</w:t>
      </w:r>
    </w:p>
    <w:p w14:paraId="47DD704E"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97F1E">
        <w:rPr>
          <w:rFonts w:ascii="Arial" w:eastAsiaTheme="minorHAnsi" w:hAnsi="Arial" w:cs="Arial"/>
          <w:kern w:val="0"/>
          <w:lang w:eastAsia="en-US"/>
          <w14:ligatures w14:val="none"/>
        </w:rPr>
        <w:t xml:space="preserve">Albrecht, W.S. 2006. </w:t>
      </w:r>
      <w:r w:rsidRPr="00497F1E">
        <w:rPr>
          <w:rFonts w:ascii="Arial" w:eastAsiaTheme="minorHAnsi" w:hAnsi="Arial" w:cs="Arial"/>
          <w:i/>
          <w:iCs/>
          <w:kern w:val="0"/>
          <w:lang w:eastAsia="en-US"/>
          <w14:ligatures w14:val="none"/>
        </w:rPr>
        <w:t>Fraudulent Financial Transactions</w:t>
      </w:r>
      <w:r w:rsidRPr="00497F1E">
        <w:rPr>
          <w:rFonts w:ascii="Arial" w:eastAsiaTheme="minorHAnsi" w:hAnsi="Arial" w:cs="Arial"/>
          <w:kern w:val="0"/>
          <w:lang w:eastAsia="en-US"/>
          <w14:ligatures w14:val="none"/>
        </w:rPr>
        <w:t xml:space="preserve">. </w:t>
      </w:r>
      <w:r w:rsidRPr="004B3F8F">
        <w:rPr>
          <w:rFonts w:ascii="Arial" w:eastAsiaTheme="minorHAnsi" w:hAnsi="Arial" w:cs="Arial"/>
          <w:kern w:val="0"/>
          <w:lang w:val="en-US" w:eastAsia="en-US"/>
          <w14:ligatures w14:val="none"/>
        </w:rPr>
        <w:t>PhD Thesis. Brigham: Brigham Young University. http://www.aicpa.org/Pages/default.aspx,</w:t>
      </w:r>
      <w:r w:rsidRPr="004B3F8F">
        <w:rPr>
          <w:rFonts w:ascii="Arial" w:eastAsiaTheme="minorHAnsi" w:hAnsi="Arial" w:cs="Arial"/>
          <w:kern w:val="0"/>
          <w:shd w:val="clear" w:color="auto" w:fill="FFFFFF"/>
          <w:lang w:val="en-US" w:eastAsia="en-US"/>
          <w14:ligatures w14:val="none"/>
        </w:rPr>
        <w:t xml:space="preserve"> (accessed March 1, 2019).</w:t>
      </w:r>
    </w:p>
    <w:p w14:paraId="152A33A9"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de-DE" w:eastAsia="en-US"/>
          <w14:ligatures w14:val="none"/>
        </w:rPr>
      </w:pPr>
      <w:r w:rsidRPr="004B3F8F">
        <w:rPr>
          <w:rFonts w:ascii="Arial" w:eastAsiaTheme="minorHAnsi" w:hAnsi="Arial" w:cs="Arial"/>
          <w:kern w:val="0"/>
          <w:lang w:val="en-US" w:eastAsia="en-US"/>
          <w14:ligatures w14:val="none"/>
        </w:rPr>
        <w:t xml:space="preserve">Albrecht, W.S. 2014a. “My Reflections on How the ACFE Began.” </w:t>
      </w:r>
      <w:r w:rsidRPr="004B3F8F">
        <w:rPr>
          <w:rFonts w:ascii="Arial" w:eastAsiaTheme="minorHAnsi" w:hAnsi="Arial" w:cs="Arial"/>
          <w:i/>
          <w:iCs/>
          <w:kern w:val="0"/>
          <w:lang w:val="de-DE" w:eastAsia="en-US"/>
          <w14:ligatures w14:val="none"/>
        </w:rPr>
        <w:t>Fraud Magazine</w:t>
      </w:r>
      <w:r w:rsidRPr="004B3F8F">
        <w:rPr>
          <w:rFonts w:ascii="Arial" w:eastAsiaTheme="minorHAnsi" w:hAnsi="Arial" w:cs="Arial"/>
          <w:kern w:val="0"/>
          <w:lang w:val="de-DE" w:eastAsia="en-US"/>
          <w14:ligatures w14:val="none"/>
        </w:rPr>
        <w:t xml:space="preserve"> May/June 2014.</w:t>
      </w:r>
    </w:p>
    <w:p w14:paraId="0F0C8D46"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de-DE" w:eastAsia="en-US"/>
          <w14:ligatures w14:val="none"/>
        </w:rPr>
        <w:t xml:space="preserve">Albrecht, W.S. 2014b. </w:t>
      </w:r>
      <w:r w:rsidRPr="004B3F8F">
        <w:rPr>
          <w:rFonts w:ascii="Arial" w:eastAsiaTheme="minorHAnsi" w:hAnsi="Arial" w:cs="Arial"/>
          <w:kern w:val="0"/>
          <w:lang w:val="en-US" w:eastAsia="en-US"/>
          <w14:ligatures w14:val="none"/>
        </w:rPr>
        <w:t>“Iconic Fraud Triangle Endures: Metaphor Diagram Helps Everybody Understand Fraud.”</w:t>
      </w:r>
      <w:r w:rsidRPr="004B3F8F">
        <w:rPr>
          <w:rFonts w:ascii="Arial" w:eastAsiaTheme="minorHAnsi" w:hAnsi="Arial" w:cs="Arial"/>
          <w:i/>
          <w:iCs/>
          <w:kern w:val="0"/>
          <w:lang w:val="en-US" w:eastAsia="en-US"/>
          <w14:ligatures w14:val="none"/>
        </w:rPr>
        <w:t xml:space="preserve"> Fraud Magazine </w:t>
      </w:r>
      <w:r w:rsidRPr="004B3F8F">
        <w:rPr>
          <w:rFonts w:ascii="Arial" w:eastAsiaTheme="minorHAnsi" w:hAnsi="Arial" w:cs="Arial"/>
          <w:kern w:val="0"/>
          <w:lang w:val="en-US" w:eastAsia="en-US"/>
          <w14:ligatures w14:val="none"/>
        </w:rPr>
        <w:t xml:space="preserve">May/June 2014. </w:t>
      </w:r>
      <w:r w:rsidRPr="004B3F8F">
        <w:rPr>
          <w:rFonts w:ascii="Arial" w:eastAsiaTheme="minorHAnsi" w:hAnsi="Arial" w:cs="Arial"/>
          <w:kern w:val="0"/>
          <w:lang w:eastAsia="en-US"/>
          <w14:ligatures w14:val="none"/>
        </w:rPr>
        <w:t xml:space="preserve">Accessed online April 2019:  </w:t>
      </w:r>
      <w:hyperlink r:id="rId56" w:history="1">
        <w:r w:rsidRPr="004B3F8F">
          <w:rPr>
            <w:rFonts w:ascii="Arial" w:eastAsiaTheme="minorHAnsi" w:hAnsi="Arial" w:cs="Arial"/>
            <w:kern w:val="0"/>
            <w:lang w:eastAsia="en-US"/>
            <w14:ligatures w14:val="none"/>
          </w:rPr>
          <w:t>https://www.fraud-magazine.com/article.aspx?id=4294983342</w:t>
        </w:r>
      </w:hyperlink>
    </w:p>
    <w:p w14:paraId="6F9476B7"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de-DE" w:eastAsia="en-US"/>
          <w14:ligatures w14:val="none"/>
        </w:rPr>
        <w:t xml:space="preserve">Albrecht, W.S., and C.C. Albrecht. </w:t>
      </w:r>
      <w:r w:rsidRPr="004B3F8F">
        <w:rPr>
          <w:rFonts w:ascii="Arial" w:eastAsiaTheme="minorHAnsi" w:hAnsi="Arial" w:cs="Arial"/>
          <w:kern w:val="0"/>
          <w:lang w:val="en-US" w:eastAsia="en-US"/>
          <w14:ligatures w14:val="none"/>
        </w:rPr>
        <w:t xml:space="preserve">2002. “Root Out Financial Deception.” </w:t>
      </w:r>
      <w:r w:rsidRPr="004B3F8F">
        <w:rPr>
          <w:rFonts w:ascii="Arial" w:eastAsiaTheme="minorHAnsi" w:hAnsi="Arial" w:cs="Arial"/>
          <w:i/>
          <w:iCs/>
          <w:kern w:val="0"/>
          <w:lang w:val="en-US" w:eastAsia="en-US"/>
          <w14:ligatures w14:val="none"/>
        </w:rPr>
        <w:t>Journal of Accountancy</w:t>
      </w:r>
      <w:r w:rsidRPr="004B3F8F">
        <w:rPr>
          <w:rFonts w:ascii="Arial" w:eastAsiaTheme="minorHAnsi" w:hAnsi="Arial" w:cs="Arial"/>
          <w:kern w:val="0"/>
          <w:lang w:val="en-US" w:eastAsia="en-US"/>
          <w14:ligatures w14:val="none"/>
        </w:rPr>
        <w:t xml:space="preserve"> 193, no. 4, pp. 30-36.</w:t>
      </w:r>
    </w:p>
    <w:p w14:paraId="2D9B44D7"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Albrecht, W.S., G. Wernz, and T. Williams. 1995. </w:t>
      </w:r>
      <w:r w:rsidRPr="004B3F8F">
        <w:rPr>
          <w:rFonts w:ascii="Arial" w:eastAsiaTheme="minorHAnsi" w:hAnsi="Arial" w:cs="Arial"/>
          <w:i/>
          <w:iCs/>
          <w:kern w:val="0"/>
          <w:lang w:val="en-US" w:eastAsia="en-US"/>
          <w14:ligatures w14:val="none"/>
        </w:rPr>
        <w:t>Fraud: Bringing Light to the Dark Side of Business.</w:t>
      </w:r>
      <w:r w:rsidRPr="004B3F8F">
        <w:rPr>
          <w:rFonts w:ascii="Arial" w:eastAsiaTheme="minorHAnsi" w:hAnsi="Arial" w:cs="Arial"/>
          <w:kern w:val="0"/>
          <w:lang w:val="en-US" w:eastAsia="en-US"/>
          <w14:ligatures w14:val="none"/>
        </w:rPr>
        <w:t xml:space="preserve"> 1st ed. New York: McGraw-Hill.</w:t>
      </w:r>
    </w:p>
    <w:p w14:paraId="38ACB769"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D21E0B">
        <w:rPr>
          <w:rFonts w:ascii="Arial" w:eastAsiaTheme="minorHAnsi" w:hAnsi="Arial" w:cs="Arial"/>
          <w:kern w:val="0"/>
          <w:lang w:eastAsia="en-US"/>
          <w14:ligatures w14:val="none"/>
        </w:rPr>
        <w:lastRenderedPageBreak/>
        <w:t xml:space="preserve">Albrecht, W.S., C.C. Albrecht, and C.O. Albrecht. </w:t>
      </w:r>
      <w:r w:rsidRPr="004B3F8F">
        <w:rPr>
          <w:rFonts w:ascii="Arial" w:eastAsiaTheme="minorHAnsi" w:hAnsi="Arial" w:cs="Arial"/>
          <w:kern w:val="0"/>
          <w:lang w:val="en-US" w:eastAsia="en-US"/>
          <w14:ligatures w14:val="none"/>
        </w:rPr>
        <w:t xml:space="preserve">2004. “Fraud and Corporate Executives: Agency, Stewardship and Broken Trust.” </w:t>
      </w:r>
      <w:r w:rsidRPr="004B3F8F">
        <w:rPr>
          <w:rFonts w:ascii="Arial" w:eastAsiaTheme="minorHAnsi" w:hAnsi="Arial" w:cs="Arial"/>
          <w:i/>
          <w:iCs/>
          <w:kern w:val="0"/>
          <w:lang w:val="en-US" w:eastAsia="en-US"/>
          <w14:ligatures w14:val="none"/>
        </w:rPr>
        <w:t>Journal of Forensic Accounting</w:t>
      </w:r>
      <w:r w:rsidRPr="004B3F8F">
        <w:rPr>
          <w:rFonts w:ascii="Arial" w:eastAsiaTheme="minorHAnsi" w:hAnsi="Arial" w:cs="Arial"/>
          <w:kern w:val="0"/>
          <w:lang w:val="en-US" w:eastAsia="en-US"/>
          <w14:ligatures w14:val="none"/>
        </w:rPr>
        <w:t xml:space="preserve"> 5, no. 1, pp. 109-30.</w:t>
      </w:r>
    </w:p>
    <w:p w14:paraId="5504FFAD" w14:textId="77777777" w:rsidR="004B3F8F" w:rsidRPr="00497F1E" w:rsidRDefault="004B3F8F" w:rsidP="004B3F8F">
      <w:pPr>
        <w:spacing w:after="0" w:line="480" w:lineRule="auto"/>
        <w:ind w:left="851" w:hanging="851"/>
        <w:contextualSpacing/>
        <w:jc w:val="both"/>
        <w:rPr>
          <w:rFonts w:asciiTheme="minorBidi" w:eastAsia="Times New Roman" w:hAnsiTheme="minorBidi"/>
          <w:kern w:val="0"/>
          <w:lang w:val="de-DE"/>
          <w14:ligatures w14:val="none"/>
        </w:rPr>
      </w:pPr>
      <w:r w:rsidRPr="00497F1E">
        <w:rPr>
          <w:rFonts w:asciiTheme="minorBidi" w:eastAsia="Times New Roman" w:hAnsiTheme="minorBidi"/>
          <w:kern w:val="0"/>
          <w14:ligatures w14:val="none"/>
        </w:rPr>
        <w:t xml:space="preserve">Albrecht, C., Albrecht, W. S., &amp; Albrecht, C. C.2006. </w:t>
      </w:r>
      <w:r w:rsidRPr="004B3F8F">
        <w:rPr>
          <w:rFonts w:asciiTheme="minorBidi" w:eastAsia="Times New Roman" w:hAnsiTheme="minorBidi"/>
          <w:kern w:val="0"/>
          <w14:ligatures w14:val="none"/>
        </w:rPr>
        <w:t xml:space="preserve">Fraud examination and prevention. </w:t>
      </w:r>
      <w:r w:rsidRPr="00497F1E">
        <w:rPr>
          <w:rFonts w:asciiTheme="minorBidi" w:eastAsia="Times New Roman" w:hAnsiTheme="minorBidi"/>
          <w:i/>
          <w:iCs/>
          <w:kern w:val="0"/>
          <w:lang w:val="de-DE"/>
          <w14:ligatures w14:val="none"/>
        </w:rPr>
        <w:t>Thomson South-Western</w:t>
      </w:r>
      <w:r w:rsidRPr="00497F1E">
        <w:rPr>
          <w:rFonts w:asciiTheme="minorBidi" w:eastAsia="Times New Roman" w:hAnsiTheme="minorBidi"/>
          <w:kern w:val="0"/>
          <w:lang w:val="de-DE"/>
          <w14:ligatures w14:val="none"/>
        </w:rPr>
        <w:t>.</w:t>
      </w:r>
    </w:p>
    <w:p w14:paraId="3BD16318"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de-DE" w:eastAsia="en-US"/>
          <w14:ligatures w14:val="none"/>
        </w:rPr>
        <w:t xml:space="preserve">Albrecht, W.S., C. Albrecht, and C.C. Albrecht. </w:t>
      </w:r>
      <w:r w:rsidRPr="004B3F8F">
        <w:rPr>
          <w:rFonts w:ascii="Arial" w:eastAsiaTheme="minorHAnsi" w:hAnsi="Arial" w:cs="Arial"/>
          <w:kern w:val="0"/>
          <w:lang w:val="en-US" w:eastAsia="en-US"/>
          <w14:ligatures w14:val="none"/>
        </w:rPr>
        <w:t xml:space="preserve">2008. “Current Trends in Fraud and Its Detection.” </w:t>
      </w:r>
      <w:r w:rsidRPr="004B3F8F">
        <w:rPr>
          <w:rFonts w:ascii="Arial" w:eastAsiaTheme="minorHAnsi" w:hAnsi="Arial" w:cs="Arial"/>
          <w:i/>
          <w:iCs/>
          <w:kern w:val="0"/>
          <w:lang w:val="en-US" w:eastAsia="en-US"/>
          <w14:ligatures w14:val="none"/>
        </w:rPr>
        <w:t>Information Security Journal: A Global Perspective</w:t>
      </w:r>
      <w:r w:rsidRPr="004B3F8F">
        <w:rPr>
          <w:rFonts w:ascii="Arial" w:eastAsiaTheme="minorHAnsi" w:hAnsi="Arial" w:cs="Arial"/>
          <w:kern w:val="0"/>
          <w:lang w:val="en-US" w:eastAsia="en-US"/>
          <w14:ligatures w14:val="none"/>
        </w:rPr>
        <w:t xml:space="preserve"> 17, no. 1, pp. 2-12.</w:t>
      </w:r>
    </w:p>
    <w:p w14:paraId="6AD361FD"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3E5C81">
        <w:rPr>
          <w:rFonts w:asciiTheme="minorBidi" w:eastAsia="Times New Roman" w:hAnsiTheme="minorBidi"/>
          <w:kern w:val="0"/>
          <w14:ligatures w14:val="none"/>
        </w:rPr>
        <w:t xml:space="preserve">Albrecht, W. S., Albrecht, C. C., &amp; Albrecht, C. O. 2021. </w:t>
      </w:r>
      <w:r w:rsidRPr="004B3F8F">
        <w:rPr>
          <w:rFonts w:asciiTheme="minorBidi" w:eastAsia="Times New Roman" w:hAnsiTheme="minorBidi"/>
          <w:kern w:val="0"/>
          <w14:ligatures w14:val="none"/>
        </w:rPr>
        <w:t>Fraud Examination (6th ed.). Cengage Learning.</w:t>
      </w:r>
    </w:p>
    <w:p w14:paraId="4A6311AF"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Al-Hashedi, K.G. and Magalingam, P., 2021. Financial fraud detection applying data mining techniques: A comprehensive review from 2009 to 2019. </w:t>
      </w:r>
      <w:r w:rsidRPr="004B3F8F">
        <w:rPr>
          <w:rFonts w:ascii="Arial" w:hAnsi="Arial" w:cs="Arial"/>
          <w:i/>
          <w:iCs/>
          <w:color w:val="222222"/>
          <w:shd w:val="clear" w:color="auto" w:fill="FFFFFF"/>
        </w:rPr>
        <w:t>Computer Science Review</w:t>
      </w:r>
      <w:r w:rsidRPr="004B3F8F">
        <w:rPr>
          <w:rFonts w:ascii="Arial" w:hAnsi="Arial" w:cs="Arial"/>
          <w:color w:val="222222"/>
          <w:shd w:val="clear" w:color="auto" w:fill="FFFFFF"/>
        </w:rPr>
        <w:t>, </w:t>
      </w:r>
      <w:r w:rsidRPr="004B3F8F">
        <w:rPr>
          <w:rFonts w:ascii="Arial" w:hAnsi="Arial" w:cs="Arial"/>
          <w:i/>
          <w:iCs/>
          <w:color w:val="222222"/>
          <w:shd w:val="clear" w:color="auto" w:fill="FFFFFF"/>
        </w:rPr>
        <w:t>40</w:t>
      </w:r>
      <w:r w:rsidRPr="004B3F8F">
        <w:rPr>
          <w:rFonts w:ascii="Arial" w:hAnsi="Arial" w:cs="Arial"/>
          <w:color w:val="222222"/>
          <w:shd w:val="clear" w:color="auto" w:fill="FFFFFF"/>
        </w:rPr>
        <w:t>, p.100402.</w:t>
      </w:r>
    </w:p>
    <w:p w14:paraId="55AA3A45"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Al Haq, Z.M.N. and Rochayatun, S., 2023, August. PREVENTION OF ACCOUNTING FRAUD THROUGH INTERNAL CONTROL SYSTEMS: A LITERATURE REVIEW. In </w:t>
      </w:r>
      <w:r w:rsidRPr="004B3F8F">
        <w:rPr>
          <w:rFonts w:ascii="Arial" w:hAnsi="Arial" w:cs="Arial"/>
          <w:i/>
          <w:iCs/>
          <w:color w:val="222222"/>
          <w:shd w:val="clear" w:color="auto" w:fill="FFFFFF"/>
        </w:rPr>
        <w:t>Proceedings of the International Conference of Islamic Economics and Business (ICONIES)</w:t>
      </w:r>
      <w:r w:rsidRPr="004B3F8F">
        <w:rPr>
          <w:rFonts w:ascii="Arial" w:hAnsi="Arial" w:cs="Arial"/>
          <w:color w:val="222222"/>
          <w:shd w:val="clear" w:color="auto" w:fill="FFFFFF"/>
        </w:rPr>
        <w:t> (Vol. 9, No. 1, pp. 229-234).</w:t>
      </w:r>
    </w:p>
    <w:p w14:paraId="7E8A3EC8"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Al Haq, A., &amp; Rochayatun, E. 2023. Fraud Awareness and Prevention in Organizations: A Comprehensive Approach. </w:t>
      </w:r>
      <w:r w:rsidRPr="004B3F8F">
        <w:rPr>
          <w:rFonts w:asciiTheme="minorBidi" w:eastAsia="Times New Roman" w:hAnsiTheme="minorBidi"/>
          <w:i/>
          <w:iCs/>
          <w:kern w:val="0"/>
          <w14:ligatures w14:val="none"/>
        </w:rPr>
        <w:t>Journal of Business Ethics</w:t>
      </w:r>
      <w:r w:rsidRPr="004B3F8F">
        <w:rPr>
          <w:rFonts w:asciiTheme="minorBidi" w:eastAsia="Times New Roman" w:hAnsiTheme="minorBidi"/>
          <w:kern w:val="0"/>
          <w14:ligatures w14:val="none"/>
        </w:rPr>
        <w:t>.</w:t>
      </w:r>
    </w:p>
    <w:p w14:paraId="18977712"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Alhomdy, S., Thabit, F., Abdulrazzak, F.A.H., Haldorai, A. and Jagtap, S., 2021. The role of cloud computing technology: A savior to fight the lockdown in COVID 19 crisis, the benefits, characteristics and applications. </w:t>
      </w:r>
      <w:r w:rsidRPr="004B3F8F">
        <w:rPr>
          <w:rFonts w:ascii="Arial" w:hAnsi="Arial" w:cs="Arial"/>
          <w:i/>
          <w:iCs/>
          <w:color w:val="222222"/>
          <w:shd w:val="clear" w:color="auto" w:fill="FFFFFF"/>
        </w:rPr>
        <w:t>International Journal of Intelligent Networks</w:t>
      </w:r>
      <w:r w:rsidRPr="004B3F8F">
        <w:rPr>
          <w:rFonts w:ascii="Arial" w:hAnsi="Arial" w:cs="Arial"/>
          <w:color w:val="222222"/>
          <w:shd w:val="clear" w:color="auto" w:fill="FFFFFF"/>
        </w:rPr>
        <w:t>, </w:t>
      </w:r>
      <w:r w:rsidRPr="004B3F8F">
        <w:rPr>
          <w:rFonts w:ascii="Arial" w:hAnsi="Arial" w:cs="Arial"/>
          <w:i/>
          <w:iCs/>
          <w:color w:val="222222"/>
          <w:shd w:val="clear" w:color="auto" w:fill="FFFFFF"/>
        </w:rPr>
        <w:t>2</w:t>
      </w:r>
      <w:r w:rsidRPr="004B3F8F">
        <w:rPr>
          <w:rFonts w:ascii="Arial" w:hAnsi="Arial" w:cs="Arial"/>
          <w:color w:val="222222"/>
          <w:shd w:val="clear" w:color="auto" w:fill="FFFFFF"/>
        </w:rPr>
        <w:t>, pp.166-174.</w:t>
      </w:r>
    </w:p>
    <w:p w14:paraId="05BF9D1F" w14:textId="77777777" w:rsidR="004B3F8F" w:rsidRPr="004B3F8F" w:rsidRDefault="004B3F8F" w:rsidP="004B3F8F">
      <w:pPr>
        <w:spacing w:after="200" w:line="480" w:lineRule="auto"/>
        <w:ind w:left="785" w:hangingChars="327" w:hanging="785"/>
        <w:jc w:val="both"/>
        <w:rPr>
          <w:rFonts w:ascii="Arial" w:eastAsiaTheme="minorHAnsi" w:hAnsi="Arial" w:cs="Arial"/>
          <w:iCs/>
          <w:kern w:val="0"/>
          <w:lang w:val="en-US" w:eastAsia="en-US"/>
          <w14:ligatures w14:val="none"/>
        </w:rPr>
      </w:pPr>
      <w:r w:rsidRPr="004B3F8F">
        <w:rPr>
          <w:rFonts w:ascii="Arial" w:eastAsiaTheme="minorHAnsi" w:hAnsi="Arial" w:cs="Arial"/>
          <w:kern w:val="0"/>
          <w:lang w:val="en-US" w:eastAsia="en-US"/>
          <w14:ligatures w14:val="none"/>
        </w:rPr>
        <w:lastRenderedPageBreak/>
        <w:t xml:space="preserve">Alles, M.G. 2015. “Drivers of the Use and Facilitators and Obstacles of the Evolution of Big Data by the Audit Profession.” </w:t>
      </w:r>
      <w:r w:rsidRPr="004B3F8F">
        <w:rPr>
          <w:rFonts w:ascii="Arial" w:eastAsiaTheme="minorHAnsi" w:hAnsi="Arial" w:cs="Arial"/>
          <w:i/>
          <w:kern w:val="0"/>
          <w:lang w:val="en-US" w:eastAsia="en-US"/>
          <w14:ligatures w14:val="none"/>
        </w:rPr>
        <w:t>Accounting Horizons</w:t>
      </w:r>
      <w:r w:rsidRPr="004B3F8F">
        <w:rPr>
          <w:rFonts w:ascii="Arial" w:eastAsiaTheme="minorHAnsi" w:hAnsi="Arial" w:cs="Arial"/>
          <w:kern w:val="0"/>
          <w:lang w:val="en-US" w:eastAsia="en-US"/>
          <w14:ligatures w14:val="none"/>
        </w:rPr>
        <w:t xml:space="preserve"> 29, no. 2, pp. 439-49.</w:t>
      </w:r>
    </w:p>
    <w:p w14:paraId="22FB6EDA"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r w:rsidRPr="004B3F8F">
        <w:rPr>
          <w:rFonts w:ascii="Arial" w:eastAsiaTheme="minorHAnsi" w:hAnsi="Arial" w:cs="Arial"/>
          <w:kern w:val="0"/>
          <w:lang w:val="en-US" w:eastAsia="en-US"/>
          <w14:ligatures w14:val="none"/>
        </w:rPr>
        <w:t xml:space="preserve">Alleyne, P., and M. Howard. 2005. “An Exploratory Study of Auditors’ Responsibility for Fraud Detection in Barbados.” </w:t>
      </w:r>
      <w:r w:rsidRPr="004B3F8F">
        <w:rPr>
          <w:rFonts w:ascii="Arial" w:eastAsiaTheme="minorHAnsi" w:hAnsi="Arial" w:cs="Arial"/>
          <w:i/>
          <w:iCs/>
          <w:kern w:val="0"/>
          <w:lang w:val="en-US" w:eastAsia="en-US"/>
          <w14:ligatures w14:val="none"/>
        </w:rPr>
        <w:t>Managerial Auditing Journal</w:t>
      </w:r>
      <w:r w:rsidRPr="004B3F8F">
        <w:rPr>
          <w:rFonts w:ascii="Arial" w:eastAsiaTheme="minorHAnsi" w:hAnsi="Arial" w:cs="Arial"/>
          <w:kern w:val="0"/>
          <w:lang w:val="en-US" w:eastAsia="en-US"/>
          <w14:ligatures w14:val="none"/>
        </w:rPr>
        <w:t xml:space="preserve"> 20, no. 1. www.emerald.com, (</w:t>
      </w:r>
      <w:r w:rsidRPr="004B3F8F">
        <w:rPr>
          <w:rFonts w:ascii="Arial" w:eastAsiaTheme="minorHAnsi" w:hAnsi="Arial" w:cs="Arial"/>
          <w:kern w:val="0"/>
          <w:shd w:val="clear" w:color="auto" w:fill="FFFFFF"/>
          <w:lang w:val="en-US" w:eastAsia="en-US"/>
          <w14:ligatures w14:val="none"/>
        </w:rPr>
        <w:t>accessed December 20, 2017).</w:t>
      </w:r>
    </w:p>
    <w:p w14:paraId="22D86AB4" w14:textId="77777777" w:rsidR="004B3F8F" w:rsidRPr="00D21E0B" w:rsidRDefault="004B3F8F" w:rsidP="004B3F8F">
      <w:pPr>
        <w:spacing w:line="480" w:lineRule="auto"/>
        <w:rPr>
          <w:rFonts w:asciiTheme="minorBidi" w:eastAsiaTheme="minorHAnsi" w:hAnsiTheme="minorBidi"/>
          <w:kern w:val="0"/>
          <w:lang w:eastAsia="en-US"/>
          <w14:ligatures w14:val="none"/>
        </w:rPr>
      </w:pPr>
      <w:r w:rsidRPr="00D21E0B">
        <w:rPr>
          <w:rFonts w:asciiTheme="minorBidi" w:eastAsiaTheme="minorHAnsi" w:hAnsiTheme="minorBidi"/>
          <w:kern w:val="0"/>
          <w:shd w:val="clear" w:color="auto" w:fill="FFFFFF"/>
          <w:lang w:eastAsia="en-US"/>
          <w14:ligatures w14:val="none"/>
        </w:rPr>
        <w:t xml:space="preserve">Anon. 2021. </w:t>
      </w:r>
      <w:hyperlink r:id="rId57" w:history="1">
        <w:r w:rsidRPr="00D21E0B">
          <w:rPr>
            <w:rFonts w:asciiTheme="minorBidi" w:eastAsiaTheme="minorHAnsi" w:hAnsiTheme="minorBidi"/>
            <w:kern w:val="0"/>
            <w:lang w:eastAsia="en-US"/>
            <w14:ligatures w14:val="none"/>
          </w:rPr>
          <w:t>Netflix’s Unique Culture (levels.fyi)</w:t>
        </w:r>
      </w:hyperlink>
      <w:r w:rsidRPr="00D21E0B">
        <w:rPr>
          <w:rFonts w:asciiTheme="minorBidi" w:eastAsiaTheme="minorHAnsi" w:hAnsiTheme="minorBidi"/>
          <w:kern w:val="0"/>
          <w:lang w:eastAsia="en-US"/>
          <w14:ligatures w14:val="none"/>
        </w:rPr>
        <w:t xml:space="preserve">. </w:t>
      </w:r>
    </w:p>
    <w:p w14:paraId="63823622" w14:textId="77777777" w:rsidR="004B3F8F" w:rsidRPr="004B3F8F" w:rsidRDefault="00000000" w:rsidP="004B3F8F">
      <w:pPr>
        <w:spacing w:line="480" w:lineRule="auto"/>
        <w:ind w:firstLine="720"/>
        <w:rPr>
          <w:rFonts w:asciiTheme="minorBidi" w:eastAsiaTheme="minorHAnsi" w:hAnsiTheme="minorBidi"/>
          <w:kern w:val="0"/>
          <w:shd w:val="clear" w:color="auto" w:fill="FFFFFF"/>
          <w:lang w:eastAsia="en-US"/>
          <w14:ligatures w14:val="none"/>
        </w:rPr>
      </w:pPr>
      <w:hyperlink r:id="rId58" w:history="1">
        <w:r w:rsidR="004B3F8F" w:rsidRPr="004B3F8F">
          <w:rPr>
            <w:rFonts w:asciiTheme="minorBidi" w:eastAsiaTheme="minorHAnsi" w:hAnsiTheme="minorBidi"/>
            <w:kern w:val="0"/>
            <w:lang w:eastAsia="en-US"/>
            <w14:ligatures w14:val="none"/>
          </w:rPr>
          <w:t>www.levels.fyi/b/blog/netflix-unique-culture.html</w:t>
        </w:r>
      </w:hyperlink>
      <w:r w:rsidR="004B3F8F" w:rsidRPr="004B3F8F">
        <w:rPr>
          <w:rFonts w:asciiTheme="minorBidi" w:eastAsiaTheme="minorHAnsi" w:hAnsiTheme="minorBidi"/>
          <w:kern w:val="0"/>
          <w:lang w:eastAsia="en-US"/>
          <w14:ligatures w14:val="none"/>
        </w:rPr>
        <w:t xml:space="preserve"> Accessed: August 2023</w:t>
      </w:r>
    </w:p>
    <w:p w14:paraId="15639FC7"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Alvarez, F., and L. Lippi. 2009. “</w:t>
      </w:r>
      <w:r w:rsidRPr="004B3F8F">
        <w:rPr>
          <w:rFonts w:ascii="Arial" w:eastAsiaTheme="minorHAnsi" w:hAnsi="Arial" w:cs="Arial"/>
          <w:iCs/>
          <w:kern w:val="0"/>
          <w:lang w:val="en-US" w:eastAsia="en-US"/>
          <w14:ligatures w14:val="none"/>
        </w:rPr>
        <w:t>Financial Innovation and the Transactions Demand for Cash</w:t>
      </w:r>
      <w:r w:rsidRPr="004B3F8F">
        <w:rPr>
          <w:rFonts w:ascii="Arial" w:eastAsiaTheme="minorHAnsi" w:hAnsi="Arial" w:cs="Arial"/>
          <w:i/>
          <w:kern w:val="0"/>
          <w:lang w:val="en-US" w:eastAsia="en-US"/>
          <w14:ligatures w14:val="none"/>
        </w:rPr>
        <w:t>.</w:t>
      </w:r>
      <w:r w:rsidRPr="004B3F8F">
        <w:rPr>
          <w:rFonts w:ascii="Arial" w:eastAsiaTheme="minorHAnsi" w:hAnsi="Arial" w:cs="Arial"/>
          <w:iCs/>
          <w:kern w:val="0"/>
          <w:lang w:val="en-US" w:eastAsia="en-US"/>
          <w14:ligatures w14:val="none"/>
        </w:rPr>
        <w:t>”</w:t>
      </w:r>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i/>
          <w:kern w:val="0"/>
          <w:lang w:val="en-US" w:eastAsia="en-US"/>
          <w14:ligatures w14:val="none"/>
        </w:rPr>
        <w:t>Econometrica</w:t>
      </w:r>
      <w:r w:rsidRPr="004B3F8F">
        <w:rPr>
          <w:rFonts w:ascii="Arial" w:eastAsiaTheme="minorHAnsi" w:hAnsi="Arial" w:cs="Arial"/>
          <w:kern w:val="0"/>
          <w:lang w:val="en-US" w:eastAsia="en-US"/>
          <w14:ligatures w14:val="none"/>
        </w:rPr>
        <w:t xml:space="preserve"> 77, pp. 363-402.</w:t>
      </w:r>
    </w:p>
    <w:p w14:paraId="29F55E93" w14:textId="77777777" w:rsidR="004B3F8F" w:rsidRPr="004B3F8F" w:rsidRDefault="004B3F8F" w:rsidP="004B3F8F">
      <w:pPr>
        <w:spacing w:line="480" w:lineRule="auto"/>
        <w:ind w:left="709" w:hanging="709"/>
        <w:jc w:val="both"/>
        <w:rPr>
          <w:rFonts w:ascii="Arial" w:eastAsiaTheme="minorHAnsi" w:hAnsi="Arial" w:cs="Arial"/>
          <w:color w:val="222222"/>
          <w:kern w:val="0"/>
          <w:shd w:val="clear" w:color="auto" w:fill="FFFFFF"/>
          <w:lang w:eastAsia="en-US"/>
          <w14:ligatures w14:val="none"/>
        </w:rPr>
      </w:pPr>
      <w:r w:rsidRPr="004B3F8F">
        <w:rPr>
          <w:rFonts w:ascii="Arial" w:eastAsiaTheme="minorHAnsi" w:hAnsi="Arial" w:cs="Arial"/>
          <w:color w:val="222222"/>
          <w:kern w:val="0"/>
          <w:shd w:val="clear" w:color="auto" w:fill="FFFFFF"/>
          <w:lang w:eastAsia="en-US"/>
          <w14:ligatures w14:val="none"/>
        </w:rPr>
        <w:t>Anderson, N. E., Widdows, M., Maurer, J. M., &amp; Kiehl, K. A. 2021. Clarifying fearlessness in psychopathy: An examination of thrill-seeking and physical risk-taking. </w:t>
      </w:r>
      <w:r w:rsidRPr="004B3F8F">
        <w:rPr>
          <w:rFonts w:ascii="Arial" w:eastAsiaTheme="minorHAnsi" w:hAnsi="Arial" w:cs="Arial"/>
          <w:i/>
          <w:iCs/>
          <w:color w:val="222222"/>
          <w:kern w:val="0"/>
          <w:shd w:val="clear" w:color="auto" w:fill="FFFFFF"/>
          <w:lang w:eastAsia="en-US"/>
          <w14:ligatures w14:val="none"/>
        </w:rPr>
        <w:t>Journal of psychopathology and behavioral assessment</w:t>
      </w:r>
      <w:r w:rsidRPr="004B3F8F">
        <w:rPr>
          <w:rFonts w:ascii="Arial" w:eastAsiaTheme="minorHAnsi" w:hAnsi="Arial" w:cs="Arial"/>
          <w:color w:val="222222"/>
          <w:kern w:val="0"/>
          <w:shd w:val="clear" w:color="auto" w:fill="FFFFFF"/>
          <w:lang w:eastAsia="en-US"/>
          <w14:ligatures w14:val="none"/>
        </w:rPr>
        <w:t>, </w:t>
      </w:r>
      <w:r w:rsidRPr="004B3F8F">
        <w:rPr>
          <w:rFonts w:ascii="Arial" w:eastAsiaTheme="minorHAnsi" w:hAnsi="Arial" w:cs="Arial"/>
          <w:i/>
          <w:iCs/>
          <w:color w:val="222222"/>
          <w:kern w:val="0"/>
          <w:shd w:val="clear" w:color="auto" w:fill="FFFFFF"/>
          <w:lang w:eastAsia="en-US"/>
          <w14:ligatures w14:val="none"/>
        </w:rPr>
        <w:t>43</w:t>
      </w:r>
      <w:r w:rsidRPr="004B3F8F">
        <w:rPr>
          <w:rFonts w:ascii="Arial" w:eastAsiaTheme="minorHAnsi" w:hAnsi="Arial" w:cs="Arial"/>
          <w:color w:val="222222"/>
          <w:kern w:val="0"/>
          <w:shd w:val="clear" w:color="auto" w:fill="FFFFFF"/>
          <w:lang w:eastAsia="en-US"/>
          <w14:ligatures w14:val="none"/>
        </w:rPr>
        <w:t>, 21-32.</w:t>
      </w:r>
    </w:p>
    <w:p w14:paraId="4539F99B" w14:textId="77777777" w:rsidR="004B3F8F" w:rsidRPr="004B3F8F" w:rsidRDefault="004B3F8F" w:rsidP="004B3F8F">
      <w:pPr>
        <w:spacing w:before="100" w:beforeAutospacing="1" w:after="100" w:afterAutospacing="1" w:line="480" w:lineRule="auto"/>
        <w:ind w:left="709" w:hanging="709"/>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American Psychological Association (APA). 2020. </w:t>
      </w:r>
      <w:r w:rsidRPr="004B3F8F">
        <w:rPr>
          <w:rFonts w:asciiTheme="minorBidi" w:eastAsia="Times New Roman" w:hAnsiTheme="minorBidi"/>
          <w:i/>
          <w:iCs/>
          <w:kern w:val="0"/>
          <w14:ligatures w14:val="none"/>
        </w:rPr>
        <w:t>Publication Manual of the American Psychological Association</w:t>
      </w:r>
      <w:r w:rsidRPr="004B3F8F">
        <w:rPr>
          <w:rFonts w:asciiTheme="minorBidi" w:eastAsia="Times New Roman" w:hAnsiTheme="minorBidi"/>
          <w:kern w:val="0"/>
          <w14:ligatures w14:val="none"/>
        </w:rPr>
        <w:t xml:space="preserve"> (7th ed.).</w:t>
      </w:r>
    </w:p>
    <w:p w14:paraId="5C297EBB"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r w:rsidRPr="004B3F8F">
        <w:rPr>
          <w:rFonts w:ascii="Arial" w:eastAsiaTheme="minorHAnsi" w:hAnsi="Arial" w:cs="Arial"/>
          <w:kern w:val="0"/>
          <w:lang w:val="en-US" w:eastAsia="en-US"/>
          <w14:ligatures w14:val="none"/>
        </w:rPr>
        <w:t>American Institute of Certified Public Accountants (AICPA). 2007. “Concealed Liabilities,</w:t>
      </w:r>
      <w:r w:rsidRPr="004B3F8F">
        <w:rPr>
          <w:rFonts w:ascii="Arial" w:eastAsiaTheme="minorHAnsi" w:hAnsi="Arial" w:cs="Arial"/>
          <w:iCs/>
          <w:kern w:val="0"/>
          <w:lang w:val="en-US" w:eastAsia="en-US"/>
          <w14:ligatures w14:val="none"/>
        </w:rPr>
        <w:t>”</w:t>
      </w:r>
      <w:r w:rsidRPr="004B3F8F">
        <w:rPr>
          <w:rFonts w:ascii="Arial" w:eastAsiaTheme="minorHAnsi" w:hAnsi="Arial" w:cs="Arial"/>
          <w:i/>
          <w:iCs/>
          <w:kern w:val="0"/>
          <w:lang w:val="en-US" w:eastAsia="en-US"/>
          <w14:ligatures w14:val="none"/>
        </w:rPr>
        <w:t xml:space="preserve"> </w:t>
      </w:r>
      <w:r w:rsidRPr="004B3F8F">
        <w:rPr>
          <w:rFonts w:ascii="Arial" w:eastAsiaTheme="minorHAnsi" w:hAnsi="Arial" w:cs="Arial"/>
          <w:kern w:val="0"/>
          <w:lang w:val="en-US" w:eastAsia="en-US"/>
          <w14:ligatures w14:val="none"/>
        </w:rPr>
        <w:t xml:space="preserve">www.aicpa.org, </w:t>
      </w:r>
      <w:r w:rsidRPr="004B3F8F">
        <w:rPr>
          <w:rFonts w:ascii="Arial" w:eastAsiaTheme="minorHAnsi" w:hAnsi="Arial" w:cs="Arial"/>
          <w:kern w:val="0"/>
          <w:shd w:val="clear" w:color="auto" w:fill="FFFFFF"/>
          <w:lang w:val="en-US" w:eastAsia="en-US"/>
          <w14:ligatures w14:val="none"/>
        </w:rPr>
        <w:t>(</w:t>
      </w:r>
      <w:r w:rsidRPr="004B3F8F">
        <w:rPr>
          <w:rFonts w:ascii="Arial" w:eastAsiaTheme="minorHAnsi" w:hAnsi="Arial" w:cs="Arial"/>
          <w:kern w:val="0"/>
          <w:lang w:val="en-US" w:eastAsia="en-US"/>
          <w14:ligatures w14:val="none"/>
        </w:rPr>
        <w:t xml:space="preserve">accessed </w:t>
      </w:r>
      <w:r w:rsidRPr="004B3F8F">
        <w:rPr>
          <w:rFonts w:ascii="Arial" w:eastAsiaTheme="minorHAnsi" w:hAnsi="Arial" w:cs="Arial"/>
          <w:kern w:val="0"/>
          <w:shd w:val="clear" w:color="auto" w:fill="FFFFFF"/>
          <w:lang w:val="en-US" w:eastAsia="en-US"/>
          <w14:ligatures w14:val="none"/>
        </w:rPr>
        <w:t>January 1, 2019).</w:t>
      </w:r>
    </w:p>
    <w:p w14:paraId="3EEFBA74"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lang w:val="de-DE"/>
          <w14:ligatures w14:val="none"/>
        </w:rPr>
        <w:t xml:space="preserve">Anagnostopoulou, S. C., &amp; Tsekrekos, A. E. 2017. </w:t>
      </w:r>
      <w:r w:rsidRPr="004B3F8F">
        <w:rPr>
          <w:rFonts w:asciiTheme="minorBidi" w:eastAsia="Times New Roman" w:hAnsiTheme="minorBidi"/>
          <w:kern w:val="0"/>
          <w14:ligatures w14:val="none"/>
        </w:rPr>
        <w:t>Corporate Governance and Accounting Fraud: Evidence from Greece. Managerial Auditing Journal, 32(6), 606-626. doi:10.1108/MAJ-12-2016-1497.</w:t>
      </w:r>
    </w:p>
    <w:p w14:paraId="0DD0CAE9"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lastRenderedPageBreak/>
        <w:t xml:space="preserve">Anand, V., B.E. Ashforth, and M. Joshi. 2004. “Business as Usual: The Acceptance and Perpetuation of Corruption in Organizations.” </w:t>
      </w:r>
      <w:r w:rsidRPr="004B3F8F">
        <w:rPr>
          <w:rFonts w:ascii="Arial" w:eastAsiaTheme="minorHAnsi" w:hAnsi="Arial" w:cs="Arial"/>
          <w:i/>
          <w:iCs/>
          <w:kern w:val="0"/>
          <w:lang w:val="en-US" w:eastAsia="en-US"/>
          <w14:ligatures w14:val="none"/>
        </w:rPr>
        <w:t>The Academy of Management Executive</w:t>
      </w:r>
      <w:r w:rsidRPr="004B3F8F">
        <w:rPr>
          <w:rFonts w:ascii="Arial" w:eastAsiaTheme="minorHAnsi" w:hAnsi="Arial" w:cs="Arial"/>
          <w:kern w:val="0"/>
          <w:lang w:val="en-US" w:eastAsia="en-US"/>
          <w14:ligatures w14:val="none"/>
        </w:rPr>
        <w:t xml:space="preserve"> 18, no. 2, pp. 39-53.</w:t>
      </w:r>
    </w:p>
    <w:p w14:paraId="1E050D29"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Anderson, J.R., and M. Tirrell. 2004. “Too Good to be True: CEOs and Financial Reporting Fraud.” </w:t>
      </w:r>
      <w:r w:rsidRPr="004B3F8F">
        <w:rPr>
          <w:rFonts w:ascii="Arial" w:eastAsiaTheme="minorHAnsi" w:hAnsi="Arial" w:cs="Arial"/>
          <w:i/>
          <w:iCs/>
          <w:kern w:val="0"/>
          <w:lang w:val="en-US" w:eastAsia="en-US"/>
          <w14:ligatures w14:val="none"/>
        </w:rPr>
        <w:t>Consulting Psychology Journal: Practice and Research</w:t>
      </w:r>
      <w:r w:rsidRPr="004B3F8F">
        <w:rPr>
          <w:rFonts w:ascii="Arial" w:eastAsiaTheme="minorHAnsi" w:hAnsi="Arial" w:cs="Arial"/>
          <w:kern w:val="0"/>
          <w:lang w:val="en-US" w:eastAsia="en-US"/>
          <w14:ligatures w14:val="none"/>
        </w:rPr>
        <w:t xml:space="preserve"> 56, pp. 35-43.</w:t>
      </w:r>
    </w:p>
    <w:p w14:paraId="42D6A06E" w14:textId="77777777" w:rsidR="004B3F8F" w:rsidRPr="004B3F8F" w:rsidRDefault="004B3F8F" w:rsidP="004B3F8F">
      <w:pPr>
        <w:spacing w:before="100" w:beforeAutospacing="1" w:after="100" w:afterAutospacing="1" w:line="480" w:lineRule="auto"/>
        <w:ind w:left="1440" w:hanging="1440"/>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Appelbaum, D., Kogan, A., Vasarhelyi, M. A., &amp; Yan, Z. 2022. Impact of blockchain on internal auditing. </w:t>
      </w:r>
      <w:r w:rsidRPr="004B3F8F">
        <w:rPr>
          <w:rFonts w:asciiTheme="minorBidi" w:eastAsia="Times New Roman" w:hAnsiTheme="minorBidi"/>
          <w:i/>
          <w:iCs/>
          <w:kern w:val="0"/>
          <w14:ligatures w14:val="none"/>
        </w:rPr>
        <w:t>Journal of Emerging Technologies in Accounting</w:t>
      </w:r>
      <w:r w:rsidRPr="004B3F8F">
        <w:rPr>
          <w:rFonts w:asciiTheme="minorBidi" w:eastAsia="Times New Roman" w:hAnsiTheme="minorBidi"/>
          <w:kern w:val="0"/>
          <w14:ligatures w14:val="none"/>
        </w:rPr>
        <w:t>, 19(1), 23-42.</w:t>
      </w:r>
    </w:p>
    <w:p w14:paraId="3ED58131"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t>Appelbaum, D., &amp; Nehmer, R. 2017. Designing and auditing accounting systems based on blockchain and distributed ledger principles. Feliciano School of Business</w:t>
      </w:r>
    </w:p>
    <w:p w14:paraId="1FC9F77D"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Ariail, D. L., &amp; Crumbley, D. L. 2021. The Impact of Ethical Leadership on Fraud Prevention in Organizations. </w:t>
      </w:r>
      <w:r w:rsidRPr="004B3F8F">
        <w:rPr>
          <w:rFonts w:asciiTheme="minorBidi" w:eastAsia="Times New Roman" w:hAnsiTheme="minorBidi"/>
          <w:i/>
          <w:iCs/>
          <w:kern w:val="0"/>
          <w14:ligatures w14:val="none"/>
        </w:rPr>
        <w:t>Journal of Forensic and Investigative Accounting</w:t>
      </w:r>
      <w:r w:rsidRPr="004B3F8F">
        <w:rPr>
          <w:rFonts w:asciiTheme="minorBidi" w:eastAsia="Times New Roman" w:hAnsiTheme="minorBidi"/>
          <w:kern w:val="0"/>
          <w14:ligatures w14:val="none"/>
        </w:rPr>
        <w:t>, 13(3), 1-24.</w:t>
      </w:r>
    </w:p>
    <w:p w14:paraId="22284337" w14:textId="77777777" w:rsidR="004B3F8F" w:rsidRPr="004B3F8F" w:rsidRDefault="004B3F8F" w:rsidP="004B3F8F">
      <w:pPr>
        <w:spacing w:before="100" w:beforeAutospacing="1" w:after="100" w:afterAutospacing="1" w:line="480" w:lineRule="auto"/>
        <w:ind w:left="851" w:hanging="851"/>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Archibald, M. M. 2016. "Investigator Triangulation: A Collaborative Strategy with Potential for Mixed Methods Research." </w:t>
      </w:r>
      <w:r w:rsidRPr="004B3F8F">
        <w:rPr>
          <w:rFonts w:asciiTheme="minorBidi" w:eastAsia="Times New Roman" w:hAnsiTheme="minorBidi"/>
          <w:i/>
          <w:iCs/>
          <w:kern w:val="0"/>
          <w14:ligatures w14:val="none"/>
        </w:rPr>
        <w:t>Journal of Mixed Methods Research, 10</w:t>
      </w:r>
      <w:r w:rsidRPr="004B3F8F">
        <w:rPr>
          <w:rFonts w:asciiTheme="minorBidi" w:eastAsia="Times New Roman" w:hAnsiTheme="minorBidi"/>
          <w:kern w:val="0"/>
          <w14:ligatures w14:val="none"/>
        </w:rPr>
        <w:t>(3), 228-250. doi:10.1177/1558689815570092.</w:t>
      </w:r>
    </w:p>
    <w:p w14:paraId="7DA74F6C"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Arjoon, S. 2005. “Corporate Governance: An Ethical Perspective.” </w:t>
      </w:r>
      <w:r w:rsidRPr="004B3F8F">
        <w:rPr>
          <w:rFonts w:ascii="Arial" w:eastAsiaTheme="minorHAnsi" w:hAnsi="Arial" w:cs="Arial"/>
          <w:i/>
          <w:iCs/>
          <w:kern w:val="0"/>
          <w:lang w:val="en-US" w:eastAsia="en-US"/>
          <w14:ligatures w14:val="none"/>
        </w:rPr>
        <w:t>Journal of Business Ethics</w:t>
      </w:r>
      <w:r w:rsidRPr="004B3F8F">
        <w:rPr>
          <w:rFonts w:ascii="Arial" w:eastAsiaTheme="minorHAnsi" w:hAnsi="Arial" w:cs="Arial"/>
          <w:kern w:val="0"/>
          <w:lang w:val="en-US" w:eastAsia="en-US"/>
          <w14:ligatures w14:val="none"/>
        </w:rPr>
        <w:t xml:space="preserve"> 61, no. 4, pp. 343-52.</w:t>
      </w:r>
    </w:p>
    <w:p w14:paraId="169ED627"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Association of Certified Fraud Examiners (ACFE). 2002. “Consideration of Fraud in a Financial Statement Audit sec.316.35.” </w:t>
      </w:r>
      <w:hyperlink r:id="rId59" w:history="1">
        <w:r w:rsidRPr="004B3F8F">
          <w:rPr>
            <w:rFonts w:ascii="Arial" w:eastAsiaTheme="minorHAnsi" w:hAnsi="Arial" w:cs="Arial"/>
            <w:kern w:val="0"/>
            <w:lang w:eastAsia="en-US"/>
            <w14:ligatures w14:val="none"/>
          </w:rPr>
          <w:t>https://pcaobus.org/Standards/Archived/PreReorgStandards/Pages/AU316.aspx</w:t>
        </w:r>
      </w:hyperlink>
    </w:p>
    <w:p w14:paraId="668A49A4"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r w:rsidRPr="004B3F8F">
        <w:rPr>
          <w:rFonts w:ascii="Arial" w:eastAsiaTheme="minorHAnsi" w:hAnsi="Arial" w:cs="Arial"/>
          <w:kern w:val="0"/>
          <w:lang w:val="en-US" w:eastAsia="en-US"/>
          <w14:ligatures w14:val="none"/>
        </w:rPr>
        <w:t xml:space="preserve">Association of Chartered Certified Accountants. 2015. “Why the Audit Profession Must Evolve or Die.” www.accaglobal.com/uk/en/member/member/accounting-business/insights/audit-evolution.html, </w:t>
      </w:r>
      <w:r w:rsidRPr="004B3F8F">
        <w:rPr>
          <w:rFonts w:ascii="Arial" w:eastAsiaTheme="minorHAnsi" w:hAnsi="Arial" w:cs="Arial"/>
          <w:kern w:val="0"/>
          <w:shd w:val="clear" w:color="auto" w:fill="FFFFFF"/>
          <w:lang w:val="en-US" w:eastAsia="en-US"/>
          <w14:ligatures w14:val="none"/>
        </w:rPr>
        <w:t>(</w:t>
      </w:r>
      <w:r w:rsidRPr="004B3F8F">
        <w:rPr>
          <w:rFonts w:ascii="Arial" w:eastAsiaTheme="minorHAnsi" w:hAnsi="Arial" w:cs="Arial"/>
          <w:kern w:val="0"/>
          <w:lang w:val="en-US" w:eastAsia="en-US"/>
          <w14:ligatures w14:val="none"/>
        </w:rPr>
        <w:t xml:space="preserve">accessed </w:t>
      </w:r>
      <w:r w:rsidRPr="004B3F8F">
        <w:rPr>
          <w:rFonts w:ascii="Arial" w:eastAsiaTheme="minorHAnsi" w:hAnsi="Arial" w:cs="Arial"/>
          <w:kern w:val="0"/>
          <w:shd w:val="clear" w:color="auto" w:fill="FFFFFF"/>
          <w:lang w:val="en-US" w:eastAsia="en-US"/>
          <w14:ligatures w14:val="none"/>
        </w:rPr>
        <w:t>January 1, 2019).</w:t>
      </w:r>
    </w:p>
    <w:p w14:paraId="6238109D"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lang w:val="de-DE"/>
          <w14:ligatures w14:val="none"/>
        </w:rPr>
        <w:t xml:space="preserve">Audretsch, D. B., Lehmann, E. E., &amp; Schenkenhofer, J. 2021. </w:t>
      </w:r>
      <w:r w:rsidRPr="004B3F8F">
        <w:rPr>
          <w:rFonts w:asciiTheme="minorBidi" w:eastAsia="Times New Roman" w:hAnsiTheme="minorBidi"/>
          <w:kern w:val="0"/>
          <w14:ligatures w14:val="none"/>
        </w:rPr>
        <w:t xml:space="preserve">"Corporate scandals and the impact on governance: The Wirecard case." </w:t>
      </w:r>
      <w:r w:rsidRPr="004B3F8F">
        <w:rPr>
          <w:rFonts w:asciiTheme="minorBidi" w:eastAsia="Times New Roman" w:hAnsiTheme="minorBidi"/>
          <w:i/>
          <w:iCs/>
          <w:kern w:val="0"/>
          <w14:ligatures w14:val="none"/>
        </w:rPr>
        <w:t>Journal of Business Research</w:t>
      </w:r>
      <w:r w:rsidRPr="004B3F8F">
        <w:rPr>
          <w:rFonts w:asciiTheme="minorBidi" w:eastAsia="Times New Roman" w:hAnsiTheme="minorBidi"/>
          <w:kern w:val="0"/>
          <w14:ligatures w14:val="none"/>
        </w:rPr>
        <w:t>, 131, 144-153.</w:t>
      </w:r>
    </w:p>
    <w:p w14:paraId="1BE2306D" w14:textId="77777777" w:rsidR="004B3F8F" w:rsidRPr="004B3F8F" w:rsidRDefault="004B3F8F" w:rsidP="004B3F8F">
      <w:pPr>
        <w:spacing w:after="200" w:line="480" w:lineRule="auto"/>
        <w:ind w:left="785" w:hangingChars="327" w:hanging="785"/>
        <w:jc w:val="both"/>
        <w:rPr>
          <w:rFonts w:asciiTheme="minorBidi" w:eastAsiaTheme="minorHAnsi" w:hAnsiTheme="minorBidi"/>
          <w:kern w:val="0"/>
          <w:shd w:val="clear" w:color="auto" w:fill="FFFFFF"/>
          <w:lang w:val="en-US" w:eastAsia="en-US"/>
          <w14:ligatures w14:val="none"/>
        </w:rPr>
      </w:pPr>
      <w:r w:rsidRPr="004B3F8F">
        <w:rPr>
          <w:rFonts w:asciiTheme="minorBidi" w:eastAsiaTheme="minorHAnsi" w:hAnsiTheme="minorBidi"/>
          <w:kern w:val="0"/>
          <w:lang w:eastAsia="en-US"/>
          <w14:ligatures w14:val="none"/>
        </w:rPr>
        <w:t>Awuzie, B., and McDermott, P. 2017. An abductive approach to qualitative built environment research: A viable system methodological exposé. Qualitative research journal. 17(4), pp.356-372</w:t>
      </w:r>
    </w:p>
    <w:p w14:paraId="4F6893D2"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eastAsia="en-US"/>
          <w14:ligatures w14:val="none"/>
        </w:rPr>
      </w:pPr>
      <w:r w:rsidRPr="004B3F8F">
        <w:rPr>
          <w:rFonts w:ascii="Arial" w:eastAsiaTheme="minorHAnsi" w:hAnsi="Arial" w:cs="Arial"/>
          <w:kern w:val="0"/>
          <w:lang w:val="en-US" w:eastAsia="en-US"/>
          <w14:ligatures w14:val="none"/>
        </w:rPr>
        <w:t xml:space="preserve">Azadinamin, A. 2013. “The Bankruptcy of Lehman Brothers: Causes of Failures &amp; Recommendations Going Forward,” </w:t>
      </w:r>
      <w:r w:rsidRPr="004B3F8F">
        <w:rPr>
          <w:rFonts w:ascii="Arial" w:eastAsiaTheme="minorHAnsi" w:hAnsi="Arial" w:cs="Arial"/>
          <w:i/>
          <w:iCs/>
          <w:kern w:val="0"/>
          <w:lang w:val="en-US" w:eastAsia="en-US"/>
          <w14:ligatures w14:val="none"/>
        </w:rPr>
        <w:t>Social Science Research</w:t>
      </w:r>
      <w:r w:rsidRPr="004B3F8F">
        <w:rPr>
          <w:rFonts w:ascii="Arial" w:eastAsiaTheme="minorHAnsi" w:hAnsi="Arial" w:cs="Arial"/>
          <w:kern w:val="0"/>
          <w:lang w:val="en-US" w:eastAsia="en-US"/>
          <w14:ligatures w14:val="none"/>
        </w:rPr>
        <w:t xml:space="preserve">. doi:10.2139/ssrn.2016892, </w:t>
      </w:r>
      <w:r w:rsidRPr="004B3F8F">
        <w:rPr>
          <w:rFonts w:ascii="Arial" w:eastAsiaTheme="minorHAnsi" w:hAnsi="Arial" w:cs="Arial"/>
          <w:kern w:val="0"/>
          <w:shd w:val="clear" w:color="auto" w:fill="FFFFFF"/>
          <w:lang w:val="en-US" w:eastAsia="en-US"/>
          <w14:ligatures w14:val="none"/>
        </w:rPr>
        <w:t xml:space="preserve">(accessed March 31, 2018). </w:t>
      </w:r>
      <w:hyperlink r:id="rId60" w:history="1">
        <w:r w:rsidRPr="004B3F8F">
          <w:rPr>
            <w:rFonts w:ascii="Arial" w:eastAsiaTheme="minorHAnsi" w:hAnsi="Arial" w:cs="Arial"/>
            <w:kern w:val="0"/>
            <w:lang w:eastAsia="en-US"/>
            <w14:ligatures w14:val="none"/>
          </w:rPr>
          <w:t>https://www.researchgate.net/publication/230687440_The_Bankruptcy_of_Lehman_Brothers_Causes_of_Failure_Recommendations_Going_Forward</w:t>
        </w:r>
      </w:hyperlink>
    </w:p>
    <w:p w14:paraId="79FBD167"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eastAsia="en-US"/>
          <w14:ligatures w14:val="none"/>
        </w:rPr>
      </w:pPr>
      <w:r w:rsidRPr="004B3F8F">
        <w:rPr>
          <w:rFonts w:asciiTheme="minorBidi" w:eastAsia="Times New Roman" w:hAnsiTheme="minorBidi"/>
          <w:kern w:val="0"/>
          <w:lang w:eastAsia="en-US"/>
          <w14:ligatures w14:val="none"/>
        </w:rPr>
        <w:t xml:space="preserve">Babiak, P., &amp; Hare, R. D. 2020. "Snakes in Suits: When Psychopaths Go to Work." </w:t>
      </w:r>
      <w:r w:rsidRPr="004B3F8F">
        <w:rPr>
          <w:rFonts w:asciiTheme="minorBidi" w:eastAsia="Times New Roman" w:hAnsiTheme="minorBidi"/>
          <w:i/>
          <w:iCs/>
          <w:kern w:val="0"/>
          <w:lang w:eastAsia="en-US"/>
          <w14:ligatures w14:val="none"/>
        </w:rPr>
        <w:t>Harper Business</w:t>
      </w:r>
      <w:r w:rsidRPr="004B3F8F">
        <w:rPr>
          <w:rFonts w:asciiTheme="minorBidi" w:eastAsia="Times New Roman" w:hAnsiTheme="minorBidi"/>
          <w:kern w:val="0"/>
          <w:lang w:eastAsia="en-US"/>
          <w14:ligatures w14:val="none"/>
        </w:rPr>
        <w:t>.</w:t>
      </w:r>
    </w:p>
    <w:p w14:paraId="4C9D4EC2"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eastAsia="en-US"/>
          <w14:ligatures w14:val="none"/>
        </w:rPr>
      </w:pPr>
      <w:r w:rsidRPr="004B3F8F">
        <w:rPr>
          <w:rFonts w:ascii="Arial" w:eastAsiaTheme="minorHAnsi" w:hAnsi="Arial" w:cs="Arial"/>
          <w:kern w:val="0"/>
          <w:shd w:val="clear" w:color="auto" w:fill="FFFFFF"/>
          <w:lang w:eastAsia="en-US"/>
          <w14:ligatures w14:val="none"/>
        </w:rPr>
        <w:t xml:space="preserve">Babiak, P &amp; Hare, RD. 2019. </w:t>
      </w:r>
      <w:hyperlink r:id="rId61" w:tooltip="Snakes in Suits: When Psychopaths Go to Work" w:history="1">
        <w:r w:rsidRPr="004B3F8F">
          <w:rPr>
            <w:rFonts w:ascii="Arial" w:eastAsiaTheme="minorHAnsi" w:hAnsi="Arial" w:cs="Arial"/>
            <w:kern w:val="0"/>
            <w:shd w:val="clear" w:color="auto" w:fill="FFFFFF"/>
            <w:lang w:eastAsia="en-US"/>
            <w14:ligatures w14:val="none"/>
          </w:rPr>
          <w:t>Snakes in Suits: When Psychopaths Go to Work</w:t>
        </w:r>
      </w:hyperlink>
      <w:r w:rsidRPr="004B3F8F">
        <w:rPr>
          <w:rFonts w:ascii="Arial" w:eastAsiaTheme="minorHAnsi" w:hAnsi="Arial" w:cs="Arial"/>
          <w:kern w:val="0"/>
          <w:shd w:val="clear" w:color="auto" w:fill="FFFFFF"/>
          <w:lang w:eastAsia="en-US"/>
          <w14:ligatures w14:val="none"/>
        </w:rPr>
        <w:t xml:space="preserve">. HarperCollins. </w:t>
      </w:r>
    </w:p>
    <w:p w14:paraId="49E34982"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eastAsia="en-US"/>
          <w14:ligatures w14:val="none"/>
        </w:rPr>
      </w:pPr>
      <w:r w:rsidRPr="004B3F8F">
        <w:rPr>
          <w:rFonts w:ascii="Arial" w:eastAsiaTheme="minorHAnsi" w:hAnsi="Arial" w:cs="Arial"/>
          <w:kern w:val="0"/>
          <w:shd w:val="clear" w:color="auto" w:fill="FFFFFF"/>
          <w:lang w:eastAsia="en-US"/>
          <w14:ligatures w14:val="none"/>
        </w:rPr>
        <w:t xml:space="preserve">Babiak, P &amp; Hare, RD. 2006. </w:t>
      </w:r>
      <w:hyperlink r:id="rId62" w:tooltip="Snakes in Suits: When Psychopaths Go to Work" w:history="1">
        <w:r w:rsidRPr="004B3F8F">
          <w:rPr>
            <w:rFonts w:ascii="Arial" w:eastAsiaTheme="minorHAnsi" w:hAnsi="Arial" w:cs="Arial"/>
            <w:kern w:val="0"/>
            <w:shd w:val="clear" w:color="auto" w:fill="FFFFFF"/>
            <w:lang w:eastAsia="en-US"/>
            <w14:ligatures w14:val="none"/>
          </w:rPr>
          <w:t>Snakes in Suits: When Psychopaths Go to Work</w:t>
        </w:r>
      </w:hyperlink>
      <w:r w:rsidRPr="004B3F8F">
        <w:rPr>
          <w:rFonts w:ascii="Arial" w:eastAsiaTheme="minorHAnsi" w:hAnsi="Arial" w:cs="Arial"/>
          <w:kern w:val="0"/>
          <w:shd w:val="clear" w:color="auto" w:fill="FFFFFF"/>
          <w:lang w:eastAsia="en-US"/>
          <w14:ligatures w14:val="none"/>
        </w:rPr>
        <w:t xml:space="preserve">. HarperCollins. </w:t>
      </w:r>
    </w:p>
    <w:p w14:paraId="2F87E2AF" w14:textId="77777777" w:rsidR="004B3F8F" w:rsidRPr="004B3F8F" w:rsidRDefault="004B3F8F" w:rsidP="004B3F8F">
      <w:pPr>
        <w:spacing w:line="480" w:lineRule="auto"/>
        <w:ind w:left="851" w:hanging="851"/>
        <w:jc w:val="both"/>
        <w:rPr>
          <w:rFonts w:ascii="Arial" w:eastAsiaTheme="minorHAnsi" w:hAnsi="Arial" w:cs="Arial"/>
          <w:color w:val="222222"/>
          <w:kern w:val="0"/>
          <w:shd w:val="clear" w:color="auto" w:fill="FFFFFF"/>
          <w:lang w:eastAsia="en-US"/>
          <w14:ligatures w14:val="none"/>
        </w:rPr>
      </w:pPr>
      <w:r w:rsidRPr="004B3F8F">
        <w:rPr>
          <w:rFonts w:ascii="Arial" w:eastAsiaTheme="minorHAnsi" w:hAnsi="Arial" w:cs="Arial"/>
          <w:color w:val="222222"/>
          <w:kern w:val="0"/>
          <w:shd w:val="clear" w:color="auto" w:fill="FFFFFF"/>
          <w:lang w:eastAsia="en-US"/>
          <w14:ligatures w14:val="none"/>
        </w:rPr>
        <w:lastRenderedPageBreak/>
        <w:t>Babiak, P. 2017. From darkness into the light: Psychopathy in industrial and organizational psychology. In </w:t>
      </w:r>
      <w:r w:rsidRPr="004B3F8F">
        <w:rPr>
          <w:rFonts w:ascii="Arial" w:eastAsiaTheme="minorHAnsi" w:hAnsi="Arial" w:cs="Arial"/>
          <w:i/>
          <w:iCs/>
          <w:color w:val="222222"/>
          <w:kern w:val="0"/>
          <w:shd w:val="clear" w:color="auto" w:fill="FFFFFF"/>
          <w:lang w:eastAsia="en-US"/>
          <w14:ligatures w14:val="none"/>
        </w:rPr>
        <w:t>The psychopath</w:t>
      </w:r>
      <w:r w:rsidRPr="004B3F8F">
        <w:rPr>
          <w:rFonts w:ascii="Arial" w:eastAsiaTheme="minorHAnsi" w:hAnsi="Arial" w:cs="Arial"/>
          <w:color w:val="222222"/>
          <w:kern w:val="0"/>
          <w:shd w:val="clear" w:color="auto" w:fill="FFFFFF"/>
          <w:lang w:eastAsia="en-US"/>
          <w14:ligatures w14:val="none"/>
        </w:rPr>
        <w:t> (pp. 411-428). Routledge.</w:t>
      </w:r>
    </w:p>
    <w:p w14:paraId="0B1020FB" w14:textId="77777777" w:rsidR="004B3F8F" w:rsidRPr="004B3F8F" w:rsidRDefault="004B3F8F" w:rsidP="004B3F8F">
      <w:pPr>
        <w:spacing w:line="480" w:lineRule="auto"/>
        <w:ind w:left="851" w:hanging="851"/>
        <w:jc w:val="both"/>
        <w:rPr>
          <w:rFonts w:ascii="Arial" w:eastAsiaTheme="minorHAnsi" w:hAnsi="Arial" w:cs="Arial"/>
          <w:color w:val="222222"/>
          <w:kern w:val="0"/>
          <w:shd w:val="clear" w:color="auto" w:fill="FFFFFF"/>
          <w:lang w:eastAsia="en-US"/>
          <w14:ligatures w14:val="none"/>
        </w:rPr>
      </w:pPr>
      <w:r w:rsidRPr="004B3F8F">
        <w:rPr>
          <w:rFonts w:ascii="Arial" w:eastAsiaTheme="minorHAnsi" w:hAnsi="Arial" w:cs="Arial"/>
          <w:color w:val="222222"/>
          <w:kern w:val="0"/>
          <w:shd w:val="clear" w:color="auto" w:fill="FFFFFF"/>
          <w:lang w:eastAsia="en-US"/>
          <w14:ligatures w14:val="none"/>
        </w:rPr>
        <w:t>Babiak, P. 2015. Psychopathic manipulation at work. In </w:t>
      </w:r>
      <w:r w:rsidRPr="004B3F8F">
        <w:rPr>
          <w:rFonts w:ascii="Arial" w:eastAsiaTheme="minorHAnsi" w:hAnsi="Arial" w:cs="Arial"/>
          <w:i/>
          <w:iCs/>
          <w:color w:val="222222"/>
          <w:kern w:val="0"/>
          <w:shd w:val="clear" w:color="auto" w:fill="FFFFFF"/>
          <w:lang w:eastAsia="en-US"/>
          <w14:ligatures w14:val="none"/>
        </w:rPr>
        <w:t>The clinical and forensic assessment of psychopathy</w:t>
      </w:r>
      <w:r w:rsidRPr="004B3F8F">
        <w:rPr>
          <w:rFonts w:ascii="Arial" w:eastAsiaTheme="minorHAnsi" w:hAnsi="Arial" w:cs="Arial"/>
          <w:color w:val="222222"/>
          <w:kern w:val="0"/>
          <w:shd w:val="clear" w:color="auto" w:fill="FFFFFF"/>
          <w:lang w:eastAsia="en-US"/>
          <w14:ligatures w14:val="none"/>
        </w:rPr>
        <w:t> (pp. 353-373). Routledge.</w:t>
      </w:r>
    </w:p>
    <w:p w14:paraId="04CDE2A7" w14:textId="77777777" w:rsidR="004B3F8F" w:rsidRPr="004B3F8F" w:rsidRDefault="004B3F8F" w:rsidP="004B3F8F">
      <w:pPr>
        <w:spacing w:line="480" w:lineRule="auto"/>
        <w:ind w:left="851" w:hanging="851"/>
        <w:jc w:val="both"/>
        <w:rPr>
          <w:rFonts w:ascii="Arial" w:eastAsiaTheme="minorHAnsi" w:hAnsi="Arial" w:cs="Arial"/>
          <w:color w:val="222222"/>
          <w:kern w:val="0"/>
          <w:shd w:val="clear" w:color="auto" w:fill="FFFFFF"/>
          <w:lang w:eastAsia="en-US"/>
          <w14:ligatures w14:val="none"/>
        </w:rPr>
      </w:pPr>
      <w:r w:rsidRPr="004B3F8F">
        <w:rPr>
          <w:rFonts w:ascii="Arial" w:eastAsiaTheme="minorHAnsi" w:hAnsi="Arial" w:cs="Arial"/>
          <w:color w:val="222222"/>
          <w:kern w:val="0"/>
          <w:shd w:val="clear" w:color="auto" w:fill="FFFFFF"/>
          <w:lang w:eastAsia="en-US"/>
          <w14:ligatures w14:val="none"/>
        </w:rPr>
        <w:t>Babiak, P., &amp; O'Toole, M. E. 2012. The corporate psychopath. </w:t>
      </w:r>
      <w:r w:rsidRPr="004B3F8F">
        <w:rPr>
          <w:rFonts w:ascii="Arial" w:eastAsiaTheme="minorHAnsi" w:hAnsi="Arial" w:cs="Arial"/>
          <w:i/>
          <w:iCs/>
          <w:color w:val="222222"/>
          <w:kern w:val="0"/>
          <w:shd w:val="clear" w:color="auto" w:fill="FFFFFF"/>
          <w:lang w:eastAsia="en-US"/>
          <w14:ligatures w14:val="none"/>
        </w:rPr>
        <w:t>FBI L. Enforcement Bull.</w:t>
      </w:r>
      <w:r w:rsidRPr="004B3F8F">
        <w:rPr>
          <w:rFonts w:ascii="Arial" w:eastAsiaTheme="minorHAnsi" w:hAnsi="Arial" w:cs="Arial"/>
          <w:color w:val="222222"/>
          <w:kern w:val="0"/>
          <w:shd w:val="clear" w:color="auto" w:fill="FFFFFF"/>
          <w:lang w:eastAsia="en-US"/>
          <w14:ligatures w14:val="none"/>
        </w:rPr>
        <w:t>, </w:t>
      </w:r>
      <w:r w:rsidRPr="004B3F8F">
        <w:rPr>
          <w:rFonts w:ascii="Arial" w:eastAsiaTheme="minorHAnsi" w:hAnsi="Arial" w:cs="Arial"/>
          <w:i/>
          <w:iCs/>
          <w:color w:val="222222"/>
          <w:kern w:val="0"/>
          <w:shd w:val="clear" w:color="auto" w:fill="FFFFFF"/>
          <w:lang w:eastAsia="en-US"/>
          <w14:ligatures w14:val="none"/>
        </w:rPr>
        <w:t>81</w:t>
      </w:r>
      <w:r w:rsidRPr="004B3F8F">
        <w:rPr>
          <w:rFonts w:ascii="Arial" w:eastAsiaTheme="minorHAnsi" w:hAnsi="Arial" w:cs="Arial"/>
          <w:color w:val="222222"/>
          <w:kern w:val="0"/>
          <w:shd w:val="clear" w:color="auto" w:fill="FFFFFF"/>
          <w:lang w:eastAsia="en-US"/>
          <w14:ligatures w14:val="none"/>
        </w:rPr>
        <w:t>, 7.</w:t>
      </w:r>
    </w:p>
    <w:p w14:paraId="697CCD40"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Babiak, P., C.S. Neumann, and R.D. Hare. 2010. “Corporate Psychopathy: Talking the Walk.” </w:t>
      </w:r>
      <w:r w:rsidRPr="004B3F8F">
        <w:rPr>
          <w:rFonts w:ascii="Arial" w:eastAsiaTheme="minorHAnsi" w:hAnsi="Arial" w:cs="Arial"/>
          <w:i/>
          <w:iCs/>
          <w:kern w:val="0"/>
          <w:lang w:val="en-US" w:eastAsia="en-US"/>
          <w14:ligatures w14:val="none"/>
        </w:rPr>
        <w:t>Behavioural Sciences and the Law</w:t>
      </w:r>
      <w:r w:rsidRPr="004B3F8F">
        <w:rPr>
          <w:rFonts w:ascii="Arial" w:eastAsiaTheme="minorHAnsi" w:hAnsi="Arial" w:cs="Arial"/>
          <w:kern w:val="0"/>
          <w:lang w:val="en-US" w:eastAsia="en-US"/>
          <w14:ligatures w14:val="none"/>
        </w:rPr>
        <w:t xml:space="preserve"> 28, pp. 174-93.</w:t>
      </w:r>
    </w:p>
    <w:p w14:paraId="73DAED02" w14:textId="77777777" w:rsidR="004B3F8F" w:rsidRPr="004B3F8F" w:rsidRDefault="004B3F8F" w:rsidP="004B3F8F">
      <w:pPr>
        <w:spacing w:after="0" w:line="360" w:lineRule="auto"/>
        <w:ind w:left="851" w:hanging="851"/>
        <w:jc w:val="both"/>
        <w:rPr>
          <w:rFonts w:ascii="Arial" w:eastAsiaTheme="minorHAnsi" w:hAnsi="Arial" w:cs="Arial"/>
          <w:kern w:val="0"/>
          <w:shd w:val="clear" w:color="auto" w:fill="FFFFFF"/>
          <w:lang w:eastAsia="en-US"/>
          <w14:ligatures w14:val="none"/>
        </w:rPr>
      </w:pPr>
      <w:r w:rsidRPr="004B3F8F">
        <w:rPr>
          <w:rFonts w:ascii="Arial" w:eastAsiaTheme="minorHAnsi" w:hAnsi="Arial" w:cs="Arial"/>
          <w:kern w:val="0"/>
          <w:shd w:val="clear" w:color="auto" w:fill="FFFFFF"/>
          <w:lang w:eastAsia="en-US"/>
          <w14:ligatures w14:val="none"/>
        </w:rPr>
        <w:t xml:space="preserve">Bailey, C. 2015. ‘’Psychopathy and Accounting Students’ Attitudes towards Unethical Professional Practices’’ </w:t>
      </w:r>
    </w:p>
    <w:p w14:paraId="30C360FC" w14:textId="77777777" w:rsidR="004B3F8F" w:rsidRPr="004B3F8F" w:rsidRDefault="004B3F8F" w:rsidP="004B3F8F">
      <w:pPr>
        <w:spacing w:after="0" w:line="360" w:lineRule="auto"/>
        <w:ind w:left="851" w:hanging="142"/>
        <w:jc w:val="both"/>
        <w:rPr>
          <w:rFonts w:ascii="Arial" w:eastAsiaTheme="minorHAnsi" w:hAnsi="Arial" w:cs="Arial"/>
          <w:kern w:val="0"/>
          <w:lang w:eastAsia="en-US"/>
          <w14:ligatures w14:val="none"/>
        </w:rPr>
      </w:pPr>
      <w:r w:rsidRPr="004B3F8F">
        <w:rPr>
          <w:rFonts w:ascii="Arial" w:eastAsiaTheme="minorHAnsi" w:hAnsi="Arial" w:cs="Arial"/>
          <w:kern w:val="0"/>
          <w:shd w:val="clear" w:color="auto" w:fill="FFFFFF"/>
          <w:lang w:eastAsia="en-US"/>
          <w14:ligatures w14:val="none"/>
        </w:rPr>
        <w:t xml:space="preserve">  SSRN:  </w:t>
      </w:r>
      <w:hyperlink r:id="rId63" w:history="1">
        <w:r w:rsidRPr="004B3F8F">
          <w:rPr>
            <w:rFonts w:ascii="Arial" w:eastAsiaTheme="minorHAnsi" w:hAnsi="Arial" w:cs="Arial"/>
            <w:kern w:val="0"/>
            <w:shd w:val="clear" w:color="auto" w:fill="FFFFFF"/>
            <w:lang w:eastAsia="en-US"/>
            <w14:ligatures w14:val="none"/>
          </w:rPr>
          <w:t>http://dx.doi.org/10.2139/ssrn.2279976</w:t>
        </w:r>
      </w:hyperlink>
      <w:r w:rsidRPr="004B3F8F">
        <w:rPr>
          <w:rFonts w:ascii="Arial" w:eastAsiaTheme="minorHAnsi" w:hAnsi="Arial" w:cs="Arial"/>
          <w:kern w:val="0"/>
          <w:shd w:val="clear" w:color="auto" w:fill="FFFFFF"/>
          <w:lang w:eastAsia="en-US"/>
          <w14:ligatures w14:val="none"/>
        </w:rPr>
        <w:t xml:space="preserve">  </w:t>
      </w:r>
      <w:r w:rsidRPr="004B3F8F">
        <w:rPr>
          <w:rFonts w:ascii="Arial" w:eastAsiaTheme="minorHAnsi" w:hAnsi="Arial" w:cs="Arial"/>
          <w:i/>
          <w:iCs/>
          <w:kern w:val="0"/>
          <w:lang w:eastAsia="en-US"/>
          <w14:ligatures w14:val="none"/>
        </w:rPr>
        <w:t xml:space="preserve">(accessed 22 </w:t>
      </w:r>
      <w:proofErr w:type="gramStart"/>
      <w:r w:rsidRPr="004B3F8F">
        <w:rPr>
          <w:rFonts w:ascii="Arial" w:eastAsiaTheme="minorHAnsi" w:hAnsi="Arial" w:cs="Arial"/>
          <w:i/>
          <w:iCs/>
          <w:kern w:val="0"/>
          <w:lang w:eastAsia="en-US"/>
          <w14:ligatures w14:val="none"/>
        </w:rPr>
        <w:t xml:space="preserve">December,   </w:t>
      </w:r>
      <w:proofErr w:type="gramEnd"/>
      <w:r w:rsidRPr="004B3F8F">
        <w:rPr>
          <w:rFonts w:ascii="Arial" w:eastAsiaTheme="minorHAnsi" w:hAnsi="Arial" w:cs="Arial"/>
          <w:i/>
          <w:iCs/>
          <w:kern w:val="0"/>
          <w:lang w:eastAsia="en-US"/>
          <w14:ligatures w14:val="none"/>
        </w:rPr>
        <w:t xml:space="preserve">           2017)</w:t>
      </w:r>
    </w:p>
    <w:p w14:paraId="526C75BE"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Bailey, C. 2017. “Psychopathy and Accounting Students’ Attitudes towards Unethical Professional Practices.” </w:t>
      </w:r>
      <w:hyperlink r:id="rId64" w:tooltip="Go to Journal of Accounting Education on ScienceDirect" w:history="1">
        <w:r w:rsidRPr="004B3F8F">
          <w:rPr>
            <w:rFonts w:ascii="Arial" w:eastAsiaTheme="minorHAnsi" w:hAnsi="Arial" w:cs="Arial"/>
            <w:i/>
            <w:kern w:val="0"/>
            <w:lang w:val="en-US" w:eastAsia="en-US"/>
            <w14:ligatures w14:val="none"/>
          </w:rPr>
          <w:t>Journal of Accounting Education</w:t>
        </w:r>
      </w:hyperlink>
      <w:r w:rsidRPr="004B3F8F">
        <w:rPr>
          <w:rFonts w:ascii="Arial" w:eastAsiaTheme="minorHAnsi" w:hAnsi="Arial" w:cs="Arial"/>
          <w:kern w:val="0"/>
          <w:lang w:val="en-US" w:eastAsia="en-US"/>
          <w14:ligatures w14:val="none"/>
        </w:rPr>
        <w:t xml:space="preserve"> 41, pp. 15-32.</w:t>
      </w:r>
    </w:p>
    <w:p w14:paraId="25EDDDD4"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Baker Tilly 2023. The future is calling: blockchain's impact on the accounting profession.</w:t>
      </w:r>
    </w:p>
    <w:p w14:paraId="3163E5C2"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lang w:val="es-ES_tradnl"/>
        </w:rPr>
        <w:t xml:space="preserve">Balios, D., Kotsilaras, P., Eriotis, N. and Vasiliou, D., 2020. </w:t>
      </w:r>
      <w:r w:rsidRPr="004B3F8F">
        <w:rPr>
          <w:rFonts w:ascii="Arial" w:hAnsi="Arial" w:cs="Arial"/>
          <w:color w:val="222222"/>
          <w:shd w:val="clear" w:color="auto" w:fill="FFFFFF"/>
        </w:rPr>
        <w:t>Big data, data analytics and external auditing. </w:t>
      </w:r>
      <w:r w:rsidRPr="004B3F8F">
        <w:rPr>
          <w:rFonts w:ascii="Arial" w:hAnsi="Arial" w:cs="Arial"/>
          <w:i/>
          <w:iCs/>
          <w:color w:val="222222"/>
          <w:shd w:val="clear" w:color="auto" w:fill="FFFFFF"/>
        </w:rPr>
        <w:t>Journal of Modern Accounting and Auditing</w:t>
      </w:r>
      <w:r w:rsidRPr="004B3F8F">
        <w:rPr>
          <w:rFonts w:ascii="Arial" w:hAnsi="Arial" w:cs="Arial"/>
          <w:color w:val="222222"/>
          <w:shd w:val="clear" w:color="auto" w:fill="FFFFFF"/>
        </w:rPr>
        <w:t>, </w:t>
      </w:r>
      <w:r w:rsidRPr="004B3F8F">
        <w:rPr>
          <w:rFonts w:ascii="Arial" w:hAnsi="Arial" w:cs="Arial"/>
          <w:i/>
          <w:iCs/>
          <w:color w:val="222222"/>
          <w:shd w:val="clear" w:color="auto" w:fill="FFFFFF"/>
        </w:rPr>
        <w:t>16</w:t>
      </w:r>
      <w:r w:rsidRPr="004B3F8F">
        <w:rPr>
          <w:rFonts w:ascii="Arial" w:hAnsi="Arial" w:cs="Arial"/>
          <w:color w:val="222222"/>
          <w:shd w:val="clear" w:color="auto" w:fill="FFFFFF"/>
        </w:rPr>
        <w:t>(5), pp.211-219.</w:t>
      </w:r>
    </w:p>
    <w:p w14:paraId="607211DA"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Theme="minorBidi" w:eastAsia="Times New Roman" w:hAnsiTheme="minorBidi"/>
          <w:kern w:val="0"/>
          <w:lang w:eastAsia="en-US"/>
          <w14:ligatures w14:val="none"/>
        </w:rPr>
        <w:t xml:space="preserve">Ball, R. 2016. "Toshiba: How Could it Have Gone so Wrong?" </w:t>
      </w:r>
      <w:r w:rsidRPr="004B3F8F">
        <w:rPr>
          <w:rFonts w:asciiTheme="minorBidi" w:eastAsia="Times New Roman" w:hAnsiTheme="minorBidi"/>
          <w:i/>
          <w:iCs/>
          <w:kern w:val="0"/>
          <w:lang w:eastAsia="en-US"/>
          <w14:ligatures w14:val="none"/>
        </w:rPr>
        <w:t>The CPA Journal</w:t>
      </w:r>
      <w:r w:rsidRPr="004B3F8F">
        <w:rPr>
          <w:rFonts w:asciiTheme="minorBidi" w:eastAsia="Times New Roman" w:hAnsiTheme="minorBidi"/>
          <w:kern w:val="0"/>
          <w:lang w:eastAsia="en-US"/>
          <w14:ligatures w14:val="none"/>
        </w:rPr>
        <w:t>, 86(1), 14-17.</w:t>
      </w:r>
    </w:p>
    <w:p w14:paraId="1323B1E3"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Ball, R. 2009. “Market and Political/Regulatory Perspectives on the Recent Accounting Scandals.” </w:t>
      </w:r>
      <w:r w:rsidRPr="004B3F8F">
        <w:rPr>
          <w:rFonts w:ascii="Arial" w:eastAsiaTheme="minorHAnsi" w:hAnsi="Arial" w:cs="Arial"/>
          <w:i/>
          <w:iCs/>
          <w:kern w:val="0"/>
          <w:lang w:val="en-US" w:eastAsia="en-US"/>
          <w14:ligatures w14:val="none"/>
        </w:rPr>
        <w:t>Journal of Accounting Research</w:t>
      </w:r>
      <w:r w:rsidRPr="004B3F8F">
        <w:rPr>
          <w:rFonts w:ascii="Arial" w:eastAsiaTheme="minorHAnsi" w:hAnsi="Arial" w:cs="Arial"/>
          <w:kern w:val="0"/>
          <w:lang w:val="en-US" w:eastAsia="en-US"/>
          <w14:ligatures w14:val="none"/>
        </w:rPr>
        <w:t xml:space="preserve"> 47, no. 2, pp. 277-323.</w:t>
      </w:r>
    </w:p>
    <w:p w14:paraId="5B6C1533"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lastRenderedPageBreak/>
        <w:t>Bao, Y., Hilary, G. and Ke, B., 2022. Artificial intelligence and fraud detection. </w:t>
      </w:r>
      <w:r w:rsidRPr="004B3F8F">
        <w:rPr>
          <w:rFonts w:ascii="Arial" w:hAnsi="Arial" w:cs="Arial"/>
          <w:i/>
          <w:iCs/>
          <w:color w:val="222222"/>
          <w:shd w:val="clear" w:color="auto" w:fill="FFFFFF"/>
        </w:rPr>
        <w:t>Innovative Technology at the Interface of Finance and Operations: Volume I</w:t>
      </w:r>
      <w:r w:rsidRPr="004B3F8F">
        <w:rPr>
          <w:rFonts w:ascii="Arial" w:hAnsi="Arial" w:cs="Arial"/>
          <w:color w:val="222222"/>
          <w:shd w:val="clear" w:color="auto" w:fill="FFFFFF"/>
        </w:rPr>
        <w:t>, pp.223-247.</w:t>
      </w:r>
    </w:p>
    <w:p w14:paraId="5C762728"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eastAsia="en-US"/>
          <w14:ligatures w14:val="none"/>
        </w:rPr>
      </w:pPr>
      <w:r w:rsidRPr="004B3F8F">
        <w:rPr>
          <w:rFonts w:ascii="Arial" w:eastAsiaTheme="minorHAnsi" w:hAnsi="Arial" w:cs="Arial"/>
          <w:kern w:val="0"/>
          <w:lang w:val="en-US" w:eastAsia="en-US"/>
          <w14:ligatures w14:val="none"/>
        </w:rPr>
        <w:t xml:space="preserve">Baofu, P. 2014. </w:t>
      </w:r>
      <w:r w:rsidRPr="004B3F8F">
        <w:rPr>
          <w:rFonts w:ascii="Arial" w:eastAsiaTheme="minorHAnsi" w:hAnsi="Arial" w:cs="Arial"/>
          <w:i/>
          <w:iCs/>
          <w:kern w:val="0"/>
          <w:lang w:val="en-US" w:eastAsia="en-US"/>
          <w14:ligatures w14:val="none"/>
        </w:rPr>
        <w:t>The Future of Post Human Accounting: Towards a New Theory of Addition and Subtraction in Information Management.</w:t>
      </w:r>
      <w:r w:rsidRPr="004B3F8F">
        <w:rPr>
          <w:rFonts w:ascii="Arial" w:eastAsiaTheme="minorHAnsi" w:hAnsi="Arial" w:cs="Arial"/>
          <w:kern w:val="0"/>
          <w:lang w:val="en-US" w:eastAsia="en-US"/>
          <w14:ligatures w14:val="none"/>
        </w:rPr>
        <w:t xml:space="preserve"> IAP.</w:t>
      </w:r>
      <w:r w:rsidRPr="004B3F8F">
        <w:rPr>
          <w:rFonts w:ascii="Arial" w:eastAsiaTheme="minorHAnsi" w:hAnsi="Arial" w:cs="Arial"/>
          <w:kern w:val="0"/>
          <w:lang w:eastAsia="en-US"/>
          <w14:ligatures w14:val="none"/>
        </w:rPr>
        <w:t xml:space="preserve"> Charlotte, North Carolina (NC)</w:t>
      </w:r>
    </w:p>
    <w:p w14:paraId="3BC91D5F"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Baran, B.E. and Woznyj, H.M., 2020. Managing VUCA: The human dynamics of agility. </w:t>
      </w:r>
      <w:r w:rsidRPr="004B3F8F">
        <w:rPr>
          <w:rFonts w:ascii="Arial" w:hAnsi="Arial" w:cs="Arial"/>
          <w:i/>
          <w:iCs/>
          <w:color w:val="222222"/>
          <w:shd w:val="clear" w:color="auto" w:fill="FFFFFF"/>
        </w:rPr>
        <w:t>Organizational dynamics</w:t>
      </w:r>
      <w:r w:rsidRPr="004B3F8F">
        <w:rPr>
          <w:rFonts w:ascii="Arial" w:hAnsi="Arial" w:cs="Arial"/>
          <w:color w:val="222222"/>
          <w:shd w:val="clear" w:color="auto" w:fill="FFFFFF"/>
        </w:rPr>
        <w:t>.</w:t>
      </w:r>
    </w:p>
    <w:p w14:paraId="2D78984F"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eastAsia="en-US"/>
          <w14:ligatures w14:val="none"/>
        </w:rPr>
        <w:t xml:space="preserve">Bart Baesens, B., V. Van Vlasselaer, and W. Verbeke. </w:t>
      </w:r>
      <w:r w:rsidRPr="004B3F8F">
        <w:rPr>
          <w:rFonts w:ascii="Arial" w:eastAsiaTheme="minorHAnsi" w:hAnsi="Arial" w:cs="Arial"/>
          <w:kern w:val="0"/>
          <w:lang w:val="en-US" w:eastAsia="en-US"/>
          <w14:ligatures w14:val="none"/>
        </w:rPr>
        <w:t xml:space="preserve">2015. </w:t>
      </w:r>
      <w:r w:rsidRPr="004B3F8F">
        <w:rPr>
          <w:rFonts w:ascii="Arial" w:eastAsiaTheme="minorHAnsi" w:hAnsi="Arial" w:cs="Arial"/>
          <w:i/>
          <w:iCs/>
          <w:kern w:val="0"/>
          <w:lang w:val="en-US" w:eastAsia="en-US"/>
          <w14:ligatures w14:val="none"/>
        </w:rPr>
        <w:t>Fraud Analytics Using Descriptive, Predictive, and Social Network Techniques: A Guide to Data Science for Fraud Detection.</w:t>
      </w:r>
      <w:r w:rsidRPr="004B3F8F">
        <w:rPr>
          <w:rFonts w:ascii="Arial" w:eastAsiaTheme="minorHAnsi" w:hAnsi="Arial" w:cs="Arial"/>
          <w:kern w:val="0"/>
          <w:lang w:val="en-US" w:eastAsia="en-US"/>
          <w14:ligatures w14:val="none"/>
        </w:rPr>
        <w:t xml:space="preserve"> Wiley.</w:t>
      </w:r>
      <w:r w:rsidRPr="004B3F8F">
        <w:rPr>
          <w:rFonts w:ascii="Arial" w:eastAsiaTheme="minorHAnsi" w:hAnsi="Arial" w:cs="Arial"/>
          <w:kern w:val="0"/>
          <w:lang w:eastAsia="en-US"/>
          <w14:ligatures w14:val="none"/>
        </w:rPr>
        <w:t xml:space="preserve"> Hoboken, New Jersey (NJ)</w:t>
      </w:r>
    </w:p>
    <w:p w14:paraId="0677DD87"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24" w:name="_Hlk42375694"/>
      <w:r w:rsidRPr="004B3F8F">
        <w:rPr>
          <w:rFonts w:ascii="Arial" w:eastAsiaTheme="minorHAnsi" w:hAnsi="Arial" w:cs="Arial"/>
          <w:kern w:val="0"/>
          <w:lang w:val="en-US" w:eastAsia="en-US"/>
          <w14:ligatures w14:val="none"/>
        </w:rPr>
        <w:t>BBC</w:t>
      </w:r>
      <w:bookmarkEnd w:id="824"/>
      <w:r w:rsidRPr="004B3F8F">
        <w:rPr>
          <w:rFonts w:ascii="Arial" w:eastAsiaTheme="minorHAnsi" w:hAnsi="Arial" w:cs="Arial"/>
          <w:kern w:val="0"/>
          <w:lang w:val="en-US" w:eastAsia="en-US"/>
          <w14:ligatures w14:val="none"/>
        </w:rPr>
        <w:t xml:space="preserve">. 2003. “Parmalat in Bankruptcy Protection.” http://news.bbc.co.uk/1/hi/business/3345735.stm, </w:t>
      </w:r>
      <w:r w:rsidRPr="004B3F8F">
        <w:rPr>
          <w:rFonts w:ascii="Arial" w:eastAsiaTheme="minorHAnsi" w:hAnsi="Arial" w:cs="Arial"/>
          <w:kern w:val="0"/>
          <w:shd w:val="clear" w:color="auto" w:fill="FFFFFF"/>
          <w:lang w:val="en-US" w:eastAsia="en-US"/>
          <w14:ligatures w14:val="none"/>
        </w:rPr>
        <w:t>(accessed November 16, 2018).</w:t>
      </w:r>
    </w:p>
    <w:p w14:paraId="3F7A3AD1"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BBC. 2004. “New Detention in Parmalat Probe.” http://news.bbc.co.uk/2/hi/business/3487192.stm, </w:t>
      </w:r>
      <w:r w:rsidRPr="004B3F8F">
        <w:rPr>
          <w:rFonts w:ascii="Arial" w:eastAsiaTheme="minorHAnsi" w:hAnsi="Arial" w:cs="Arial"/>
          <w:kern w:val="0"/>
          <w:shd w:val="clear" w:color="auto" w:fill="FFFFFF"/>
          <w:lang w:val="en-US" w:eastAsia="en-US"/>
          <w14:ligatures w14:val="none"/>
        </w:rPr>
        <w:t>(accessed November 22, 2018).</w:t>
      </w:r>
    </w:p>
    <w:p w14:paraId="4F2F354C"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25" w:name="_Hlk42375728"/>
      <w:r w:rsidRPr="004B3F8F">
        <w:rPr>
          <w:rFonts w:ascii="Arial" w:eastAsiaTheme="minorHAnsi" w:hAnsi="Arial" w:cs="Arial"/>
          <w:kern w:val="0"/>
          <w:lang w:val="en-US" w:eastAsia="en-US"/>
          <w14:ligatures w14:val="none"/>
        </w:rPr>
        <w:t>Beasley</w:t>
      </w:r>
      <w:bookmarkEnd w:id="825"/>
      <w:r w:rsidRPr="004B3F8F">
        <w:rPr>
          <w:rFonts w:ascii="Arial" w:eastAsiaTheme="minorHAnsi" w:hAnsi="Arial" w:cs="Arial"/>
          <w:kern w:val="0"/>
          <w:lang w:val="en-US" w:eastAsia="en-US"/>
          <w14:ligatures w14:val="none"/>
        </w:rPr>
        <w:t xml:space="preserve">, M. 1999. “An Empirical Analysis of the Relationship between the Board of Directors’ Composition and Financial Statement Fraud.” </w:t>
      </w:r>
      <w:r w:rsidRPr="004B3F8F">
        <w:rPr>
          <w:rFonts w:ascii="Arial" w:eastAsiaTheme="minorHAnsi" w:hAnsi="Arial" w:cs="Arial"/>
          <w:i/>
          <w:iCs/>
          <w:kern w:val="0"/>
          <w:lang w:val="en-US" w:eastAsia="en-US"/>
          <w14:ligatures w14:val="none"/>
        </w:rPr>
        <w:t>The Accounting Review</w:t>
      </w:r>
      <w:r w:rsidRPr="004B3F8F">
        <w:rPr>
          <w:rFonts w:ascii="Arial" w:eastAsiaTheme="minorHAnsi" w:hAnsi="Arial" w:cs="Arial"/>
          <w:kern w:val="0"/>
          <w:lang w:val="en-US" w:eastAsia="en-US"/>
          <w14:ligatures w14:val="none"/>
        </w:rPr>
        <w:t xml:space="preserve"> 71, no. 4, pp. 443-65.</w:t>
      </w:r>
    </w:p>
    <w:p w14:paraId="611C887D"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26" w:name="_Hlk42375740"/>
      <w:r w:rsidRPr="004B3F8F">
        <w:rPr>
          <w:rFonts w:ascii="Arial" w:eastAsiaTheme="minorHAnsi" w:hAnsi="Arial" w:cs="Arial"/>
          <w:kern w:val="0"/>
          <w:lang w:val="en-US" w:eastAsia="en-US"/>
          <w14:ligatures w14:val="none"/>
        </w:rPr>
        <w:t>Beasley</w:t>
      </w:r>
      <w:bookmarkEnd w:id="826"/>
      <w:r w:rsidRPr="004B3F8F">
        <w:rPr>
          <w:rFonts w:ascii="Arial" w:eastAsiaTheme="minorHAnsi" w:hAnsi="Arial" w:cs="Arial"/>
          <w:kern w:val="0"/>
          <w:lang w:val="en-US" w:eastAsia="en-US"/>
          <w14:ligatures w14:val="none"/>
        </w:rPr>
        <w:t xml:space="preserve">, M.S., J.V. Carcello, and D.R. Hermanson. 1999. “Fraudulent Financial Reporting: 1987-1997, An Analysis of U.S. Public Companies,” </w:t>
      </w:r>
      <w:r w:rsidRPr="004B3F8F">
        <w:rPr>
          <w:rFonts w:ascii="Arial" w:eastAsiaTheme="minorHAnsi" w:hAnsi="Arial" w:cs="Arial"/>
          <w:i/>
          <w:iCs/>
          <w:kern w:val="0"/>
          <w:lang w:val="en-US" w:eastAsia="en-US"/>
          <w14:ligatures w14:val="none"/>
        </w:rPr>
        <w:t xml:space="preserve">Committee of </w:t>
      </w:r>
      <w:r w:rsidRPr="004B3F8F">
        <w:rPr>
          <w:rFonts w:ascii="Arial" w:eastAsiaTheme="minorHAnsi" w:hAnsi="Arial" w:cs="Arial"/>
          <w:i/>
          <w:iCs/>
          <w:kern w:val="0"/>
          <w:lang w:val="en-US" w:eastAsia="en-US"/>
          <w14:ligatures w14:val="none"/>
        </w:rPr>
        <w:lastRenderedPageBreak/>
        <w:t>Sponsored Organisations of the Treadway Commission</w:t>
      </w:r>
      <w:r w:rsidRPr="004B3F8F">
        <w:rPr>
          <w:rFonts w:ascii="Arial" w:eastAsiaTheme="minorHAnsi" w:hAnsi="Arial" w:cs="Arial"/>
          <w:kern w:val="0"/>
          <w:lang w:val="en-US" w:eastAsia="en-US"/>
          <w14:ligatures w14:val="none"/>
        </w:rPr>
        <w:t xml:space="preserve">. </w:t>
      </w:r>
      <w:hyperlink r:id="rId65" w:history="1">
        <w:r w:rsidRPr="004B3F8F">
          <w:rPr>
            <w:rFonts w:ascii="Arial" w:eastAsiaTheme="minorHAnsi" w:hAnsi="Arial" w:cs="Arial"/>
            <w:kern w:val="0"/>
            <w:lang w:val="en-US" w:eastAsia="en-US"/>
            <w14:ligatures w14:val="none"/>
          </w:rPr>
          <w:t>www.coso.org</w:t>
        </w:r>
      </w:hyperlink>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shd w:val="clear" w:color="auto" w:fill="FFFFFF"/>
          <w:lang w:val="en-US" w:eastAsia="en-US"/>
          <w14:ligatures w14:val="none"/>
        </w:rPr>
        <w:t>(accessed January 1, 2019).</w:t>
      </w:r>
    </w:p>
    <w:p w14:paraId="1EAD021F"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27" w:name="_Hlk42375773"/>
      <w:r w:rsidRPr="004B3F8F">
        <w:rPr>
          <w:rFonts w:ascii="Arial" w:eastAsiaTheme="minorHAnsi" w:hAnsi="Arial" w:cs="Arial"/>
          <w:kern w:val="0"/>
          <w:lang w:val="en-US" w:eastAsia="en-US"/>
          <w14:ligatures w14:val="none"/>
        </w:rPr>
        <w:t>Beasley</w:t>
      </w:r>
      <w:bookmarkEnd w:id="827"/>
      <w:r w:rsidRPr="004B3F8F">
        <w:rPr>
          <w:rFonts w:ascii="Arial" w:eastAsiaTheme="minorHAnsi" w:hAnsi="Arial" w:cs="Arial"/>
          <w:kern w:val="0"/>
          <w:lang w:val="en-US" w:eastAsia="en-US"/>
          <w14:ligatures w14:val="none"/>
        </w:rPr>
        <w:t xml:space="preserve">, M.S., V.J. Carcello, and D.R. Hermanson. 2000. “Preventing Fraudulent Financial Reporting.” </w:t>
      </w:r>
      <w:r w:rsidRPr="004B3F8F">
        <w:rPr>
          <w:rFonts w:ascii="Arial" w:eastAsiaTheme="minorHAnsi" w:hAnsi="Arial" w:cs="Arial"/>
          <w:i/>
          <w:iCs/>
          <w:kern w:val="0"/>
          <w:lang w:val="en-US" w:eastAsia="en-US"/>
          <w14:ligatures w14:val="none"/>
        </w:rPr>
        <w:t>The CPA Journal</w:t>
      </w:r>
      <w:proofErr w:type="gramStart"/>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lang w:eastAsia="en-US"/>
          <w14:ligatures w14:val="none"/>
        </w:rPr>
        <w:t>,</w:t>
      </w:r>
      <w:proofErr w:type="gramEnd"/>
      <w:r w:rsidRPr="004B3F8F">
        <w:rPr>
          <w:rFonts w:ascii="Arial" w:eastAsiaTheme="minorHAnsi" w:hAnsi="Arial" w:cs="Arial"/>
          <w:kern w:val="0"/>
          <w:lang w:eastAsia="en-US"/>
          <w14:ligatures w14:val="none"/>
        </w:rPr>
        <w:t xml:space="preserve"> 70(12), 15-21</w:t>
      </w:r>
    </w:p>
    <w:p w14:paraId="6E372983"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28" w:name="_Hlk42375792"/>
      <w:r w:rsidRPr="004B3F8F">
        <w:rPr>
          <w:rFonts w:ascii="Arial" w:eastAsiaTheme="minorHAnsi" w:hAnsi="Arial" w:cs="Arial"/>
          <w:kern w:val="0"/>
          <w:lang w:val="en-US" w:eastAsia="en-US"/>
          <w14:ligatures w14:val="none"/>
        </w:rPr>
        <w:t>Beasley</w:t>
      </w:r>
      <w:bookmarkEnd w:id="828"/>
      <w:r w:rsidRPr="004B3F8F">
        <w:rPr>
          <w:rFonts w:ascii="Arial" w:eastAsiaTheme="minorHAnsi" w:hAnsi="Arial" w:cs="Arial"/>
          <w:kern w:val="0"/>
          <w:lang w:val="en-US" w:eastAsia="en-US"/>
          <w14:ligatures w14:val="none"/>
        </w:rPr>
        <w:t xml:space="preserve">, M.S., J.V. Carcello, D.R. Hermanson, and T.L. Neal. 2010. “Fraudulent Financial Reporting 1998-2007: An Analysis of U.S. Public Companies,” </w:t>
      </w:r>
      <w:r w:rsidRPr="004B3F8F">
        <w:rPr>
          <w:rFonts w:ascii="Arial" w:eastAsiaTheme="minorHAnsi" w:hAnsi="Arial" w:cs="Arial"/>
          <w:i/>
          <w:iCs/>
          <w:kern w:val="0"/>
          <w:lang w:val="en-US" w:eastAsia="en-US"/>
          <w14:ligatures w14:val="none"/>
        </w:rPr>
        <w:t>Committee of Sponsored Organisations of the Treadway Commission</w:t>
      </w:r>
      <w:r w:rsidRPr="004B3F8F">
        <w:rPr>
          <w:rFonts w:ascii="Arial" w:eastAsiaTheme="minorHAnsi" w:hAnsi="Arial" w:cs="Arial"/>
          <w:kern w:val="0"/>
          <w:lang w:val="en-US" w:eastAsia="en-US"/>
          <w14:ligatures w14:val="none"/>
        </w:rPr>
        <w:t xml:space="preserve">. </w:t>
      </w:r>
      <w:hyperlink r:id="rId66" w:history="1">
        <w:r w:rsidRPr="004B3F8F">
          <w:rPr>
            <w:rFonts w:ascii="Arial" w:eastAsiaTheme="minorHAnsi" w:hAnsi="Arial" w:cs="Arial"/>
            <w:kern w:val="0"/>
            <w:lang w:val="en-US" w:eastAsia="en-US"/>
            <w14:ligatures w14:val="none"/>
          </w:rPr>
          <w:t>www.coso.org</w:t>
        </w:r>
      </w:hyperlink>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shd w:val="clear" w:color="auto" w:fill="FFFFFF"/>
          <w:lang w:val="en-US" w:eastAsia="en-US"/>
          <w14:ligatures w14:val="none"/>
        </w:rPr>
        <w:t>(accessed March 1, 2019).</w:t>
      </w:r>
    </w:p>
    <w:p w14:paraId="55408704"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Becker, G.S. 1968. “Crime and Punishment; An Economic Approach.” </w:t>
      </w:r>
      <w:r w:rsidRPr="004B3F8F">
        <w:rPr>
          <w:rFonts w:ascii="Arial" w:eastAsiaTheme="minorHAnsi" w:hAnsi="Arial" w:cs="Arial"/>
          <w:i/>
          <w:iCs/>
          <w:kern w:val="0"/>
          <w:lang w:val="en-US" w:eastAsia="en-US"/>
          <w14:ligatures w14:val="none"/>
        </w:rPr>
        <w:t>Journal of Political Economy</w:t>
      </w:r>
      <w:r w:rsidRPr="004B3F8F">
        <w:rPr>
          <w:rFonts w:ascii="Arial" w:eastAsiaTheme="minorHAnsi" w:hAnsi="Arial" w:cs="Arial"/>
          <w:kern w:val="0"/>
          <w:lang w:val="en-US" w:eastAsia="en-US"/>
          <w14:ligatures w14:val="none"/>
        </w:rPr>
        <w:t xml:space="preserve"> 76, pp. 169-217.</w:t>
      </w:r>
    </w:p>
    <w:p w14:paraId="27888B2E"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29" w:name="_Hlk42375820"/>
      <w:r w:rsidRPr="004B3F8F">
        <w:rPr>
          <w:rFonts w:ascii="Arial" w:eastAsiaTheme="minorHAnsi" w:hAnsi="Arial" w:cs="Arial"/>
          <w:kern w:val="0"/>
          <w:lang w:val="en-US" w:eastAsia="en-US"/>
          <w14:ligatures w14:val="none"/>
        </w:rPr>
        <w:t>Bell</w:t>
      </w:r>
      <w:bookmarkEnd w:id="829"/>
      <w:r w:rsidRPr="004B3F8F">
        <w:rPr>
          <w:rFonts w:ascii="Arial" w:eastAsiaTheme="minorHAnsi" w:hAnsi="Arial" w:cs="Arial"/>
          <w:kern w:val="0"/>
          <w:lang w:val="en-US" w:eastAsia="en-US"/>
          <w14:ligatures w14:val="none"/>
        </w:rPr>
        <w:t xml:space="preserve">, T.B., and J.V. </w:t>
      </w:r>
      <w:bookmarkStart w:id="830" w:name="_Hlk42375827"/>
      <w:r w:rsidRPr="004B3F8F">
        <w:rPr>
          <w:rFonts w:ascii="Arial" w:eastAsiaTheme="minorHAnsi" w:hAnsi="Arial" w:cs="Arial"/>
          <w:kern w:val="0"/>
          <w:lang w:val="en-US" w:eastAsia="en-US"/>
          <w14:ligatures w14:val="none"/>
        </w:rPr>
        <w:t>Carcello. 2000</w:t>
      </w:r>
      <w:bookmarkEnd w:id="830"/>
      <w:r w:rsidRPr="004B3F8F">
        <w:rPr>
          <w:rFonts w:ascii="Arial" w:eastAsiaTheme="minorHAnsi" w:hAnsi="Arial" w:cs="Arial"/>
          <w:kern w:val="0"/>
          <w:lang w:val="en-US" w:eastAsia="en-US"/>
          <w14:ligatures w14:val="none"/>
        </w:rPr>
        <w:t>. “A Decision Aid for Assessing the Likelihood of Fraudulent Financial Reporting</w:t>
      </w:r>
      <w:r w:rsidRPr="004B3F8F">
        <w:rPr>
          <w:rFonts w:ascii="Arial" w:eastAsiaTheme="minorHAnsi" w:hAnsi="Arial" w:cs="Arial"/>
          <w:i/>
          <w:iCs/>
          <w:kern w:val="0"/>
          <w:lang w:val="en-US" w:eastAsia="en-US"/>
          <w14:ligatures w14:val="none"/>
        </w:rPr>
        <w:t>.</w:t>
      </w:r>
      <w:r w:rsidRPr="004B3F8F">
        <w:rPr>
          <w:rFonts w:ascii="Arial" w:eastAsiaTheme="minorHAnsi" w:hAnsi="Arial" w:cs="Arial"/>
          <w:iCs/>
          <w:kern w:val="0"/>
          <w:lang w:val="en-US" w:eastAsia="en-US"/>
          <w14:ligatures w14:val="none"/>
        </w:rPr>
        <w:t>”</w:t>
      </w:r>
      <w:r w:rsidRPr="004B3F8F">
        <w:rPr>
          <w:rFonts w:ascii="Arial" w:eastAsiaTheme="minorHAnsi" w:hAnsi="Arial" w:cs="Arial"/>
          <w:i/>
          <w:iCs/>
          <w:kern w:val="0"/>
          <w:lang w:val="en-US" w:eastAsia="en-US"/>
          <w14:ligatures w14:val="none"/>
        </w:rPr>
        <w:t xml:space="preserve"> Auditing: A Journal of Practice and Theory</w:t>
      </w:r>
      <w:r w:rsidRPr="004B3F8F">
        <w:rPr>
          <w:rFonts w:ascii="Arial" w:eastAsiaTheme="minorHAnsi" w:hAnsi="Arial" w:cs="Arial"/>
          <w:kern w:val="0"/>
          <w:lang w:val="en-US" w:eastAsia="en-US"/>
          <w14:ligatures w14:val="none"/>
        </w:rPr>
        <w:t xml:space="preserve"> 19, no. 1, pp. 169-84.</w:t>
      </w:r>
    </w:p>
    <w:p w14:paraId="3C503EAD"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Bendovschi, A. (2015). "Fraud Risk Assessment: A Model for Improving the Effectiveness of Fraud Risk Management." International Journal of Business and Management, 10(1), 1-14.</w:t>
      </w:r>
    </w:p>
    <w:p w14:paraId="6D8139F4" w14:textId="77777777" w:rsidR="004B3F8F" w:rsidRPr="004B3F8F" w:rsidRDefault="004B3F8F" w:rsidP="004B3F8F">
      <w:pPr>
        <w:spacing w:before="100" w:beforeAutospacing="1" w:after="100" w:afterAutospacing="1" w:line="480" w:lineRule="auto"/>
        <w:ind w:left="709" w:hanging="709"/>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Bekhet, A. K., &amp; Zauszniewski, J. A. 2012. "Methodological Triangulation: An Approach to Understanding Data." </w:t>
      </w:r>
      <w:r w:rsidRPr="004B3F8F">
        <w:rPr>
          <w:rFonts w:asciiTheme="minorBidi" w:eastAsia="Times New Roman" w:hAnsiTheme="minorBidi"/>
          <w:i/>
          <w:iCs/>
          <w:kern w:val="0"/>
          <w14:ligatures w14:val="none"/>
        </w:rPr>
        <w:t>Nurse Researcher, 20</w:t>
      </w:r>
      <w:r w:rsidRPr="004B3F8F">
        <w:rPr>
          <w:rFonts w:asciiTheme="minorBidi" w:eastAsia="Times New Roman" w:hAnsiTheme="minorBidi"/>
          <w:kern w:val="0"/>
          <w14:ligatures w14:val="none"/>
        </w:rPr>
        <w:t>(2), 40-43. doi:10.7748/nr2012.11.20.2.40.c9442.</w:t>
      </w:r>
    </w:p>
    <w:p w14:paraId="11992DF2" w14:textId="77777777" w:rsidR="004B3F8F" w:rsidRPr="004B3F8F" w:rsidRDefault="004B3F8F" w:rsidP="004B3F8F">
      <w:pPr>
        <w:spacing w:after="200" w:line="480" w:lineRule="auto"/>
        <w:ind w:left="785" w:hangingChars="327" w:hanging="785"/>
        <w:jc w:val="both"/>
        <w:rPr>
          <w:rFonts w:asciiTheme="minorBidi" w:eastAsiaTheme="minorHAnsi" w:hAnsiTheme="minorBidi"/>
          <w:kern w:val="0"/>
          <w:lang w:eastAsia="en-US"/>
          <w14:ligatures w14:val="none"/>
        </w:rPr>
      </w:pPr>
      <w:bookmarkStart w:id="831" w:name="_Hlk42375841"/>
      <w:r w:rsidRPr="004B3F8F">
        <w:rPr>
          <w:rFonts w:ascii="Arial" w:eastAsiaTheme="minorHAnsi" w:hAnsi="Arial" w:cs="Arial"/>
          <w:kern w:val="0"/>
          <w:lang w:val="en-US" w:eastAsia="en-US"/>
          <w14:ligatures w14:val="none"/>
        </w:rPr>
        <w:t>Benson</w:t>
      </w:r>
      <w:bookmarkEnd w:id="831"/>
      <w:r w:rsidRPr="004B3F8F">
        <w:rPr>
          <w:rFonts w:ascii="Arial" w:eastAsiaTheme="minorHAnsi" w:hAnsi="Arial" w:cs="Arial"/>
          <w:kern w:val="0"/>
          <w:lang w:val="en-US" w:eastAsia="en-US"/>
          <w14:ligatures w14:val="none"/>
        </w:rPr>
        <w:t xml:space="preserve">, M.L., and S.S. </w:t>
      </w:r>
      <w:bookmarkStart w:id="832" w:name="_Hlk42375847"/>
      <w:r w:rsidRPr="004B3F8F">
        <w:rPr>
          <w:rFonts w:ascii="Arial" w:eastAsiaTheme="minorHAnsi" w:hAnsi="Arial" w:cs="Arial"/>
          <w:kern w:val="0"/>
          <w:lang w:val="en-US" w:eastAsia="en-US"/>
          <w14:ligatures w14:val="none"/>
        </w:rPr>
        <w:t>Simpson. 2014</w:t>
      </w:r>
      <w:bookmarkEnd w:id="832"/>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i/>
          <w:iCs/>
          <w:kern w:val="0"/>
          <w:lang w:val="en-US" w:eastAsia="en-US"/>
          <w14:ligatures w14:val="none"/>
        </w:rPr>
        <w:t>Understanding White-Collar Crime: An Opportunity Perspective.</w:t>
      </w:r>
      <w:r w:rsidRPr="004B3F8F">
        <w:rPr>
          <w:rFonts w:ascii="Arial" w:eastAsiaTheme="minorHAnsi" w:hAnsi="Arial" w:cs="Arial"/>
          <w:kern w:val="0"/>
          <w:lang w:val="en-US" w:eastAsia="en-US"/>
          <w14:ligatures w14:val="none"/>
        </w:rPr>
        <w:t xml:space="preserve"> Criminology and Justice Studies. Taylor &amp; Francis. </w:t>
      </w:r>
      <w:r w:rsidRPr="004B3F8F">
        <w:rPr>
          <w:rFonts w:asciiTheme="minorBidi" w:eastAsiaTheme="minorHAnsi" w:hAnsiTheme="minorBidi"/>
          <w:kern w:val="0"/>
          <w:lang w:eastAsia="en-US"/>
          <w14:ligatures w14:val="none"/>
        </w:rPr>
        <w:t>Routledge</w:t>
      </w:r>
    </w:p>
    <w:p w14:paraId="3C844A65" w14:textId="77777777" w:rsidR="004B3F8F" w:rsidRPr="004B3F8F" w:rsidRDefault="004B3F8F" w:rsidP="004B3F8F">
      <w:pPr>
        <w:spacing w:after="200" w:line="480" w:lineRule="auto"/>
        <w:ind w:left="785" w:hangingChars="327" w:hanging="785"/>
        <w:jc w:val="both"/>
        <w:rPr>
          <w:rFonts w:asciiTheme="minorBidi" w:eastAsiaTheme="minorHAnsi" w:hAnsiTheme="minorBidi"/>
          <w:kern w:val="0"/>
          <w:lang w:eastAsia="en-US"/>
          <w14:ligatures w14:val="none"/>
        </w:rPr>
      </w:pPr>
      <w:r w:rsidRPr="004B3F8F">
        <w:rPr>
          <w:rFonts w:asciiTheme="minorBidi" w:eastAsiaTheme="minorHAnsi" w:hAnsiTheme="minorBidi"/>
          <w:kern w:val="0"/>
          <w:lang w:eastAsia="en-US"/>
          <w14:ligatures w14:val="none"/>
        </w:rPr>
        <w:lastRenderedPageBreak/>
        <w:t xml:space="preserve">Berg, B. L., 2009. Qualitative Research Methods </w:t>
      </w:r>
      <w:proofErr w:type="gramStart"/>
      <w:r w:rsidRPr="004B3F8F">
        <w:rPr>
          <w:rFonts w:asciiTheme="minorBidi" w:eastAsiaTheme="minorHAnsi" w:hAnsiTheme="minorBidi"/>
          <w:kern w:val="0"/>
          <w:lang w:eastAsia="en-US"/>
          <w14:ligatures w14:val="none"/>
        </w:rPr>
        <w:t>For</w:t>
      </w:r>
      <w:proofErr w:type="gramEnd"/>
      <w:r w:rsidRPr="004B3F8F">
        <w:rPr>
          <w:rFonts w:asciiTheme="minorBidi" w:eastAsiaTheme="minorHAnsi" w:hAnsiTheme="minorBidi"/>
          <w:kern w:val="0"/>
          <w:lang w:eastAsia="en-US"/>
          <w14:ligatures w14:val="none"/>
        </w:rPr>
        <w:t xml:space="preserve"> The Social Sciences. 6th ed. Boston: Pearson Education Inc.</w:t>
      </w:r>
    </w:p>
    <w:p w14:paraId="3A26E859"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t>Berndt, A.E., 2020. Sampling methods. Journal of Human Lactation, 36(2), pp.224-226. Bhagat, S. and Bolton, B. (2019) Corporate governance and firm performance: The sequel. Journal of Corporate Finance, 58, pp.142-168.</w:t>
      </w:r>
    </w:p>
    <w:p w14:paraId="01AC6824"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Biegelman, M.T., &amp; Bartow, J.T. 2012. "Executive Roadmap to Fraud Prevention and Internal Control: Creating a Culture of Compliance." This book provides insights into developing tailored anti-fraud measures based on the specific needs and existing culture of an organization.</w:t>
      </w:r>
    </w:p>
    <w:p w14:paraId="4E23DD55"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33" w:name="_Hlk42375980"/>
      <w:r w:rsidRPr="004B3F8F">
        <w:rPr>
          <w:rFonts w:ascii="Arial" w:eastAsiaTheme="minorHAnsi" w:hAnsi="Arial" w:cs="Arial"/>
          <w:kern w:val="0"/>
          <w:lang w:val="de-DE" w:eastAsia="en-US"/>
          <w14:ligatures w14:val="none"/>
        </w:rPr>
        <w:t>Biegelman</w:t>
      </w:r>
      <w:bookmarkEnd w:id="833"/>
      <w:r w:rsidRPr="004B3F8F">
        <w:rPr>
          <w:rFonts w:ascii="Arial" w:eastAsiaTheme="minorHAnsi" w:hAnsi="Arial" w:cs="Arial"/>
          <w:kern w:val="0"/>
          <w:lang w:val="de-DE" w:eastAsia="en-US"/>
          <w14:ligatures w14:val="none"/>
        </w:rPr>
        <w:t xml:space="preserve">, M.T., </w:t>
      </w:r>
      <w:bookmarkStart w:id="834" w:name="_Hlk42375986"/>
      <w:r w:rsidRPr="004B3F8F">
        <w:rPr>
          <w:rFonts w:ascii="Arial" w:eastAsiaTheme="minorHAnsi" w:hAnsi="Arial" w:cs="Arial"/>
          <w:kern w:val="0"/>
          <w:lang w:val="de-DE" w:eastAsia="en-US"/>
          <w14:ligatures w14:val="none"/>
        </w:rPr>
        <w:t>and</w:t>
      </w:r>
      <w:bookmarkEnd w:id="834"/>
      <w:r w:rsidRPr="004B3F8F">
        <w:rPr>
          <w:rFonts w:ascii="Arial" w:eastAsiaTheme="minorHAnsi" w:hAnsi="Arial" w:cs="Arial"/>
          <w:kern w:val="0"/>
          <w:lang w:val="de-DE" w:eastAsia="en-US"/>
          <w14:ligatures w14:val="none"/>
        </w:rPr>
        <w:t xml:space="preserve"> J.T. </w:t>
      </w:r>
      <w:bookmarkStart w:id="835" w:name="_Hlk42375991"/>
      <w:r w:rsidRPr="004B3F8F">
        <w:rPr>
          <w:rFonts w:ascii="Arial" w:eastAsiaTheme="minorHAnsi" w:hAnsi="Arial" w:cs="Arial"/>
          <w:kern w:val="0"/>
          <w:lang w:val="de-DE" w:eastAsia="en-US"/>
          <w14:ligatures w14:val="none"/>
        </w:rPr>
        <w:t>Bartow</w:t>
      </w:r>
      <w:bookmarkEnd w:id="835"/>
      <w:r w:rsidRPr="004B3F8F">
        <w:rPr>
          <w:rFonts w:ascii="Arial" w:eastAsiaTheme="minorHAnsi" w:hAnsi="Arial" w:cs="Arial"/>
          <w:kern w:val="0"/>
          <w:lang w:val="de-DE" w:eastAsia="en-US"/>
          <w14:ligatures w14:val="none"/>
        </w:rPr>
        <w:t xml:space="preserve"> 2012. </w:t>
      </w:r>
      <w:r w:rsidRPr="004B3F8F">
        <w:rPr>
          <w:rFonts w:ascii="Arial" w:eastAsiaTheme="minorHAnsi" w:hAnsi="Arial" w:cs="Arial"/>
          <w:i/>
          <w:iCs/>
          <w:kern w:val="0"/>
          <w:lang w:val="en-US" w:eastAsia="en-US"/>
          <w14:ligatures w14:val="none"/>
        </w:rPr>
        <w:t>Executive Roadmap to Fraud Prevention and Internal Control: Creating a Culture of Compliance.</w:t>
      </w:r>
      <w:r w:rsidRPr="004B3F8F">
        <w:rPr>
          <w:rFonts w:ascii="Arial" w:eastAsiaTheme="minorHAnsi" w:hAnsi="Arial" w:cs="Arial"/>
          <w:kern w:val="0"/>
          <w:lang w:val="en-US" w:eastAsia="en-US"/>
          <w14:ligatures w14:val="none"/>
        </w:rPr>
        <w:t xml:space="preserve"> John Wiley &amp; Sons. </w:t>
      </w:r>
      <w:r w:rsidRPr="004B3F8F">
        <w:rPr>
          <w:rFonts w:ascii="Arial" w:eastAsiaTheme="minorHAnsi" w:hAnsi="Arial" w:cs="Arial"/>
          <w:kern w:val="0"/>
          <w:lang w:eastAsia="en-US"/>
          <w14:ligatures w14:val="none"/>
        </w:rPr>
        <w:t>2</w:t>
      </w:r>
      <w:r w:rsidRPr="004B3F8F">
        <w:rPr>
          <w:rFonts w:ascii="Arial" w:eastAsiaTheme="minorHAnsi" w:hAnsi="Arial" w:cs="Arial"/>
          <w:kern w:val="0"/>
          <w:vertAlign w:val="superscript"/>
          <w:lang w:eastAsia="en-US"/>
          <w14:ligatures w14:val="none"/>
        </w:rPr>
        <w:t>nd</w:t>
      </w:r>
      <w:r w:rsidRPr="004B3F8F">
        <w:rPr>
          <w:rFonts w:ascii="Arial" w:eastAsiaTheme="minorHAnsi" w:hAnsi="Arial" w:cs="Arial"/>
          <w:kern w:val="0"/>
          <w:lang w:eastAsia="en-US"/>
          <w14:ligatures w14:val="none"/>
        </w:rPr>
        <w:t xml:space="preserve"> Edition. Hooken, NJ. Wiley.</w:t>
      </w:r>
    </w:p>
    <w:p w14:paraId="50EEDED2"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36" w:name="_Hlk42376023"/>
      <w:r w:rsidRPr="004B3F8F">
        <w:rPr>
          <w:rFonts w:ascii="Arial" w:eastAsiaTheme="minorHAnsi" w:hAnsi="Arial" w:cs="Arial"/>
          <w:kern w:val="0"/>
          <w:lang w:val="en-US" w:eastAsia="en-US"/>
          <w14:ligatures w14:val="none"/>
        </w:rPr>
        <w:t>Bierstaker</w:t>
      </w:r>
      <w:bookmarkEnd w:id="836"/>
      <w:r w:rsidRPr="004B3F8F">
        <w:rPr>
          <w:rFonts w:ascii="Arial" w:eastAsiaTheme="minorHAnsi" w:hAnsi="Arial" w:cs="Arial"/>
          <w:kern w:val="0"/>
          <w:lang w:val="en-US" w:eastAsia="en-US"/>
          <w14:ligatures w14:val="none"/>
        </w:rPr>
        <w:t xml:space="preserve">, J.L., G.R. Brody, and C. Pacini. 2006. “Accountants’ Perceptions Regarding Fraud Detection and Prevention Methods.” </w:t>
      </w:r>
      <w:r w:rsidRPr="004B3F8F">
        <w:rPr>
          <w:rFonts w:ascii="Arial" w:eastAsiaTheme="minorHAnsi" w:hAnsi="Arial" w:cs="Arial"/>
          <w:i/>
          <w:iCs/>
          <w:kern w:val="0"/>
          <w:lang w:val="en-US" w:eastAsia="en-US"/>
          <w14:ligatures w14:val="none"/>
        </w:rPr>
        <w:t>Managerial Auditing Journal</w:t>
      </w:r>
      <w:r w:rsidRPr="004B3F8F">
        <w:rPr>
          <w:rFonts w:ascii="Arial" w:eastAsiaTheme="minorHAnsi" w:hAnsi="Arial" w:cs="Arial"/>
          <w:kern w:val="0"/>
          <w:lang w:val="en-US" w:eastAsia="en-US"/>
          <w14:ligatures w14:val="none"/>
        </w:rPr>
        <w:t xml:space="preserve"> 21, no. 5, 520-35.</w:t>
      </w:r>
    </w:p>
    <w:p w14:paraId="76E70011"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37" w:name="_Hlk42376052"/>
      <w:bookmarkStart w:id="838" w:name="59"/>
      <w:r w:rsidRPr="004B3F8F">
        <w:rPr>
          <w:rFonts w:ascii="Arial" w:eastAsiaTheme="minorHAnsi" w:hAnsi="Arial" w:cs="Arial"/>
          <w:kern w:val="0"/>
          <w:lang w:val="en-US" w:eastAsia="en-US"/>
          <w14:ligatures w14:val="none"/>
        </w:rPr>
        <w:t>Blay</w:t>
      </w:r>
      <w:bookmarkEnd w:id="837"/>
      <w:r w:rsidRPr="004B3F8F">
        <w:rPr>
          <w:rFonts w:ascii="Arial" w:eastAsiaTheme="minorHAnsi" w:hAnsi="Arial" w:cs="Arial"/>
          <w:kern w:val="0"/>
          <w:lang w:val="en-US" w:eastAsia="en-US"/>
          <w14:ligatures w14:val="none"/>
        </w:rPr>
        <w:t xml:space="preserve">, A.D. 2005. “Independence Threats, Litigation Risk, and the Auditor’s Decision Process.” </w:t>
      </w:r>
      <w:r w:rsidRPr="004B3F8F">
        <w:rPr>
          <w:rFonts w:ascii="Arial" w:eastAsiaTheme="minorHAnsi" w:hAnsi="Arial" w:cs="Arial"/>
          <w:i/>
          <w:kern w:val="0"/>
          <w:lang w:val="en-US" w:eastAsia="en-US"/>
          <w14:ligatures w14:val="none"/>
        </w:rPr>
        <w:t>Contemporary Accounting Research</w:t>
      </w:r>
      <w:r w:rsidRPr="004B3F8F">
        <w:rPr>
          <w:rFonts w:ascii="Arial" w:eastAsiaTheme="minorHAnsi" w:hAnsi="Arial" w:cs="Arial"/>
          <w:kern w:val="0"/>
          <w:lang w:val="en-US" w:eastAsia="en-US"/>
          <w14:ligatures w14:val="none"/>
        </w:rPr>
        <w:t xml:space="preserve"> 22, pp. 759-89.</w:t>
      </w:r>
    </w:p>
    <w:p w14:paraId="16FA8DF4"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Blinder, A.S. 2016. "How Wells Fargo’s Cutthroat Corporate Culture Allegedly Drove Bankers to Fraud." </w:t>
      </w:r>
      <w:r w:rsidRPr="004B3F8F">
        <w:rPr>
          <w:rFonts w:asciiTheme="minorBidi" w:eastAsia="Times New Roman" w:hAnsiTheme="minorBidi"/>
          <w:i/>
          <w:iCs/>
          <w:kern w:val="0"/>
          <w14:ligatures w14:val="none"/>
        </w:rPr>
        <w:t>Wall Street Journal</w:t>
      </w:r>
      <w:r w:rsidRPr="004B3F8F">
        <w:rPr>
          <w:rFonts w:asciiTheme="minorBidi" w:eastAsia="Times New Roman" w:hAnsiTheme="minorBidi"/>
          <w:kern w:val="0"/>
          <w14:ligatures w14:val="none"/>
        </w:rPr>
        <w:t>.</w:t>
      </w:r>
    </w:p>
    <w:p w14:paraId="25249432"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bookmarkStart w:id="839" w:name="_Hlk42376066"/>
      <w:bookmarkEnd w:id="838"/>
      <w:r w:rsidRPr="004B3F8F">
        <w:rPr>
          <w:rFonts w:ascii="Arial" w:eastAsiaTheme="minorHAnsi" w:hAnsi="Arial" w:cs="Arial"/>
          <w:kern w:val="0"/>
          <w:lang w:val="en-US" w:eastAsia="en-US"/>
          <w14:ligatures w14:val="none"/>
        </w:rPr>
        <w:t>Bloomberg</w:t>
      </w:r>
      <w:bookmarkEnd w:id="839"/>
      <w:r w:rsidRPr="004B3F8F">
        <w:rPr>
          <w:rFonts w:ascii="Arial" w:eastAsiaTheme="minorHAnsi" w:hAnsi="Arial" w:cs="Arial"/>
          <w:kern w:val="0"/>
          <w:lang w:val="en-US" w:eastAsia="en-US"/>
          <w14:ligatures w14:val="none"/>
        </w:rPr>
        <w:t xml:space="preserve">. 2004. “Bloomberg Businessweek.” http://www.bloomberg.com/news/articles/2004-01-11/how-parmalat-went-sour, </w:t>
      </w:r>
      <w:r w:rsidRPr="004B3F8F">
        <w:rPr>
          <w:rFonts w:ascii="Arial" w:eastAsiaTheme="minorHAnsi" w:hAnsi="Arial" w:cs="Arial"/>
          <w:kern w:val="0"/>
          <w:shd w:val="clear" w:color="auto" w:fill="FFFFFF"/>
          <w:lang w:val="en-US" w:eastAsia="en-US"/>
          <w14:ligatures w14:val="none"/>
        </w:rPr>
        <w:t>(accessed January 1, 2019).</w:t>
      </w:r>
      <w:bookmarkStart w:id="840" w:name="_Hlk42376079"/>
    </w:p>
    <w:p w14:paraId="075611BE"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Theme="minorBidi" w:eastAsia="Times New Roman" w:hAnsiTheme="minorBidi"/>
          <w:kern w:val="0"/>
          <w:lang w:eastAsia="en-US"/>
          <w14:ligatures w14:val="none"/>
        </w:rPr>
        <w:lastRenderedPageBreak/>
        <w:t xml:space="preserve">Boddy, C. R. 2022. "Corporate Psychopaths, Bullying, and Unethical Leadership." </w:t>
      </w:r>
      <w:r w:rsidRPr="004B3F8F">
        <w:rPr>
          <w:rFonts w:asciiTheme="minorBidi" w:eastAsia="Times New Roman" w:hAnsiTheme="minorBidi"/>
          <w:i/>
          <w:iCs/>
          <w:kern w:val="0"/>
          <w:lang w:eastAsia="en-US"/>
          <w14:ligatures w14:val="none"/>
        </w:rPr>
        <w:t>Journal of Business Ethics</w:t>
      </w:r>
      <w:r w:rsidRPr="004B3F8F">
        <w:rPr>
          <w:rFonts w:asciiTheme="minorBidi" w:eastAsia="Times New Roman" w:hAnsiTheme="minorBidi"/>
          <w:kern w:val="0"/>
          <w:lang w:eastAsia="en-US"/>
          <w14:ligatures w14:val="none"/>
        </w:rPr>
        <w:t>.</w:t>
      </w:r>
    </w:p>
    <w:p w14:paraId="0BF355C2" w14:textId="77777777" w:rsidR="004B3F8F" w:rsidRPr="004B3F8F" w:rsidRDefault="004B3F8F" w:rsidP="004B3F8F">
      <w:pPr>
        <w:spacing w:line="480" w:lineRule="auto"/>
        <w:ind w:left="785" w:hanging="785"/>
        <w:jc w:val="both"/>
        <w:rPr>
          <w:rFonts w:ascii="Arial" w:eastAsiaTheme="minorHAnsi" w:hAnsi="Arial" w:cs="Arial"/>
          <w:color w:val="222222"/>
          <w:kern w:val="0"/>
          <w:shd w:val="clear" w:color="auto" w:fill="FFFFFF"/>
          <w:lang w:eastAsia="en-US"/>
          <w14:ligatures w14:val="none"/>
        </w:rPr>
      </w:pPr>
      <w:r w:rsidRPr="004B3F8F">
        <w:rPr>
          <w:rFonts w:ascii="Arial" w:eastAsiaTheme="minorHAnsi" w:hAnsi="Arial" w:cs="Arial"/>
          <w:color w:val="222222"/>
          <w:kern w:val="0"/>
          <w:shd w:val="clear" w:color="auto" w:fill="FFFFFF"/>
          <w:lang w:eastAsia="en-US"/>
          <w14:ligatures w14:val="none"/>
        </w:rPr>
        <w:t>Boddy, C. R., Malovany, E., Kunter, A., &amp; Gull, G. 2020. Employee well-being under corporate psychopath leaders. </w:t>
      </w:r>
      <w:r w:rsidRPr="004B3F8F">
        <w:rPr>
          <w:rFonts w:ascii="Arial" w:eastAsiaTheme="minorHAnsi" w:hAnsi="Arial" w:cs="Arial"/>
          <w:i/>
          <w:iCs/>
          <w:color w:val="222222"/>
          <w:kern w:val="0"/>
          <w:shd w:val="clear" w:color="auto" w:fill="FFFFFF"/>
          <w:lang w:eastAsia="en-US"/>
          <w14:ligatures w14:val="none"/>
        </w:rPr>
        <w:t>The Palgrave handbook of workplace well-being</w:t>
      </w:r>
      <w:r w:rsidRPr="004B3F8F">
        <w:rPr>
          <w:rFonts w:ascii="Arial" w:eastAsiaTheme="minorHAnsi" w:hAnsi="Arial" w:cs="Arial"/>
          <w:color w:val="222222"/>
          <w:kern w:val="0"/>
          <w:shd w:val="clear" w:color="auto" w:fill="FFFFFF"/>
          <w:lang w:eastAsia="en-US"/>
          <w14:ligatures w14:val="none"/>
        </w:rPr>
        <w:t>, 1-28.</w:t>
      </w:r>
    </w:p>
    <w:p w14:paraId="112D9BA4" w14:textId="77777777" w:rsidR="004B3F8F" w:rsidRPr="004B3F8F" w:rsidRDefault="004B3F8F" w:rsidP="004B3F8F">
      <w:pPr>
        <w:spacing w:before="100" w:beforeAutospacing="1" w:after="100" w:afterAutospacing="1" w:line="480" w:lineRule="auto"/>
        <w:ind w:left="709" w:hanging="709"/>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Boddy, C. R. 2017. "Corporate Psychopaths, Conflict, Employee Affective Well-Being and Counterproductive Work Behaviour." </w:t>
      </w:r>
      <w:r w:rsidRPr="004B3F8F">
        <w:rPr>
          <w:rFonts w:asciiTheme="minorBidi" w:eastAsia="Times New Roman" w:hAnsiTheme="minorBidi"/>
          <w:i/>
          <w:iCs/>
          <w:kern w:val="0"/>
          <w14:ligatures w14:val="none"/>
        </w:rPr>
        <w:t>Journal of Business Ethics</w:t>
      </w:r>
      <w:r w:rsidRPr="004B3F8F">
        <w:rPr>
          <w:rFonts w:asciiTheme="minorBidi" w:eastAsia="Times New Roman" w:hAnsiTheme="minorBidi"/>
          <w:kern w:val="0"/>
          <w14:ligatures w14:val="none"/>
        </w:rPr>
        <w:t>, 145(2), 365-375.</w:t>
      </w:r>
    </w:p>
    <w:p w14:paraId="1DB8A3D8" w14:textId="77777777" w:rsidR="004B3F8F" w:rsidRPr="004B3F8F" w:rsidRDefault="004B3F8F" w:rsidP="004B3F8F">
      <w:pPr>
        <w:spacing w:before="100" w:beforeAutospacing="1" w:after="100" w:afterAutospacing="1" w:line="480" w:lineRule="auto"/>
        <w:ind w:left="709" w:hanging="709"/>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Boddy, C. R. 2015. "Organizational Psychopaths: Organizational Destroyers." </w:t>
      </w:r>
      <w:r w:rsidRPr="004B3F8F">
        <w:rPr>
          <w:rFonts w:asciiTheme="minorBidi" w:eastAsia="Times New Roman" w:hAnsiTheme="minorBidi"/>
          <w:i/>
          <w:iCs/>
          <w:kern w:val="0"/>
          <w14:ligatures w14:val="none"/>
        </w:rPr>
        <w:t>Journal of Business Ethics</w:t>
      </w:r>
      <w:r w:rsidRPr="004B3F8F">
        <w:rPr>
          <w:rFonts w:asciiTheme="minorBidi" w:eastAsia="Times New Roman" w:hAnsiTheme="minorBidi"/>
          <w:kern w:val="0"/>
          <w14:ligatures w14:val="none"/>
        </w:rPr>
        <w:t>, 128(1), 235-251.</w:t>
      </w:r>
    </w:p>
    <w:p w14:paraId="4F7250F6" w14:textId="77777777" w:rsidR="004B3F8F" w:rsidRPr="004B3F8F" w:rsidRDefault="004B3F8F" w:rsidP="004B3F8F">
      <w:pPr>
        <w:spacing w:line="480" w:lineRule="auto"/>
        <w:ind w:left="785" w:hanging="785"/>
        <w:jc w:val="both"/>
        <w:rPr>
          <w:rFonts w:ascii="Arial" w:eastAsiaTheme="minorHAnsi" w:hAnsi="Arial" w:cs="Arial"/>
          <w:color w:val="222222"/>
          <w:kern w:val="0"/>
          <w:shd w:val="clear" w:color="auto" w:fill="FFFFFF"/>
          <w:lang w:eastAsia="en-US"/>
          <w14:ligatures w14:val="none"/>
        </w:rPr>
      </w:pPr>
      <w:r w:rsidRPr="004B3F8F">
        <w:rPr>
          <w:rFonts w:ascii="Arial" w:eastAsiaTheme="minorHAnsi" w:hAnsi="Arial" w:cs="Arial"/>
          <w:color w:val="222222"/>
          <w:kern w:val="0"/>
          <w:shd w:val="clear" w:color="auto" w:fill="FFFFFF"/>
          <w:lang w:eastAsia="en-US"/>
          <w14:ligatures w14:val="none"/>
        </w:rPr>
        <w:t>Boddy, C., Miles, D., Sanyal, C., &amp; Hartog, M. 2015. Extreme managers, extreme workplaces: Capitalism, organizations and corporate psychopaths. </w:t>
      </w:r>
      <w:r w:rsidRPr="004B3F8F">
        <w:rPr>
          <w:rFonts w:ascii="Arial" w:eastAsiaTheme="minorHAnsi" w:hAnsi="Arial" w:cs="Arial"/>
          <w:i/>
          <w:iCs/>
          <w:color w:val="222222"/>
          <w:kern w:val="0"/>
          <w:shd w:val="clear" w:color="auto" w:fill="FFFFFF"/>
          <w:lang w:eastAsia="en-US"/>
          <w14:ligatures w14:val="none"/>
        </w:rPr>
        <w:t>Organization</w:t>
      </w:r>
      <w:r w:rsidRPr="004B3F8F">
        <w:rPr>
          <w:rFonts w:ascii="Arial" w:eastAsiaTheme="minorHAnsi" w:hAnsi="Arial" w:cs="Arial"/>
          <w:color w:val="222222"/>
          <w:kern w:val="0"/>
          <w:shd w:val="clear" w:color="auto" w:fill="FFFFFF"/>
          <w:lang w:eastAsia="en-US"/>
          <w14:ligatures w14:val="none"/>
        </w:rPr>
        <w:t>, </w:t>
      </w:r>
      <w:r w:rsidRPr="004B3F8F">
        <w:rPr>
          <w:rFonts w:ascii="Arial" w:eastAsiaTheme="minorHAnsi" w:hAnsi="Arial" w:cs="Arial"/>
          <w:i/>
          <w:iCs/>
          <w:color w:val="222222"/>
          <w:kern w:val="0"/>
          <w:shd w:val="clear" w:color="auto" w:fill="FFFFFF"/>
          <w:lang w:eastAsia="en-US"/>
          <w14:ligatures w14:val="none"/>
        </w:rPr>
        <w:t>22</w:t>
      </w:r>
      <w:r w:rsidRPr="004B3F8F">
        <w:rPr>
          <w:rFonts w:ascii="Arial" w:eastAsiaTheme="minorHAnsi" w:hAnsi="Arial" w:cs="Arial"/>
          <w:color w:val="222222"/>
          <w:kern w:val="0"/>
          <w:shd w:val="clear" w:color="auto" w:fill="FFFFFF"/>
          <w:lang w:eastAsia="en-US"/>
          <w14:ligatures w14:val="none"/>
        </w:rPr>
        <w:t>(4), 530-551.</w:t>
      </w:r>
    </w:p>
    <w:p w14:paraId="6F98CFBF" w14:textId="77777777" w:rsidR="004B3F8F" w:rsidRPr="004B3F8F" w:rsidRDefault="004B3F8F" w:rsidP="004B3F8F">
      <w:pPr>
        <w:spacing w:line="480" w:lineRule="auto"/>
        <w:ind w:left="785" w:hanging="785"/>
        <w:jc w:val="both"/>
        <w:rPr>
          <w:rFonts w:ascii="Arial" w:eastAsiaTheme="minorHAnsi" w:hAnsi="Arial" w:cs="Arial"/>
          <w:color w:val="222222"/>
          <w:kern w:val="0"/>
          <w:shd w:val="clear" w:color="auto" w:fill="FFFFFF"/>
          <w:lang w:eastAsia="en-US"/>
          <w14:ligatures w14:val="none"/>
        </w:rPr>
      </w:pPr>
      <w:r w:rsidRPr="004B3F8F">
        <w:rPr>
          <w:rFonts w:ascii="Arial" w:eastAsiaTheme="minorHAnsi" w:hAnsi="Arial" w:cs="Arial"/>
          <w:color w:val="222222"/>
          <w:kern w:val="0"/>
          <w:shd w:val="clear" w:color="auto" w:fill="FFFFFF"/>
          <w:lang w:eastAsia="en-US"/>
          <w14:ligatures w14:val="none"/>
        </w:rPr>
        <w:t>Boddy, C. R. 2014. Corporate psychopaths, conflict, employee affective well-being and counterproductive work behaviour. </w:t>
      </w:r>
      <w:r w:rsidRPr="004B3F8F">
        <w:rPr>
          <w:rFonts w:ascii="Arial" w:eastAsiaTheme="minorHAnsi" w:hAnsi="Arial" w:cs="Arial"/>
          <w:i/>
          <w:iCs/>
          <w:color w:val="222222"/>
          <w:kern w:val="0"/>
          <w:shd w:val="clear" w:color="auto" w:fill="FFFFFF"/>
          <w:lang w:eastAsia="en-US"/>
          <w14:ligatures w14:val="none"/>
        </w:rPr>
        <w:t>Journal of business ethics</w:t>
      </w:r>
      <w:r w:rsidRPr="004B3F8F">
        <w:rPr>
          <w:rFonts w:ascii="Arial" w:eastAsiaTheme="minorHAnsi" w:hAnsi="Arial" w:cs="Arial"/>
          <w:color w:val="222222"/>
          <w:kern w:val="0"/>
          <w:shd w:val="clear" w:color="auto" w:fill="FFFFFF"/>
          <w:lang w:eastAsia="en-US"/>
          <w14:ligatures w14:val="none"/>
        </w:rPr>
        <w:t>, </w:t>
      </w:r>
      <w:r w:rsidRPr="004B3F8F">
        <w:rPr>
          <w:rFonts w:ascii="Arial" w:eastAsiaTheme="minorHAnsi" w:hAnsi="Arial" w:cs="Arial"/>
          <w:i/>
          <w:iCs/>
          <w:color w:val="222222"/>
          <w:kern w:val="0"/>
          <w:shd w:val="clear" w:color="auto" w:fill="FFFFFF"/>
          <w:lang w:eastAsia="en-US"/>
          <w14:ligatures w14:val="none"/>
        </w:rPr>
        <w:t>121</w:t>
      </w:r>
      <w:r w:rsidRPr="004B3F8F">
        <w:rPr>
          <w:rFonts w:ascii="Arial" w:eastAsiaTheme="minorHAnsi" w:hAnsi="Arial" w:cs="Arial"/>
          <w:color w:val="222222"/>
          <w:kern w:val="0"/>
          <w:shd w:val="clear" w:color="auto" w:fill="FFFFFF"/>
          <w:lang w:eastAsia="en-US"/>
          <w14:ligatures w14:val="none"/>
        </w:rPr>
        <w:t>(1), 107-121.</w:t>
      </w:r>
    </w:p>
    <w:p w14:paraId="5466BF2F" w14:textId="77777777" w:rsidR="004B3F8F" w:rsidRPr="004B3F8F" w:rsidRDefault="004B3F8F" w:rsidP="004B3F8F">
      <w:pPr>
        <w:spacing w:line="480" w:lineRule="auto"/>
        <w:ind w:left="785" w:hanging="785"/>
        <w:jc w:val="both"/>
        <w:rPr>
          <w:rFonts w:ascii="Arial" w:eastAsiaTheme="minorHAnsi" w:hAnsi="Arial" w:cs="Arial"/>
          <w:color w:val="222222"/>
          <w:kern w:val="0"/>
          <w:shd w:val="clear" w:color="auto" w:fill="FFFFFF"/>
          <w:lang w:eastAsia="en-US"/>
          <w14:ligatures w14:val="none"/>
        </w:rPr>
      </w:pPr>
      <w:r w:rsidRPr="004B3F8F">
        <w:rPr>
          <w:rFonts w:ascii="Arial" w:eastAsiaTheme="minorHAnsi" w:hAnsi="Arial" w:cs="Arial"/>
          <w:color w:val="222222"/>
          <w:kern w:val="0"/>
          <w:shd w:val="clear" w:color="auto" w:fill="FFFFFF"/>
          <w:lang w:eastAsia="en-US"/>
          <w14:ligatures w14:val="none"/>
        </w:rPr>
        <w:t>Boddy, C. R. 2011. The corporate psychopaths theory of the global financial crisis. </w:t>
      </w:r>
      <w:r w:rsidRPr="004B3F8F">
        <w:rPr>
          <w:rFonts w:ascii="Arial" w:eastAsiaTheme="minorHAnsi" w:hAnsi="Arial" w:cs="Arial"/>
          <w:i/>
          <w:iCs/>
          <w:color w:val="222222"/>
          <w:kern w:val="0"/>
          <w:shd w:val="clear" w:color="auto" w:fill="FFFFFF"/>
          <w:lang w:eastAsia="en-US"/>
          <w14:ligatures w14:val="none"/>
        </w:rPr>
        <w:t>Journal of Business Ethics</w:t>
      </w:r>
      <w:r w:rsidRPr="004B3F8F">
        <w:rPr>
          <w:rFonts w:ascii="Arial" w:eastAsiaTheme="minorHAnsi" w:hAnsi="Arial" w:cs="Arial"/>
          <w:color w:val="222222"/>
          <w:kern w:val="0"/>
          <w:shd w:val="clear" w:color="auto" w:fill="FFFFFF"/>
          <w:lang w:eastAsia="en-US"/>
          <w14:ligatures w14:val="none"/>
        </w:rPr>
        <w:t>, </w:t>
      </w:r>
      <w:r w:rsidRPr="004B3F8F">
        <w:rPr>
          <w:rFonts w:ascii="Arial" w:eastAsiaTheme="minorHAnsi" w:hAnsi="Arial" w:cs="Arial"/>
          <w:i/>
          <w:iCs/>
          <w:color w:val="222222"/>
          <w:kern w:val="0"/>
          <w:shd w:val="clear" w:color="auto" w:fill="FFFFFF"/>
          <w:lang w:eastAsia="en-US"/>
          <w14:ligatures w14:val="none"/>
        </w:rPr>
        <w:t>102</w:t>
      </w:r>
      <w:r w:rsidRPr="004B3F8F">
        <w:rPr>
          <w:rFonts w:ascii="Arial" w:eastAsiaTheme="minorHAnsi" w:hAnsi="Arial" w:cs="Arial"/>
          <w:color w:val="222222"/>
          <w:kern w:val="0"/>
          <w:shd w:val="clear" w:color="auto" w:fill="FFFFFF"/>
          <w:lang w:eastAsia="en-US"/>
          <w14:ligatures w14:val="none"/>
        </w:rPr>
        <w:t>, 255-259.</w:t>
      </w:r>
    </w:p>
    <w:p w14:paraId="04C13E07" w14:textId="77777777" w:rsidR="004B3F8F" w:rsidRPr="004B3F8F" w:rsidRDefault="004B3F8F" w:rsidP="004B3F8F">
      <w:pPr>
        <w:spacing w:after="0" w:line="480" w:lineRule="auto"/>
        <w:ind w:left="851" w:hanging="851"/>
        <w:contextualSpacing/>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Boddy, C. R. 2011. Corporate psychopaths, bullying and unfair supervision in the workplace. </w:t>
      </w:r>
      <w:r w:rsidRPr="004B3F8F">
        <w:rPr>
          <w:rFonts w:asciiTheme="minorBidi" w:eastAsia="Times New Roman" w:hAnsiTheme="minorBidi"/>
          <w:i/>
          <w:iCs/>
          <w:kern w:val="0"/>
          <w14:ligatures w14:val="none"/>
        </w:rPr>
        <w:t>Journal of Business Ethics</w:t>
      </w:r>
      <w:r w:rsidRPr="004B3F8F">
        <w:rPr>
          <w:rFonts w:asciiTheme="minorBidi" w:eastAsia="Times New Roman" w:hAnsiTheme="minorBidi"/>
          <w:kern w:val="0"/>
          <w14:ligatures w14:val="none"/>
        </w:rPr>
        <w:t>, 100(3), 367-379.</w:t>
      </w:r>
    </w:p>
    <w:p w14:paraId="04753EC1" w14:textId="77777777" w:rsidR="004B3F8F" w:rsidRPr="004B3F8F" w:rsidRDefault="004B3F8F" w:rsidP="004B3F8F">
      <w:pPr>
        <w:spacing w:line="480" w:lineRule="auto"/>
        <w:ind w:left="785" w:hanging="785"/>
        <w:jc w:val="both"/>
        <w:rPr>
          <w:rFonts w:ascii="Arial" w:eastAsiaTheme="minorHAnsi" w:hAnsi="Arial" w:cs="Arial"/>
          <w:color w:val="222222"/>
          <w:kern w:val="0"/>
          <w:shd w:val="clear" w:color="auto" w:fill="FFFFFF"/>
          <w:lang w:eastAsia="en-US"/>
          <w14:ligatures w14:val="none"/>
        </w:rPr>
      </w:pPr>
      <w:r w:rsidRPr="004B3F8F">
        <w:rPr>
          <w:rFonts w:ascii="Arial" w:eastAsiaTheme="minorHAnsi" w:hAnsi="Arial" w:cs="Arial"/>
          <w:color w:val="222222"/>
          <w:kern w:val="0"/>
          <w:shd w:val="clear" w:color="auto" w:fill="FFFFFF"/>
          <w:lang w:eastAsia="en-US"/>
          <w14:ligatures w14:val="none"/>
        </w:rPr>
        <w:t>Boddy, C. R. 2005. The implications of corporate psychopaths for business and society: An initial examination and a call to arms. </w:t>
      </w:r>
      <w:r w:rsidRPr="004B3F8F">
        <w:rPr>
          <w:rFonts w:ascii="Arial" w:eastAsiaTheme="minorHAnsi" w:hAnsi="Arial" w:cs="Arial"/>
          <w:i/>
          <w:iCs/>
          <w:color w:val="222222"/>
          <w:kern w:val="0"/>
          <w:shd w:val="clear" w:color="auto" w:fill="FFFFFF"/>
          <w:lang w:eastAsia="en-US"/>
          <w14:ligatures w14:val="none"/>
        </w:rPr>
        <w:t>Australasian Journal of Business and Behavioural Sciences</w:t>
      </w:r>
      <w:r w:rsidRPr="004B3F8F">
        <w:rPr>
          <w:rFonts w:ascii="Arial" w:eastAsiaTheme="minorHAnsi" w:hAnsi="Arial" w:cs="Arial"/>
          <w:color w:val="222222"/>
          <w:kern w:val="0"/>
          <w:shd w:val="clear" w:color="auto" w:fill="FFFFFF"/>
          <w:lang w:eastAsia="en-US"/>
          <w14:ligatures w14:val="none"/>
        </w:rPr>
        <w:t>, </w:t>
      </w:r>
      <w:r w:rsidRPr="004B3F8F">
        <w:rPr>
          <w:rFonts w:ascii="Arial" w:eastAsiaTheme="minorHAnsi" w:hAnsi="Arial" w:cs="Arial"/>
          <w:i/>
          <w:iCs/>
          <w:color w:val="222222"/>
          <w:kern w:val="0"/>
          <w:shd w:val="clear" w:color="auto" w:fill="FFFFFF"/>
          <w:lang w:eastAsia="en-US"/>
          <w14:ligatures w14:val="none"/>
        </w:rPr>
        <w:t>1</w:t>
      </w:r>
      <w:r w:rsidRPr="004B3F8F">
        <w:rPr>
          <w:rFonts w:ascii="Arial" w:eastAsiaTheme="minorHAnsi" w:hAnsi="Arial" w:cs="Arial"/>
          <w:color w:val="222222"/>
          <w:kern w:val="0"/>
          <w:shd w:val="clear" w:color="auto" w:fill="FFFFFF"/>
          <w:lang w:eastAsia="en-US"/>
          <w14:ligatures w14:val="none"/>
        </w:rPr>
        <w:t>(2), 30-40.</w:t>
      </w:r>
    </w:p>
    <w:p w14:paraId="20F52C09"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lastRenderedPageBreak/>
        <w:t xml:space="preserve">Botes, V. L., &amp; Saadeh, A. 2018. "Exploring the Synergy between Organizational Ethical Culture and Blockchain Technology in Preventing Fraud." </w:t>
      </w:r>
      <w:r w:rsidRPr="004B3F8F">
        <w:rPr>
          <w:rFonts w:asciiTheme="minorBidi" w:eastAsia="Times New Roman" w:hAnsiTheme="minorBidi"/>
          <w:i/>
          <w:iCs/>
          <w:kern w:val="0"/>
          <w14:ligatures w14:val="none"/>
        </w:rPr>
        <w:t>Journal of Financial Crime</w:t>
      </w:r>
      <w:r w:rsidRPr="004B3F8F">
        <w:rPr>
          <w:rFonts w:asciiTheme="minorBidi" w:eastAsia="Times New Roman" w:hAnsiTheme="minorBidi"/>
          <w:kern w:val="0"/>
          <w14:ligatures w14:val="none"/>
        </w:rPr>
        <w:t>, 25(3), 1067-1078.</w:t>
      </w:r>
    </w:p>
    <w:p w14:paraId="78A71867" w14:textId="77777777" w:rsidR="004B3F8F" w:rsidRPr="004B3F8F" w:rsidRDefault="004B3F8F" w:rsidP="004B3F8F">
      <w:pPr>
        <w:spacing w:after="200" w:line="480" w:lineRule="auto"/>
        <w:ind w:left="993" w:hanging="993"/>
        <w:jc w:val="both"/>
        <w:rPr>
          <w:rFonts w:ascii="Arial" w:eastAsiaTheme="minorHAnsi" w:hAnsi="Arial" w:cs="Arial"/>
          <w:kern w:val="0"/>
          <w:lang w:val="en-US" w:eastAsia="en-US"/>
          <w14:ligatures w14:val="none"/>
        </w:rPr>
      </w:pPr>
      <w:r w:rsidRPr="004B3F8F">
        <w:rPr>
          <w:rFonts w:ascii="Arial" w:eastAsia="Times New Roman" w:hAnsi="Arial" w:cs="Arial"/>
          <w:kern w:val="0"/>
          <w:lang w:val="en-US" w:eastAsia="en-GB"/>
          <w14:ligatures w14:val="none"/>
        </w:rPr>
        <w:t>Bowen</w:t>
      </w:r>
      <w:bookmarkEnd w:id="840"/>
      <w:r w:rsidRPr="004B3F8F">
        <w:rPr>
          <w:rFonts w:ascii="Arial" w:eastAsia="Times New Roman" w:hAnsi="Arial" w:cs="Arial"/>
          <w:kern w:val="0"/>
          <w:lang w:val="en-US" w:eastAsia="en-GB"/>
          <w14:ligatures w14:val="none"/>
        </w:rPr>
        <w:t>, P. 2017. “</w:t>
      </w:r>
      <w:r w:rsidRPr="004B3F8F">
        <w:rPr>
          <w:rFonts w:ascii="Arial" w:eastAsia="Times New Roman" w:hAnsi="Arial" w:cs="Arial"/>
          <w:iCs/>
          <w:kern w:val="36"/>
          <w:lang w:val="en-US" w:eastAsia="en-GB"/>
          <w14:ligatures w14:val="none"/>
        </w:rPr>
        <w:t>Big UK Banks Racing Each Other to Cut Out All Human Interaction from Retail Bankin</w:t>
      </w:r>
      <w:r w:rsidRPr="004B3F8F">
        <w:rPr>
          <w:rFonts w:ascii="Arial" w:eastAsia="Times New Roman" w:hAnsi="Arial" w:cs="Arial"/>
          <w:kern w:val="36"/>
          <w:lang w:val="en-US" w:eastAsia="en-GB"/>
          <w14:ligatures w14:val="none"/>
        </w:rPr>
        <w:t>g.”</w:t>
      </w:r>
      <w:r w:rsidRPr="004B3F8F">
        <w:rPr>
          <w:rFonts w:ascii="Arial" w:eastAsia="Times New Roman" w:hAnsi="Arial" w:cs="Arial"/>
          <w:i/>
          <w:kern w:val="36"/>
          <w:lang w:val="en-US" w:eastAsia="en-GB"/>
          <w14:ligatures w14:val="none"/>
        </w:rPr>
        <w:t xml:space="preserve"> </w:t>
      </w:r>
      <w:hyperlink r:id="rId67" w:history="1">
        <w:r w:rsidRPr="004B3F8F">
          <w:rPr>
            <w:rFonts w:ascii="Arial" w:eastAsiaTheme="minorHAnsi" w:hAnsi="Arial" w:cs="Arial"/>
            <w:kern w:val="0"/>
            <w:lang w:val="en-US" w:eastAsia="en-US"/>
            <w14:ligatures w14:val="none"/>
          </w:rPr>
          <w:t>https://ibsintelligence.com/uncategorized</w:t>
        </w:r>
      </w:hyperlink>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shd w:val="clear" w:color="auto" w:fill="FFFFFF"/>
          <w:lang w:val="en-US" w:eastAsia="en-US"/>
          <w14:ligatures w14:val="none"/>
        </w:rPr>
        <w:t>(accessed April 19, 2018).</w:t>
      </w:r>
    </w:p>
    <w:p w14:paraId="3D601E08"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41" w:name="_Hlk42376091"/>
      <w:r w:rsidRPr="004B3F8F">
        <w:rPr>
          <w:rFonts w:ascii="Arial" w:eastAsiaTheme="minorHAnsi" w:hAnsi="Arial" w:cs="Arial"/>
          <w:kern w:val="0"/>
          <w:lang w:val="en-US" w:eastAsia="en-US"/>
          <w14:ligatures w14:val="none"/>
        </w:rPr>
        <w:t>Boyle</w:t>
      </w:r>
      <w:bookmarkEnd w:id="841"/>
      <w:r w:rsidRPr="004B3F8F">
        <w:rPr>
          <w:rFonts w:ascii="Arial" w:eastAsiaTheme="minorHAnsi" w:hAnsi="Arial" w:cs="Arial"/>
          <w:kern w:val="0"/>
          <w:lang w:val="en-US" w:eastAsia="en-US"/>
          <w14:ligatures w14:val="none"/>
        </w:rPr>
        <w:t xml:space="preserve">, D., B. Carpenter, and D. Hermanson, 2012. “CEOs, CFOs, and Accounting Fraud.” </w:t>
      </w:r>
      <w:r w:rsidRPr="004B3F8F">
        <w:rPr>
          <w:rFonts w:ascii="Arial" w:eastAsiaTheme="minorHAnsi" w:hAnsi="Arial" w:cs="Arial"/>
          <w:i/>
          <w:iCs/>
          <w:kern w:val="0"/>
          <w:lang w:val="en-US" w:eastAsia="en-US"/>
          <w14:ligatures w14:val="none"/>
        </w:rPr>
        <w:t>The CPA Journal</w:t>
      </w:r>
      <w:r w:rsidRPr="004B3F8F">
        <w:rPr>
          <w:rFonts w:ascii="Arial" w:eastAsiaTheme="minorHAnsi" w:hAnsi="Arial" w:cs="Arial"/>
          <w:kern w:val="0"/>
          <w:lang w:val="en-US" w:eastAsia="en-US"/>
          <w14:ligatures w14:val="none"/>
        </w:rPr>
        <w:t xml:space="preserve"> 82, no. 1, pp. 62-65.</w:t>
      </w:r>
    </w:p>
    <w:p w14:paraId="2B6CE110"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lang w:eastAsia="en-US"/>
          <w14:ligatures w14:val="none"/>
        </w:rPr>
        <w:t xml:space="preserve">Boubakri, S., Guedhami, O., Mishra, D., &amp; Saffar, W. 2020. </w:t>
      </w:r>
      <w:r w:rsidRPr="004B3F8F">
        <w:rPr>
          <w:rFonts w:asciiTheme="minorBidi" w:eastAsia="Times New Roman" w:hAnsiTheme="minorBidi"/>
          <w:kern w:val="0"/>
          <w14:ligatures w14:val="none"/>
        </w:rPr>
        <w:t xml:space="preserve">Corporate governance and earnings management: The role of related party transactions. </w:t>
      </w:r>
      <w:r w:rsidRPr="004B3F8F">
        <w:rPr>
          <w:rFonts w:asciiTheme="minorBidi" w:eastAsia="Times New Roman" w:hAnsiTheme="minorBidi"/>
          <w:i/>
          <w:iCs/>
          <w:kern w:val="0"/>
          <w14:ligatures w14:val="none"/>
        </w:rPr>
        <w:t>Journal of Corporate Finance, 65</w:t>
      </w:r>
      <w:r w:rsidRPr="004B3F8F">
        <w:rPr>
          <w:rFonts w:asciiTheme="minorBidi" w:eastAsia="Times New Roman" w:hAnsiTheme="minorBidi"/>
          <w:kern w:val="0"/>
          <w14:ligatures w14:val="none"/>
        </w:rPr>
        <w:t>, 101694.</w:t>
      </w:r>
    </w:p>
    <w:p w14:paraId="0B02F995"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42" w:name="_Hlk42376112"/>
      <w:r w:rsidRPr="004B3F8F">
        <w:rPr>
          <w:rFonts w:ascii="Arial" w:eastAsiaTheme="minorHAnsi" w:hAnsi="Arial" w:cs="Arial"/>
          <w:kern w:val="0"/>
          <w:lang w:val="en-US" w:eastAsia="en-US"/>
          <w14:ligatures w14:val="none"/>
        </w:rPr>
        <w:t>Braithwaite</w:t>
      </w:r>
      <w:bookmarkEnd w:id="842"/>
      <w:r w:rsidRPr="004B3F8F">
        <w:rPr>
          <w:rFonts w:ascii="Arial" w:eastAsiaTheme="minorHAnsi" w:hAnsi="Arial" w:cs="Arial"/>
          <w:kern w:val="0"/>
          <w:lang w:val="en-US" w:eastAsia="en-US"/>
          <w14:ligatures w14:val="none"/>
        </w:rPr>
        <w:t xml:space="preserve">, J. 1984. </w:t>
      </w:r>
      <w:r w:rsidRPr="004B3F8F">
        <w:rPr>
          <w:rFonts w:ascii="Arial" w:eastAsiaTheme="minorHAnsi" w:hAnsi="Arial" w:cs="Arial"/>
          <w:i/>
          <w:iCs/>
          <w:kern w:val="0"/>
          <w:lang w:val="en-US" w:eastAsia="en-US"/>
          <w14:ligatures w14:val="none"/>
        </w:rPr>
        <w:t>Corporate Crime in the Pharmaceutical Industry</w:t>
      </w:r>
      <w:r w:rsidRPr="004B3F8F">
        <w:rPr>
          <w:rFonts w:ascii="Arial" w:eastAsiaTheme="minorHAnsi" w:hAnsi="Arial" w:cs="Arial"/>
          <w:kern w:val="0"/>
          <w:lang w:val="en-US" w:eastAsia="en-US"/>
          <w14:ligatures w14:val="none"/>
        </w:rPr>
        <w:t>. London: Routledge &amp; Kegan Paul.</w:t>
      </w:r>
    </w:p>
    <w:p w14:paraId="0C2D89A5" w14:textId="69DDE224"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43" w:name="_Hlk42376134"/>
      <w:r w:rsidRPr="004B3F8F">
        <w:rPr>
          <w:rFonts w:ascii="Arial" w:eastAsiaTheme="minorHAnsi" w:hAnsi="Arial" w:cs="Arial"/>
          <w:kern w:val="0"/>
          <w:lang w:val="en-US" w:eastAsia="en-US"/>
          <w14:ligatures w14:val="none"/>
        </w:rPr>
        <w:t>Brazel</w:t>
      </w:r>
      <w:bookmarkEnd w:id="843"/>
      <w:r w:rsidRPr="004B3F8F">
        <w:rPr>
          <w:rFonts w:ascii="Arial" w:eastAsiaTheme="minorHAnsi" w:hAnsi="Arial" w:cs="Arial"/>
          <w:kern w:val="0"/>
          <w:lang w:val="en-US" w:eastAsia="en-US"/>
          <w14:ligatures w14:val="none"/>
        </w:rPr>
        <w:t xml:space="preserve">, J.F., K.L. Jones, and D.F. Prawitt. 2014. “Auditors’ Reactions to Inconsistencies between Financial and </w:t>
      </w:r>
      <w:r w:rsidR="00CB692E" w:rsidRPr="004B3F8F">
        <w:rPr>
          <w:rFonts w:ascii="Arial" w:eastAsiaTheme="minorHAnsi" w:hAnsi="Arial" w:cs="Arial"/>
          <w:kern w:val="0"/>
          <w:lang w:val="en-US" w:eastAsia="en-US"/>
          <w14:ligatures w14:val="none"/>
        </w:rPr>
        <w:t>Non-Financial</w:t>
      </w:r>
      <w:r w:rsidRPr="004B3F8F">
        <w:rPr>
          <w:rFonts w:ascii="Arial" w:eastAsiaTheme="minorHAnsi" w:hAnsi="Arial" w:cs="Arial"/>
          <w:kern w:val="0"/>
          <w:lang w:val="en-US" w:eastAsia="en-US"/>
          <w14:ligatures w14:val="none"/>
        </w:rPr>
        <w:t xml:space="preserve"> Measures: The Interactive Effects of Fraud Risk Assessment and a Decision Prompt.” </w:t>
      </w:r>
      <w:r w:rsidRPr="004B3F8F">
        <w:rPr>
          <w:rFonts w:ascii="Arial" w:eastAsiaTheme="minorHAnsi" w:hAnsi="Arial" w:cs="Arial"/>
          <w:i/>
          <w:iCs/>
          <w:kern w:val="0"/>
          <w:lang w:val="en-US" w:eastAsia="en-US"/>
          <w14:ligatures w14:val="none"/>
        </w:rPr>
        <w:t xml:space="preserve">Behavioural Research in Accounting </w:t>
      </w:r>
      <w:r w:rsidRPr="004B3F8F">
        <w:rPr>
          <w:rFonts w:ascii="Arial" w:eastAsiaTheme="minorHAnsi" w:hAnsi="Arial" w:cs="Arial"/>
          <w:kern w:val="0"/>
          <w:lang w:val="en-US" w:eastAsia="en-US"/>
          <w14:ligatures w14:val="none"/>
        </w:rPr>
        <w:t>26, no. 1, pp. 131-56.</w:t>
      </w:r>
    </w:p>
    <w:p w14:paraId="4A06417A" w14:textId="3385368A"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44" w:name="_Hlk42376154"/>
      <w:r w:rsidRPr="004B3F8F">
        <w:rPr>
          <w:rFonts w:ascii="Arial" w:eastAsiaTheme="minorHAnsi" w:hAnsi="Arial" w:cs="Arial"/>
          <w:kern w:val="0"/>
          <w:lang w:val="en-US" w:eastAsia="en-US"/>
          <w14:ligatures w14:val="none"/>
        </w:rPr>
        <w:t>Brennan</w:t>
      </w:r>
      <w:bookmarkEnd w:id="844"/>
      <w:r w:rsidRPr="004B3F8F">
        <w:rPr>
          <w:rFonts w:ascii="Arial" w:eastAsiaTheme="minorHAnsi" w:hAnsi="Arial" w:cs="Arial"/>
          <w:kern w:val="0"/>
          <w:lang w:val="en-US" w:eastAsia="en-US"/>
          <w14:ligatures w14:val="none"/>
        </w:rPr>
        <w:t>, N., and M</w:t>
      </w:r>
      <w:bookmarkStart w:id="845" w:name="_Hlk42376164"/>
      <w:r w:rsidRPr="004B3F8F">
        <w:rPr>
          <w:rFonts w:ascii="Arial" w:eastAsiaTheme="minorHAnsi" w:hAnsi="Arial" w:cs="Arial"/>
          <w:kern w:val="0"/>
          <w:lang w:val="en-US" w:eastAsia="en-US"/>
          <w14:ligatures w14:val="none"/>
        </w:rPr>
        <w:t xml:space="preserve">. </w:t>
      </w:r>
      <w:r w:rsidR="004D2A82" w:rsidRPr="004B3F8F">
        <w:rPr>
          <w:rFonts w:ascii="Arial" w:eastAsiaTheme="minorHAnsi" w:hAnsi="Arial" w:cs="Arial"/>
          <w:kern w:val="0"/>
          <w:lang w:val="en-US" w:eastAsia="en-US"/>
          <w14:ligatures w14:val="none"/>
        </w:rPr>
        <w:t>McGrath</w:t>
      </w:r>
      <w:r w:rsidRPr="004B3F8F">
        <w:rPr>
          <w:rFonts w:ascii="Arial" w:eastAsiaTheme="minorHAnsi" w:hAnsi="Arial" w:cs="Arial"/>
          <w:kern w:val="0"/>
          <w:lang w:val="en-US" w:eastAsia="en-US"/>
          <w14:ligatures w14:val="none"/>
        </w:rPr>
        <w:t>. 2007</w:t>
      </w:r>
      <w:bookmarkEnd w:id="845"/>
      <w:r w:rsidRPr="004B3F8F">
        <w:rPr>
          <w:rFonts w:ascii="Arial" w:eastAsiaTheme="minorHAnsi" w:hAnsi="Arial" w:cs="Arial"/>
          <w:kern w:val="0"/>
          <w:lang w:val="en-US" w:eastAsia="en-US"/>
          <w14:ligatures w14:val="none"/>
        </w:rPr>
        <w:t xml:space="preserve">. “Financial Statement Fraud: Some Lessons from US and European Case Studies.” </w:t>
      </w:r>
      <w:r w:rsidRPr="004B3F8F">
        <w:rPr>
          <w:rFonts w:ascii="Arial" w:eastAsiaTheme="minorHAnsi" w:hAnsi="Arial" w:cs="Arial"/>
          <w:i/>
          <w:iCs/>
          <w:kern w:val="0"/>
          <w:lang w:val="en-US" w:eastAsia="en-US"/>
          <w14:ligatures w14:val="none"/>
        </w:rPr>
        <w:t>Australian Accounting Review</w:t>
      </w:r>
      <w:r w:rsidRPr="004B3F8F">
        <w:rPr>
          <w:rFonts w:ascii="Arial" w:eastAsiaTheme="minorHAnsi" w:hAnsi="Arial" w:cs="Arial"/>
          <w:kern w:val="0"/>
          <w:lang w:val="en-US" w:eastAsia="en-US"/>
          <w14:ligatures w14:val="none"/>
        </w:rPr>
        <w:t xml:space="preserve"> 17, no. 2, pp. 49-61.</w:t>
      </w:r>
    </w:p>
    <w:p w14:paraId="6D0ACA8C" w14:textId="77777777" w:rsidR="004B3F8F" w:rsidRPr="004B3F8F" w:rsidRDefault="004B3F8F" w:rsidP="004B3F8F">
      <w:pPr>
        <w:spacing w:after="200" w:line="480" w:lineRule="auto"/>
        <w:ind w:left="785" w:hangingChars="327" w:hanging="785"/>
        <w:jc w:val="both"/>
        <w:rPr>
          <w:rFonts w:ascii="Arial" w:eastAsia="Times New Roman" w:hAnsi="Arial" w:cs="Arial"/>
          <w:i/>
          <w:iCs/>
          <w:kern w:val="0"/>
          <w:lang w:val="en-US" w:eastAsia="en-GB"/>
          <w14:ligatures w14:val="none"/>
        </w:rPr>
      </w:pPr>
      <w:r w:rsidRPr="004B3F8F">
        <w:rPr>
          <w:rFonts w:ascii="Arial" w:eastAsiaTheme="minorHAnsi" w:hAnsi="Arial" w:cs="Arial"/>
          <w:kern w:val="0"/>
          <w:lang w:val="en-US" w:eastAsia="en-US"/>
          <w14:ligatures w14:val="none"/>
        </w:rPr>
        <w:lastRenderedPageBreak/>
        <w:t>Brinkley, D., and R. Schell. 1995. “</w:t>
      </w:r>
      <w:r w:rsidRPr="004B3F8F">
        <w:rPr>
          <w:rFonts w:ascii="Arial" w:eastAsia="Times New Roman" w:hAnsi="Arial" w:cs="Arial"/>
          <w:kern w:val="0"/>
          <w:lang w:val="en-US" w:eastAsia="en-GB"/>
          <w14:ligatures w14:val="none"/>
        </w:rPr>
        <w:t xml:space="preserve">What Is There to Worry About? An Introduction to the Computer Security Problem.” </w:t>
      </w:r>
      <w:r w:rsidRPr="004B3F8F">
        <w:rPr>
          <w:rFonts w:ascii="Arial" w:eastAsia="Times New Roman" w:hAnsi="Arial" w:cs="Arial"/>
          <w:i/>
          <w:iCs/>
          <w:kern w:val="0"/>
          <w:lang w:val="en-US" w:eastAsia="en-GB"/>
          <w14:ligatures w14:val="none"/>
        </w:rPr>
        <w:t xml:space="preserve">Information Security, An Integrated Collection of Essays. </w:t>
      </w:r>
      <w:r w:rsidRPr="004B3F8F">
        <w:rPr>
          <w:rFonts w:ascii="Arial" w:eastAsia="Times New Roman" w:hAnsi="Arial" w:cs="Arial"/>
          <w:kern w:val="0"/>
          <w:lang w:val="en-US" w:eastAsia="en-GB"/>
          <w14:ligatures w14:val="none"/>
        </w:rPr>
        <w:t>Silver Spring, MD: IEEE Computer Society</w:t>
      </w:r>
      <w:r w:rsidRPr="004B3F8F">
        <w:rPr>
          <w:rFonts w:ascii="Arial" w:eastAsia="Times New Roman" w:hAnsi="Arial" w:cs="Arial"/>
          <w:i/>
          <w:iCs/>
          <w:kern w:val="0"/>
          <w:lang w:val="en-US" w:eastAsia="en-GB"/>
          <w14:ligatures w14:val="none"/>
        </w:rPr>
        <w:t>.</w:t>
      </w:r>
    </w:p>
    <w:p w14:paraId="520945E8" w14:textId="77777777" w:rsidR="004B3F8F" w:rsidRPr="004B3F8F" w:rsidRDefault="004B3F8F" w:rsidP="004B3F8F">
      <w:pPr>
        <w:spacing w:line="360" w:lineRule="auto"/>
        <w:ind w:left="851" w:hanging="851"/>
        <w:jc w:val="both"/>
        <w:rPr>
          <w:rFonts w:ascii="Arial" w:eastAsiaTheme="minorHAnsi" w:hAnsi="Arial" w:cs="Arial"/>
          <w:kern w:val="0"/>
          <w:shd w:val="clear" w:color="auto" w:fill="FFFFFF"/>
          <w:lang w:eastAsia="en-US"/>
          <w14:ligatures w14:val="none"/>
        </w:rPr>
      </w:pPr>
      <w:r w:rsidRPr="004B3F8F">
        <w:rPr>
          <w:rFonts w:ascii="Arial" w:eastAsiaTheme="minorHAnsi" w:hAnsi="Arial" w:cs="Arial"/>
          <w:kern w:val="0"/>
          <w:shd w:val="clear" w:color="auto" w:fill="FFFFFF"/>
          <w:lang w:eastAsia="en-US"/>
          <w14:ligatures w14:val="none"/>
        </w:rPr>
        <w:t>Brinkley, Chad A.; Schmitt, William A.; Smith, Steven S.; Newman, Joseph P. 2000</w:t>
      </w:r>
      <w:r w:rsidRPr="004B3F8F">
        <w:rPr>
          <w:rFonts w:ascii="Arial" w:eastAsiaTheme="minorHAnsi" w:hAnsi="Arial" w:cs="Arial"/>
          <w:i/>
          <w:iCs/>
          <w:kern w:val="0"/>
          <w:shd w:val="clear" w:color="auto" w:fill="FFFFFF"/>
          <w:lang w:eastAsia="en-US"/>
          <w14:ligatures w14:val="none"/>
        </w:rPr>
        <w:t>. </w:t>
      </w:r>
      <w:hyperlink r:id="rId68" w:history="1">
        <w:r w:rsidRPr="004B3F8F">
          <w:rPr>
            <w:rFonts w:ascii="Arial" w:eastAsiaTheme="minorHAnsi" w:hAnsi="Arial" w:cs="Arial"/>
            <w:i/>
            <w:iCs/>
            <w:kern w:val="0"/>
            <w:shd w:val="clear" w:color="auto" w:fill="FFFFFF"/>
            <w:lang w:eastAsia="en-US"/>
            <w14:ligatures w14:val="none"/>
          </w:rPr>
          <w:t>"Construct validation of a self-report psychopathy scale: does Levenson's self-report psychopathy scale measure the same constructs as Hare's psychopathy checklist-revised?"</w:t>
        </w:r>
      </w:hyperlink>
      <w:r w:rsidRPr="004B3F8F">
        <w:rPr>
          <w:rFonts w:ascii="Arial" w:eastAsiaTheme="minorHAnsi" w:hAnsi="Arial" w:cs="Arial"/>
          <w:kern w:val="0"/>
          <w:shd w:val="clear" w:color="auto" w:fill="FFFFFF"/>
          <w:lang w:eastAsia="en-US"/>
          <w14:ligatures w14:val="none"/>
        </w:rPr>
        <w:t>. Personality and Individual Differences. 31 (7): 1025</w:t>
      </w:r>
    </w:p>
    <w:p w14:paraId="48CBC898" w14:textId="77777777" w:rsidR="004B3F8F" w:rsidRPr="004B3F8F" w:rsidRDefault="004B3F8F" w:rsidP="004B3F8F">
      <w:pPr>
        <w:spacing w:after="200" w:line="480" w:lineRule="auto"/>
        <w:ind w:left="785" w:hangingChars="327" w:hanging="785"/>
        <w:jc w:val="both"/>
        <w:rPr>
          <w:rFonts w:ascii="Arial" w:eastAsia="Times New Roman" w:hAnsi="Arial" w:cs="Arial"/>
          <w:kern w:val="0"/>
          <w:lang w:val="en-US" w:eastAsia="en-GB"/>
          <w14:ligatures w14:val="none"/>
        </w:rPr>
      </w:pPr>
      <w:r w:rsidRPr="004B3F8F">
        <w:rPr>
          <w:rFonts w:ascii="Arial" w:eastAsia="Times New Roman" w:hAnsi="Arial" w:cs="Arial"/>
          <w:kern w:val="0"/>
          <w:lang w:val="en-US" w:eastAsia="en-GB"/>
          <w14:ligatures w14:val="none"/>
        </w:rPr>
        <w:t>Broby, D., and P. Grieg. 2017. “</w:t>
      </w:r>
      <w:r w:rsidRPr="004B3F8F">
        <w:rPr>
          <w:rFonts w:ascii="Arial" w:eastAsia="Times New Roman" w:hAnsi="Arial" w:cs="Arial"/>
          <w:iCs/>
          <w:kern w:val="0"/>
          <w:lang w:val="en-US" w:eastAsia="en-GB"/>
          <w14:ligatures w14:val="none"/>
        </w:rPr>
        <w:t>The Financial Auditing of Distributed Ledgers, Blockchain and Cryptocurrencies</w:t>
      </w:r>
      <w:r w:rsidRPr="004B3F8F">
        <w:rPr>
          <w:rFonts w:ascii="Arial" w:eastAsia="Times New Roman" w:hAnsi="Arial" w:cs="Arial"/>
          <w:i/>
          <w:kern w:val="0"/>
          <w:lang w:val="en-US" w:eastAsia="en-GB"/>
          <w14:ligatures w14:val="none"/>
        </w:rPr>
        <w:t>.</w:t>
      </w:r>
      <w:r w:rsidRPr="004B3F8F">
        <w:rPr>
          <w:rFonts w:ascii="Arial" w:eastAsia="Times New Roman" w:hAnsi="Arial" w:cs="Arial"/>
          <w:kern w:val="0"/>
          <w:lang w:val="en-US" w:eastAsia="en-GB"/>
          <w14:ligatures w14:val="none"/>
        </w:rPr>
        <w:t xml:space="preserve">” </w:t>
      </w:r>
      <w:r w:rsidRPr="004B3F8F">
        <w:rPr>
          <w:rFonts w:ascii="Arial" w:eastAsia="Times New Roman" w:hAnsi="Arial" w:cs="Arial"/>
          <w:i/>
          <w:iCs/>
          <w:kern w:val="0"/>
          <w:lang w:val="en-US" w:eastAsia="en-GB"/>
          <w14:ligatures w14:val="none"/>
        </w:rPr>
        <w:t>Journal of Financial Transformation</w:t>
      </w:r>
      <w:r w:rsidRPr="004B3F8F">
        <w:rPr>
          <w:rFonts w:ascii="Arial" w:eastAsia="Times New Roman" w:hAnsi="Arial" w:cs="Arial"/>
          <w:kern w:val="0"/>
          <w:lang w:val="en-US" w:eastAsia="en-GB"/>
          <w14:ligatures w14:val="none"/>
        </w:rPr>
        <w:t xml:space="preserve"> 46, no. 46, p. 1755.</w:t>
      </w:r>
    </w:p>
    <w:p w14:paraId="4CDB5DF6" w14:textId="77777777" w:rsidR="004B3F8F" w:rsidRPr="004B3F8F" w:rsidRDefault="004B3F8F" w:rsidP="004B3F8F">
      <w:pPr>
        <w:spacing w:before="100" w:beforeAutospacing="1" w:after="100" w:afterAutospacing="1" w:line="480" w:lineRule="auto"/>
        <w:ind w:left="1440" w:hanging="1440"/>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Brooks, L. J., &amp; Dunn, P. 2021. Blockchain’s potential to mitigate unethical behavior in financial reporting. </w:t>
      </w:r>
      <w:r w:rsidRPr="004B3F8F">
        <w:rPr>
          <w:rFonts w:asciiTheme="minorBidi" w:eastAsia="Times New Roman" w:hAnsiTheme="minorBidi"/>
          <w:i/>
          <w:iCs/>
          <w:kern w:val="0"/>
          <w14:ligatures w14:val="none"/>
        </w:rPr>
        <w:t>Accounting Horizons</w:t>
      </w:r>
      <w:r w:rsidRPr="004B3F8F">
        <w:rPr>
          <w:rFonts w:asciiTheme="minorBidi" w:eastAsia="Times New Roman" w:hAnsiTheme="minorBidi"/>
          <w:kern w:val="0"/>
          <w14:ligatures w14:val="none"/>
        </w:rPr>
        <w:t>, 35(4), 79-93.</w:t>
      </w:r>
    </w:p>
    <w:p w14:paraId="16B0920B" w14:textId="77777777" w:rsidR="004B3F8F" w:rsidRPr="004B3F8F" w:rsidRDefault="004B3F8F" w:rsidP="004B3F8F">
      <w:pPr>
        <w:spacing w:after="200" w:line="480" w:lineRule="auto"/>
        <w:ind w:left="785" w:hangingChars="327" w:hanging="785"/>
        <w:jc w:val="both"/>
        <w:rPr>
          <w:rFonts w:ascii="Arial" w:eastAsiaTheme="minorHAnsi" w:hAnsi="Arial" w:cs="Arial"/>
          <w:i/>
          <w:iCs/>
          <w:kern w:val="0"/>
          <w:lang w:val="en-US" w:eastAsia="en-US"/>
          <w14:ligatures w14:val="none"/>
        </w:rPr>
      </w:pPr>
      <w:r w:rsidRPr="004B3F8F">
        <w:rPr>
          <w:rFonts w:ascii="Arial" w:eastAsiaTheme="minorHAnsi" w:hAnsi="Arial" w:cs="Arial"/>
          <w:kern w:val="0"/>
          <w:lang w:val="en-US" w:eastAsia="en-US"/>
          <w14:ligatures w14:val="none"/>
        </w:rPr>
        <w:t>Brown-Liburd, H., and A.M. Vasarhelyi. 2015. “Big Data and Audit Evidence</w:t>
      </w:r>
      <w:r w:rsidRPr="004B3F8F">
        <w:rPr>
          <w:rFonts w:ascii="Arial" w:eastAsiaTheme="minorHAnsi" w:hAnsi="Arial" w:cs="Arial"/>
          <w:i/>
          <w:iCs/>
          <w:kern w:val="0"/>
          <w:lang w:val="en-US" w:eastAsia="en-US"/>
          <w14:ligatures w14:val="none"/>
        </w:rPr>
        <w:t>.</w:t>
      </w:r>
      <w:r w:rsidRPr="004B3F8F">
        <w:rPr>
          <w:rFonts w:ascii="Arial" w:eastAsiaTheme="minorHAnsi" w:hAnsi="Arial" w:cs="Arial"/>
          <w:iCs/>
          <w:kern w:val="0"/>
          <w:lang w:val="en-US" w:eastAsia="en-US"/>
          <w14:ligatures w14:val="none"/>
        </w:rPr>
        <w:t>”</w:t>
      </w:r>
      <w:r w:rsidRPr="004B3F8F">
        <w:rPr>
          <w:rFonts w:ascii="Arial" w:eastAsiaTheme="minorHAnsi" w:hAnsi="Arial" w:cs="Arial"/>
          <w:i/>
          <w:iCs/>
          <w:kern w:val="0"/>
          <w:lang w:val="en-US" w:eastAsia="en-US"/>
          <w14:ligatures w14:val="none"/>
        </w:rPr>
        <w:t xml:space="preserve"> Journal of Emerging Technologies in Accounting</w:t>
      </w:r>
      <w:r w:rsidRPr="004B3F8F">
        <w:rPr>
          <w:rFonts w:ascii="Arial" w:eastAsiaTheme="minorHAnsi" w:hAnsi="Arial" w:cs="Arial"/>
          <w:kern w:val="0"/>
          <w:lang w:val="en-US" w:eastAsia="en-US"/>
          <w14:ligatures w14:val="none"/>
        </w:rPr>
        <w:t xml:space="preserve"> 12, no. 1, pp. 1-16.</w:t>
      </w:r>
    </w:p>
    <w:p w14:paraId="0EDF6426"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Brown-Liburd, H., H. Issa, and D. Lombardi. 2015. “Behavioural Implications of Big Data’s Impact on Audit Judgment and Decision Making and Future Research Directions</w:t>
      </w:r>
      <w:r w:rsidRPr="004B3F8F">
        <w:rPr>
          <w:rFonts w:ascii="Arial" w:eastAsiaTheme="minorHAnsi" w:hAnsi="Arial" w:cs="Arial"/>
          <w:i/>
          <w:iCs/>
          <w:kern w:val="0"/>
          <w:lang w:val="en-US" w:eastAsia="en-US"/>
          <w14:ligatures w14:val="none"/>
        </w:rPr>
        <w:t>.</w:t>
      </w:r>
      <w:r w:rsidRPr="004B3F8F">
        <w:rPr>
          <w:rFonts w:ascii="Arial" w:eastAsiaTheme="minorHAnsi" w:hAnsi="Arial" w:cs="Arial"/>
          <w:iCs/>
          <w:kern w:val="0"/>
          <w:lang w:val="en-US" w:eastAsia="en-US"/>
          <w14:ligatures w14:val="none"/>
        </w:rPr>
        <w:t>”</w:t>
      </w:r>
      <w:r w:rsidRPr="004B3F8F">
        <w:rPr>
          <w:rFonts w:ascii="Arial" w:eastAsiaTheme="minorHAnsi" w:hAnsi="Arial" w:cs="Arial"/>
          <w:i/>
          <w:iCs/>
          <w:kern w:val="0"/>
          <w:lang w:val="en-US" w:eastAsia="en-US"/>
          <w14:ligatures w14:val="none"/>
        </w:rPr>
        <w:t xml:space="preserve"> Accounting Horizons</w:t>
      </w:r>
      <w:r w:rsidRPr="004B3F8F">
        <w:rPr>
          <w:rFonts w:ascii="Arial" w:eastAsiaTheme="minorHAnsi" w:hAnsi="Arial" w:cs="Arial"/>
          <w:kern w:val="0"/>
          <w:lang w:val="en-US" w:eastAsia="en-US"/>
          <w14:ligatures w14:val="none"/>
        </w:rPr>
        <w:t xml:space="preserve"> 29, no. 2, pp. 451-68.</w:t>
      </w:r>
    </w:p>
    <w:p w14:paraId="2B11C977" w14:textId="77777777" w:rsidR="004B3F8F" w:rsidRPr="004B3F8F" w:rsidRDefault="004B3F8F" w:rsidP="004B3F8F">
      <w:pPr>
        <w:spacing w:after="200" w:line="480" w:lineRule="auto"/>
        <w:ind w:left="785" w:hangingChars="327" w:hanging="785"/>
        <w:jc w:val="both"/>
        <w:rPr>
          <w:rFonts w:ascii="Arial" w:eastAsiaTheme="minorHAnsi" w:hAnsi="Arial" w:cs="Arial"/>
          <w:kern w:val="0"/>
          <w:sz w:val="22"/>
          <w:szCs w:val="22"/>
          <w:lang w:eastAsia="en-US"/>
          <w14:ligatures w14:val="none"/>
        </w:rPr>
      </w:pPr>
      <w:r w:rsidRPr="004B3F8F">
        <w:rPr>
          <w:rFonts w:ascii="Arial" w:eastAsiaTheme="minorHAnsi" w:hAnsi="Arial" w:cs="Arial"/>
          <w:kern w:val="0"/>
          <w:lang w:eastAsia="en-US"/>
          <w14:ligatures w14:val="none"/>
        </w:rPr>
        <w:t>Bryman, A. 2016.Social Research Methods. Sixth Edition, Oxford, Oxford University</w:t>
      </w:r>
      <w:r w:rsidRPr="004B3F8F">
        <w:rPr>
          <w:rFonts w:ascii="Arial" w:eastAsiaTheme="minorHAnsi" w:hAnsi="Arial" w:cs="Arial"/>
          <w:kern w:val="0"/>
          <w:sz w:val="22"/>
          <w:szCs w:val="22"/>
          <w:lang w:eastAsia="en-US"/>
          <w14:ligatures w14:val="none"/>
        </w:rPr>
        <w:t xml:space="preserve"> Press</w:t>
      </w:r>
    </w:p>
    <w:p w14:paraId="646AB4E4" w14:textId="77777777" w:rsidR="004B3F8F" w:rsidRPr="004B3F8F" w:rsidRDefault="004B3F8F" w:rsidP="004B3F8F">
      <w:pPr>
        <w:spacing w:after="200" w:line="480" w:lineRule="auto"/>
        <w:ind w:left="785" w:hangingChars="327" w:hanging="785"/>
        <w:jc w:val="both"/>
        <w:rPr>
          <w:rFonts w:asciiTheme="minorBidi" w:eastAsiaTheme="minorHAnsi" w:hAnsiTheme="minorBidi"/>
          <w:kern w:val="0"/>
          <w:lang w:val="en-US" w:eastAsia="en-US"/>
          <w14:ligatures w14:val="none"/>
        </w:rPr>
      </w:pPr>
      <w:r w:rsidRPr="004B3F8F">
        <w:rPr>
          <w:rFonts w:asciiTheme="minorBidi" w:eastAsia="Times New Roman" w:hAnsiTheme="minorBidi"/>
          <w:kern w:val="0"/>
          <w:lang w:eastAsia="en-US"/>
          <w14:ligatures w14:val="none"/>
        </w:rPr>
        <w:t xml:space="preserve">Bryman, A. 2006. Integrating quantitative and qualitative research: How is it done? </w:t>
      </w:r>
      <w:r w:rsidRPr="004B3F8F">
        <w:rPr>
          <w:rFonts w:asciiTheme="minorBidi" w:eastAsia="Times New Roman" w:hAnsiTheme="minorBidi"/>
          <w:i/>
          <w:iCs/>
          <w:kern w:val="0"/>
          <w:lang w:eastAsia="en-US"/>
          <w14:ligatures w14:val="none"/>
        </w:rPr>
        <w:t>Qualitative Research, 6</w:t>
      </w:r>
      <w:r w:rsidRPr="004B3F8F">
        <w:rPr>
          <w:rFonts w:asciiTheme="minorBidi" w:eastAsia="Times New Roman" w:hAnsiTheme="minorBidi"/>
          <w:kern w:val="0"/>
          <w:lang w:eastAsia="en-US"/>
          <w14:ligatures w14:val="none"/>
        </w:rPr>
        <w:t>(1), 97-113.</w:t>
      </w:r>
    </w:p>
    <w:p w14:paraId="6CAA86C9"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t>Bryman, A., &amp; Bell, E. 2015. Business research methods (Fourth edition ed.). Oxford: Oxford University Press, UK</w:t>
      </w:r>
    </w:p>
    <w:p w14:paraId="6501C5CD" w14:textId="77777777" w:rsidR="004B3F8F" w:rsidRPr="004B3F8F" w:rsidRDefault="004B3F8F" w:rsidP="004B3F8F">
      <w:pPr>
        <w:spacing w:after="200" w:line="480" w:lineRule="auto"/>
        <w:ind w:left="785" w:hangingChars="327" w:hanging="785"/>
        <w:jc w:val="both"/>
        <w:rPr>
          <w:rFonts w:asciiTheme="minorBidi" w:eastAsiaTheme="minorHAnsi" w:hAnsiTheme="minorBidi"/>
          <w:kern w:val="0"/>
          <w:lang w:eastAsia="en-US"/>
          <w14:ligatures w14:val="none"/>
        </w:rPr>
      </w:pPr>
      <w:r w:rsidRPr="004B3F8F">
        <w:rPr>
          <w:rFonts w:asciiTheme="minorBidi" w:eastAsiaTheme="minorHAnsi" w:hAnsiTheme="minorBidi"/>
          <w:kern w:val="0"/>
          <w:lang w:eastAsia="en-US"/>
          <w14:ligatures w14:val="none"/>
        </w:rPr>
        <w:lastRenderedPageBreak/>
        <w:t xml:space="preserve">Bryman, A. &amp; Bell, E., 2011. Business Research Methods. 3rd ed. London: Oxford University Press. </w:t>
      </w:r>
    </w:p>
    <w:p w14:paraId="100E422F" w14:textId="77777777" w:rsidR="004B3F8F" w:rsidRPr="004B3F8F" w:rsidRDefault="004B3F8F" w:rsidP="004B3F8F">
      <w:pPr>
        <w:spacing w:after="200" w:line="480" w:lineRule="auto"/>
        <w:ind w:left="785" w:hangingChars="327" w:hanging="785"/>
        <w:jc w:val="both"/>
        <w:rPr>
          <w:rFonts w:asciiTheme="minorBidi" w:eastAsiaTheme="minorHAnsi" w:hAnsiTheme="minorBidi"/>
          <w:kern w:val="0"/>
          <w:lang w:eastAsia="en-US"/>
          <w14:ligatures w14:val="none"/>
        </w:rPr>
      </w:pPr>
      <w:r w:rsidRPr="004B3F8F">
        <w:rPr>
          <w:rFonts w:asciiTheme="minorBidi" w:eastAsiaTheme="minorHAnsi" w:hAnsiTheme="minorBidi"/>
          <w:kern w:val="0"/>
          <w:lang w:eastAsia="en-US"/>
          <w14:ligatures w14:val="none"/>
        </w:rPr>
        <w:t xml:space="preserve">Bryman, A. &amp; Burgess, R., 1994. Qualitative Research. Thousand Oaks, CA: Sage Publication. </w:t>
      </w:r>
    </w:p>
    <w:p w14:paraId="0E0DD075" w14:textId="77777777" w:rsidR="004B3F8F" w:rsidRPr="004B3F8F" w:rsidRDefault="004B3F8F" w:rsidP="004B3F8F">
      <w:pPr>
        <w:spacing w:after="200" w:line="480" w:lineRule="auto"/>
        <w:ind w:left="785" w:hangingChars="327" w:hanging="785"/>
        <w:jc w:val="both"/>
        <w:rPr>
          <w:rFonts w:asciiTheme="minorBidi" w:eastAsiaTheme="minorHAnsi" w:hAnsiTheme="minorBidi"/>
          <w:kern w:val="0"/>
          <w:lang w:eastAsia="en-US"/>
          <w14:ligatures w14:val="none"/>
        </w:rPr>
      </w:pPr>
      <w:r w:rsidRPr="004B3F8F">
        <w:rPr>
          <w:rFonts w:asciiTheme="minorBidi" w:eastAsiaTheme="minorHAnsi" w:hAnsiTheme="minorBidi"/>
          <w:kern w:val="0"/>
          <w:lang w:eastAsia="en-US"/>
          <w14:ligatures w14:val="none"/>
        </w:rPr>
        <w:t>Bryman, A. &amp; Burgess, R. G., 1994. Analyzing qualitative data. London: Routledge</w:t>
      </w:r>
    </w:p>
    <w:p w14:paraId="4302C1A4" w14:textId="77777777" w:rsidR="004B3F8F" w:rsidRPr="004B3F8F" w:rsidRDefault="004B3F8F" w:rsidP="004B3F8F">
      <w:pPr>
        <w:spacing w:after="200" w:line="480" w:lineRule="auto"/>
        <w:ind w:left="785" w:hangingChars="327" w:hanging="785"/>
        <w:jc w:val="both"/>
        <w:rPr>
          <w:rFonts w:asciiTheme="minorBidi" w:eastAsiaTheme="minorHAnsi" w:hAnsiTheme="minorBidi"/>
          <w:kern w:val="0"/>
          <w:lang w:val="en-US" w:eastAsia="en-US"/>
          <w14:ligatures w14:val="none"/>
        </w:rPr>
      </w:pPr>
      <w:r w:rsidRPr="004B3F8F">
        <w:rPr>
          <w:rFonts w:asciiTheme="minorBidi" w:eastAsiaTheme="minorHAnsi" w:hAnsiTheme="minorBidi"/>
          <w:color w:val="000000"/>
          <w:kern w:val="0"/>
          <w:shd w:val="clear" w:color="auto" w:fill="FFFFFF"/>
          <w:lang w:eastAsia="en-US"/>
          <w14:ligatures w14:val="none"/>
        </w:rPr>
        <w:t>Burrell, G., &amp; Morgan, G. 1979. Sociological Paradigms and Organisational Analysis: Elements of the Sociology of Corporate Life (1st ed.). Routledge</w:t>
      </w:r>
    </w:p>
    <w:p w14:paraId="5BCB7FB3" w14:textId="1C94E8B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bookmarkStart w:id="846" w:name="_Hlk42376186"/>
      <w:r w:rsidRPr="004B3F8F">
        <w:rPr>
          <w:rFonts w:ascii="Arial" w:eastAsiaTheme="minorHAnsi" w:hAnsi="Arial" w:cs="Arial"/>
          <w:kern w:val="0"/>
          <w:lang w:val="en-US" w:eastAsia="en-US"/>
          <w14:ligatures w14:val="none"/>
        </w:rPr>
        <w:t>Bursik</w:t>
      </w:r>
      <w:bookmarkEnd w:id="846"/>
      <w:r w:rsidRPr="004B3F8F">
        <w:rPr>
          <w:rFonts w:ascii="Arial" w:eastAsiaTheme="minorHAnsi" w:hAnsi="Arial" w:cs="Arial"/>
          <w:kern w:val="0"/>
          <w:lang w:val="en-US" w:eastAsia="en-US"/>
          <w14:ligatures w14:val="none"/>
        </w:rPr>
        <w:t xml:space="preserve">, R.J. 1988. “Social Disorganization and Theories of Crime and Delinquency: Problems and Prospects.” </w:t>
      </w:r>
      <w:r w:rsidRPr="004B3F8F">
        <w:rPr>
          <w:rFonts w:ascii="Arial" w:eastAsiaTheme="minorHAnsi" w:hAnsi="Arial" w:cs="Arial"/>
          <w:i/>
          <w:iCs/>
          <w:kern w:val="0"/>
          <w:lang w:val="en-US" w:eastAsia="en-US"/>
          <w14:ligatures w14:val="none"/>
        </w:rPr>
        <w:t xml:space="preserve">Criminology </w:t>
      </w:r>
      <w:r w:rsidRPr="004B3F8F">
        <w:rPr>
          <w:rFonts w:ascii="Arial" w:eastAsiaTheme="minorHAnsi" w:hAnsi="Arial" w:cs="Arial"/>
          <w:iCs/>
          <w:kern w:val="0"/>
          <w:lang w:val="en-US" w:eastAsia="en-US"/>
          <w14:ligatures w14:val="none"/>
        </w:rPr>
        <w:t xml:space="preserve">26, no. 4, pp. </w:t>
      </w:r>
      <w:r w:rsidRPr="004B3F8F">
        <w:rPr>
          <w:rFonts w:ascii="Arial" w:eastAsiaTheme="minorHAnsi" w:hAnsi="Arial" w:cs="Arial"/>
          <w:kern w:val="0"/>
          <w:lang w:val="en-US" w:eastAsia="en-US"/>
          <w14:ligatures w14:val="none"/>
        </w:rPr>
        <w:t>519-22.</w:t>
      </w:r>
      <w:r w:rsidRPr="004B3F8F">
        <w:rPr>
          <w:rFonts w:ascii="Arial" w:eastAsiaTheme="minorHAnsi" w:hAnsi="Arial" w:cs="Arial"/>
          <w:i/>
          <w:iCs/>
          <w:kern w:val="0"/>
          <w:lang w:val="en-US" w:eastAsia="en-US"/>
          <w14:ligatures w14:val="none"/>
        </w:rPr>
        <w:t xml:space="preserve"> </w:t>
      </w:r>
      <w:hyperlink r:id="rId69" w:history="1">
        <w:r w:rsidRPr="004B3F8F">
          <w:rPr>
            <w:rFonts w:ascii="Arial" w:eastAsiaTheme="minorHAnsi" w:hAnsi="Arial" w:cs="Arial"/>
            <w:kern w:val="0"/>
            <w:shd w:val="clear" w:color="auto" w:fill="FFFFFF"/>
            <w:lang w:val="en-US" w:eastAsia="en-US"/>
            <w14:ligatures w14:val="none"/>
          </w:rPr>
          <w:t>doi.org/10.1111/j.1745-</w:t>
        </w:r>
        <w:r w:rsidR="00CB692E" w:rsidRPr="004B3F8F">
          <w:rPr>
            <w:rFonts w:ascii="Arial" w:eastAsiaTheme="minorHAnsi" w:hAnsi="Arial" w:cs="Arial"/>
            <w:kern w:val="0"/>
            <w:shd w:val="clear" w:color="auto" w:fill="FFFFFF"/>
            <w:lang w:val="en-US" w:eastAsia="en-US"/>
            <w14:ligatures w14:val="none"/>
          </w:rPr>
          <w:t>9125. 1988.tb</w:t>
        </w:r>
        <w:r w:rsidRPr="004B3F8F">
          <w:rPr>
            <w:rFonts w:ascii="Arial" w:eastAsiaTheme="minorHAnsi" w:hAnsi="Arial" w:cs="Arial"/>
            <w:kern w:val="0"/>
            <w:shd w:val="clear" w:color="auto" w:fill="FFFFFF"/>
            <w:lang w:val="en-US" w:eastAsia="en-US"/>
            <w14:ligatures w14:val="none"/>
          </w:rPr>
          <w:t>00854.x</w:t>
        </w:r>
      </w:hyperlink>
      <w:r w:rsidRPr="004B3F8F">
        <w:rPr>
          <w:rFonts w:ascii="Arial" w:eastAsiaTheme="minorHAnsi" w:hAnsi="Arial" w:cs="Arial"/>
          <w:kern w:val="0"/>
          <w:shd w:val="clear" w:color="auto" w:fill="FFFFFF"/>
          <w:lang w:val="en-US" w:eastAsia="en-US"/>
          <w14:ligatures w14:val="none"/>
        </w:rPr>
        <w:t>.</w:t>
      </w:r>
    </w:p>
    <w:p w14:paraId="28EEEF0A" w14:textId="77777777" w:rsidR="004B3F8F" w:rsidRPr="004B3F8F" w:rsidRDefault="004B3F8F" w:rsidP="004B3F8F">
      <w:pPr>
        <w:spacing w:before="100" w:beforeAutospacing="1" w:after="100" w:afterAutospacing="1" w:line="480" w:lineRule="auto"/>
        <w:ind w:left="709" w:hanging="709"/>
        <w:jc w:val="both"/>
        <w:rPr>
          <w:rFonts w:ascii="Arial" w:eastAsia="Times New Roman" w:hAnsi="Arial" w:cs="Arial"/>
          <w:kern w:val="0"/>
          <w14:ligatures w14:val="none"/>
        </w:rPr>
      </w:pPr>
      <w:r w:rsidRPr="004B3F8F">
        <w:rPr>
          <w:rFonts w:ascii="Arial" w:eastAsia="Times New Roman" w:hAnsi="Arial" w:cs="Arial"/>
          <w:kern w:val="0"/>
          <w14:ligatures w14:val="none"/>
        </w:rPr>
        <w:t>Burns, N., &amp; Kedia, S. 2006. The impact of performance-based compensation on misreporting. Journal of Financial Economics, 79(1), 35-67.</w:t>
      </w:r>
    </w:p>
    <w:p w14:paraId="71551385" w14:textId="77777777" w:rsidR="004B3F8F" w:rsidRPr="004B3F8F" w:rsidRDefault="004B3F8F" w:rsidP="004B3F8F">
      <w:pPr>
        <w:spacing w:after="200" w:line="480" w:lineRule="auto"/>
        <w:ind w:left="785" w:hangingChars="327" w:hanging="785"/>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t>Buterin, V. 2013. ‘</w:t>
      </w:r>
      <w:r w:rsidRPr="004B3F8F">
        <w:rPr>
          <w:rFonts w:ascii="Arial" w:eastAsiaTheme="minorHAnsi" w:hAnsi="Arial" w:cs="Arial"/>
          <w:i/>
          <w:iCs/>
          <w:kern w:val="0"/>
          <w:lang w:eastAsia="en-US"/>
          <w14:ligatures w14:val="none"/>
        </w:rPr>
        <w:t>’A NEXT GENERATION SMART CONTRACT &amp; DECENTRALIZED APPLICATION’’</w:t>
      </w:r>
      <w:r w:rsidRPr="004B3F8F">
        <w:rPr>
          <w:rFonts w:eastAsiaTheme="minorHAnsi"/>
          <w:kern w:val="0"/>
          <w:sz w:val="22"/>
          <w:szCs w:val="22"/>
          <w:lang w:eastAsia="en-US"/>
          <w14:ligatures w14:val="none"/>
        </w:rPr>
        <w:t xml:space="preserve"> </w:t>
      </w:r>
      <w:r w:rsidRPr="004B3F8F">
        <w:rPr>
          <w:rFonts w:ascii="Arial" w:eastAsiaTheme="minorHAnsi" w:hAnsi="Arial" w:cs="Arial"/>
          <w:kern w:val="0"/>
          <w:lang w:eastAsia="en-US"/>
          <w14:ligatures w14:val="none"/>
        </w:rPr>
        <w:t>https://www.weusecoins.com/assets/pdf/library/Ethereum_white_paper_a_next_generation_smart_contract_and_decentralized_application_platform_vitalik-buterin.pdf (accessed August, 2021)</w:t>
      </w:r>
    </w:p>
    <w:p w14:paraId="67DABAB1"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Cai, C.W., Linnenluecke, M.K., Marrone, M. and Singh, A.K., 2019. Machine learning and expert judgement: analyzing emerging topics in accounting and finance research in the Asia–Pacific. </w:t>
      </w:r>
      <w:r w:rsidRPr="004B3F8F">
        <w:rPr>
          <w:rFonts w:ascii="Arial" w:hAnsi="Arial" w:cs="Arial"/>
          <w:i/>
          <w:iCs/>
          <w:color w:val="222222"/>
          <w:shd w:val="clear" w:color="auto" w:fill="FFFFFF"/>
        </w:rPr>
        <w:t>Abacus</w:t>
      </w:r>
      <w:r w:rsidRPr="004B3F8F">
        <w:rPr>
          <w:rFonts w:ascii="Arial" w:hAnsi="Arial" w:cs="Arial"/>
          <w:color w:val="222222"/>
          <w:shd w:val="clear" w:color="auto" w:fill="FFFFFF"/>
        </w:rPr>
        <w:t>, </w:t>
      </w:r>
      <w:r w:rsidRPr="004B3F8F">
        <w:rPr>
          <w:rFonts w:ascii="Arial" w:hAnsi="Arial" w:cs="Arial"/>
          <w:i/>
          <w:iCs/>
          <w:color w:val="222222"/>
          <w:shd w:val="clear" w:color="auto" w:fill="FFFFFF"/>
        </w:rPr>
        <w:t>55</w:t>
      </w:r>
      <w:r w:rsidRPr="004B3F8F">
        <w:rPr>
          <w:rFonts w:ascii="Arial" w:hAnsi="Arial" w:cs="Arial"/>
          <w:color w:val="222222"/>
          <w:shd w:val="clear" w:color="auto" w:fill="FFFFFF"/>
        </w:rPr>
        <w:t>(4), pp.709-733.</w:t>
      </w:r>
    </w:p>
    <w:p w14:paraId="4D390F5D"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47" w:name="_Hlk42376202"/>
      <w:r w:rsidRPr="004B3F8F">
        <w:rPr>
          <w:rFonts w:ascii="Arial" w:eastAsiaTheme="minorHAnsi" w:hAnsi="Arial" w:cs="Arial"/>
          <w:kern w:val="0"/>
          <w:lang w:val="en-US" w:eastAsia="en-US"/>
          <w14:ligatures w14:val="none"/>
        </w:rPr>
        <w:t>Cancino</w:t>
      </w:r>
      <w:bookmarkEnd w:id="847"/>
      <w:r w:rsidRPr="004B3F8F">
        <w:rPr>
          <w:rFonts w:ascii="Arial" w:eastAsiaTheme="minorHAnsi" w:hAnsi="Arial" w:cs="Arial"/>
          <w:kern w:val="0"/>
          <w:lang w:val="en-US" w:eastAsia="en-US"/>
          <w14:ligatures w14:val="none"/>
        </w:rPr>
        <w:t xml:space="preserve">, F. 2010. “The Fraud Beneath the Surface.” </w:t>
      </w:r>
      <w:r w:rsidRPr="004B3F8F">
        <w:rPr>
          <w:rFonts w:ascii="Arial" w:eastAsiaTheme="minorHAnsi" w:hAnsi="Arial" w:cs="Arial"/>
          <w:i/>
          <w:iCs/>
          <w:kern w:val="0"/>
          <w:lang w:val="en-US" w:eastAsia="en-US"/>
          <w14:ligatures w14:val="none"/>
        </w:rPr>
        <w:t>Internal Auditor</w:t>
      </w:r>
      <w:r w:rsidRPr="004B3F8F">
        <w:rPr>
          <w:rFonts w:ascii="Arial" w:eastAsiaTheme="minorHAnsi" w:hAnsi="Arial" w:cs="Arial"/>
          <w:kern w:val="0"/>
          <w:lang w:val="en-US" w:eastAsia="en-US"/>
          <w14:ligatures w14:val="none"/>
        </w:rPr>
        <w:t xml:space="preserve"> 67, no. 1, pp. 33-36.</w:t>
      </w:r>
    </w:p>
    <w:p w14:paraId="210F2E51"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lastRenderedPageBreak/>
        <w:t>Cao, M., R. Chychyla, and T. Stewart. 2015. “</w:t>
      </w:r>
      <w:r w:rsidRPr="004B3F8F">
        <w:rPr>
          <w:rFonts w:ascii="Arial" w:eastAsiaTheme="minorHAnsi" w:hAnsi="Arial" w:cs="Arial"/>
          <w:iCs/>
          <w:kern w:val="0"/>
          <w:lang w:val="en-US" w:eastAsia="en-US"/>
          <w14:ligatures w14:val="none"/>
        </w:rPr>
        <w:t>Big Data Analytics in Financial Statement Audits</w:t>
      </w:r>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i/>
          <w:kern w:val="0"/>
          <w:lang w:val="en-US" w:eastAsia="en-US"/>
          <w14:ligatures w14:val="none"/>
        </w:rPr>
        <w:t>Accounting Horizons</w:t>
      </w:r>
      <w:r w:rsidRPr="004B3F8F">
        <w:rPr>
          <w:rFonts w:ascii="Arial" w:eastAsiaTheme="minorHAnsi" w:hAnsi="Arial" w:cs="Arial"/>
          <w:kern w:val="0"/>
          <w:lang w:val="en-US" w:eastAsia="en-US"/>
          <w14:ligatures w14:val="none"/>
        </w:rPr>
        <w:t xml:space="preserve"> 29, no. 2, pp. 423-29.</w:t>
      </w:r>
    </w:p>
    <w:p w14:paraId="5E70907F"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48" w:name="_Hlk42376231"/>
      <w:r w:rsidRPr="004B3F8F">
        <w:rPr>
          <w:rFonts w:ascii="Arial" w:eastAsiaTheme="minorHAnsi" w:hAnsi="Arial" w:cs="Arial"/>
          <w:kern w:val="0"/>
          <w:lang w:val="en-US" w:eastAsia="en-US"/>
          <w14:ligatures w14:val="none"/>
        </w:rPr>
        <w:t>Carcello</w:t>
      </w:r>
      <w:bookmarkEnd w:id="848"/>
      <w:r w:rsidRPr="004B3F8F">
        <w:rPr>
          <w:rFonts w:ascii="Arial" w:eastAsiaTheme="minorHAnsi" w:hAnsi="Arial" w:cs="Arial"/>
          <w:kern w:val="0"/>
          <w:lang w:val="en-US" w:eastAsia="en-US"/>
          <w14:ligatures w14:val="none"/>
        </w:rPr>
        <w:t xml:space="preserve">, J.V., and D.R. </w:t>
      </w:r>
      <w:bookmarkStart w:id="849" w:name="_Hlk42376270"/>
      <w:r w:rsidRPr="004B3F8F">
        <w:rPr>
          <w:rFonts w:ascii="Arial" w:eastAsiaTheme="minorHAnsi" w:hAnsi="Arial" w:cs="Arial"/>
          <w:kern w:val="0"/>
          <w:lang w:val="en-US" w:eastAsia="en-US"/>
          <w14:ligatures w14:val="none"/>
        </w:rPr>
        <w:t>Hermanson</w:t>
      </w:r>
      <w:bookmarkEnd w:id="849"/>
      <w:r w:rsidRPr="004B3F8F">
        <w:rPr>
          <w:rFonts w:ascii="Arial" w:eastAsiaTheme="minorHAnsi" w:hAnsi="Arial" w:cs="Arial"/>
          <w:kern w:val="0"/>
          <w:lang w:val="en-US" w:eastAsia="en-US"/>
          <w14:ligatures w14:val="none"/>
        </w:rPr>
        <w:t xml:space="preserve">. 2008. “Fraudulent Financial Reporting: How Do We Close the Knowledge Gap? Working Paper.” University of Tennessee and Kennesaw State University. </w:t>
      </w:r>
      <w:r w:rsidRPr="004B3F8F">
        <w:rPr>
          <w:rFonts w:ascii="Arial" w:eastAsiaTheme="minorHAnsi" w:hAnsi="Arial" w:cs="Arial"/>
          <w:kern w:val="0"/>
          <w:shd w:val="clear" w:color="auto" w:fill="FFFFFF"/>
          <w:lang w:val="en-US" w:eastAsia="en-US"/>
          <w14:ligatures w14:val="none"/>
        </w:rPr>
        <w:t xml:space="preserve">(accessed March 1, 2019). </w:t>
      </w:r>
      <w:hyperlink r:id="rId70" w:anchor="citing-papers" w:history="1">
        <w:r w:rsidRPr="004B3F8F">
          <w:rPr>
            <w:rFonts w:ascii="Arial" w:eastAsiaTheme="minorHAnsi" w:hAnsi="Arial" w:cs="Arial"/>
            <w:kern w:val="0"/>
            <w:lang w:eastAsia="en-US"/>
            <w14:ligatures w14:val="none"/>
          </w:rPr>
          <w:t>https://www.semanticscholar.org/paper/Fraudulent-Financial-Reporting%3A-How-Do-We-Close-the-Carcello-Hermanson/f4bfb3c2730f6cceab7d3d957aed3776da96738f#citing-papers</w:t>
        </w:r>
      </w:hyperlink>
    </w:p>
    <w:p w14:paraId="1F644562"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eastAsia="en-US"/>
          <w14:ligatures w14:val="none"/>
        </w:rPr>
      </w:pPr>
      <w:r w:rsidRPr="004B3F8F">
        <w:rPr>
          <w:rFonts w:ascii="Arial" w:eastAsiaTheme="minorHAnsi" w:hAnsi="Arial" w:cs="Arial"/>
          <w:kern w:val="0"/>
          <w:lang w:val="en-US" w:eastAsia="en-US"/>
          <w14:ligatures w14:val="none"/>
        </w:rPr>
        <w:t xml:space="preserve">Carcello, J.V., S.M. Beasley, D.R. Hermanson, and T.L. Neal. 2010. </w:t>
      </w:r>
      <w:r w:rsidRPr="004B3F8F">
        <w:rPr>
          <w:rFonts w:ascii="Arial" w:eastAsiaTheme="minorHAnsi" w:hAnsi="Arial" w:cs="Arial"/>
          <w:i/>
          <w:iCs/>
          <w:kern w:val="0"/>
          <w:lang w:val="en-US" w:eastAsia="en-US"/>
          <w14:ligatures w14:val="none"/>
        </w:rPr>
        <w:t>Fraudulent Financial Reporting: 1998-2007</w:t>
      </w:r>
      <w:r w:rsidRPr="004B3F8F">
        <w:rPr>
          <w:rFonts w:ascii="Arial" w:eastAsiaTheme="minorHAnsi" w:hAnsi="Arial" w:cs="Arial"/>
          <w:kern w:val="0"/>
          <w:lang w:val="en-US" w:eastAsia="en-US"/>
          <w14:ligatures w14:val="none"/>
        </w:rPr>
        <w:t xml:space="preserve">. Jersey City, NJ: Committee of Sponsoring Organizations of the Treadway Commission. </w:t>
      </w:r>
      <w:r w:rsidRPr="004B3F8F">
        <w:rPr>
          <w:rFonts w:ascii="Arial" w:eastAsiaTheme="minorHAnsi" w:hAnsi="Arial" w:cs="Arial"/>
          <w:kern w:val="0"/>
          <w:shd w:val="clear" w:color="auto" w:fill="FFFFFF"/>
          <w:lang w:val="en-US" w:eastAsia="en-US"/>
          <w14:ligatures w14:val="none"/>
        </w:rPr>
        <w:t xml:space="preserve">(accessed March 1, 2019). </w:t>
      </w:r>
      <w:hyperlink r:id="rId71" w:history="1">
        <w:r w:rsidRPr="004B3F8F">
          <w:rPr>
            <w:rFonts w:ascii="Arial" w:eastAsiaTheme="minorHAnsi" w:hAnsi="Arial" w:cs="Arial"/>
            <w:kern w:val="0"/>
            <w:lang w:eastAsia="en-US"/>
            <w14:ligatures w14:val="none"/>
          </w:rPr>
          <w:t>https://www.coso.org/Documents/COSO-Fraud-Study-2010-001.pdf</w:t>
        </w:r>
      </w:hyperlink>
    </w:p>
    <w:p w14:paraId="64C693FF"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eastAsia="en-US"/>
          <w14:ligatures w14:val="none"/>
        </w:rPr>
        <w:t>Carlin, T. 2018. ‘</w:t>
      </w:r>
      <w:r w:rsidRPr="004B3F8F">
        <w:rPr>
          <w:rFonts w:ascii="Arial" w:eastAsiaTheme="minorHAnsi" w:hAnsi="Arial" w:cs="Arial"/>
          <w:i/>
          <w:iCs/>
          <w:kern w:val="0"/>
          <w:lang w:eastAsia="en-US"/>
          <w14:ligatures w14:val="none"/>
        </w:rPr>
        <w:t>’Blockchain and the journey beyond double entr</w:t>
      </w:r>
      <w:r w:rsidRPr="004B3F8F">
        <w:rPr>
          <w:rFonts w:ascii="Arial" w:eastAsiaTheme="minorHAnsi" w:hAnsi="Arial" w:cs="Arial"/>
          <w:kern w:val="0"/>
          <w:lang w:eastAsia="en-US"/>
          <w14:ligatures w14:val="none"/>
        </w:rPr>
        <w:t>y’’. Australian Accounting Review, doi:10.1111/auar.12273</w:t>
      </w:r>
    </w:p>
    <w:p w14:paraId="31287DD9"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50" w:name="_Hlk42376287"/>
      <w:r w:rsidRPr="004B3F8F">
        <w:rPr>
          <w:rFonts w:ascii="Arial" w:eastAsiaTheme="minorHAnsi" w:hAnsi="Arial" w:cs="Arial"/>
          <w:kern w:val="0"/>
          <w:lang w:val="en-US" w:eastAsia="en-US"/>
          <w14:ligatures w14:val="none"/>
        </w:rPr>
        <w:t>Carpenter</w:t>
      </w:r>
      <w:bookmarkEnd w:id="850"/>
      <w:r w:rsidRPr="004B3F8F">
        <w:rPr>
          <w:rFonts w:ascii="Arial" w:eastAsiaTheme="minorHAnsi" w:hAnsi="Arial" w:cs="Arial"/>
          <w:kern w:val="0"/>
          <w:lang w:val="en-US" w:eastAsia="en-US"/>
          <w14:ligatures w14:val="none"/>
        </w:rPr>
        <w:t xml:space="preserve">, T.D. 2008. “Audit Team Brainstorming, Fraud Risk Identification, and Fraud Risk Assessment: Implications of SAS No.99.” </w:t>
      </w:r>
      <w:r w:rsidRPr="004B3F8F">
        <w:rPr>
          <w:rFonts w:ascii="Arial" w:eastAsiaTheme="minorHAnsi" w:hAnsi="Arial" w:cs="Arial"/>
          <w:i/>
          <w:iCs/>
          <w:kern w:val="0"/>
          <w:lang w:val="en-US" w:eastAsia="en-US"/>
          <w14:ligatures w14:val="none"/>
        </w:rPr>
        <w:t>The Accounting Review</w:t>
      </w:r>
      <w:r w:rsidRPr="004B3F8F">
        <w:rPr>
          <w:rFonts w:ascii="Arial" w:eastAsiaTheme="minorHAnsi" w:hAnsi="Arial" w:cs="Arial"/>
          <w:kern w:val="0"/>
          <w:lang w:val="en-US" w:eastAsia="en-US"/>
          <w14:ligatures w14:val="none"/>
        </w:rPr>
        <w:t xml:space="preserve"> 82, </w:t>
      </w:r>
      <w:r w:rsidRPr="004B3F8F">
        <w:rPr>
          <w:rFonts w:ascii="Arial" w:eastAsiaTheme="minorHAnsi" w:hAnsi="Arial" w:cs="Arial"/>
          <w:kern w:val="0"/>
          <w:shd w:val="clear" w:color="auto" w:fill="FFFFFF"/>
          <w:lang w:eastAsia="en-US"/>
          <w14:ligatures w14:val="none"/>
        </w:rPr>
        <w:t>(5): 1119–1140.</w:t>
      </w:r>
    </w:p>
    <w:p w14:paraId="7970A9FF"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CCN. 2018. “</w:t>
      </w:r>
      <w:r w:rsidRPr="004B3F8F">
        <w:rPr>
          <w:rFonts w:ascii="Arial" w:eastAsiaTheme="minorHAnsi" w:hAnsi="Arial" w:cs="Arial"/>
          <w:iCs/>
          <w:kern w:val="0"/>
          <w:lang w:val="en-US" w:eastAsia="en-US"/>
          <w14:ligatures w14:val="none"/>
        </w:rPr>
        <w:t xml:space="preserve">Big Four Giant PwC Announces Blockchain Auditing Service.” </w:t>
      </w:r>
      <w:hyperlink r:id="rId72" w:history="1">
        <w:r w:rsidRPr="004B3F8F">
          <w:rPr>
            <w:rFonts w:ascii="Arial" w:eastAsiaTheme="minorHAnsi" w:hAnsi="Arial" w:cs="Arial"/>
            <w:kern w:val="0"/>
            <w:lang w:val="en-US" w:eastAsia="en-US"/>
            <w14:ligatures w14:val="none"/>
          </w:rPr>
          <w:t>https://www.ccn.com/pwc-to-provide-audit-service-for-blockchain-to-stimulate-adoption/</w:t>
        </w:r>
      </w:hyperlink>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shd w:val="clear" w:color="auto" w:fill="FFFFFF"/>
          <w:lang w:val="en-US" w:eastAsia="en-US"/>
          <w14:ligatures w14:val="none"/>
        </w:rPr>
        <w:t>(accessed May 20, 2018).</w:t>
      </w:r>
    </w:p>
    <w:p w14:paraId="7236965E" w14:textId="2B92FFC4"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bookmarkStart w:id="851" w:name="_Hlk42376305"/>
      <w:r w:rsidRPr="004B3F8F">
        <w:rPr>
          <w:rFonts w:ascii="Arial" w:eastAsiaTheme="minorHAnsi" w:hAnsi="Arial" w:cs="Arial"/>
          <w:kern w:val="0"/>
          <w:lang w:val="en-US" w:eastAsia="en-US"/>
          <w14:ligatures w14:val="none"/>
        </w:rPr>
        <w:t>Centre for Audit Quality</w:t>
      </w:r>
      <w:bookmarkEnd w:id="851"/>
      <w:r w:rsidRPr="004B3F8F">
        <w:rPr>
          <w:rFonts w:ascii="Arial" w:eastAsiaTheme="minorHAnsi" w:hAnsi="Arial" w:cs="Arial"/>
          <w:kern w:val="0"/>
          <w:lang w:val="en-US" w:eastAsia="en-US"/>
          <w14:ligatures w14:val="none"/>
        </w:rPr>
        <w:t xml:space="preserve">. December 2010. “Deterring and Detecting Financial Reporting Fraud: A Platform for </w:t>
      </w:r>
      <w:r w:rsidR="00A961A2" w:rsidRPr="004B3F8F">
        <w:rPr>
          <w:rFonts w:ascii="Arial" w:eastAsiaTheme="minorHAnsi" w:hAnsi="Arial" w:cs="Arial"/>
          <w:kern w:val="0"/>
          <w:lang w:val="en-US" w:eastAsia="en-US"/>
          <w14:ligatures w14:val="none"/>
        </w:rPr>
        <w:t>Action</w:t>
      </w:r>
      <w:r w:rsidRPr="004B3F8F">
        <w:rPr>
          <w:rFonts w:ascii="Arial" w:eastAsiaTheme="minorHAnsi" w:hAnsi="Arial" w:cs="Arial"/>
          <w:kern w:val="0"/>
          <w:lang w:val="en-US" w:eastAsia="en-US"/>
          <w14:ligatures w14:val="none"/>
        </w:rPr>
        <w:t xml:space="preserve">,” pp. 1-32. </w:t>
      </w:r>
      <w:hyperlink r:id="rId73" w:history="1">
        <w:r w:rsidRPr="004B3F8F">
          <w:rPr>
            <w:rFonts w:ascii="Arial" w:eastAsiaTheme="minorHAnsi" w:hAnsi="Arial" w:cs="Arial"/>
            <w:kern w:val="0"/>
            <w:lang w:val="en-US" w:eastAsia="en-US"/>
            <w14:ligatures w14:val="none"/>
          </w:rPr>
          <w:t>www.aicpa.com</w:t>
        </w:r>
      </w:hyperlink>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shd w:val="clear" w:color="auto" w:fill="FFFFFF"/>
          <w:lang w:val="en-US" w:eastAsia="en-US"/>
          <w14:ligatures w14:val="none"/>
        </w:rPr>
        <w:t>(accessed January 1, 2019).</w:t>
      </w:r>
    </w:p>
    <w:p w14:paraId="3333825E" w14:textId="77777777" w:rsidR="004B3F8F" w:rsidRPr="004B3F8F" w:rsidRDefault="004B3F8F" w:rsidP="004B3F8F">
      <w:pPr>
        <w:spacing w:line="480" w:lineRule="auto"/>
        <w:ind w:left="851" w:hanging="851"/>
        <w:rPr>
          <w:rFonts w:ascii="Arial" w:hAnsi="Arial" w:cs="Arial"/>
          <w:color w:val="222222"/>
          <w:shd w:val="clear" w:color="auto" w:fill="FFFFFF"/>
        </w:rPr>
      </w:pPr>
      <w:bookmarkStart w:id="852" w:name="_Hlk146403310"/>
      <w:r w:rsidRPr="004B3F8F">
        <w:rPr>
          <w:rFonts w:ascii="Arial" w:hAnsi="Arial" w:cs="Arial"/>
          <w:color w:val="222222"/>
          <w:shd w:val="clear" w:color="auto" w:fill="FFFFFF"/>
        </w:rPr>
        <w:lastRenderedPageBreak/>
        <w:t>Chandraseka</w:t>
      </w:r>
      <w:bookmarkEnd w:id="852"/>
      <w:r w:rsidRPr="004B3F8F">
        <w:rPr>
          <w:rFonts w:ascii="Arial" w:hAnsi="Arial" w:cs="Arial"/>
          <w:color w:val="222222"/>
          <w:shd w:val="clear" w:color="auto" w:fill="FFFFFF"/>
        </w:rPr>
        <w:t>r, V., Wisetsri, W. and Ullah, I., 2021. URR blockchain and distributed ledger technology (DLT): the future of accounting. </w:t>
      </w:r>
      <w:r w:rsidRPr="004B3F8F">
        <w:rPr>
          <w:rFonts w:ascii="Arial" w:hAnsi="Arial" w:cs="Arial"/>
          <w:i/>
          <w:iCs/>
          <w:color w:val="222222"/>
          <w:shd w:val="clear" w:color="auto" w:fill="FFFFFF"/>
        </w:rPr>
        <w:t>Psychology and Education Journal</w:t>
      </w:r>
      <w:r w:rsidRPr="004B3F8F">
        <w:rPr>
          <w:rFonts w:ascii="Arial" w:hAnsi="Arial" w:cs="Arial"/>
          <w:color w:val="222222"/>
          <w:shd w:val="clear" w:color="auto" w:fill="FFFFFF"/>
        </w:rPr>
        <w:t>, </w:t>
      </w:r>
      <w:r w:rsidRPr="004B3F8F">
        <w:rPr>
          <w:rFonts w:ascii="Arial" w:hAnsi="Arial" w:cs="Arial"/>
          <w:i/>
          <w:iCs/>
          <w:color w:val="222222"/>
          <w:shd w:val="clear" w:color="auto" w:fill="FFFFFF"/>
        </w:rPr>
        <w:t>58</w:t>
      </w:r>
      <w:r w:rsidRPr="004B3F8F">
        <w:rPr>
          <w:rFonts w:ascii="Arial" w:hAnsi="Arial" w:cs="Arial"/>
          <w:color w:val="222222"/>
          <w:shd w:val="clear" w:color="auto" w:fill="FFFFFF"/>
        </w:rPr>
        <w:t>(4), pp.320-323.</w:t>
      </w:r>
    </w:p>
    <w:p w14:paraId="5A1D317B"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Chang, Y., Wong, S.F., Eze, U. and Lee, H., 2019. The effect of IT ambidexterity and cloud computing absorptive capacity on competitive advantage. </w:t>
      </w:r>
      <w:r w:rsidRPr="004B3F8F">
        <w:rPr>
          <w:rFonts w:ascii="Arial" w:hAnsi="Arial" w:cs="Arial"/>
          <w:i/>
          <w:iCs/>
          <w:color w:val="222222"/>
          <w:shd w:val="clear" w:color="auto" w:fill="FFFFFF"/>
        </w:rPr>
        <w:t>Industrial Management &amp; Data Systems</w:t>
      </w:r>
      <w:r w:rsidRPr="004B3F8F">
        <w:rPr>
          <w:rFonts w:ascii="Arial" w:hAnsi="Arial" w:cs="Arial"/>
          <w:color w:val="222222"/>
          <w:shd w:val="clear" w:color="auto" w:fill="FFFFFF"/>
        </w:rPr>
        <w:t>, </w:t>
      </w:r>
      <w:r w:rsidRPr="004B3F8F">
        <w:rPr>
          <w:rFonts w:ascii="Arial" w:hAnsi="Arial" w:cs="Arial"/>
          <w:i/>
          <w:iCs/>
          <w:color w:val="222222"/>
          <w:shd w:val="clear" w:color="auto" w:fill="FFFFFF"/>
        </w:rPr>
        <w:t>119</w:t>
      </w:r>
      <w:r w:rsidRPr="004B3F8F">
        <w:rPr>
          <w:rFonts w:ascii="Arial" w:hAnsi="Arial" w:cs="Arial"/>
          <w:color w:val="222222"/>
          <w:shd w:val="clear" w:color="auto" w:fill="FFFFFF"/>
        </w:rPr>
        <w:t>(3), pp.613-638.</w:t>
      </w:r>
    </w:p>
    <w:p w14:paraId="2D0013A7" w14:textId="77777777" w:rsidR="004B3F8F" w:rsidRPr="004B3F8F" w:rsidRDefault="004B3F8F" w:rsidP="004B3F8F">
      <w:pPr>
        <w:spacing w:line="480" w:lineRule="auto"/>
        <w:ind w:left="851" w:hanging="851"/>
        <w:jc w:val="both"/>
        <w:rPr>
          <w:rFonts w:ascii="Arial" w:eastAsiaTheme="minorHAnsi" w:hAnsi="Arial" w:cs="Arial"/>
          <w:kern w:val="0"/>
          <w:shd w:val="clear" w:color="auto" w:fill="FFFFFF"/>
          <w:lang w:eastAsia="en-US"/>
          <w14:ligatures w14:val="none"/>
        </w:rPr>
      </w:pPr>
      <w:r w:rsidRPr="004B3F8F">
        <w:rPr>
          <w:rFonts w:ascii="Arial" w:eastAsiaTheme="minorHAnsi" w:hAnsi="Arial" w:cs="Arial"/>
          <w:kern w:val="0"/>
          <w:shd w:val="clear" w:color="auto" w:fill="FFFFFF"/>
          <w:lang w:eastAsia="en-US"/>
          <w14:ligatures w14:val="none"/>
        </w:rPr>
        <w:t>Cheang, H. S., &amp; Appelbaum, S. H. 2015. Corporate psychopathy: Deviant workplace behaviour and toxic leaders (part two). </w:t>
      </w:r>
      <w:r w:rsidRPr="004B3F8F">
        <w:rPr>
          <w:rFonts w:ascii="Arial" w:eastAsiaTheme="minorHAnsi" w:hAnsi="Arial" w:cs="Arial"/>
          <w:i/>
          <w:iCs/>
          <w:kern w:val="0"/>
          <w:shd w:val="clear" w:color="auto" w:fill="FFFFFF"/>
          <w:lang w:eastAsia="en-US"/>
          <w14:ligatures w14:val="none"/>
        </w:rPr>
        <w:t>Industrial and Commercial Training</w:t>
      </w:r>
      <w:r w:rsidRPr="004B3F8F">
        <w:rPr>
          <w:rFonts w:ascii="Arial" w:eastAsiaTheme="minorHAnsi" w:hAnsi="Arial" w:cs="Arial"/>
          <w:kern w:val="0"/>
          <w:shd w:val="clear" w:color="auto" w:fill="FFFFFF"/>
          <w:lang w:eastAsia="en-US"/>
          <w14:ligatures w14:val="none"/>
        </w:rPr>
        <w:t>, </w:t>
      </w:r>
      <w:r w:rsidRPr="004B3F8F">
        <w:rPr>
          <w:rFonts w:ascii="Arial" w:eastAsiaTheme="minorHAnsi" w:hAnsi="Arial" w:cs="Arial"/>
          <w:i/>
          <w:iCs/>
          <w:kern w:val="0"/>
          <w:shd w:val="clear" w:color="auto" w:fill="FFFFFF"/>
          <w:lang w:eastAsia="en-US"/>
          <w14:ligatures w14:val="none"/>
        </w:rPr>
        <w:t>47</w:t>
      </w:r>
      <w:r w:rsidRPr="004B3F8F">
        <w:rPr>
          <w:rFonts w:ascii="Arial" w:eastAsiaTheme="minorHAnsi" w:hAnsi="Arial" w:cs="Arial"/>
          <w:kern w:val="0"/>
          <w:shd w:val="clear" w:color="auto" w:fill="FFFFFF"/>
          <w:lang w:eastAsia="en-US"/>
          <w14:ligatures w14:val="none"/>
        </w:rPr>
        <w:t>(5), 236-243.</w:t>
      </w:r>
    </w:p>
    <w:p w14:paraId="76FEAA95"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53" w:name="_Hlk42376321"/>
      <w:r w:rsidRPr="004B3F8F">
        <w:rPr>
          <w:rFonts w:ascii="Arial" w:eastAsiaTheme="minorHAnsi" w:hAnsi="Arial" w:cs="Arial"/>
          <w:kern w:val="0"/>
          <w:lang w:val="en-US" w:eastAsia="en-US"/>
          <w14:ligatures w14:val="none"/>
        </w:rPr>
        <w:t>Cheffins</w:t>
      </w:r>
      <w:bookmarkEnd w:id="853"/>
      <w:r w:rsidRPr="004B3F8F">
        <w:rPr>
          <w:rFonts w:ascii="Arial" w:eastAsiaTheme="minorHAnsi" w:hAnsi="Arial" w:cs="Arial"/>
          <w:kern w:val="0"/>
          <w:lang w:val="en-US" w:eastAsia="en-US"/>
          <w14:ligatures w14:val="none"/>
        </w:rPr>
        <w:t>, B. 2009. “Did Corporate Governance Fail During the 2008 Stock Market Meltdown? The Case of the S&amp;P 500</w:t>
      </w:r>
      <w:r w:rsidRPr="004B3F8F">
        <w:rPr>
          <w:rFonts w:ascii="Arial" w:eastAsiaTheme="minorHAnsi" w:hAnsi="Arial" w:cs="Arial"/>
          <w:i/>
          <w:iCs/>
          <w:kern w:val="0"/>
          <w:lang w:val="en-US" w:eastAsia="en-US"/>
          <w14:ligatures w14:val="none"/>
        </w:rPr>
        <w:t>.</w:t>
      </w:r>
      <w:r w:rsidRPr="004B3F8F">
        <w:rPr>
          <w:rFonts w:ascii="Arial" w:eastAsiaTheme="minorHAnsi" w:hAnsi="Arial" w:cs="Arial"/>
          <w:iCs/>
          <w:kern w:val="0"/>
          <w:lang w:val="en-US" w:eastAsia="en-US"/>
          <w14:ligatures w14:val="none"/>
        </w:rPr>
        <w:t>”</w:t>
      </w:r>
      <w:r w:rsidRPr="004B3F8F">
        <w:rPr>
          <w:rFonts w:ascii="Arial" w:eastAsiaTheme="minorHAnsi" w:hAnsi="Arial" w:cs="Arial"/>
          <w:i/>
          <w:iCs/>
          <w:kern w:val="0"/>
          <w:lang w:val="en-US" w:eastAsia="en-US"/>
          <w14:ligatures w14:val="none"/>
        </w:rPr>
        <w:t xml:space="preserve"> Business Lawyer</w:t>
      </w:r>
      <w:r w:rsidRPr="004B3F8F">
        <w:rPr>
          <w:rFonts w:ascii="Arial" w:eastAsiaTheme="minorHAnsi" w:hAnsi="Arial" w:cs="Arial"/>
          <w:kern w:val="0"/>
          <w:lang w:val="en-US" w:eastAsia="en-US"/>
          <w14:ligatures w14:val="none"/>
        </w:rPr>
        <w:t xml:space="preserve"> 65, no. 1, pp. 1-65.</w:t>
      </w:r>
    </w:p>
    <w:p w14:paraId="22E309D2"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eastAsia="en-US"/>
          <w14:ligatures w14:val="none"/>
        </w:rPr>
      </w:pPr>
      <w:bookmarkStart w:id="854" w:name="_Hlk42376334"/>
      <w:r w:rsidRPr="004B3F8F">
        <w:rPr>
          <w:rFonts w:ascii="Arial" w:eastAsiaTheme="minorHAnsi" w:hAnsi="Arial" w:cs="Arial"/>
          <w:kern w:val="0"/>
          <w:lang w:val="en-US" w:eastAsia="en-US"/>
          <w14:ligatures w14:val="none"/>
        </w:rPr>
        <w:t>Chemuturi</w:t>
      </w:r>
      <w:bookmarkEnd w:id="854"/>
      <w:r w:rsidRPr="004B3F8F">
        <w:rPr>
          <w:rFonts w:ascii="Arial" w:eastAsiaTheme="minorHAnsi" w:hAnsi="Arial" w:cs="Arial"/>
          <w:kern w:val="0"/>
          <w:lang w:val="en-US" w:eastAsia="en-US"/>
          <w14:ligatures w14:val="none"/>
        </w:rPr>
        <w:t xml:space="preserve">, V.R. 2008. “Are You Prepared to Assess Fraud Risk Factors?” </w:t>
      </w:r>
      <w:r w:rsidRPr="004B3F8F">
        <w:rPr>
          <w:rFonts w:ascii="Arial" w:eastAsiaTheme="minorHAnsi" w:hAnsi="Arial" w:cs="Arial"/>
          <w:i/>
          <w:iCs/>
          <w:kern w:val="0"/>
          <w:lang w:val="en-US" w:eastAsia="en-US"/>
          <w14:ligatures w14:val="none"/>
        </w:rPr>
        <w:t>Pennsylvania CPA Journal</w:t>
      </w:r>
      <w:proofErr w:type="gramStart"/>
      <w:r w:rsidRPr="004B3F8F">
        <w:rPr>
          <w:rFonts w:ascii="Arial" w:eastAsiaTheme="minorHAnsi" w:hAnsi="Arial" w:cs="Arial"/>
          <w:kern w:val="0"/>
          <w:lang w:val="en-US" w:eastAsia="en-US"/>
          <w14:ligatures w14:val="none"/>
        </w:rPr>
        <w:t>.</w:t>
      </w:r>
      <w:r w:rsidRPr="004B3F8F">
        <w:rPr>
          <w:rFonts w:ascii="Arial" w:eastAsiaTheme="minorHAnsi" w:hAnsi="Arial" w:cs="Arial"/>
          <w:kern w:val="0"/>
          <w:lang w:eastAsia="en-US"/>
          <w14:ligatures w14:val="none"/>
        </w:rPr>
        <w:t xml:space="preserve"> ,</w:t>
      </w:r>
      <w:proofErr w:type="gramEnd"/>
      <w:r w:rsidRPr="004B3F8F">
        <w:rPr>
          <w:rFonts w:ascii="Arial" w:eastAsiaTheme="minorHAnsi" w:hAnsi="Arial" w:cs="Arial"/>
          <w:kern w:val="0"/>
          <w:lang w:eastAsia="en-US"/>
          <w14:ligatures w14:val="none"/>
        </w:rPr>
        <w:t xml:space="preserve"> Winter 2008, Volume 78, Issue 4, p. 1  </w:t>
      </w:r>
    </w:p>
    <w:p w14:paraId="7AFC8225"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Chen, H., &amp; Srinidhi, B. 2020. Corporate governance, audit quality and accounting outcomes: A meta-analysis. </w:t>
      </w:r>
      <w:r w:rsidRPr="004B3F8F">
        <w:rPr>
          <w:rFonts w:asciiTheme="minorBidi" w:eastAsia="Times New Roman" w:hAnsiTheme="minorBidi"/>
          <w:i/>
          <w:iCs/>
          <w:kern w:val="0"/>
          <w14:ligatures w14:val="none"/>
        </w:rPr>
        <w:t>Journal of Business Research, 109</w:t>
      </w:r>
      <w:r w:rsidRPr="004B3F8F">
        <w:rPr>
          <w:rFonts w:asciiTheme="minorBidi" w:eastAsia="Times New Roman" w:hAnsiTheme="minorBidi"/>
          <w:kern w:val="0"/>
          <w14:ligatures w14:val="none"/>
        </w:rPr>
        <w:t>, 1-17.</w:t>
      </w:r>
    </w:p>
    <w:p w14:paraId="4419C2DF"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55" w:name="_Hlk42376353"/>
      <w:r w:rsidRPr="004B3F8F">
        <w:rPr>
          <w:rFonts w:ascii="Arial" w:eastAsiaTheme="minorHAnsi" w:hAnsi="Arial" w:cs="Arial"/>
          <w:kern w:val="0"/>
          <w:lang w:val="en-US" w:eastAsia="en-US"/>
          <w14:ligatures w14:val="none"/>
        </w:rPr>
        <w:t>Chen</w:t>
      </w:r>
      <w:bookmarkEnd w:id="855"/>
      <w:r w:rsidRPr="004B3F8F">
        <w:rPr>
          <w:rFonts w:ascii="Arial" w:eastAsiaTheme="minorHAnsi" w:hAnsi="Arial" w:cs="Arial"/>
          <w:kern w:val="0"/>
          <w:lang w:val="en-US" w:eastAsia="en-US"/>
          <w14:ligatures w14:val="none"/>
        </w:rPr>
        <w:t xml:space="preserve">, J., D. Cumming, W. Hou, and E. Lee. 2013. “Executive Integrity, Audit Opinion, and Fraud in Chinese Listed Firms.” </w:t>
      </w:r>
      <w:r w:rsidRPr="004B3F8F">
        <w:rPr>
          <w:rFonts w:ascii="Arial" w:eastAsiaTheme="minorHAnsi" w:hAnsi="Arial" w:cs="Arial"/>
          <w:i/>
          <w:iCs/>
          <w:kern w:val="0"/>
          <w:lang w:val="en-US" w:eastAsia="en-US"/>
          <w14:ligatures w14:val="none"/>
        </w:rPr>
        <w:t>Emerging Markets Review</w:t>
      </w:r>
      <w:r w:rsidRPr="004B3F8F">
        <w:rPr>
          <w:rFonts w:ascii="Arial" w:eastAsiaTheme="minorHAnsi" w:hAnsi="Arial" w:cs="Arial"/>
          <w:kern w:val="0"/>
          <w:lang w:val="en-US" w:eastAsia="en-US"/>
          <w14:ligatures w14:val="none"/>
        </w:rPr>
        <w:t xml:space="preserve"> 15, pp. 72-91.</w:t>
      </w:r>
    </w:p>
    <w:p w14:paraId="2B55C18D"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56" w:name="_Hlk42376380"/>
      <w:r w:rsidRPr="004B3F8F">
        <w:rPr>
          <w:rFonts w:ascii="Arial" w:eastAsiaTheme="minorHAnsi" w:hAnsi="Arial" w:cs="Arial"/>
          <w:kern w:val="0"/>
          <w:lang w:val="en-US" w:eastAsia="en-US"/>
          <w14:ligatures w14:val="none"/>
        </w:rPr>
        <w:t>Chen</w:t>
      </w:r>
      <w:bookmarkEnd w:id="856"/>
      <w:r w:rsidRPr="004B3F8F">
        <w:rPr>
          <w:rFonts w:ascii="Arial" w:eastAsiaTheme="minorHAnsi" w:hAnsi="Arial" w:cs="Arial"/>
          <w:kern w:val="0"/>
          <w:lang w:val="en-US" w:eastAsia="en-US"/>
          <w14:ligatures w14:val="none"/>
        </w:rPr>
        <w:t xml:space="preserve">, K.Y., and R.J. </w:t>
      </w:r>
      <w:bookmarkStart w:id="857" w:name="_Hlk42376389"/>
      <w:r w:rsidRPr="004B3F8F">
        <w:rPr>
          <w:rFonts w:ascii="Arial" w:eastAsiaTheme="minorHAnsi" w:hAnsi="Arial" w:cs="Arial"/>
          <w:kern w:val="0"/>
          <w:lang w:val="en-US" w:eastAsia="en-US"/>
          <w14:ligatures w14:val="none"/>
        </w:rPr>
        <w:t>Elder</w:t>
      </w:r>
      <w:bookmarkEnd w:id="857"/>
      <w:r w:rsidRPr="004B3F8F">
        <w:rPr>
          <w:rFonts w:ascii="Arial" w:eastAsiaTheme="minorHAnsi" w:hAnsi="Arial" w:cs="Arial"/>
          <w:kern w:val="0"/>
          <w:lang w:val="en-US" w:eastAsia="en-US"/>
          <w14:ligatures w14:val="none"/>
        </w:rPr>
        <w:t xml:space="preserve">. 2007. “Fraud Risk Factors and the Likelihood of Fraudulent Financial Reporting: Evidence from Statement on Auditing Standards no. 43 in Taiwan,” p. 28. </w:t>
      </w:r>
      <w:hyperlink r:id="rId74" w:history="1">
        <w:r w:rsidRPr="004B3F8F">
          <w:rPr>
            <w:rFonts w:ascii="Arial" w:eastAsiaTheme="minorHAnsi" w:hAnsi="Arial" w:cs="Arial"/>
            <w:kern w:val="0"/>
            <w:lang w:val="en-US" w:eastAsia="en-US"/>
            <w14:ligatures w14:val="none"/>
          </w:rPr>
          <w:t>www.ssrn.com</w:t>
        </w:r>
      </w:hyperlink>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shd w:val="clear" w:color="auto" w:fill="FFFFFF"/>
          <w:lang w:val="en-US" w:eastAsia="en-US"/>
          <w14:ligatures w14:val="none"/>
        </w:rPr>
        <w:t>(accessed March 1, 2019).</w:t>
      </w:r>
    </w:p>
    <w:p w14:paraId="13EEFE37"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58" w:name="_Hlk42376404"/>
      <w:r w:rsidRPr="004B3F8F">
        <w:rPr>
          <w:rFonts w:ascii="Arial" w:eastAsiaTheme="minorHAnsi" w:hAnsi="Arial" w:cs="Arial"/>
          <w:kern w:val="0"/>
          <w:lang w:val="en-US" w:eastAsia="en-US"/>
          <w14:ligatures w14:val="none"/>
        </w:rPr>
        <w:t>Chesney</w:t>
      </w:r>
      <w:bookmarkEnd w:id="858"/>
      <w:r w:rsidRPr="004B3F8F">
        <w:rPr>
          <w:rFonts w:ascii="Arial" w:eastAsiaTheme="minorHAnsi" w:hAnsi="Arial" w:cs="Arial"/>
          <w:kern w:val="0"/>
          <w:lang w:val="en-US" w:eastAsia="en-US"/>
          <w14:ligatures w14:val="none"/>
        </w:rPr>
        <w:t xml:space="preserve">, M., and </w:t>
      </w:r>
      <w:bookmarkStart w:id="859" w:name="_Hlk42376413"/>
      <w:r w:rsidRPr="004B3F8F">
        <w:rPr>
          <w:rFonts w:ascii="Arial" w:eastAsiaTheme="minorHAnsi" w:hAnsi="Arial" w:cs="Arial"/>
          <w:kern w:val="0"/>
          <w:lang w:val="en-US" w:eastAsia="en-US"/>
          <w14:ligatures w14:val="none"/>
        </w:rPr>
        <w:t>Gibson-Asner</w:t>
      </w:r>
      <w:bookmarkEnd w:id="859"/>
      <w:r w:rsidRPr="004B3F8F">
        <w:rPr>
          <w:rFonts w:ascii="Arial" w:eastAsiaTheme="minorHAnsi" w:hAnsi="Arial" w:cs="Arial"/>
          <w:kern w:val="0"/>
          <w:lang w:val="en-US" w:eastAsia="en-US"/>
          <w14:ligatures w14:val="none"/>
        </w:rPr>
        <w:t xml:space="preserve">, R. 2005. “Stock Options and Managers’ Incentives to Cheat.” </w:t>
      </w:r>
      <w:hyperlink r:id="rId75" w:history="1">
        <w:r w:rsidRPr="004B3F8F">
          <w:rPr>
            <w:rFonts w:ascii="Arial" w:eastAsiaTheme="minorHAnsi" w:hAnsi="Arial" w:cs="Arial"/>
            <w:kern w:val="0"/>
            <w:lang w:val="en-US" w:eastAsia="en-US"/>
            <w14:ligatures w14:val="none"/>
          </w:rPr>
          <w:t>www.ssrn.com</w:t>
        </w:r>
      </w:hyperlink>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shd w:val="clear" w:color="auto" w:fill="FFFFFF"/>
          <w:lang w:val="en-US" w:eastAsia="en-US"/>
          <w14:ligatures w14:val="none"/>
        </w:rPr>
        <w:t>(accessed January 1, 2019).</w:t>
      </w:r>
    </w:p>
    <w:p w14:paraId="529B3C1A"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60" w:name="_Hlk42376434"/>
      <w:r w:rsidRPr="004B3F8F">
        <w:rPr>
          <w:rFonts w:ascii="Arial" w:eastAsiaTheme="minorHAnsi" w:hAnsi="Arial" w:cs="Arial"/>
          <w:kern w:val="0"/>
          <w:lang w:val="en-US" w:eastAsia="en-US"/>
          <w14:ligatures w14:val="none"/>
        </w:rPr>
        <w:lastRenderedPageBreak/>
        <w:t>Chhaochharia</w:t>
      </w:r>
      <w:bookmarkEnd w:id="860"/>
      <w:r w:rsidRPr="004B3F8F">
        <w:rPr>
          <w:rFonts w:ascii="Arial" w:eastAsiaTheme="minorHAnsi" w:hAnsi="Arial" w:cs="Arial"/>
          <w:kern w:val="0"/>
          <w:lang w:val="en-US" w:eastAsia="en-US"/>
          <w14:ligatures w14:val="none"/>
        </w:rPr>
        <w:t xml:space="preserve">, V., and Y. </w:t>
      </w:r>
      <w:bookmarkStart w:id="861" w:name="_Hlk42376442"/>
      <w:r w:rsidRPr="004B3F8F">
        <w:rPr>
          <w:rFonts w:ascii="Arial" w:eastAsiaTheme="minorHAnsi" w:hAnsi="Arial" w:cs="Arial"/>
          <w:kern w:val="0"/>
          <w:lang w:val="en-US" w:eastAsia="en-US"/>
          <w14:ligatures w14:val="none"/>
        </w:rPr>
        <w:t>Grinstein</w:t>
      </w:r>
      <w:bookmarkEnd w:id="861"/>
      <w:r w:rsidRPr="004B3F8F">
        <w:rPr>
          <w:rFonts w:ascii="Arial" w:eastAsiaTheme="minorHAnsi" w:hAnsi="Arial" w:cs="Arial"/>
          <w:kern w:val="0"/>
          <w:lang w:val="en-US" w:eastAsia="en-US"/>
          <w14:ligatures w14:val="none"/>
        </w:rPr>
        <w:t xml:space="preserve">. 2007. “Corporate Governance and Firm Value: The Impact of the 2002 Governance Rules.” </w:t>
      </w:r>
      <w:r w:rsidRPr="004B3F8F">
        <w:rPr>
          <w:rFonts w:ascii="Arial" w:eastAsiaTheme="minorHAnsi" w:hAnsi="Arial" w:cs="Arial"/>
          <w:i/>
          <w:kern w:val="0"/>
          <w:lang w:val="en-US" w:eastAsia="en-US"/>
          <w14:ligatures w14:val="none"/>
        </w:rPr>
        <w:t>The Journal of Finance</w:t>
      </w:r>
      <w:r w:rsidRPr="004B3F8F">
        <w:rPr>
          <w:rFonts w:ascii="Arial" w:eastAsiaTheme="minorHAnsi" w:hAnsi="Arial" w:cs="Arial"/>
          <w:kern w:val="0"/>
          <w:lang w:val="en-US" w:eastAsia="en-US"/>
          <w14:ligatures w14:val="none"/>
        </w:rPr>
        <w:t xml:space="preserve"> 62, no. 4, pp. 1789-825.</w:t>
      </w:r>
    </w:p>
    <w:p w14:paraId="285D8D29"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Choo, F., and K. Tan. 2007. “An ‘American dream’ Theory of Corporate Executive Fraud.” </w:t>
      </w:r>
      <w:r w:rsidRPr="004B3F8F">
        <w:rPr>
          <w:rFonts w:ascii="Arial" w:eastAsiaTheme="minorHAnsi" w:hAnsi="Arial" w:cs="Arial"/>
          <w:i/>
          <w:iCs/>
          <w:kern w:val="0"/>
          <w:lang w:val="en-US" w:eastAsia="en-US"/>
          <w14:ligatures w14:val="none"/>
        </w:rPr>
        <w:t>Accounting Forum</w:t>
      </w:r>
      <w:r w:rsidRPr="004B3F8F">
        <w:rPr>
          <w:rFonts w:ascii="Arial" w:eastAsiaTheme="minorHAnsi" w:hAnsi="Arial" w:cs="Arial"/>
          <w:kern w:val="0"/>
          <w:lang w:val="en-US" w:eastAsia="en-US"/>
          <w14:ligatures w14:val="none"/>
        </w:rPr>
        <w:t xml:space="preserve"> 31, pp. 203-15.</w:t>
      </w:r>
    </w:p>
    <w:p w14:paraId="27FD1DF6"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62" w:name="_Hlk42376460"/>
      <w:r w:rsidRPr="004B3F8F">
        <w:rPr>
          <w:rFonts w:ascii="Arial" w:eastAsiaTheme="minorHAnsi" w:hAnsi="Arial" w:cs="Arial"/>
          <w:kern w:val="0"/>
          <w:lang w:val="en-US" w:eastAsia="en-US"/>
          <w14:ligatures w14:val="none"/>
        </w:rPr>
        <w:t>Chowdhury</w:t>
      </w:r>
      <w:bookmarkEnd w:id="862"/>
      <w:r w:rsidRPr="004B3F8F">
        <w:rPr>
          <w:rFonts w:ascii="Arial" w:eastAsiaTheme="minorHAnsi" w:hAnsi="Arial" w:cs="Arial"/>
          <w:kern w:val="0"/>
          <w:lang w:val="en-US" w:eastAsia="en-US"/>
          <w14:ligatures w14:val="none"/>
        </w:rPr>
        <w:t xml:space="preserve">, S.D., and E.Z. Wang. 2009. “Institutional Activism Types and CEO Compensation: A Time-Series Analysis of Large Canadian Corporation.” </w:t>
      </w:r>
      <w:r w:rsidRPr="004B3F8F">
        <w:rPr>
          <w:rFonts w:ascii="Arial" w:eastAsiaTheme="minorHAnsi" w:hAnsi="Arial" w:cs="Arial"/>
          <w:i/>
          <w:iCs/>
          <w:kern w:val="0"/>
          <w:lang w:val="en-US" w:eastAsia="en-US"/>
          <w14:ligatures w14:val="none"/>
        </w:rPr>
        <w:t>Journal of Management</w:t>
      </w:r>
      <w:r w:rsidRPr="004B3F8F">
        <w:rPr>
          <w:rFonts w:ascii="Arial" w:eastAsiaTheme="minorHAnsi" w:hAnsi="Arial" w:cs="Arial"/>
          <w:kern w:val="0"/>
          <w:lang w:val="en-US" w:eastAsia="en-US"/>
          <w14:ligatures w14:val="none"/>
        </w:rPr>
        <w:t xml:space="preserve"> 35, pp. 5-36.</w:t>
      </w:r>
    </w:p>
    <w:p w14:paraId="34732575"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Chu, X., Jiang, T., Li, X. and Ding, X., 2020. Bye audit! A novel blockchain-based automated data processing scheme for bank audit confirmation. In </w:t>
      </w:r>
      <w:r w:rsidRPr="004B3F8F">
        <w:rPr>
          <w:rFonts w:ascii="Arial" w:hAnsi="Arial" w:cs="Arial"/>
          <w:i/>
          <w:iCs/>
          <w:color w:val="222222"/>
          <w:shd w:val="clear" w:color="auto" w:fill="FFFFFF"/>
        </w:rPr>
        <w:t>Blockchain Technology and Application: Second CCF China Blockchain Conference, CBCC 2019, Chengdu, China, October 11–13, 2019, Revised Selected Papers 2</w:t>
      </w:r>
      <w:r w:rsidRPr="004B3F8F">
        <w:rPr>
          <w:rFonts w:ascii="Arial" w:hAnsi="Arial" w:cs="Arial"/>
          <w:color w:val="222222"/>
          <w:shd w:val="clear" w:color="auto" w:fill="FFFFFF"/>
        </w:rPr>
        <w:t> (pp. 68-82). Springer Singapore.</w:t>
      </w:r>
    </w:p>
    <w:p w14:paraId="4070D118"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63" w:name="_Hlk42376480"/>
      <w:r w:rsidRPr="004B3F8F">
        <w:rPr>
          <w:rFonts w:ascii="Arial" w:eastAsiaTheme="minorHAnsi" w:hAnsi="Arial" w:cs="Arial"/>
          <w:kern w:val="0"/>
          <w:lang w:val="en-US" w:eastAsia="en-US"/>
          <w14:ligatures w14:val="none"/>
        </w:rPr>
        <w:t>Chun</w:t>
      </w:r>
      <w:bookmarkEnd w:id="863"/>
      <w:r w:rsidRPr="004B3F8F">
        <w:rPr>
          <w:rFonts w:ascii="Arial" w:eastAsiaTheme="minorHAnsi" w:hAnsi="Arial" w:cs="Arial"/>
          <w:kern w:val="0"/>
          <w:lang w:val="en-US" w:eastAsia="en-US"/>
          <w14:ligatures w14:val="none"/>
        </w:rPr>
        <w:t xml:space="preserve">, J.S., Y. Shin, N.J. Choi, and M.S. Kim. 2013. “How Does Corporate Ethics Contribute to Firm Financial Performance? The Mediating Role of Collective Organizational Commitment and Organizational Citizenship Behaviour.” </w:t>
      </w:r>
      <w:r w:rsidRPr="004B3F8F">
        <w:rPr>
          <w:rFonts w:ascii="Arial" w:eastAsiaTheme="minorHAnsi" w:hAnsi="Arial" w:cs="Arial"/>
          <w:i/>
          <w:iCs/>
          <w:kern w:val="0"/>
          <w:lang w:val="en-US" w:eastAsia="en-US"/>
          <w14:ligatures w14:val="none"/>
        </w:rPr>
        <w:t xml:space="preserve">Journal of Management </w:t>
      </w:r>
      <w:r w:rsidRPr="004B3F8F">
        <w:rPr>
          <w:rFonts w:ascii="Arial" w:eastAsiaTheme="minorHAnsi" w:hAnsi="Arial" w:cs="Arial"/>
          <w:kern w:val="0"/>
          <w:lang w:val="en-US" w:eastAsia="en-US"/>
          <w14:ligatures w14:val="none"/>
        </w:rPr>
        <w:t>39, no. 4, 853-77.</w:t>
      </w:r>
    </w:p>
    <w:p w14:paraId="43126C85"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Chung, H., Sonu, C.H., Zang, Y. and Choi, J.H., 2019. Opinion shopping to avoid a going concern audit opinion and subsequent audit quality. </w:t>
      </w:r>
      <w:r w:rsidRPr="004B3F8F">
        <w:rPr>
          <w:rFonts w:ascii="Arial" w:hAnsi="Arial" w:cs="Arial"/>
          <w:i/>
          <w:iCs/>
          <w:color w:val="222222"/>
          <w:shd w:val="clear" w:color="auto" w:fill="FFFFFF"/>
        </w:rPr>
        <w:t>Auditing: A Journal of Practice &amp; Theory</w:t>
      </w:r>
      <w:r w:rsidRPr="004B3F8F">
        <w:rPr>
          <w:rFonts w:ascii="Arial" w:hAnsi="Arial" w:cs="Arial"/>
          <w:color w:val="222222"/>
          <w:shd w:val="clear" w:color="auto" w:fill="FFFFFF"/>
        </w:rPr>
        <w:t>, </w:t>
      </w:r>
      <w:r w:rsidRPr="004B3F8F">
        <w:rPr>
          <w:rFonts w:ascii="Arial" w:hAnsi="Arial" w:cs="Arial"/>
          <w:i/>
          <w:iCs/>
          <w:color w:val="222222"/>
          <w:shd w:val="clear" w:color="auto" w:fill="FFFFFF"/>
        </w:rPr>
        <w:t>38</w:t>
      </w:r>
      <w:r w:rsidRPr="004B3F8F">
        <w:rPr>
          <w:rFonts w:ascii="Arial" w:hAnsi="Arial" w:cs="Arial"/>
          <w:color w:val="222222"/>
          <w:shd w:val="clear" w:color="auto" w:fill="FFFFFF"/>
        </w:rPr>
        <w:t>(2), pp.101-123.</w:t>
      </w:r>
    </w:p>
    <w:p w14:paraId="34DA0C40" w14:textId="0C3B0ED5" w:rsidR="004B3F8F" w:rsidRPr="004B3F8F" w:rsidRDefault="00DC3FAD"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Cieslewicz</w:t>
      </w:r>
      <w:r w:rsidR="004B3F8F" w:rsidRPr="004B3F8F">
        <w:rPr>
          <w:rFonts w:ascii="Arial" w:eastAsiaTheme="minorHAnsi" w:hAnsi="Arial" w:cs="Arial"/>
          <w:kern w:val="0"/>
          <w:lang w:val="en-US" w:eastAsia="en-US"/>
          <w14:ligatures w14:val="none"/>
        </w:rPr>
        <w:t xml:space="preserve">, J.K. 2012. “The Fraud Model in International Contexts: A Call to Include Societal-Level Influences in the Model.” </w:t>
      </w:r>
      <w:r w:rsidR="004B3F8F" w:rsidRPr="004B3F8F">
        <w:rPr>
          <w:rFonts w:ascii="Arial" w:eastAsiaTheme="minorHAnsi" w:hAnsi="Arial" w:cs="Arial"/>
          <w:i/>
          <w:iCs/>
          <w:kern w:val="0"/>
          <w:lang w:val="en-US" w:eastAsia="en-US"/>
          <w14:ligatures w14:val="none"/>
        </w:rPr>
        <w:t xml:space="preserve">Journal of Forensic and Investigative Accounting </w:t>
      </w:r>
      <w:r w:rsidR="004B3F8F" w:rsidRPr="004B3F8F">
        <w:rPr>
          <w:rFonts w:ascii="Arial" w:eastAsiaTheme="minorHAnsi" w:hAnsi="Arial" w:cs="Arial"/>
          <w:kern w:val="0"/>
          <w:lang w:val="en-US" w:eastAsia="en-US"/>
          <w14:ligatures w14:val="none"/>
        </w:rPr>
        <w:t>4, no. 2, pp. 214-54.</w:t>
      </w:r>
    </w:p>
    <w:p w14:paraId="2C14B63D"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lastRenderedPageBreak/>
        <w:t>Cîndea, M., Cîndea, I. M., Ciurariu, G., Trifu, A., &amp; Durdureanu, C. 2011. History of accountancy. A chronological approach. IPEDR Proceedings, 11, 18-24</w:t>
      </w:r>
    </w:p>
    <w:p w14:paraId="31A00479"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Coen, D., Herman, K. and Pegram, T., 2022. Are corporate climate efforts genuine? An empirical analysis of the climate ‘talk–walk’ hypothesis. </w:t>
      </w:r>
      <w:r w:rsidRPr="004B3F8F">
        <w:rPr>
          <w:rFonts w:ascii="Arial" w:hAnsi="Arial" w:cs="Arial"/>
          <w:i/>
          <w:iCs/>
          <w:color w:val="222222"/>
          <w:shd w:val="clear" w:color="auto" w:fill="FFFFFF"/>
        </w:rPr>
        <w:t>Business Strategy and the Environment</w:t>
      </w:r>
      <w:r w:rsidRPr="004B3F8F">
        <w:rPr>
          <w:rFonts w:ascii="Arial" w:hAnsi="Arial" w:cs="Arial"/>
          <w:color w:val="222222"/>
          <w:shd w:val="clear" w:color="auto" w:fill="FFFFFF"/>
        </w:rPr>
        <w:t>, </w:t>
      </w:r>
      <w:r w:rsidRPr="004B3F8F">
        <w:rPr>
          <w:rFonts w:ascii="Arial" w:hAnsi="Arial" w:cs="Arial"/>
          <w:i/>
          <w:iCs/>
          <w:color w:val="222222"/>
          <w:shd w:val="clear" w:color="auto" w:fill="FFFFFF"/>
        </w:rPr>
        <w:t>31</w:t>
      </w:r>
      <w:r w:rsidRPr="004B3F8F">
        <w:rPr>
          <w:rFonts w:ascii="Arial" w:hAnsi="Arial" w:cs="Arial"/>
          <w:color w:val="222222"/>
          <w:shd w:val="clear" w:color="auto" w:fill="FFFFFF"/>
        </w:rPr>
        <w:t>(7), pp.3040-3059.</w:t>
      </w:r>
    </w:p>
    <w:p w14:paraId="62D86647"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64" w:name="_Hlk42376511"/>
      <w:r w:rsidRPr="004B3F8F">
        <w:rPr>
          <w:rFonts w:ascii="Arial" w:eastAsiaTheme="minorHAnsi" w:hAnsi="Arial" w:cs="Arial"/>
          <w:kern w:val="0"/>
          <w:lang w:val="en-US" w:eastAsia="en-US"/>
          <w14:ligatures w14:val="none"/>
        </w:rPr>
        <w:t>Coenen</w:t>
      </w:r>
      <w:bookmarkEnd w:id="864"/>
      <w:r w:rsidRPr="004B3F8F">
        <w:rPr>
          <w:rFonts w:ascii="Arial" w:eastAsiaTheme="minorHAnsi" w:hAnsi="Arial" w:cs="Arial"/>
          <w:kern w:val="0"/>
          <w:lang w:val="en-US" w:eastAsia="en-US"/>
          <w14:ligatures w14:val="none"/>
        </w:rPr>
        <w:t xml:space="preserve">, T. 2008. </w:t>
      </w:r>
      <w:r w:rsidRPr="004B3F8F">
        <w:rPr>
          <w:rFonts w:ascii="Arial" w:eastAsiaTheme="minorHAnsi" w:hAnsi="Arial" w:cs="Arial"/>
          <w:i/>
          <w:iCs/>
          <w:kern w:val="0"/>
          <w:lang w:val="en-US" w:eastAsia="en-US"/>
          <w14:ligatures w14:val="none"/>
        </w:rPr>
        <w:t>Essentials of Corporate Fraud</w:t>
      </w:r>
      <w:r w:rsidRPr="004B3F8F">
        <w:rPr>
          <w:rFonts w:ascii="Arial" w:eastAsiaTheme="minorHAnsi" w:hAnsi="Arial" w:cs="Arial"/>
          <w:kern w:val="0"/>
          <w:lang w:val="en-US" w:eastAsia="en-US"/>
          <w14:ligatures w14:val="none"/>
        </w:rPr>
        <w:t xml:space="preserve">. Wiley. </w:t>
      </w:r>
      <w:r w:rsidRPr="004B3F8F">
        <w:rPr>
          <w:rFonts w:ascii="Arial" w:eastAsiaTheme="minorHAnsi" w:hAnsi="Arial" w:cs="Arial"/>
          <w:kern w:val="0"/>
          <w:lang w:eastAsia="en-US"/>
          <w14:ligatures w14:val="none"/>
        </w:rPr>
        <w:t>Hoboken, New Jersey (NJ)</w:t>
      </w:r>
    </w:p>
    <w:p w14:paraId="22D8A735"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Coenen, T.L. 2009. </w:t>
      </w:r>
      <w:r w:rsidRPr="004B3F8F">
        <w:rPr>
          <w:rFonts w:ascii="Arial" w:eastAsiaTheme="minorHAnsi" w:hAnsi="Arial" w:cs="Arial"/>
          <w:i/>
          <w:iCs/>
          <w:kern w:val="0"/>
          <w:lang w:val="en-US" w:eastAsia="en-US"/>
          <w14:ligatures w14:val="none"/>
        </w:rPr>
        <w:t>Expert Fraud Investigation: A Step – By – Step Guide</w:t>
      </w:r>
      <w:r w:rsidRPr="004B3F8F">
        <w:rPr>
          <w:rFonts w:ascii="Arial" w:eastAsiaTheme="minorHAnsi" w:hAnsi="Arial" w:cs="Arial"/>
          <w:kern w:val="0"/>
          <w:lang w:val="en-US" w:eastAsia="en-US"/>
          <w14:ligatures w14:val="none"/>
        </w:rPr>
        <w:t>. Hoboken, NJ: John Wiley and Sons.</w:t>
      </w:r>
    </w:p>
    <w:p w14:paraId="6C9367EE"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color w:val="222222"/>
          <w:kern w:val="0"/>
          <w:shd w:val="clear" w:color="auto" w:fill="FFFFFF"/>
          <w:lang w:eastAsia="en-US"/>
          <w14:ligatures w14:val="none"/>
        </w:rPr>
        <w:t>Cohen, M. and Rozario, A., 2019. Exploring the use of robotic process automation (RPA) in substantive audit procedures. </w:t>
      </w:r>
      <w:r w:rsidRPr="004B3F8F">
        <w:rPr>
          <w:rFonts w:ascii="Arial" w:eastAsiaTheme="minorHAnsi" w:hAnsi="Arial" w:cs="Arial"/>
          <w:i/>
          <w:iCs/>
          <w:color w:val="222222"/>
          <w:kern w:val="0"/>
          <w:shd w:val="clear" w:color="auto" w:fill="FFFFFF"/>
          <w:lang w:eastAsia="en-US"/>
          <w14:ligatures w14:val="none"/>
        </w:rPr>
        <w:t>The CPA Journal</w:t>
      </w:r>
      <w:r w:rsidRPr="004B3F8F">
        <w:rPr>
          <w:rFonts w:ascii="Arial" w:eastAsiaTheme="minorHAnsi" w:hAnsi="Arial" w:cs="Arial"/>
          <w:color w:val="222222"/>
          <w:kern w:val="0"/>
          <w:shd w:val="clear" w:color="auto" w:fill="FFFFFF"/>
          <w:lang w:eastAsia="en-US"/>
          <w14:ligatures w14:val="none"/>
        </w:rPr>
        <w:t>, </w:t>
      </w:r>
      <w:r w:rsidRPr="004B3F8F">
        <w:rPr>
          <w:rFonts w:ascii="Arial" w:eastAsiaTheme="minorHAnsi" w:hAnsi="Arial" w:cs="Arial"/>
          <w:i/>
          <w:iCs/>
          <w:color w:val="222222"/>
          <w:kern w:val="0"/>
          <w:shd w:val="clear" w:color="auto" w:fill="FFFFFF"/>
          <w:lang w:eastAsia="en-US"/>
          <w14:ligatures w14:val="none"/>
        </w:rPr>
        <w:t>89</w:t>
      </w:r>
      <w:r w:rsidRPr="004B3F8F">
        <w:rPr>
          <w:rFonts w:ascii="Arial" w:eastAsiaTheme="minorHAnsi" w:hAnsi="Arial" w:cs="Arial"/>
          <w:color w:val="222222"/>
          <w:kern w:val="0"/>
          <w:shd w:val="clear" w:color="auto" w:fill="FFFFFF"/>
          <w:lang w:eastAsia="en-US"/>
          <w14:ligatures w14:val="none"/>
        </w:rPr>
        <w:t>(7), pp.49-53</w:t>
      </w:r>
    </w:p>
    <w:p w14:paraId="6E0700D5"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Cohen, J., Y. Ding, C. Lesage, and H. Stolowy. 2010. “Corporate Fraud and Managers’ Behaviour: Evidence from the Press.” </w:t>
      </w:r>
      <w:r w:rsidRPr="004B3F8F">
        <w:rPr>
          <w:rFonts w:ascii="Arial" w:eastAsiaTheme="minorHAnsi" w:hAnsi="Arial" w:cs="Arial"/>
          <w:i/>
          <w:iCs/>
          <w:kern w:val="0"/>
          <w:lang w:val="en-US" w:eastAsia="en-US"/>
          <w14:ligatures w14:val="none"/>
        </w:rPr>
        <w:t>Journal of Business Ethics</w:t>
      </w:r>
      <w:r w:rsidRPr="004B3F8F">
        <w:rPr>
          <w:rFonts w:ascii="Arial" w:eastAsiaTheme="minorHAnsi" w:hAnsi="Arial" w:cs="Arial"/>
          <w:kern w:val="0"/>
          <w:lang w:val="en-US" w:eastAsia="en-US"/>
          <w14:ligatures w14:val="none"/>
        </w:rPr>
        <w:t xml:space="preserve"> 95</w:t>
      </w:r>
      <w:r w:rsidRPr="004B3F8F">
        <w:rPr>
          <w:rFonts w:ascii="Arial" w:eastAsiaTheme="minorHAnsi" w:hAnsi="Arial" w:cs="Arial"/>
          <w:kern w:val="0"/>
          <w:lang w:eastAsia="en-US"/>
          <w14:ligatures w14:val="none"/>
        </w:rPr>
        <w:t>:271–315</w:t>
      </w:r>
    </w:p>
    <w:p w14:paraId="1DB7D076"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65" w:name="_Hlk42376530"/>
      <w:r w:rsidRPr="004B3F8F">
        <w:rPr>
          <w:rFonts w:ascii="Arial" w:eastAsiaTheme="minorHAnsi" w:hAnsi="Arial" w:cs="Arial"/>
          <w:kern w:val="0"/>
          <w:lang w:val="en-US" w:eastAsia="en-US"/>
          <w14:ligatures w14:val="none"/>
        </w:rPr>
        <w:t>Coleman</w:t>
      </w:r>
      <w:bookmarkEnd w:id="865"/>
      <w:r w:rsidRPr="004B3F8F">
        <w:rPr>
          <w:rFonts w:ascii="Arial" w:eastAsiaTheme="minorHAnsi" w:hAnsi="Arial" w:cs="Arial"/>
          <w:kern w:val="0"/>
          <w:lang w:val="en-US" w:eastAsia="en-US"/>
          <w14:ligatures w14:val="none"/>
        </w:rPr>
        <w:t xml:space="preserve">, J.W. 2002. </w:t>
      </w:r>
      <w:r w:rsidRPr="004B3F8F">
        <w:rPr>
          <w:rFonts w:ascii="Arial" w:eastAsiaTheme="minorHAnsi" w:hAnsi="Arial" w:cs="Arial"/>
          <w:i/>
          <w:iCs/>
          <w:kern w:val="0"/>
          <w:lang w:val="en-US" w:eastAsia="en-US"/>
          <w14:ligatures w14:val="none"/>
        </w:rPr>
        <w:t>The Criminal Elite.</w:t>
      </w:r>
      <w:r w:rsidRPr="004B3F8F">
        <w:rPr>
          <w:rFonts w:ascii="Arial" w:eastAsiaTheme="minorHAnsi" w:hAnsi="Arial" w:cs="Arial"/>
          <w:kern w:val="0"/>
          <w:lang w:val="en-US" w:eastAsia="en-US"/>
          <w14:ligatures w14:val="none"/>
        </w:rPr>
        <w:t xml:space="preserve"> New York: St. Martin’s Press.</w:t>
      </w:r>
    </w:p>
    <w:p w14:paraId="2FC4F3B1" w14:textId="77777777" w:rsidR="004B3F8F" w:rsidRPr="004B3F8F" w:rsidRDefault="004B3F8F" w:rsidP="004B3F8F">
      <w:pPr>
        <w:spacing w:line="480" w:lineRule="auto"/>
        <w:ind w:left="851" w:hanging="851"/>
        <w:jc w:val="both"/>
        <w:rPr>
          <w:rFonts w:ascii="Arial" w:eastAsiaTheme="minorHAnsi" w:hAnsi="Arial" w:cs="Arial"/>
          <w:kern w:val="0"/>
          <w:shd w:val="clear" w:color="auto" w:fill="FFFFFF"/>
          <w:lang w:eastAsia="en-US"/>
          <w14:ligatures w14:val="none"/>
        </w:rPr>
      </w:pPr>
      <w:r w:rsidRPr="004B3F8F">
        <w:rPr>
          <w:rFonts w:ascii="Arial" w:eastAsiaTheme="minorHAnsi" w:hAnsi="Arial" w:cs="Arial"/>
          <w:kern w:val="0"/>
          <w:shd w:val="clear" w:color="auto" w:fill="FFFFFF"/>
          <w:lang w:eastAsia="en-US"/>
          <w14:ligatures w14:val="none"/>
        </w:rPr>
        <w:t>Coleman, J. L. 1979. Efficiency, utility, and wealth maximization. </w:t>
      </w:r>
      <w:r w:rsidRPr="004B3F8F">
        <w:rPr>
          <w:rFonts w:ascii="Arial" w:eastAsiaTheme="minorHAnsi" w:hAnsi="Arial" w:cs="Arial"/>
          <w:i/>
          <w:iCs/>
          <w:kern w:val="0"/>
          <w:shd w:val="clear" w:color="auto" w:fill="FFFFFF"/>
          <w:lang w:eastAsia="en-US"/>
          <w14:ligatures w14:val="none"/>
        </w:rPr>
        <w:t>Hofstra L. Rev.</w:t>
      </w:r>
      <w:r w:rsidRPr="004B3F8F">
        <w:rPr>
          <w:rFonts w:ascii="Arial" w:eastAsiaTheme="minorHAnsi" w:hAnsi="Arial" w:cs="Arial"/>
          <w:kern w:val="0"/>
          <w:shd w:val="clear" w:color="auto" w:fill="FFFFFF"/>
          <w:lang w:eastAsia="en-US"/>
          <w14:ligatures w14:val="none"/>
        </w:rPr>
        <w:t>, </w:t>
      </w:r>
      <w:r w:rsidRPr="004B3F8F">
        <w:rPr>
          <w:rFonts w:ascii="Arial" w:eastAsiaTheme="minorHAnsi" w:hAnsi="Arial" w:cs="Arial"/>
          <w:i/>
          <w:iCs/>
          <w:kern w:val="0"/>
          <w:shd w:val="clear" w:color="auto" w:fill="FFFFFF"/>
          <w:lang w:eastAsia="en-US"/>
          <w14:ligatures w14:val="none"/>
        </w:rPr>
        <w:t>8</w:t>
      </w:r>
      <w:r w:rsidRPr="004B3F8F">
        <w:rPr>
          <w:rFonts w:ascii="Arial" w:eastAsiaTheme="minorHAnsi" w:hAnsi="Arial" w:cs="Arial"/>
          <w:kern w:val="0"/>
          <w:shd w:val="clear" w:color="auto" w:fill="FFFFFF"/>
          <w:lang w:eastAsia="en-US"/>
          <w14:ligatures w14:val="none"/>
        </w:rPr>
        <w:t>, 509. neuroimaging of psychopathic traits. </w:t>
      </w:r>
      <w:r w:rsidRPr="004B3F8F">
        <w:rPr>
          <w:rFonts w:ascii="Arial" w:eastAsiaTheme="minorHAnsi" w:hAnsi="Arial" w:cs="Arial"/>
          <w:i/>
          <w:iCs/>
          <w:kern w:val="0"/>
          <w:shd w:val="clear" w:color="auto" w:fill="FFFFFF"/>
          <w:lang w:eastAsia="en-US"/>
          <w14:ligatures w14:val="none"/>
        </w:rPr>
        <w:t>Frontiers in psychiatry</w:t>
      </w:r>
      <w:r w:rsidRPr="004B3F8F">
        <w:rPr>
          <w:rFonts w:ascii="Arial" w:eastAsiaTheme="minorHAnsi" w:hAnsi="Arial" w:cs="Arial"/>
          <w:kern w:val="0"/>
          <w:shd w:val="clear" w:color="auto" w:fill="FFFFFF"/>
          <w:lang w:eastAsia="en-US"/>
          <w14:ligatures w14:val="none"/>
        </w:rPr>
        <w:t>, </w:t>
      </w:r>
      <w:r w:rsidRPr="004B3F8F">
        <w:rPr>
          <w:rFonts w:ascii="Arial" w:eastAsiaTheme="minorHAnsi" w:hAnsi="Arial" w:cs="Arial"/>
          <w:i/>
          <w:iCs/>
          <w:kern w:val="0"/>
          <w:shd w:val="clear" w:color="auto" w:fill="FFFFFF"/>
          <w:lang w:eastAsia="en-US"/>
          <w14:ligatures w14:val="none"/>
        </w:rPr>
        <w:t>10</w:t>
      </w:r>
      <w:r w:rsidRPr="004B3F8F">
        <w:rPr>
          <w:rFonts w:ascii="Arial" w:eastAsiaTheme="minorHAnsi" w:hAnsi="Arial" w:cs="Arial"/>
          <w:kern w:val="0"/>
          <w:shd w:val="clear" w:color="auto" w:fill="FFFFFF"/>
          <w:lang w:eastAsia="en-US"/>
          <w14:ligatures w14:val="none"/>
        </w:rPr>
        <w:t>, 1027.</w:t>
      </w:r>
    </w:p>
    <w:p w14:paraId="31C5A950" w14:textId="77777777" w:rsidR="004B3F8F" w:rsidRPr="004B3F8F" w:rsidRDefault="004B3F8F" w:rsidP="004B3F8F">
      <w:pPr>
        <w:spacing w:line="480" w:lineRule="auto"/>
        <w:ind w:left="851" w:hanging="851"/>
        <w:jc w:val="both"/>
        <w:rPr>
          <w:rFonts w:ascii="Arial" w:eastAsiaTheme="minorHAnsi" w:hAnsi="Arial" w:cs="Arial"/>
          <w:color w:val="222222"/>
          <w:kern w:val="0"/>
          <w:shd w:val="clear" w:color="auto" w:fill="FFFFFF"/>
          <w:lang w:eastAsia="en-US"/>
          <w14:ligatures w14:val="none"/>
        </w:rPr>
      </w:pPr>
      <w:r w:rsidRPr="004B3F8F">
        <w:rPr>
          <w:rFonts w:ascii="Arial" w:eastAsiaTheme="minorHAnsi" w:hAnsi="Arial" w:cs="Arial"/>
          <w:color w:val="222222"/>
          <w:kern w:val="0"/>
          <w:shd w:val="clear" w:color="auto" w:fill="FFFFFF"/>
          <w:lang w:eastAsia="en-US"/>
          <w14:ligatures w14:val="none"/>
        </w:rPr>
        <w:t>Collier, P. 2019. Greed is dead: The recognition that we need to rely on each other rather than ourselves. </w:t>
      </w:r>
      <w:r w:rsidRPr="004B3F8F">
        <w:rPr>
          <w:rFonts w:ascii="Arial" w:eastAsiaTheme="minorHAnsi" w:hAnsi="Arial" w:cs="Arial"/>
          <w:i/>
          <w:iCs/>
          <w:color w:val="222222"/>
          <w:kern w:val="0"/>
          <w:shd w:val="clear" w:color="auto" w:fill="FFFFFF"/>
          <w:lang w:eastAsia="en-US"/>
          <w14:ligatures w14:val="none"/>
        </w:rPr>
        <w:t>TLS. Times Literary Supplement</w:t>
      </w:r>
      <w:r w:rsidRPr="004B3F8F">
        <w:rPr>
          <w:rFonts w:ascii="Arial" w:eastAsiaTheme="minorHAnsi" w:hAnsi="Arial" w:cs="Arial"/>
          <w:color w:val="222222"/>
          <w:kern w:val="0"/>
          <w:shd w:val="clear" w:color="auto" w:fill="FFFFFF"/>
          <w:lang w:eastAsia="en-US"/>
          <w14:ligatures w14:val="none"/>
        </w:rPr>
        <w:t>, (6088), 4-7.</w:t>
      </w:r>
    </w:p>
    <w:p w14:paraId="06FD3E01" w14:textId="77777777" w:rsidR="004B3F8F" w:rsidRPr="004B3F8F" w:rsidRDefault="004B3F8F" w:rsidP="004B3F8F">
      <w:pPr>
        <w:spacing w:after="0"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Cooper, H. 2016. </w:t>
      </w:r>
      <w:r w:rsidRPr="004B3F8F">
        <w:rPr>
          <w:rFonts w:asciiTheme="minorBidi" w:eastAsia="Times New Roman" w:hAnsiTheme="minorBidi"/>
          <w:i/>
          <w:iCs/>
          <w:kern w:val="0"/>
          <w14:ligatures w14:val="none"/>
        </w:rPr>
        <w:t>Research Synthesis and Meta-Analysis: A Step-by-Step Approach</w:t>
      </w:r>
      <w:r w:rsidRPr="004B3F8F">
        <w:rPr>
          <w:rFonts w:asciiTheme="minorBidi" w:eastAsia="Times New Roman" w:hAnsiTheme="minorBidi"/>
          <w:kern w:val="0"/>
          <w14:ligatures w14:val="none"/>
        </w:rPr>
        <w:t xml:space="preserve"> (5th ed.). SAGE Publications.</w:t>
      </w:r>
    </w:p>
    <w:p w14:paraId="3C405AF8"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66" w:name="_Hlk42376545"/>
      <w:r w:rsidRPr="004B3F8F">
        <w:rPr>
          <w:rFonts w:ascii="Arial" w:eastAsiaTheme="minorHAnsi" w:hAnsi="Arial" w:cs="Arial"/>
          <w:kern w:val="0"/>
          <w:lang w:val="en-US" w:eastAsia="en-US"/>
          <w14:ligatures w14:val="none"/>
        </w:rPr>
        <w:t>Cooper</w:t>
      </w:r>
      <w:bookmarkEnd w:id="866"/>
      <w:r w:rsidRPr="004B3F8F">
        <w:rPr>
          <w:rFonts w:ascii="Arial" w:eastAsiaTheme="minorHAnsi" w:hAnsi="Arial" w:cs="Arial"/>
          <w:kern w:val="0"/>
          <w:lang w:val="en-US" w:eastAsia="en-US"/>
          <w14:ligatures w14:val="none"/>
        </w:rPr>
        <w:t xml:space="preserve">, K., and I. </w:t>
      </w:r>
      <w:bookmarkStart w:id="867" w:name="_Hlk42376553"/>
      <w:r w:rsidRPr="004B3F8F">
        <w:rPr>
          <w:rFonts w:ascii="Arial" w:eastAsiaTheme="minorHAnsi" w:hAnsi="Arial" w:cs="Arial"/>
          <w:kern w:val="0"/>
          <w:lang w:val="en-US" w:eastAsia="en-US"/>
          <w14:ligatures w14:val="none"/>
        </w:rPr>
        <w:t>Fargher</w:t>
      </w:r>
      <w:bookmarkEnd w:id="867"/>
      <w:r w:rsidRPr="004B3F8F">
        <w:rPr>
          <w:rFonts w:ascii="Arial" w:eastAsiaTheme="minorHAnsi" w:hAnsi="Arial" w:cs="Arial"/>
          <w:kern w:val="0"/>
          <w:lang w:val="en-US" w:eastAsia="en-US"/>
          <w14:ligatures w14:val="none"/>
        </w:rPr>
        <w:t xml:space="preserve">. 2011. Accounting for Corruption: Abuse of Rank and Privilege. </w:t>
      </w:r>
      <w:r w:rsidRPr="004B3F8F">
        <w:rPr>
          <w:rFonts w:ascii="Arial" w:eastAsiaTheme="minorHAnsi" w:hAnsi="Arial" w:cs="Arial"/>
          <w:i/>
          <w:kern w:val="0"/>
          <w:lang w:val="en-US" w:eastAsia="en-US"/>
          <w14:ligatures w14:val="none"/>
        </w:rPr>
        <w:t>Critical Perspectives on Accounting Conference</w:t>
      </w:r>
      <w:r w:rsidRPr="004B3F8F">
        <w:rPr>
          <w:rFonts w:ascii="Arial" w:eastAsiaTheme="minorHAnsi" w:hAnsi="Arial" w:cs="Arial"/>
          <w:kern w:val="0"/>
          <w:lang w:val="en-US" w:eastAsia="en-US"/>
          <w14:ligatures w14:val="none"/>
        </w:rPr>
        <w:t>, pp. 1–34. FL.</w:t>
      </w:r>
      <w:r w:rsidRPr="004B3F8F">
        <w:rPr>
          <w:rFonts w:ascii="Arial" w:eastAsiaTheme="minorHAnsi" w:hAnsi="Arial" w:cs="Arial"/>
          <w:kern w:val="0"/>
          <w:lang w:eastAsia="en-US"/>
          <w14:ligatures w14:val="none"/>
        </w:rPr>
        <w:t xml:space="preserve"> </w:t>
      </w:r>
      <w:hyperlink r:id="rId76" w:history="1">
        <w:r w:rsidRPr="004B3F8F">
          <w:rPr>
            <w:rFonts w:ascii="Arial" w:eastAsiaTheme="minorHAnsi" w:hAnsi="Arial" w:cs="Arial"/>
            <w:kern w:val="0"/>
            <w:lang w:eastAsia="en-US"/>
            <w14:ligatures w14:val="none"/>
          </w:rPr>
          <w:t>https://ro.uow.edu.au/cgi/viewcontent.cgi?article=3208&amp;context=commpapers</w:t>
        </w:r>
      </w:hyperlink>
    </w:p>
    <w:p w14:paraId="0BEEB530"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eastAsia="en-US"/>
          <w14:ligatures w14:val="none"/>
        </w:rPr>
      </w:pPr>
      <w:bookmarkStart w:id="868" w:name="_Hlk42376570"/>
      <w:r w:rsidRPr="004B3F8F">
        <w:rPr>
          <w:rFonts w:ascii="Arial" w:eastAsiaTheme="minorHAnsi" w:hAnsi="Arial" w:cs="Arial"/>
          <w:kern w:val="0"/>
          <w:lang w:val="en-US" w:eastAsia="en-US"/>
          <w14:ligatures w14:val="none"/>
        </w:rPr>
        <w:lastRenderedPageBreak/>
        <w:t>Cornish</w:t>
      </w:r>
      <w:bookmarkEnd w:id="868"/>
      <w:r w:rsidRPr="004B3F8F">
        <w:rPr>
          <w:rFonts w:ascii="Arial" w:eastAsiaTheme="minorHAnsi" w:hAnsi="Arial" w:cs="Arial"/>
          <w:kern w:val="0"/>
          <w:lang w:val="en-US" w:eastAsia="en-US"/>
          <w14:ligatures w14:val="none"/>
        </w:rPr>
        <w:t xml:space="preserve">, D.B., and R.V. </w:t>
      </w:r>
      <w:bookmarkStart w:id="869" w:name="_Hlk42376576"/>
      <w:r w:rsidRPr="004B3F8F">
        <w:rPr>
          <w:rFonts w:ascii="Arial" w:eastAsiaTheme="minorHAnsi" w:hAnsi="Arial" w:cs="Arial"/>
          <w:kern w:val="0"/>
          <w:lang w:val="en-US" w:eastAsia="en-US"/>
          <w14:ligatures w14:val="none"/>
        </w:rPr>
        <w:t>Clarke</w:t>
      </w:r>
      <w:bookmarkEnd w:id="869"/>
      <w:r w:rsidRPr="004B3F8F">
        <w:rPr>
          <w:rFonts w:ascii="Arial" w:eastAsiaTheme="minorHAnsi" w:hAnsi="Arial" w:cs="Arial"/>
          <w:kern w:val="0"/>
          <w:lang w:val="en-US" w:eastAsia="en-US"/>
          <w14:ligatures w14:val="none"/>
        </w:rPr>
        <w:t xml:space="preserve">. 2014. </w:t>
      </w:r>
      <w:r w:rsidRPr="004B3F8F">
        <w:rPr>
          <w:rFonts w:ascii="Arial" w:eastAsiaTheme="minorHAnsi" w:hAnsi="Arial" w:cs="Arial"/>
          <w:i/>
          <w:iCs/>
          <w:kern w:val="0"/>
          <w:lang w:val="en-US" w:eastAsia="en-US"/>
          <w14:ligatures w14:val="none"/>
        </w:rPr>
        <w:t>The Reasoning Criminal: Rational Choice Perspectives on Offending</w:t>
      </w:r>
      <w:r w:rsidRPr="004B3F8F">
        <w:rPr>
          <w:rFonts w:ascii="Arial" w:eastAsiaTheme="minorHAnsi" w:hAnsi="Arial" w:cs="Arial"/>
          <w:kern w:val="0"/>
          <w:lang w:val="en-US" w:eastAsia="en-US"/>
          <w14:ligatures w14:val="none"/>
        </w:rPr>
        <w:t>. Transaction Publishers.</w:t>
      </w:r>
      <w:r w:rsidRPr="004B3F8F">
        <w:rPr>
          <w:rFonts w:ascii="Arial" w:eastAsiaTheme="minorHAnsi" w:hAnsi="Arial" w:cs="Arial"/>
          <w:kern w:val="0"/>
          <w:lang w:eastAsia="en-US"/>
          <w14:ligatures w14:val="none"/>
        </w:rPr>
        <w:t xml:space="preserve"> New Brunswick, (USA), London (UK)</w:t>
      </w:r>
    </w:p>
    <w:p w14:paraId="5FA9A4CA" w14:textId="77777777" w:rsidR="004B3F8F" w:rsidRPr="004B3F8F" w:rsidRDefault="004B3F8F" w:rsidP="004B3F8F">
      <w:pPr>
        <w:spacing w:before="100" w:beforeAutospacing="1" w:after="100" w:afterAutospacing="1" w:line="480" w:lineRule="auto"/>
        <w:ind w:left="709" w:hanging="709"/>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COSO.2016. Fraud Risk Management Guide. Committee of Sponsoring Organizations of the Treadway Commission.</w:t>
      </w:r>
    </w:p>
    <w:p w14:paraId="0A23B5A0"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bookmarkStart w:id="870" w:name="_Hlk42376598"/>
      <w:r w:rsidRPr="004B3F8F">
        <w:rPr>
          <w:rFonts w:ascii="Arial" w:eastAsiaTheme="minorHAnsi" w:hAnsi="Arial" w:cs="Arial"/>
          <w:kern w:val="0"/>
          <w:shd w:val="clear" w:color="auto" w:fill="FFFFFF"/>
          <w:lang w:val="en-US" w:eastAsia="en-US"/>
          <w14:ligatures w14:val="none"/>
        </w:rPr>
        <w:t>Courtois</w:t>
      </w:r>
      <w:bookmarkEnd w:id="870"/>
      <w:r w:rsidRPr="004B3F8F">
        <w:rPr>
          <w:rFonts w:ascii="Arial" w:eastAsiaTheme="minorHAnsi" w:hAnsi="Arial" w:cs="Arial"/>
          <w:kern w:val="0"/>
          <w:shd w:val="clear" w:color="auto" w:fill="FFFFFF"/>
          <w:lang w:val="en-US" w:eastAsia="en-US"/>
          <w14:ligatures w14:val="none"/>
        </w:rPr>
        <w:t xml:space="preserve">, C., and </w:t>
      </w:r>
      <w:bookmarkStart w:id="871" w:name="_Hlk42376608"/>
      <w:r w:rsidRPr="004B3F8F">
        <w:rPr>
          <w:rFonts w:ascii="Arial" w:eastAsiaTheme="minorHAnsi" w:hAnsi="Arial" w:cs="Arial"/>
          <w:kern w:val="0"/>
          <w:shd w:val="clear" w:color="auto" w:fill="FFFFFF"/>
          <w:lang w:val="en-US" w:eastAsia="en-US"/>
          <w14:ligatures w14:val="none"/>
        </w:rPr>
        <w:t>Gendron</w:t>
      </w:r>
      <w:bookmarkEnd w:id="871"/>
      <w:r w:rsidRPr="004B3F8F">
        <w:rPr>
          <w:rFonts w:ascii="Arial" w:eastAsiaTheme="minorHAnsi" w:hAnsi="Arial" w:cs="Arial"/>
          <w:kern w:val="0"/>
          <w:shd w:val="clear" w:color="auto" w:fill="FFFFFF"/>
          <w:lang w:val="en-US" w:eastAsia="en-US"/>
          <w14:ligatures w14:val="none"/>
        </w:rPr>
        <w:t xml:space="preserve">, Y. </w:t>
      </w:r>
      <w:r w:rsidRPr="004B3F8F">
        <w:rPr>
          <w:rFonts w:ascii="Arial" w:eastAsiaTheme="minorHAnsi" w:hAnsi="Arial" w:cs="Arial"/>
          <w:iCs/>
          <w:kern w:val="0"/>
          <w:shd w:val="clear" w:color="auto" w:fill="FFFFFF"/>
          <w:lang w:val="en-US" w:eastAsia="en-US"/>
          <w14:ligatures w14:val="none"/>
        </w:rPr>
        <w:t>2017</w:t>
      </w:r>
      <w:r w:rsidRPr="004B3F8F">
        <w:rPr>
          <w:rFonts w:ascii="Arial" w:eastAsiaTheme="minorHAnsi" w:hAnsi="Arial" w:cs="Arial"/>
          <w:kern w:val="0"/>
          <w:shd w:val="clear" w:color="auto" w:fill="FFFFFF"/>
          <w:lang w:val="en-US" w:eastAsia="en-US"/>
          <w14:ligatures w14:val="none"/>
        </w:rPr>
        <w:t xml:space="preserve">. “The ‘Normalization’ of Deviance: A Case Study on the Process Underlying the Adoption of Deviant Behaviour.” </w:t>
      </w:r>
      <w:r w:rsidRPr="004B3F8F">
        <w:rPr>
          <w:rFonts w:ascii="Arial" w:eastAsiaTheme="minorHAnsi" w:hAnsi="Arial" w:cs="Arial"/>
          <w:i/>
          <w:iCs/>
          <w:kern w:val="0"/>
          <w:shd w:val="clear" w:color="auto" w:fill="FFFFFF"/>
          <w:lang w:val="en-US" w:eastAsia="en-US"/>
          <w14:ligatures w14:val="none"/>
        </w:rPr>
        <w:t xml:space="preserve">Auditing: A Journal of Practice &amp; Theory </w:t>
      </w:r>
      <w:r w:rsidRPr="004B3F8F">
        <w:rPr>
          <w:rFonts w:ascii="Arial" w:eastAsiaTheme="minorHAnsi" w:hAnsi="Arial" w:cs="Arial"/>
          <w:kern w:val="0"/>
          <w:shd w:val="clear" w:color="auto" w:fill="FFFFFF"/>
          <w:lang w:val="en-US" w:eastAsia="en-US"/>
          <w14:ligatures w14:val="none"/>
        </w:rPr>
        <w:t>36, no. 3, pp. 15-43.</w:t>
      </w:r>
    </w:p>
    <w:p w14:paraId="16FB5F3E"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r w:rsidRPr="004B3F8F">
        <w:rPr>
          <w:rFonts w:ascii="Arial" w:eastAsiaTheme="minorHAnsi" w:hAnsi="Arial" w:cs="Arial"/>
          <w:kern w:val="0"/>
          <w:lang w:eastAsia="en-US"/>
          <w14:ligatures w14:val="none"/>
        </w:rPr>
        <w:t xml:space="preserve">Coyne, J. G., &amp; McMickle, P. L. 2017. </w:t>
      </w:r>
      <w:r w:rsidRPr="004B3F8F">
        <w:rPr>
          <w:rFonts w:ascii="Arial" w:eastAsiaTheme="minorHAnsi" w:hAnsi="Arial" w:cs="Arial"/>
          <w:i/>
          <w:iCs/>
          <w:kern w:val="0"/>
          <w:lang w:eastAsia="en-US"/>
          <w14:ligatures w14:val="none"/>
        </w:rPr>
        <w:t>‘’Can blockchains serve an accounting purpose?’’</w:t>
      </w:r>
      <w:r w:rsidRPr="004B3F8F">
        <w:rPr>
          <w:rFonts w:ascii="Arial" w:eastAsiaTheme="minorHAnsi" w:hAnsi="Arial" w:cs="Arial"/>
          <w:kern w:val="0"/>
          <w:lang w:eastAsia="en-US"/>
          <w14:ligatures w14:val="none"/>
        </w:rPr>
        <w:t xml:space="preserve">, Journal of Emerging Technologies in Accounting, 14(2), Pp. 101-111. </w:t>
      </w:r>
    </w:p>
    <w:p w14:paraId="44819621"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Cressey, D. 1973. </w:t>
      </w:r>
      <w:r w:rsidRPr="004B3F8F">
        <w:rPr>
          <w:rFonts w:ascii="Arial" w:eastAsiaTheme="minorHAnsi" w:hAnsi="Arial" w:cs="Arial"/>
          <w:i/>
          <w:iCs/>
          <w:kern w:val="0"/>
          <w:lang w:val="en-US" w:eastAsia="en-US"/>
          <w14:ligatures w14:val="none"/>
        </w:rPr>
        <w:t>Other People’s Money</w:t>
      </w:r>
      <w:r w:rsidRPr="004B3F8F">
        <w:rPr>
          <w:rFonts w:ascii="Arial" w:eastAsiaTheme="minorHAnsi" w:hAnsi="Arial" w:cs="Arial"/>
          <w:iCs/>
          <w:kern w:val="0"/>
          <w:lang w:val="en-US" w:eastAsia="en-US"/>
          <w14:ligatures w14:val="none"/>
        </w:rPr>
        <w:t>.</w:t>
      </w:r>
      <w:r w:rsidRPr="004B3F8F">
        <w:rPr>
          <w:rFonts w:ascii="Arial" w:eastAsiaTheme="minorHAnsi" w:hAnsi="Arial" w:cs="Arial"/>
          <w:kern w:val="0"/>
          <w:lang w:val="en-US" w:eastAsia="en-US"/>
          <w14:ligatures w14:val="none"/>
        </w:rPr>
        <w:t xml:space="preserve"> Montclair, NJ: Patterson Smith.</w:t>
      </w:r>
    </w:p>
    <w:p w14:paraId="3A694A34"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Cressey, D.R. 1950. “The Criminal Violation of Trust.” </w:t>
      </w:r>
      <w:r w:rsidRPr="004B3F8F">
        <w:rPr>
          <w:rFonts w:ascii="Arial" w:eastAsiaTheme="minorHAnsi" w:hAnsi="Arial" w:cs="Arial"/>
          <w:i/>
          <w:iCs/>
          <w:kern w:val="0"/>
          <w:lang w:val="en-US" w:eastAsia="en-US"/>
          <w14:ligatures w14:val="none"/>
        </w:rPr>
        <w:t>American Sociological Review</w:t>
      </w:r>
      <w:r w:rsidRPr="004B3F8F">
        <w:rPr>
          <w:rFonts w:ascii="Arial" w:eastAsiaTheme="minorHAnsi" w:hAnsi="Arial" w:cs="Arial"/>
          <w:kern w:val="0"/>
          <w:lang w:val="en-US" w:eastAsia="en-US"/>
          <w14:ligatures w14:val="none"/>
        </w:rPr>
        <w:t xml:space="preserve"> 15, no. 6, pp. 738-40.</w:t>
      </w:r>
    </w:p>
    <w:p w14:paraId="74507B0A"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Cressey, D.R. 1953. </w:t>
      </w:r>
      <w:r w:rsidRPr="004B3F8F">
        <w:rPr>
          <w:rFonts w:ascii="Arial" w:eastAsiaTheme="minorHAnsi" w:hAnsi="Arial" w:cs="Arial"/>
          <w:i/>
          <w:iCs/>
          <w:kern w:val="0"/>
          <w:lang w:val="en-US" w:eastAsia="en-US"/>
          <w14:ligatures w14:val="none"/>
        </w:rPr>
        <w:t xml:space="preserve">Other People’s Money: A Study in the Social Psychology of Embezzlement. </w:t>
      </w:r>
      <w:r w:rsidRPr="004B3F8F">
        <w:rPr>
          <w:rFonts w:ascii="Arial" w:eastAsiaTheme="minorHAnsi" w:hAnsi="Arial" w:cs="Arial"/>
          <w:kern w:val="0"/>
          <w:lang w:val="en-US" w:eastAsia="en-US"/>
          <w14:ligatures w14:val="none"/>
        </w:rPr>
        <w:t>Glencoe: The Free Press.</w:t>
      </w:r>
    </w:p>
    <w:p w14:paraId="4E8D19C8"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Creswell, J. W., &amp; Creswell, J. D. 2018. </w:t>
      </w:r>
      <w:r w:rsidRPr="004B3F8F">
        <w:rPr>
          <w:rFonts w:asciiTheme="minorBidi" w:eastAsia="Times New Roman" w:hAnsiTheme="minorBidi"/>
          <w:i/>
          <w:iCs/>
          <w:kern w:val="0"/>
          <w14:ligatures w14:val="none"/>
        </w:rPr>
        <w:t>Research Design: Qualitative, Quantitative, and Mixed Methods Approaches</w:t>
      </w:r>
      <w:r w:rsidRPr="004B3F8F">
        <w:rPr>
          <w:rFonts w:asciiTheme="minorBidi" w:eastAsia="Times New Roman" w:hAnsiTheme="minorBidi"/>
          <w:kern w:val="0"/>
          <w14:ligatures w14:val="none"/>
        </w:rPr>
        <w:t xml:space="preserve"> (5th ed.). SAGE Publications.</w:t>
      </w:r>
    </w:p>
    <w:p w14:paraId="1622DDE8"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eastAsia="en-US"/>
          <w14:ligatures w14:val="none"/>
        </w:rPr>
        <w:t xml:space="preserve">Creswell, J. 2003. Research design. Qualitative, quantitative and mixed methods approaches, 2nd </w:t>
      </w:r>
      <w:proofErr w:type="spellStart"/>
      <w:r w:rsidRPr="004B3F8F">
        <w:rPr>
          <w:rFonts w:ascii="Arial" w:eastAsiaTheme="minorHAnsi" w:hAnsi="Arial" w:cs="Arial"/>
          <w:kern w:val="0"/>
          <w:lang w:eastAsia="en-US"/>
          <w14:ligatures w14:val="none"/>
        </w:rPr>
        <w:t>edn</w:t>
      </w:r>
      <w:proofErr w:type="spellEnd"/>
      <w:r w:rsidRPr="004B3F8F">
        <w:rPr>
          <w:rFonts w:ascii="Arial" w:eastAsiaTheme="minorHAnsi" w:hAnsi="Arial" w:cs="Arial"/>
          <w:kern w:val="0"/>
          <w:lang w:eastAsia="en-US"/>
          <w14:ligatures w14:val="none"/>
        </w:rPr>
        <w:t>. Sage, Thousand Oaks, CA (2003)</w:t>
      </w:r>
    </w:p>
    <w:p w14:paraId="52A7D55D"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72" w:name="_Hlk42376624"/>
      <w:r w:rsidRPr="004B3F8F">
        <w:rPr>
          <w:rFonts w:ascii="Arial" w:eastAsiaTheme="minorHAnsi" w:hAnsi="Arial" w:cs="Arial"/>
          <w:kern w:val="0"/>
          <w:lang w:val="en-US" w:eastAsia="en-US"/>
          <w14:ligatures w14:val="none"/>
        </w:rPr>
        <w:lastRenderedPageBreak/>
        <w:t>Crowe</w:t>
      </w:r>
      <w:bookmarkEnd w:id="872"/>
      <w:r w:rsidRPr="004B3F8F">
        <w:rPr>
          <w:rFonts w:ascii="Arial" w:eastAsiaTheme="minorHAnsi" w:hAnsi="Arial" w:cs="Arial"/>
          <w:kern w:val="0"/>
          <w:lang w:val="en-US" w:eastAsia="en-US"/>
          <w14:ligatures w14:val="none"/>
        </w:rPr>
        <w:t xml:space="preserve">, H. 2011. </w:t>
      </w:r>
      <w:r w:rsidRPr="004B3F8F">
        <w:rPr>
          <w:rFonts w:ascii="Arial" w:eastAsiaTheme="minorHAnsi" w:hAnsi="Arial" w:cs="Arial"/>
          <w:i/>
          <w:kern w:val="0"/>
          <w:lang w:val="en-US" w:eastAsia="en-US"/>
          <w14:ligatures w14:val="none"/>
        </w:rPr>
        <w:t>Why the Fraud Triangle is No Longer Enough</w:t>
      </w:r>
      <w:r w:rsidRPr="004B3F8F">
        <w:rPr>
          <w:rFonts w:ascii="Arial" w:eastAsiaTheme="minorHAnsi" w:hAnsi="Arial" w:cs="Arial"/>
          <w:kern w:val="0"/>
          <w:lang w:val="en-US" w:eastAsia="en-US"/>
          <w14:ligatures w14:val="none"/>
        </w:rPr>
        <w:t xml:space="preserve">. Horwath, Crowe LLP. </w:t>
      </w:r>
      <w:r w:rsidRPr="004B3F8F">
        <w:rPr>
          <w:rFonts w:ascii="Arial" w:eastAsiaTheme="minorHAnsi" w:hAnsi="Arial" w:cs="Arial"/>
          <w:kern w:val="0"/>
          <w:lang w:eastAsia="en-US"/>
          <w14:ligatures w14:val="none"/>
        </w:rPr>
        <w:t xml:space="preserve"> www. crowehorwath.com</w:t>
      </w:r>
    </w:p>
    <w:p w14:paraId="0BB12096"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73" w:name="_Hlk42376644"/>
      <w:r w:rsidRPr="004B3F8F">
        <w:rPr>
          <w:rFonts w:ascii="Arial" w:eastAsiaTheme="minorHAnsi" w:hAnsi="Arial" w:cs="Arial"/>
          <w:kern w:val="0"/>
          <w:lang w:val="en-US" w:eastAsia="en-US"/>
          <w14:ligatures w14:val="none"/>
        </w:rPr>
        <w:t>Cullinan</w:t>
      </w:r>
      <w:bookmarkEnd w:id="873"/>
      <w:r w:rsidRPr="004B3F8F">
        <w:rPr>
          <w:rFonts w:ascii="Arial" w:eastAsiaTheme="minorHAnsi" w:hAnsi="Arial" w:cs="Arial"/>
          <w:kern w:val="0"/>
          <w:lang w:val="en-US" w:eastAsia="en-US"/>
          <w14:ligatures w14:val="none"/>
        </w:rPr>
        <w:t xml:space="preserve">, P.C., H. Du, and G.B. Wright 2008. “Is There </w:t>
      </w:r>
      <w:proofErr w:type="gramStart"/>
      <w:r w:rsidRPr="004B3F8F">
        <w:rPr>
          <w:rFonts w:ascii="Arial" w:eastAsiaTheme="minorHAnsi" w:hAnsi="Arial" w:cs="Arial"/>
          <w:kern w:val="0"/>
          <w:lang w:val="en-US" w:eastAsia="en-US"/>
          <w14:ligatures w14:val="none"/>
        </w:rPr>
        <w:t>An</w:t>
      </w:r>
      <w:proofErr w:type="gramEnd"/>
      <w:r w:rsidRPr="004B3F8F">
        <w:rPr>
          <w:rFonts w:ascii="Arial" w:eastAsiaTheme="minorHAnsi" w:hAnsi="Arial" w:cs="Arial"/>
          <w:kern w:val="0"/>
          <w:lang w:val="en-US" w:eastAsia="en-US"/>
          <w14:ligatures w14:val="none"/>
        </w:rPr>
        <w:t xml:space="preserve"> Association between Director Option Compensation and the Likelihood of Misstatement?” </w:t>
      </w:r>
      <w:r w:rsidRPr="004B3F8F">
        <w:rPr>
          <w:rFonts w:ascii="Arial" w:eastAsiaTheme="minorHAnsi" w:hAnsi="Arial" w:cs="Arial"/>
          <w:i/>
          <w:iCs/>
          <w:kern w:val="0"/>
          <w:lang w:val="en-US" w:eastAsia="en-US"/>
          <w14:ligatures w14:val="none"/>
        </w:rPr>
        <w:t>Advances in Accounting, Incorporating Advances in International Accounting</w:t>
      </w:r>
      <w:r w:rsidRPr="004B3F8F">
        <w:rPr>
          <w:rFonts w:ascii="Arial" w:eastAsiaTheme="minorHAnsi" w:hAnsi="Arial" w:cs="Arial"/>
          <w:kern w:val="0"/>
          <w:lang w:val="en-US" w:eastAsia="en-US"/>
          <w14:ligatures w14:val="none"/>
        </w:rPr>
        <w:t xml:space="preserve"> 24, 16-23.</w:t>
      </w:r>
    </w:p>
    <w:p w14:paraId="253BDF21" w14:textId="77777777" w:rsidR="004B3F8F" w:rsidRPr="004B3F8F" w:rsidRDefault="004B3F8F" w:rsidP="004B3F8F">
      <w:pPr>
        <w:spacing w:after="200" w:line="480" w:lineRule="auto"/>
        <w:ind w:left="785" w:hangingChars="327" w:hanging="785"/>
        <w:jc w:val="both"/>
        <w:rPr>
          <w:rFonts w:ascii="Arial" w:eastAsiaTheme="minorHAnsi" w:hAnsi="Arial" w:cs="Arial"/>
          <w:i/>
          <w:iCs/>
          <w:kern w:val="0"/>
          <w:lang w:val="en-US" w:eastAsia="en-US"/>
          <w14:ligatures w14:val="none"/>
        </w:rPr>
      </w:pPr>
      <w:bookmarkStart w:id="874" w:name="_Hlk42376663"/>
      <w:r w:rsidRPr="004B3F8F">
        <w:rPr>
          <w:rFonts w:ascii="Arial" w:eastAsiaTheme="minorHAnsi" w:hAnsi="Arial" w:cs="Arial"/>
          <w:kern w:val="0"/>
          <w:lang w:val="en-US" w:eastAsia="en-US"/>
          <w14:ligatures w14:val="none"/>
        </w:rPr>
        <w:t>Cunningham</w:t>
      </w:r>
      <w:bookmarkEnd w:id="874"/>
      <w:r w:rsidRPr="004B3F8F">
        <w:rPr>
          <w:rFonts w:ascii="Arial" w:eastAsiaTheme="minorHAnsi" w:hAnsi="Arial" w:cs="Arial"/>
          <w:kern w:val="0"/>
          <w:lang w:val="en-US" w:eastAsia="en-US"/>
          <w14:ligatures w14:val="none"/>
        </w:rPr>
        <w:t>, L.A. 2004</w:t>
      </w:r>
      <w:r w:rsidRPr="004B3F8F">
        <w:rPr>
          <w:rFonts w:ascii="Arial" w:eastAsiaTheme="minorHAnsi" w:hAnsi="Arial" w:cs="Arial"/>
          <w:i/>
          <w:iCs/>
          <w:kern w:val="0"/>
          <w:lang w:val="en-US" w:eastAsia="en-US"/>
          <w14:ligatures w14:val="none"/>
        </w:rPr>
        <w:t>. “The Appeal and Limits of Internal Controls to Fight Fraud, Terrorism, Other Ills.” Journal of Corporation Law 29, pp. 267–336.</w:t>
      </w:r>
    </w:p>
    <w:p w14:paraId="04EBB727"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Dai, J., &amp; Vasarhelyi, M. A. 2017. "Toward Blockchain-Based Accounting and Assurance." </w:t>
      </w:r>
      <w:r w:rsidRPr="004B3F8F">
        <w:rPr>
          <w:rFonts w:asciiTheme="minorBidi" w:eastAsia="Times New Roman" w:hAnsiTheme="minorBidi"/>
          <w:i/>
          <w:iCs/>
          <w:kern w:val="0"/>
          <w14:ligatures w14:val="none"/>
        </w:rPr>
        <w:t>Journal of Information Systems</w:t>
      </w:r>
      <w:r w:rsidRPr="004B3F8F">
        <w:rPr>
          <w:rFonts w:asciiTheme="minorBidi" w:eastAsia="Times New Roman" w:hAnsiTheme="minorBidi"/>
          <w:kern w:val="0"/>
          <w14:ligatures w14:val="none"/>
        </w:rPr>
        <w:t>, 31(3), 5-21.</w:t>
      </w:r>
    </w:p>
    <w:p w14:paraId="61DE158D"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Dai, J., and M.A. Vasarhelyi. 2016. “Imagineering Audit 4.0.” </w:t>
      </w:r>
      <w:r w:rsidRPr="004B3F8F">
        <w:rPr>
          <w:rFonts w:ascii="Arial" w:eastAsiaTheme="minorHAnsi" w:hAnsi="Arial" w:cs="Arial"/>
          <w:i/>
          <w:iCs/>
          <w:kern w:val="0"/>
          <w:lang w:val="en-US" w:eastAsia="en-US"/>
          <w14:ligatures w14:val="none"/>
        </w:rPr>
        <w:t>Journal of Emerging Technologies in Accounting</w:t>
      </w:r>
      <w:r w:rsidRPr="004B3F8F">
        <w:rPr>
          <w:rFonts w:ascii="Arial" w:eastAsiaTheme="minorHAnsi" w:hAnsi="Arial" w:cs="Arial"/>
          <w:kern w:val="0"/>
          <w:lang w:val="en-US" w:eastAsia="en-US"/>
          <w14:ligatures w14:val="none"/>
        </w:rPr>
        <w:t xml:space="preserve"> 13, no. 1, pp. 1-15.</w:t>
      </w:r>
    </w:p>
    <w:p w14:paraId="1FEDBFE1"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Davidoff Solomon, S. 2020. "What the Luckin Coffee Scandal Tells Us About Fraud in China." </w:t>
      </w:r>
      <w:r w:rsidRPr="004B3F8F">
        <w:rPr>
          <w:rFonts w:asciiTheme="minorBidi" w:eastAsia="Times New Roman" w:hAnsiTheme="minorBidi"/>
          <w:i/>
          <w:iCs/>
          <w:kern w:val="0"/>
          <w14:ligatures w14:val="none"/>
        </w:rPr>
        <w:t>The New York Times</w:t>
      </w:r>
      <w:r w:rsidRPr="004B3F8F">
        <w:rPr>
          <w:rFonts w:asciiTheme="minorBidi" w:eastAsia="Times New Roman" w:hAnsiTheme="minorBidi"/>
          <w:kern w:val="0"/>
          <w14:ligatures w14:val="none"/>
        </w:rPr>
        <w:t>.</w:t>
      </w:r>
    </w:p>
    <w:p w14:paraId="7EE6E5AA"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Davis, M.V., 2019. </w:t>
      </w:r>
      <w:r w:rsidRPr="004B3F8F">
        <w:rPr>
          <w:rFonts w:ascii="Arial" w:hAnsi="Arial" w:cs="Arial"/>
          <w:i/>
          <w:iCs/>
          <w:color w:val="222222"/>
          <w:shd w:val="clear" w:color="auto" w:fill="FFFFFF"/>
        </w:rPr>
        <w:t>Strategies to prevent and detect occupational fraud in small retail businesses</w:t>
      </w:r>
      <w:r w:rsidRPr="004B3F8F">
        <w:rPr>
          <w:rFonts w:ascii="Arial" w:hAnsi="Arial" w:cs="Arial"/>
          <w:color w:val="222222"/>
          <w:shd w:val="clear" w:color="auto" w:fill="FFFFFF"/>
        </w:rPr>
        <w:t> (Doctoral dissertation, Walden University).</w:t>
      </w:r>
    </w:p>
    <w:p w14:paraId="7B059D2C"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75" w:name="_Hlk42376682"/>
      <w:r w:rsidRPr="004B3F8F">
        <w:rPr>
          <w:rFonts w:ascii="Arial" w:eastAsiaTheme="minorHAnsi" w:hAnsi="Arial" w:cs="Arial"/>
          <w:kern w:val="0"/>
          <w:lang w:val="en-US" w:eastAsia="en-US"/>
          <w14:ligatures w14:val="none"/>
        </w:rPr>
        <w:t>Davis</w:t>
      </w:r>
      <w:bookmarkEnd w:id="875"/>
      <w:r w:rsidRPr="004B3F8F">
        <w:rPr>
          <w:rFonts w:ascii="Arial" w:eastAsiaTheme="minorHAnsi" w:hAnsi="Arial" w:cs="Arial"/>
          <w:kern w:val="0"/>
          <w:lang w:val="en-US" w:eastAsia="en-US"/>
          <w14:ligatures w14:val="none"/>
        </w:rPr>
        <w:t xml:space="preserve">, J.H., D.F. Schoorman, and L. Donaldson. 1997. “Toward a Stewardship Theory of Management.” </w:t>
      </w:r>
      <w:r w:rsidRPr="004B3F8F">
        <w:rPr>
          <w:rFonts w:ascii="Arial" w:eastAsiaTheme="minorHAnsi" w:hAnsi="Arial" w:cs="Arial"/>
          <w:i/>
          <w:iCs/>
          <w:kern w:val="0"/>
          <w:lang w:val="en-US" w:eastAsia="en-US"/>
          <w14:ligatures w14:val="none"/>
        </w:rPr>
        <w:t>Academy of Management Review</w:t>
      </w:r>
      <w:r w:rsidRPr="004B3F8F">
        <w:rPr>
          <w:rFonts w:ascii="Arial" w:eastAsiaTheme="minorHAnsi" w:hAnsi="Arial" w:cs="Arial"/>
          <w:kern w:val="0"/>
          <w:lang w:val="en-US" w:eastAsia="en-US"/>
          <w14:ligatures w14:val="none"/>
        </w:rPr>
        <w:t xml:space="preserve"> 22, no. 1, pp. 20-47.</w:t>
      </w:r>
    </w:p>
    <w:p w14:paraId="216B88EA"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76" w:name="_Hlk42376696"/>
      <w:r w:rsidRPr="004B3F8F">
        <w:rPr>
          <w:rFonts w:ascii="Arial" w:eastAsiaTheme="minorHAnsi" w:hAnsi="Arial" w:cs="Arial"/>
          <w:kern w:val="0"/>
          <w:lang w:val="en-US" w:eastAsia="en-US"/>
          <w14:ligatures w14:val="none"/>
        </w:rPr>
        <w:t>Dechow</w:t>
      </w:r>
      <w:bookmarkEnd w:id="876"/>
      <w:r w:rsidRPr="004B3F8F">
        <w:rPr>
          <w:rFonts w:ascii="Arial" w:eastAsiaTheme="minorHAnsi" w:hAnsi="Arial" w:cs="Arial"/>
          <w:kern w:val="0"/>
          <w:lang w:val="en-US" w:eastAsia="en-US"/>
          <w14:ligatures w14:val="none"/>
        </w:rPr>
        <w:t xml:space="preserve">, P.M., R.G. Sloan, and A.P. Sweeney. 1996. “Causes and Consequences of Earnings Manipulation: An Analysis of Firm’s Subject to Enforcement Actions by the SEC.” </w:t>
      </w:r>
      <w:r w:rsidRPr="004B3F8F">
        <w:rPr>
          <w:rFonts w:ascii="Arial" w:eastAsiaTheme="minorHAnsi" w:hAnsi="Arial" w:cs="Arial"/>
          <w:i/>
          <w:iCs/>
          <w:kern w:val="0"/>
          <w:lang w:val="en-US" w:eastAsia="en-US"/>
          <w14:ligatures w14:val="none"/>
        </w:rPr>
        <w:t>Contemporary Accounting Research</w:t>
      </w:r>
      <w:r w:rsidRPr="004B3F8F">
        <w:rPr>
          <w:rFonts w:ascii="Arial" w:eastAsiaTheme="minorHAnsi" w:hAnsi="Arial" w:cs="Arial"/>
          <w:kern w:val="0"/>
          <w:lang w:val="en-US" w:eastAsia="en-US"/>
          <w14:ligatures w14:val="none"/>
        </w:rPr>
        <w:t xml:space="preserve"> 13, no. 1, pp. 1-36.</w:t>
      </w:r>
    </w:p>
    <w:p w14:paraId="35702A16"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Dechow, P.M., W. Ge, C.R. Larson, and R.G. Sloan. 2010. Predicting material accounting misstatements. Contemporary Accounting Research, forthcoming.</w:t>
      </w:r>
      <w:r w:rsidRPr="004B3F8F">
        <w:rPr>
          <w:rFonts w:ascii="Arial" w:eastAsiaTheme="minorHAnsi" w:hAnsi="Arial" w:cs="Arial"/>
          <w:i/>
          <w:iCs/>
          <w:kern w:val="0"/>
          <w:lang w:val="en-US" w:eastAsia="en-US"/>
          <w14:ligatures w14:val="none"/>
        </w:rPr>
        <w:t xml:space="preserve"> </w:t>
      </w:r>
      <w:r w:rsidRPr="004B3F8F">
        <w:rPr>
          <w:rFonts w:ascii="Arial" w:eastAsiaTheme="minorHAnsi" w:hAnsi="Arial" w:cs="Arial"/>
          <w:i/>
          <w:iCs/>
          <w:kern w:val="0"/>
          <w:lang w:val="en-US" w:eastAsia="en-US"/>
          <w14:ligatures w14:val="none"/>
        </w:rPr>
        <w:lastRenderedPageBreak/>
        <w:t>AAA 2008</w:t>
      </w:r>
      <w:r w:rsidRPr="004B3F8F">
        <w:rPr>
          <w:rFonts w:ascii="Arial" w:eastAsiaTheme="minorHAnsi" w:hAnsi="Arial" w:cs="Arial"/>
          <w:kern w:val="0"/>
          <w:lang w:val="en-US" w:eastAsia="en-US"/>
          <w14:ligatures w14:val="none"/>
        </w:rPr>
        <w:t xml:space="preserve">. Financial Accounting and Reporting Section FARS Paper. www.ssrn.com, </w:t>
      </w:r>
      <w:r w:rsidRPr="004B3F8F">
        <w:rPr>
          <w:rFonts w:ascii="Arial" w:eastAsiaTheme="minorHAnsi" w:hAnsi="Arial" w:cs="Arial"/>
          <w:kern w:val="0"/>
          <w:shd w:val="clear" w:color="auto" w:fill="FFFFFF"/>
          <w:lang w:val="en-US" w:eastAsia="en-US"/>
          <w14:ligatures w14:val="none"/>
        </w:rPr>
        <w:t>(accessed July 31, 2018).</w:t>
      </w:r>
    </w:p>
    <w:p w14:paraId="2B0B66DC"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it-IT" w:eastAsia="en-US"/>
          <w14:ligatures w14:val="none"/>
        </w:rPr>
      </w:pPr>
      <w:bookmarkStart w:id="877" w:name="_Hlk42376734"/>
      <w:r w:rsidRPr="004B3F8F">
        <w:rPr>
          <w:rFonts w:ascii="Arial" w:eastAsiaTheme="minorHAnsi" w:hAnsi="Arial" w:cs="Arial"/>
          <w:kern w:val="0"/>
          <w:lang w:val="en-US" w:eastAsia="en-US"/>
          <w14:ligatures w14:val="none"/>
        </w:rPr>
        <w:t>DeCovny</w:t>
      </w:r>
      <w:bookmarkEnd w:id="877"/>
      <w:r w:rsidRPr="004B3F8F">
        <w:rPr>
          <w:rFonts w:ascii="Arial" w:eastAsiaTheme="minorHAnsi" w:hAnsi="Arial" w:cs="Arial"/>
          <w:kern w:val="0"/>
          <w:lang w:val="en-US" w:eastAsia="en-US"/>
          <w14:ligatures w14:val="none"/>
        </w:rPr>
        <w:t xml:space="preserve">, S. 2012. “The Financial Psychopath Next Door.” </w:t>
      </w:r>
      <w:r w:rsidRPr="004B3F8F">
        <w:rPr>
          <w:rFonts w:ascii="Arial" w:eastAsiaTheme="minorHAnsi" w:hAnsi="Arial" w:cs="Arial"/>
          <w:i/>
          <w:iCs/>
          <w:kern w:val="0"/>
          <w:lang w:val="it-IT" w:eastAsia="en-US"/>
          <w14:ligatures w14:val="none"/>
        </w:rPr>
        <w:t>CFA Institute Magazine</w:t>
      </w:r>
      <w:r w:rsidRPr="004B3F8F">
        <w:rPr>
          <w:rFonts w:ascii="Arial" w:eastAsiaTheme="minorHAnsi" w:hAnsi="Arial" w:cs="Arial"/>
          <w:kern w:val="0"/>
          <w:lang w:val="it-IT" w:eastAsia="en-US"/>
          <w14:ligatures w14:val="none"/>
        </w:rPr>
        <w:t xml:space="preserve"> 23(2), 34-5.</w:t>
      </w:r>
    </w:p>
    <w:p w14:paraId="6F75C9BB"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bookmarkStart w:id="878" w:name="_Hlk171503438"/>
      <w:r w:rsidRPr="004B3F8F">
        <w:rPr>
          <w:rFonts w:asciiTheme="minorBidi" w:eastAsia="Times New Roman" w:hAnsiTheme="minorBidi"/>
          <w:kern w:val="0"/>
          <w:lang w:val="it-IT"/>
          <w14:ligatures w14:val="none"/>
        </w:rPr>
        <w:t>DeLisi, M., &amp; Vaughn, M. G. 2014</w:t>
      </w:r>
      <w:bookmarkEnd w:id="878"/>
      <w:r w:rsidRPr="004B3F8F">
        <w:rPr>
          <w:rFonts w:asciiTheme="minorBidi" w:eastAsia="Times New Roman" w:hAnsiTheme="minorBidi"/>
          <w:kern w:val="0"/>
          <w:lang w:val="it-IT"/>
          <w14:ligatures w14:val="none"/>
        </w:rPr>
        <w:t xml:space="preserve">. </w:t>
      </w:r>
      <w:r w:rsidRPr="004B3F8F">
        <w:rPr>
          <w:rFonts w:asciiTheme="minorBidi" w:eastAsia="Times New Roman" w:hAnsiTheme="minorBidi"/>
          <w:kern w:val="0"/>
          <w14:ligatures w14:val="none"/>
        </w:rPr>
        <w:t xml:space="preserve">The origins of psychopathy. </w:t>
      </w:r>
      <w:r w:rsidRPr="004B3F8F">
        <w:rPr>
          <w:rFonts w:asciiTheme="minorBidi" w:eastAsia="Times New Roman" w:hAnsiTheme="minorBidi"/>
          <w:i/>
          <w:iCs/>
          <w:kern w:val="0"/>
          <w14:ligatures w14:val="none"/>
        </w:rPr>
        <w:t>In P. J. Corr &amp; G. Matthews (Eds.), The Cambridge Handbook of Personality Psychology</w:t>
      </w:r>
      <w:r w:rsidRPr="004B3F8F">
        <w:rPr>
          <w:rFonts w:asciiTheme="minorBidi" w:eastAsia="Times New Roman" w:hAnsiTheme="minorBidi"/>
          <w:kern w:val="0"/>
          <w14:ligatures w14:val="none"/>
        </w:rPr>
        <w:t xml:space="preserve"> (pp. 511-531). Cambridge University Press.</w:t>
      </w:r>
    </w:p>
    <w:p w14:paraId="14C8F389"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 xml:space="preserve">Deliu, D., 2020. Elevating Professional Reasoning in Auditing. Psycho-Professional Factors Affecting Auditor’s Professional Judgement and </w:t>
      </w:r>
      <w:proofErr w:type="spellStart"/>
      <w:r w:rsidRPr="004B3F8F">
        <w:rPr>
          <w:rFonts w:ascii="Arial" w:hAnsi="Arial" w:cs="Arial"/>
          <w:color w:val="222222"/>
          <w:shd w:val="clear" w:color="auto" w:fill="FFFFFF"/>
        </w:rPr>
        <w:t>Skepticism</w:t>
      </w:r>
      <w:proofErr w:type="spellEnd"/>
      <w:r w:rsidRPr="004B3F8F">
        <w:rPr>
          <w:rFonts w:ascii="Arial" w:hAnsi="Arial" w:cs="Arial"/>
          <w:color w:val="222222"/>
          <w:shd w:val="clear" w:color="auto" w:fill="FFFFFF"/>
        </w:rPr>
        <w:t>. </w:t>
      </w:r>
      <w:r w:rsidRPr="004B3F8F">
        <w:rPr>
          <w:rFonts w:ascii="Arial" w:hAnsi="Arial" w:cs="Arial"/>
          <w:i/>
          <w:iCs/>
          <w:color w:val="222222"/>
          <w:shd w:val="clear" w:color="auto" w:fill="FFFFFF"/>
        </w:rPr>
        <w:t>Journal of Accounting and Auditing: Research and Practice</w:t>
      </w:r>
      <w:r w:rsidRPr="004B3F8F">
        <w:rPr>
          <w:rFonts w:ascii="Arial" w:hAnsi="Arial" w:cs="Arial"/>
          <w:color w:val="222222"/>
          <w:shd w:val="clear" w:color="auto" w:fill="FFFFFF"/>
        </w:rPr>
        <w:t>, pp.1-17.</w:t>
      </w:r>
    </w:p>
    <w:p w14:paraId="7C33981F"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79" w:name="_Hlk42376753"/>
      <w:r w:rsidRPr="004B3F8F">
        <w:rPr>
          <w:rFonts w:ascii="Arial" w:eastAsiaTheme="minorHAnsi" w:hAnsi="Arial" w:cs="Arial"/>
          <w:kern w:val="0"/>
          <w:lang w:eastAsia="en-US"/>
          <w14:ligatures w14:val="none"/>
        </w:rPr>
        <w:t>Dellaportas</w:t>
      </w:r>
      <w:bookmarkEnd w:id="879"/>
      <w:r w:rsidRPr="004B3F8F">
        <w:rPr>
          <w:rFonts w:ascii="Arial" w:eastAsiaTheme="minorHAnsi" w:hAnsi="Arial" w:cs="Arial"/>
          <w:kern w:val="0"/>
          <w:lang w:eastAsia="en-US"/>
          <w14:ligatures w14:val="none"/>
        </w:rPr>
        <w:t xml:space="preserve">, S. 2013. </w:t>
      </w:r>
      <w:r w:rsidRPr="004B3F8F">
        <w:rPr>
          <w:rFonts w:ascii="Arial" w:eastAsiaTheme="minorHAnsi" w:hAnsi="Arial" w:cs="Arial"/>
          <w:kern w:val="0"/>
          <w:lang w:val="en-US" w:eastAsia="en-US"/>
          <w14:ligatures w14:val="none"/>
        </w:rPr>
        <w:t xml:space="preserve">“Conversations with Inmate Accountants: Motivation, Opportunity and the Fraud Triangle.” </w:t>
      </w:r>
      <w:r w:rsidRPr="004B3F8F">
        <w:rPr>
          <w:rFonts w:ascii="Arial" w:eastAsiaTheme="minorHAnsi" w:hAnsi="Arial" w:cs="Arial"/>
          <w:i/>
          <w:iCs/>
          <w:kern w:val="0"/>
          <w:lang w:val="en-US" w:eastAsia="en-US"/>
          <w14:ligatures w14:val="none"/>
        </w:rPr>
        <w:t>Accounting Forum</w:t>
      </w:r>
      <w:r w:rsidRPr="004B3F8F">
        <w:rPr>
          <w:rFonts w:ascii="Arial" w:eastAsiaTheme="minorHAnsi" w:hAnsi="Arial" w:cs="Arial"/>
          <w:kern w:val="0"/>
          <w:lang w:val="en-US" w:eastAsia="en-US"/>
          <w14:ligatures w14:val="none"/>
        </w:rPr>
        <w:t xml:space="preserve"> 37, no. 1, pp. 29-39.</w:t>
      </w:r>
    </w:p>
    <w:p w14:paraId="625FD6CB"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80" w:name="_Hlk42376768"/>
      <w:r w:rsidRPr="004B3F8F">
        <w:rPr>
          <w:rFonts w:ascii="Arial" w:eastAsiaTheme="minorHAnsi" w:hAnsi="Arial" w:cs="Arial"/>
          <w:kern w:val="0"/>
          <w:lang w:val="en-US" w:eastAsia="en-US"/>
          <w14:ligatures w14:val="none"/>
        </w:rPr>
        <w:t>Deloitte</w:t>
      </w:r>
      <w:bookmarkEnd w:id="880"/>
      <w:r w:rsidRPr="004B3F8F">
        <w:rPr>
          <w:rFonts w:ascii="Arial" w:eastAsiaTheme="minorHAnsi" w:hAnsi="Arial" w:cs="Arial"/>
          <w:kern w:val="0"/>
          <w:lang w:val="en-US" w:eastAsia="en-US"/>
          <w14:ligatures w14:val="none"/>
        </w:rPr>
        <w:t xml:space="preserve">. 2016a. “Blockchain Technology A Game Changer in Accounting?” https://www2.deloitte.com/content/dam/Deloitte/de/Documents/Innovation/Blockchain_A%20game-changer%20in%20accounting.pdf, </w:t>
      </w:r>
      <w:r w:rsidRPr="004B3F8F">
        <w:rPr>
          <w:rFonts w:ascii="Arial" w:eastAsiaTheme="minorHAnsi" w:hAnsi="Arial" w:cs="Arial"/>
          <w:kern w:val="0"/>
          <w:shd w:val="clear" w:color="auto" w:fill="FFFFFF"/>
          <w:lang w:val="en-US" w:eastAsia="en-US"/>
          <w14:ligatures w14:val="none"/>
        </w:rPr>
        <w:t>(accessed March 21, 2018).</w:t>
      </w:r>
    </w:p>
    <w:p w14:paraId="11C01B91"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fr-FR" w:eastAsia="en-US"/>
          <w14:ligatures w14:val="none"/>
        </w:rPr>
        <w:t xml:space="preserve">Deloitte. 2016b. “Blockchain- Enigma. </w:t>
      </w:r>
      <w:r w:rsidRPr="00DE3122">
        <w:rPr>
          <w:rFonts w:ascii="Arial" w:eastAsiaTheme="minorHAnsi" w:hAnsi="Arial" w:cs="Arial"/>
          <w:kern w:val="0"/>
          <w:lang w:val="fr-FR" w:eastAsia="en-US"/>
          <w14:ligatures w14:val="none"/>
        </w:rPr>
        <w:t xml:space="preserve">Paradox. </w:t>
      </w:r>
      <w:r w:rsidRPr="004B3F8F">
        <w:rPr>
          <w:rFonts w:ascii="Arial" w:eastAsiaTheme="minorHAnsi" w:hAnsi="Arial" w:cs="Arial"/>
          <w:kern w:val="0"/>
          <w:lang w:val="en-US" w:eastAsia="en-US"/>
          <w14:ligatures w14:val="none"/>
        </w:rPr>
        <w:t xml:space="preserve">Opportunity.” https://www2.deloitte.com/content/dam/Deloitte/uk/Documents/Innovation/deloitte-uk-Blockchain-full-report.pdf, </w:t>
      </w:r>
      <w:r w:rsidRPr="004B3F8F">
        <w:rPr>
          <w:rFonts w:ascii="Arial" w:eastAsiaTheme="minorHAnsi" w:hAnsi="Arial" w:cs="Arial"/>
          <w:kern w:val="0"/>
          <w:shd w:val="clear" w:color="auto" w:fill="FFFFFF"/>
          <w:lang w:val="en-US" w:eastAsia="en-US"/>
          <w14:ligatures w14:val="none"/>
        </w:rPr>
        <w:t>(accessed March 21, 2018).</w:t>
      </w:r>
    </w:p>
    <w:p w14:paraId="11EE39C8"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r w:rsidRPr="004B3F8F">
        <w:rPr>
          <w:rFonts w:ascii="Arial" w:eastAsiaTheme="minorHAnsi" w:hAnsi="Arial" w:cs="Arial"/>
          <w:kern w:val="0"/>
          <w:lang w:val="en-US" w:eastAsia="en-US"/>
          <w14:ligatures w14:val="none"/>
        </w:rPr>
        <w:t xml:space="preserve">Deloitte. 2016c. “Bitcoin, Blockchain &amp; Distributed Ledgers: Caught between Promise and Reality.” </w:t>
      </w:r>
      <w:hyperlink r:id="rId77" w:history="1">
        <w:r w:rsidRPr="004B3F8F">
          <w:rPr>
            <w:rFonts w:ascii="Arial" w:eastAsiaTheme="minorHAnsi" w:hAnsi="Arial" w:cs="Arial"/>
            <w:kern w:val="0"/>
            <w:lang w:val="en-US" w:eastAsia="en-US"/>
            <w14:ligatures w14:val="none"/>
          </w:rPr>
          <w:t>https://www2.deloitte.com/content/dam/Deloitte/au/Images/infographics/au-</w:t>
        </w:r>
        <w:r w:rsidRPr="004B3F8F">
          <w:rPr>
            <w:rFonts w:ascii="Arial" w:eastAsiaTheme="minorHAnsi" w:hAnsi="Arial" w:cs="Arial"/>
            <w:kern w:val="0"/>
            <w:lang w:val="en-US" w:eastAsia="en-US"/>
            <w14:ligatures w14:val="none"/>
          </w:rPr>
          <w:lastRenderedPageBreak/>
          <w:t>deloittetechnology- bitcoin-Blockchain-distributed-ledgers-180416.pdf</w:t>
        </w:r>
      </w:hyperlink>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shd w:val="clear" w:color="auto" w:fill="FFFFFF"/>
          <w:lang w:val="en-US" w:eastAsia="en-US"/>
          <w14:ligatures w14:val="none"/>
        </w:rPr>
        <w:t>(accessed March 21, 2018).</w:t>
      </w:r>
    </w:p>
    <w:p w14:paraId="7B2B78A8" w14:textId="27CE686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r w:rsidRPr="004B3F8F">
        <w:rPr>
          <w:rFonts w:ascii="Arial" w:eastAsiaTheme="minorHAnsi" w:hAnsi="Arial" w:cs="Arial"/>
          <w:kern w:val="0"/>
          <w:lang w:val="en-US" w:eastAsia="en-US"/>
          <w14:ligatures w14:val="none"/>
        </w:rPr>
        <w:t xml:space="preserve">Deloitte. 2016d. “Tech Trends 2016: Innovating in the Digital Era: Blockchain: </w:t>
      </w:r>
      <w:r w:rsidR="00CB692E" w:rsidRPr="004B3F8F">
        <w:rPr>
          <w:rFonts w:ascii="Arial" w:eastAsiaTheme="minorHAnsi" w:hAnsi="Arial" w:cs="Arial"/>
          <w:kern w:val="0"/>
          <w:lang w:val="en-US" w:eastAsia="en-US"/>
          <w14:ligatures w14:val="none"/>
        </w:rPr>
        <w:t>Democratized</w:t>
      </w:r>
      <w:r w:rsidRPr="004B3F8F">
        <w:rPr>
          <w:rFonts w:ascii="Arial" w:eastAsiaTheme="minorHAnsi" w:hAnsi="Arial" w:cs="Arial"/>
          <w:kern w:val="0"/>
          <w:lang w:val="en-US" w:eastAsia="en-US"/>
          <w14:ligatures w14:val="none"/>
        </w:rPr>
        <w:t xml:space="preserve"> Trust Distributed Ledgers and the Future of Value</w:t>
      </w:r>
      <w:r w:rsidRPr="004B3F8F">
        <w:rPr>
          <w:rFonts w:ascii="Arial" w:eastAsiaTheme="minorHAnsi" w:hAnsi="Arial" w:cs="Arial"/>
          <w:i/>
          <w:iCs/>
          <w:kern w:val="0"/>
          <w:lang w:val="en-US" w:eastAsia="en-US"/>
          <w14:ligatures w14:val="none"/>
        </w:rPr>
        <w:t>.</w:t>
      </w:r>
      <w:r w:rsidRPr="004B3F8F">
        <w:rPr>
          <w:rFonts w:ascii="Arial" w:eastAsiaTheme="minorHAnsi" w:hAnsi="Arial" w:cs="Arial"/>
          <w:iCs/>
          <w:kern w:val="0"/>
          <w:lang w:val="en-US" w:eastAsia="en-US"/>
          <w14:ligatures w14:val="none"/>
        </w:rPr>
        <w:t>”</w:t>
      </w:r>
      <w:r w:rsidRPr="004B3F8F">
        <w:rPr>
          <w:rFonts w:ascii="Arial" w:eastAsiaTheme="minorHAnsi" w:hAnsi="Arial" w:cs="Arial"/>
          <w:i/>
          <w:iCs/>
          <w:kern w:val="0"/>
          <w:lang w:val="en-US" w:eastAsia="en-US"/>
          <w14:ligatures w14:val="none"/>
        </w:rPr>
        <w:t xml:space="preserve"> </w:t>
      </w:r>
      <w:hyperlink r:id="rId78" w:history="1">
        <w:r w:rsidRPr="004B3F8F">
          <w:rPr>
            <w:rFonts w:ascii="Arial" w:eastAsiaTheme="minorHAnsi" w:hAnsi="Arial" w:cs="Arial"/>
            <w:kern w:val="0"/>
            <w:lang w:val="en-US" w:eastAsia="en-US"/>
            <w14:ligatures w14:val="none"/>
          </w:rPr>
          <w:t>https://www2.deloitte.com/content/dam/Deloitte/uk/Documents/technology/deloitte-uk-techtrends-2016-blockchain.pdf</w:t>
        </w:r>
      </w:hyperlink>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shd w:val="clear" w:color="auto" w:fill="FFFFFF"/>
          <w:lang w:val="en-US" w:eastAsia="en-US"/>
          <w14:ligatures w14:val="none"/>
        </w:rPr>
        <w:t>(accessed March 21, 2018).</w:t>
      </w:r>
    </w:p>
    <w:p w14:paraId="4DC0BE6A"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t xml:space="preserve">Deloitte. 2018. ‘’Blockchain: Opportunities for health care A new model for health information exchanges’’. https://www2.deloitte.com/us/en/pages/public-sector/articles/blockchainopportunities-for-health-care (accessed </w:t>
      </w:r>
      <w:proofErr w:type="gramStart"/>
      <w:r w:rsidRPr="004B3F8F">
        <w:rPr>
          <w:rFonts w:ascii="Arial" w:eastAsiaTheme="minorHAnsi" w:hAnsi="Arial" w:cs="Arial"/>
          <w:kern w:val="0"/>
          <w:lang w:eastAsia="en-US"/>
          <w14:ligatures w14:val="none"/>
        </w:rPr>
        <w:t>December,</w:t>
      </w:r>
      <w:proofErr w:type="gramEnd"/>
      <w:r w:rsidRPr="004B3F8F">
        <w:rPr>
          <w:rFonts w:ascii="Arial" w:eastAsiaTheme="minorHAnsi" w:hAnsi="Arial" w:cs="Arial"/>
          <w:kern w:val="0"/>
          <w:lang w:eastAsia="en-US"/>
          <w14:ligatures w14:val="none"/>
        </w:rPr>
        <w:t xml:space="preserve"> 2020)</w:t>
      </w:r>
    </w:p>
    <w:p w14:paraId="7655CC3C" w14:textId="77777777" w:rsidR="004B3F8F" w:rsidRPr="004B3F8F" w:rsidRDefault="004B3F8F" w:rsidP="004B3F8F">
      <w:pPr>
        <w:spacing w:before="100" w:beforeAutospacing="1" w:after="100" w:afterAutospacing="1" w:line="480" w:lineRule="auto"/>
        <w:ind w:left="709" w:hanging="709"/>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Deloitte. 2023. Blockchain: Enabling the Next Generation of Accounting and Auditing. Retrieved from Deloitte.</w:t>
      </w:r>
    </w:p>
    <w:p w14:paraId="548910EF" w14:textId="77777777" w:rsidR="004B3F8F" w:rsidRPr="004B3F8F" w:rsidRDefault="004B3F8F" w:rsidP="004B3F8F">
      <w:pPr>
        <w:spacing w:after="200" w:line="480" w:lineRule="auto"/>
        <w:ind w:left="709" w:hanging="709"/>
        <w:jc w:val="both"/>
        <w:rPr>
          <w:rFonts w:ascii="Arial" w:eastAsiaTheme="minorHAnsi" w:hAnsi="Arial" w:cs="Arial"/>
          <w:kern w:val="0"/>
          <w:lang w:val="en-US" w:eastAsia="en-US"/>
          <w14:ligatures w14:val="none"/>
        </w:rPr>
      </w:pPr>
      <w:bookmarkStart w:id="881" w:name="_Hlk42376916"/>
      <w:r w:rsidRPr="004B3F8F">
        <w:rPr>
          <w:rFonts w:ascii="Arial" w:eastAsiaTheme="minorHAnsi" w:hAnsi="Arial" w:cs="Arial"/>
          <w:kern w:val="0"/>
          <w:lang w:val="en-US" w:eastAsia="en-US"/>
          <w14:ligatures w14:val="none"/>
        </w:rPr>
        <w:t>Dennis</w:t>
      </w:r>
      <w:bookmarkEnd w:id="881"/>
      <w:r w:rsidRPr="004B3F8F">
        <w:rPr>
          <w:rFonts w:ascii="Arial" w:eastAsiaTheme="minorHAnsi" w:hAnsi="Arial" w:cs="Arial"/>
          <w:kern w:val="0"/>
          <w:lang w:val="en-US" w:eastAsia="en-US"/>
          <w14:ligatures w14:val="none"/>
        </w:rPr>
        <w:t xml:space="preserve">, H. 2017. “Forensic Accounting, Fraud Theory and, the End of the Fraud Triangle.” </w:t>
      </w:r>
      <w:r w:rsidRPr="004B3F8F">
        <w:rPr>
          <w:rFonts w:ascii="Arial" w:eastAsiaTheme="minorHAnsi" w:hAnsi="Arial" w:cs="Arial"/>
          <w:i/>
          <w:iCs/>
          <w:kern w:val="0"/>
          <w:lang w:val="en-US" w:eastAsia="en-US"/>
          <w14:ligatures w14:val="none"/>
        </w:rPr>
        <w:t>Journal of Theoretical Accounting Research</w:t>
      </w:r>
      <w:r w:rsidRPr="004B3F8F">
        <w:rPr>
          <w:rFonts w:ascii="Arial" w:eastAsiaTheme="minorHAnsi" w:hAnsi="Arial" w:cs="Arial"/>
          <w:kern w:val="0"/>
          <w:lang w:val="en-US" w:eastAsia="en-US"/>
          <w14:ligatures w14:val="none"/>
        </w:rPr>
        <w:t xml:space="preserve"> 12, no. 2, pp. 28-49.</w:t>
      </w:r>
    </w:p>
    <w:p w14:paraId="295B7379" w14:textId="77777777" w:rsidR="004B3F8F" w:rsidRPr="004B3F8F" w:rsidRDefault="004B3F8F" w:rsidP="004B3F8F">
      <w:pPr>
        <w:spacing w:after="200" w:line="480" w:lineRule="auto"/>
        <w:ind w:left="785" w:hangingChars="327" w:hanging="785"/>
        <w:jc w:val="both"/>
        <w:rPr>
          <w:rFonts w:asciiTheme="minorBidi" w:eastAsiaTheme="minorHAnsi" w:hAnsiTheme="minorBidi"/>
          <w:kern w:val="0"/>
          <w:lang w:val="en-US" w:eastAsia="en-US"/>
          <w14:ligatures w14:val="none"/>
        </w:rPr>
      </w:pPr>
      <w:r w:rsidRPr="004B3F8F">
        <w:rPr>
          <w:rFonts w:asciiTheme="minorBidi" w:eastAsiaTheme="minorHAnsi" w:hAnsiTheme="minorBidi"/>
          <w:kern w:val="0"/>
          <w:lang w:eastAsia="en-US"/>
          <w14:ligatures w14:val="none"/>
        </w:rPr>
        <w:t>Denzin, N. K. &amp; Lincoln, Y. S., 2011. The SAGE Handbook of Qualitative Research. 4th ed. New York: SAGE Publications.</w:t>
      </w:r>
    </w:p>
    <w:p w14:paraId="3469A9D9"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82" w:name="_Hlk42376948"/>
      <w:r w:rsidRPr="004B3F8F">
        <w:rPr>
          <w:rFonts w:ascii="Arial" w:eastAsiaTheme="minorHAnsi" w:hAnsi="Arial" w:cs="Arial"/>
          <w:kern w:val="0"/>
          <w:lang w:val="en-US" w:eastAsia="en-US"/>
          <w14:ligatures w14:val="none"/>
        </w:rPr>
        <w:t>Desai</w:t>
      </w:r>
      <w:bookmarkEnd w:id="882"/>
      <w:r w:rsidRPr="004B3F8F">
        <w:rPr>
          <w:rFonts w:ascii="Arial" w:eastAsiaTheme="minorHAnsi" w:hAnsi="Arial" w:cs="Arial"/>
          <w:kern w:val="0"/>
          <w:lang w:val="en-US" w:eastAsia="en-US"/>
          <w14:ligatures w14:val="none"/>
        </w:rPr>
        <w:t xml:space="preserve">, N., G. Trompeter, and A. Wright. 2010. “How Does Rationalization and its Interactions with Pressure and Opportunity Affect the Likelihood of Earnings Management?” Working Paper. www.ssrn.com, </w:t>
      </w:r>
      <w:r w:rsidRPr="004B3F8F">
        <w:rPr>
          <w:rFonts w:ascii="Arial" w:eastAsiaTheme="minorHAnsi" w:hAnsi="Arial" w:cs="Arial"/>
          <w:kern w:val="0"/>
          <w:shd w:val="clear" w:color="auto" w:fill="FFFFFF"/>
          <w:lang w:val="en-US" w:eastAsia="en-US"/>
          <w14:ligatures w14:val="none"/>
        </w:rPr>
        <w:t>(accessed July 31, 2018).</w:t>
      </w:r>
    </w:p>
    <w:p w14:paraId="54A5A8D9"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83" w:name="_Hlk42376971"/>
      <w:r w:rsidRPr="004B3F8F">
        <w:rPr>
          <w:rFonts w:ascii="Arial" w:eastAsiaTheme="minorHAnsi" w:hAnsi="Arial" w:cs="Arial"/>
          <w:kern w:val="0"/>
          <w:lang w:val="en-US" w:eastAsia="en-US"/>
          <w14:ligatures w14:val="none"/>
        </w:rPr>
        <w:t>Deutschman</w:t>
      </w:r>
      <w:bookmarkEnd w:id="883"/>
      <w:r w:rsidRPr="004B3F8F">
        <w:rPr>
          <w:rFonts w:ascii="Arial" w:eastAsiaTheme="minorHAnsi" w:hAnsi="Arial" w:cs="Arial"/>
          <w:kern w:val="0"/>
          <w:lang w:val="en-US" w:eastAsia="en-US"/>
          <w14:ligatures w14:val="none"/>
        </w:rPr>
        <w:t>, A. 2005. “Is Your Boss a Psychopath?”</w:t>
      </w:r>
      <w:r w:rsidRPr="004B3F8F">
        <w:rPr>
          <w:rFonts w:ascii="Arial" w:eastAsiaTheme="minorHAnsi" w:hAnsi="Arial" w:cs="Arial"/>
          <w:i/>
          <w:iCs/>
          <w:kern w:val="0"/>
          <w:lang w:val="en-US" w:eastAsia="en-US"/>
          <w14:ligatures w14:val="none"/>
        </w:rPr>
        <w:t xml:space="preserve"> </w:t>
      </w:r>
      <w:r w:rsidRPr="004B3F8F">
        <w:rPr>
          <w:rFonts w:ascii="Arial" w:eastAsiaTheme="minorHAnsi" w:hAnsi="Arial" w:cs="Arial"/>
          <w:kern w:val="0"/>
          <w:lang w:val="en-US" w:eastAsia="en-US"/>
          <w14:ligatures w14:val="none"/>
        </w:rPr>
        <w:t xml:space="preserve">http://www.fastcompany. com/53247/your-boss-psychopath, </w:t>
      </w:r>
      <w:r w:rsidRPr="004B3F8F">
        <w:rPr>
          <w:rFonts w:ascii="Arial" w:eastAsiaTheme="minorHAnsi" w:hAnsi="Arial" w:cs="Arial"/>
          <w:kern w:val="0"/>
          <w:shd w:val="clear" w:color="auto" w:fill="FFFFFF"/>
          <w:lang w:val="en-US" w:eastAsia="en-US"/>
          <w14:ligatures w14:val="none"/>
        </w:rPr>
        <w:t>(accessed December 24, 2017).</w:t>
      </w:r>
    </w:p>
    <w:p w14:paraId="724B5D74"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84" w:name="_Hlk42376986"/>
      <w:r w:rsidRPr="004B3F8F">
        <w:rPr>
          <w:rFonts w:ascii="Arial" w:eastAsiaTheme="minorHAnsi" w:hAnsi="Arial" w:cs="Arial"/>
          <w:kern w:val="0"/>
          <w:lang w:val="en-US" w:eastAsia="en-US"/>
          <w14:ligatures w14:val="none"/>
        </w:rPr>
        <w:lastRenderedPageBreak/>
        <w:t>Dewing</w:t>
      </w:r>
      <w:bookmarkEnd w:id="884"/>
      <w:r w:rsidRPr="004B3F8F">
        <w:rPr>
          <w:rFonts w:ascii="Arial" w:eastAsiaTheme="minorHAnsi" w:hAnsi="Arial" w:cs="Arial"/>
          <w:kern w:val="0"/>
          <w:lang w:val="en-US" w:eastAsia="en-US"/>
          <w14:ligatures w14:val="none"/>
        </w:rPr>
        <w:t xml:space="preserve">, I.P., and P.O. </w:t>
      </w:r>
      <w:bookmarkStart w:id="885" w:name="_Hlk42376994"/>
      <w:r w:rsidRPr="004B3F8F">
        <w:rPr>
          <w:rFonts w:ascii="Arial" w:eastAsiaTheme="minorHAnsi" w:hAnsi="Arial" w:cs="Arial"/>
          <w:kern w:val="0"/>
          <w:lang w:val="en-US" w:eastAsia="en-US"/>
          <w14:ligatures w14:val="none"/>
        </w:rPr>
        <w:t>Russell</w:t>
      </w:r>
      <w:bookmarkEnd w:id="885"/>
      <w:r w:rsidRPr="004B3F8F">
        <w:rPr>
          <w:rFonts w:ascii="Arial" w:eastAsiaTheme="minorHAnsi" w:hAnsi="Arial" w:cs="Arial"/>
          <w:kern w:val="0"/>
          <w:lang w:val="en-US" w:eastAsia="en-US"/>
          <w14:ligatures w14:val="none"/>
        </w:rPr>
        <w:t xml:space="preserve">. 2002. “UK Fund Managers, Audit Regulation and the New Accountancy Foundation: Towards a Narrowing of the Audit Expectations Gap?” </w:t>
      </w:r>
      <w:r w:rsidRPr="004B3F8F">
        <w:rPr>
          <w:rFonts w:ascii="Arial" w:eastAsiaTheme="minorHAnsi" w:hAnsi="Arial" w:cs="Arial"/>
          <w:i/>
          <w:iCs/>
          <w:kern w:val="0"/>
          <w:lang w:val="en-US" w:eastAsia="en-US"/>
          <w14:ligatures w14:val="none"/>
        </w:rPr>
        <w:t>Managerial Auditing Journal</w:t>
      </w:r>
      <w:r w:rsidRPr="004B3F8F">
        <w:rPr>
          <w:rFonts w:ascii="Arial" w:eastAsiaTheme="minorHAnsi" w:hAnsi="Arial" w:cs="Arial"/>
          <w:kern w:val="0"/>
          <w:lang w:val="en-US" w:eastAsia="en-US"/>
          <w14:ligatures w14:val="none"/>
        </w:rPr>
        <w:t xml:space="preserve"> 17, no. 9, pp. 537-45.</w:t>
      </w:r>
    </w:p>
    <w:p w14:paraId="504D1610" w14:textId="77777777" w:rsidR="004B3F8F" w:rsidRPr="004B3F8F" w:rsidRDefault="004B3F8F" w:rsidP="004B3F8F">
      <w:pPr>
        <w:spacing w:after="200" w:line="480" w:lineRule="auto"/>
        <w:ind w:left="785" w:hangingChars="327" w:hanging="785"/>
        <w:jc w:val="both"/>
        <w:rPr>
          <w:rFonts w:asciiTheme="minorBidi" w:eastAsiaTheme="minorHAnsi" w:hAnsiTheme="minorBidi"/>
          <w:kern w:val="0"/>
          <w:lang w:val="en-US" w:eastAsia="en-US"/>
          <w14:ligatures w14:val="none"/>
        </w:rPr>
      </w:pPr>
      <w:r w:rsidRPr="004B3F8F">
        <w:rPr>
          <w:rFonts w:asciiTheme="minorBidi" w:eastAsiaTheme="minorHAnsi" w:hAnsiTheme="minorBidi"/>
          <w:kern w:val="0"/>
          <w:lang w:eastAsia="en-US"/>
          <w14:ligatures w14:val="none"/>
        </w:rPr>
        <w:t>Diener, E. &amp; Crandall, R., 1978. Ethics in Social and Behavioral Research. Chicago: University of Chicago Press.</w:t>
      </w:r>
    </w:p>
    <w:p w14:paraId="38544572" w14:textId="73531126" w:rsidR="004B3F8F" w:rsidRPr="004B3F8F" w:rsidRDefault="004B3F8F" w:rsidP="004B3F8F">
      <w:pPr>
        <w:spacing w:after="200" w:line="480" w:lineRule="auto"/>
        <w:ind w:left="785" w:hangingChars="327" w:hanging="785"/>
        <w:jc w:val="both"/>
        <w:rPr>
          <w:rFonts w:ascii="Arial" w:eastAsiaTheme="minorHAnsi" w:hAnsi="Arial" w:cs="Arial"/>
          <w:kern w:val="0"/>
          <w:lang w:eastAsia="en-US"/>
          <w14:ligatures w14:val="none"/>
        </w:rPr>
      </w:pPr>
      <w:r w:rsidRPr="004B3F8F">
        <w:rPr>
          <w:rFonts w:ascii="Arial" w:eastAsiaTheme="minorHAnsi" w:hAnsi="Arial" w:cs="Arial"/>
          <w:kern w:val="0"/>
          <w:lang w:val="en-US" w:eastAsia="en-US"/>
          <w14:ligatures w14:val="none"/>
        </w:rPr>
        <w:t>Digital Asset. 2016. The Digital Asset Platform: Non-Technical White Paper</w:t>
      </w:r>
      <w:r w:rsidRPr="004B3F8F">
        <w:rPr>
          <w:rFonts w:ascii="Arial" w:eastAsiaTheme="minorHAnsi" w:hAnsi="Arial" w:cs="Arial"/>
          <w:i/>
          <w:iCs/>
          <w:kern w:val="0"/>
          <w:lang w:val="en-US" w:eastAsia="en-US"/>
          <w14:ligatures w14:val="none"/>
        </w:rPr>
        <w:t xml:space="preserve">. </w:t>
      </w:r>
      <w:r w:rsidRPr="004B3F8F">
        <w:rPr>
          <w:rFonts w:ascii="Arial" w:eastAsiaTheme="minorHAnsi" w:hAnsi="Arial" w:cs="Arial"/>
          <w:kern w:val="0"/>
          <w:lang w:val="en-US" w:eastAsia="en-US"/>
          <w14:ligatures w14:val="none"/>
        </w:rPr>
        <w:t>Digital Asset Holdings, LLC.</w:t>
      </w:r>
      <w:r w:rsidRPr="004B3F8F">
        <w:rPr>
          <w:rFonts w:ascii="Arial" w:eastAsiaTheme="minorHAnsi" w:hAnsi="Arial" w:cs="Arial"/>
          <w:kern w:val="0"/>
          <w:lang w:eastAsia="en-US"/>
          <w14:ligatures w14:val="none"/>
        </w:rPr>
        <w:t xml:space="preserve"> </w:t>
      </w:r>
      <w:hyperlink r:id="rId79" w:history="1">
        <w:r w:rsidRPr="004B3F8F">
          <w:rPr>
            <w:rFonts w:ascii="Arial" w:eastAsiaTheme="minorHAnsi" w:hAnsi="Arial" w:cs="Arial"/>
            <w:kern w:val="0"/>
            <w:lang w:eastAsia="en-US"/>
            <w14:ligatures w14:val="none"/>
          </w:rPr>
          <w:t>https://hub.digitalasset.com/hubfs/Documents/Digital%20Asset%20Platform%20-%20Non-technical%20White%20Paper.pdf</w:t>
        </w:r>
      </w:hyperlink>
    </w:p>
    <w:p w14:paraId="13F8F3E5" w14:textId="77777777" w:rsidR="004B3F8F" w:rsidRPr="004B3F8F" w:rsidRDefault="004B3F8F" w:rsidP="004B3F8F">
      <w:pPr>
        <w:tabs>
          <w:tab w:val="left" w:pos="851"/>
        </w:tabs>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lang w:val="it-IT"/>
          <w14:ligatures w14:val="none"/>
        </w:rPr>
        <w:t xml:space="preserve">Di Vaio, A., Palladino, R., &amp; Pezzi, A. 2021. </w:t>
      </w:r>
      <w:r w:rsidRPr="004B3F8F">
        <w:rPr>
          <w:rFonts w:asciiTheme="minorBidi" w:eastAsia="Times New Roman" w:hAnsiTheme="minorBidi"/>
          <w:kern w:val="0"/>
          <w14:ligatures w14:val="none"/>
        </w:rPr>
        <w:t xml:space="preserve">"The Role of Digital Innovation in Shaping Accounting and Management Practices: Towards a Conceptual Framework." </w:t>
      </w:r>
      <w:r w:rsidRPr="004B3F8F">
        <w:rPr>
          <w:rFonts w:asciiTheme="minorBidi" w:eastAsia="Times New Roman" w:hAnsiTheme="minorBidi"/>
          <w:i/>
          <w:iCs/>
          <w:kern w:val="0"/>
          <w14:ligatures w14:val="none"/>
        </w:rPr>
        <w:t>Accounting, Auditing &amp; Accountability Journal</w:t>
      </w:r>
      <w:r w:rsidRPr="004B3F8F">
        <w:rPr>
          <w:rFonts w:asciiTheme="minorBidi" w:eastAsia="Times New Roman" w:hAnsiTheme="minorBidi"/>
          <w:kern w:val="0"/>
          <w14:ligatures w14:val="none"/>
        </w:rPr>
        <w:t>, 34(5), 1032-1059.</w:t>
      </w:r>
    </w:p>
    <w:p w14:paraId="50B144A0" w14:textId="77777777" w:rsidR="004B3F8F" w:rsidRPr="004B3F8F" w:rsidRDefault="004B3F8F" w:rsidP="004B3F8F">
      <w:pPr>
        <w:spacing w:after="200" w:line="480" w:lineRule="auto"/>
        <w:jc w:val="both"/>
        <w:rPr>
          <w:rFonts w:ascii="Arial" w:eastAsiaTheme="minorHAnsi" w:hAnsi="Arial" w:cs="Arial"/>
          <w:kern w:val="0"/>
          <w:lang w:val="en-US" w:eastAsia="en-US"/>
          <w14:ligatures w14:val="none"/>
        </w:rPr>
      </w:pPr>
      <w:bookmarkStart w:id="886" w:name="_Hlk42377010"/>
      <w:r w:rsidRPr="004B3F8F">
        <w:rPr>
          <w:rFonts w:ascii="Arial" w:eastAsiaTheme="minorHAnsi" w:hAnsi="Arial" w:cs="Arial"/>
          <w:kern w:val="0"/>
          <w:lang w:val="en-US" w:eastAsia="en-US"/>
          <w14:ligatures w14:val="none"/>
        </w:rPr>
        <w:t>Donald Warren</w:t>
      </w:r>
      <w:bookmarkEnd w:id="886"/>
      <w:r w:rsidRPr="004B3F8F">
        <w:rPr>
          <w:rFonts w:ascii="Arial" w:eastAsiaTheme="minorHAnsi" w:hAnsi="Arial" w:cs="Arial"/>
          <w:kern w:val="0"/>
          <w:lang w:val="en-US" w:eastAsia="en-US"/>
          <w14:ligatures w14:val="none"/>
        </w:rPr>
        <w:t>, J. Jr., K.C. Moffitt, and P. Byrnes. 2015. “</w:t>
      </w:r>
      <w:r w:rsidRPr="004B3F8F">
        <w:rPr>
          <w:rFonts w:ascii="Arial" w:eastAsiaTheme="minorHAnsi" w:hAnsi="Arial" w:cs="Arial"/>
          <w:iCs/>
          <w:kern w:val="0"/>
          <w:lang w:val="en-US" w:eastAsia="en-US"/>
          <w14:ligatures w14:val="none"/>
        </w:rPr>
        <w:t>How Big Data Will Change Accounting</w:t>
      </w:r>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i/>
          <w:kern w:val="0"/>
          <w:lang w:val="en-US" w:eastAsia="en-US"/>
          <w14:ligatures w14:val="none"/>
        </w:rPr>
        <w:t>Accounting Horizons</w:t>
      </w:r>
      <w:r w:rsidRPr="004B3F8F">
        <w:rPr>
          <w:rFonts w:ascii="Arial" w:eastAsiaTheme="minorHAnsi" w:hAnsi="Arial" w:cs="Arial"/>
          <w:kern w:val="0"/>
          <w:lang w:val="en-US" w:eastAsia="en-US"/>
          <w14:ligatures w14:val="none"/>
        </w:rPr>
        <w:t xml:space="preserve"> 29, no. 2, pp. 397-407.</w:t>
      </w:r>
    </w:p>
    <w:p w14:paraId="3BA27CF3"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87" w:name="_Hlk42377023"/>
      <w:r w:rsidRPr="004B3F8F">
        <w:rPr>
          <w:rFonts w:ascii="Arial" w:eastAsiaTheme="minorHAnsi" w:hAnsi="Arial" w:cs="Arial"/>
          <w:kern w:val="0"/>
          <w:lang w:val="en-US" w:eastAsia="en-US"/>
          <w14:ligatures w14:val="none"/>
        </w:rPr>
        <w:t>Donegan</w:t>
      </w:r>
      <w:bookmarkEnd w:id="887"/>
      <w:r w:rsidRPr="004B3F8F">
        <w:rPr>
          <w:rFonts w:ascii="Arial" w:eastAsiaTheme="minorHAnsi" w:hAnsi="Arial" w:cs="Arial"/>
          <w:kern w:val="0"/>
          <w:lang w:val="en-US" w:eastAsia="en-US"/>
          <w14:ligatures w14:val="none"/>
        </w:rPr>
        <w:t xml:space="preserve">, J.J., and M.W. </w:t>
      </w:r>
      <w:bookmarkStart w:id="888" w:name="_Hlk42377031"/>
      <w:r w:rsidRPr="004B3F8F">
        <w:rPr>
          <w:rFonts w:ascii="Arial" w:eastAsiaTheme="minorHAnsi" w:hAnsi="Arial" w:cs="Arial"/>
          <w:kern w:val="0"/>
          <w:lang w:val="en-US" w:eastAsia="en-US"/>
          <w14:ligatures w14:val="none"/>
        </w:rPr>
        <w:t>Ganon</w:t>
      </w:r>
      <w:bookmarkEnd w:id="888"/>
      <w:r w:rsidRPr="004B3F8F">
        <w:rPr>
          <w:rFonts w:ascii="Arial" w:eastAsiaTheme="minorHAnsi" w:hAnsi="Arial" w:cs="Arial"/>
          <w:kern w:val="0"/>
          <w:lang w:val="en-US" w:eastAsia="en-US"/>
          <w14:ligatures w14:val="none"/>
        </w:rPr>
        <w:t xml:space="preserve">. 2008. “Strain, Differential Association, and Coercion: Insights from the Criminology Literature on Causes of Accountant’s Misconduct.” </w:t>
      </w:r>
      <w:r w:rsidRPr="004B3F8F">
        <w:rPr>
          <w:rFonts w:ascii="Arial" w:eastAsiaTheme="minorHAnsi" w:hAnsi="Arial" w:cs="Arial"/>
          <w:i/>
          <w:iCs/>
          <w:kern w:val="0"/>
          <w:lang w:val="en-US" w:eastAsia="en-US"/>
          <w14:ligatures w14:val="none"/>
        </w:rPr>
        <w:t>Accounting and the Public Interest</w:t>
      </w:r>
      <w:r w:rsidRPr="004B3F8F">
        <w:rPr>
          <w:rFonts w:ascii="Arial" w:eastAsiaTheme="minorHAnsi" w:hAnsi="Arial" w:cs="Arial"/>
          <w:kern w:val="0"/>
          <w:lang w:val="en-US" w:eastAsia="en-US"/>
          <w14:ligatures w14:val="none"/>
        </w:rPr>
        <w:t xml:space="preserve"> 8, no. 1, pp. 1-20.</w:t>
      </w:r>
    </w:p>
    <w:p w14:paraId="63A05369"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89" w:name="_Hlk42377041"/>
      <w:r w:rsidRPr="004B3F8F">
        <w:rPr>
          <w:rFonts w:ascii="Arial" w:eastAsiaTheme="minorHAnsi" w:hAnsi="Arial" w:cs="Arial"/>
          <w:kern w:val="0"/>
          <w:lang w:val="en-US" w:eastAsia="en-US"/>
          <w14:ligatures w14:val="none"/>
        </w:rPr>
        <w:t>Dorminey</w:t>
      </w:r>
      <w:bookmarkEnd w:id="889"/>
      <w:r w:rsidRPr="004B3F8F">
        <w:rPr>
          <w:rFonts w:ascii="Arial" w:eastAsiaTheme="minorHAnsi" w:hAnsi="Arial" w:cs="Arial"/>
          <w:kern w:val="0"/>
          <w:lang w:val="en-US" w:eastAsia="en-US"/>
          <w14:ligatures w14:val="none"/>
        </w:rPr>
        <w:t xml:space="preserve">, J., S. Fleming, M. Kranacher, and R. Riley, 2011. “The Evolution of Fraud Theory.” </w:t>
      </w:r>
      <w:r w:rsidRPr="004B3F8F">
        <w:rPr>
          <w:rFonts w:ascii="Arial" w:eastAsiaTheme="minorHAnsi" w:hAnsi="Arial" w:cs="Arial"/>
          <w:i/>
          <w:kern w:val="0"/>
          <w:lang w:val="en-US" w:eastAsia="en-US"/>
          <w14:ligatures w14:val="none"/>
        </w:rPr>
        <w:t>American Accounting Association Annual Meeting</w:t>
      </w:r>
      <w:r w:rsidRPr="004B3F8F">
        <w:rPr>
          <w:rFonts w:ascii="Arial" w:eastAsiaTheme="minorHAnsi" w:hAnsi="Arial" w:cs="Arial"/>
          <w:kern w:val="0"/>
          <w:lang w:val="en-US" w:eastAsia="en-US"/>
          <w14:ligatures w14:val="none"/>
        </w:rPr>
        <w:t>. Denver, pp. 1-58.</w:t>
      </w:r>
    </w:p>
    <w:p w14:paraId="18ACDAE2"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Dorminey, J., A. Fleming, M. Kranacher, and R. Riley. 2012. “The Evolution of Fraud Theory.” </w:t>
      </w:r>
      <w:r w:rsidRPr="004B3F8F">
        <w:rPr>
          <w:rFonts w:ascii="Arial" w:eastAsiaTheme="minorHAnsi" w:hAnsi="Arial" w:cs="Arial"/>
          <w:i/>
          <w:iCs/>
          <w:kern w:val="0"/>
          <w:lang w:val="en-US" w:eastAsia="en-US"/>
          <w14:ligatures w14:val="none"/>
        </w:rPr>
        <w:t>Issues in Accounting Education</w:t>
      </w:r>
      <w:r w:rsidRPr="004B3F8F">
        <w:rPr>
          <w:rFonts w:ascii="Arial" w:eastAsiaTheme="minorHAnsi" w:hAnsi="Arial" w:cs="Arial"/>
          <w:kern w:val="0"/>
          <w:lang w:val="en-US" w:eastAsia="en-US"/>
          <w14:ligatures w14:val="none"/>
        </w:rPr>
        <w:t xml:space="preserve"> 27, no. 2, pp. 555-79.</w:t>
      </w:r>
    </w:p>
    <w:p w14:paraId="3A55CD9E"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90" w:name="_Hlk42377060"/>
      <w:r w:rsidRPr="004B3F8F">
        <w:rPr>
          <w:rFonts w:ascii="Arial" w:eastAsiaTheme="minorHAnsi" w:hAnsi="Arial" w:cs="Arial"/>
          <w:kern w:val="0"/>
          <w:lang w:val="en-US" w:eastAsia="en-US"/>
          <w14:ligatures w14:val="none"/>
        </w:rPr>
        <w:lastRenderedPageBreak/>
        <w:t>Dorminey</w:t>
      </w:r>
      <w:bookmarkEnd w:id="890"/>
      <w:r w:rsidRPr="004B3F8F">
        <w:rPr>
          <w:rFonts w:ascii="Arial" w:eastAsiaTheme="minorHAnsi" w:hAnsi="Arial" w:cs="Arial"/>
          <w:kern w:val="0"/>
          <w:lang w:val="en-US" w:eastAsia="en-US"/>
          <w14:ligatures w14:val="none"/>
        </w:rPr>
        <w:t xml:space="preserve">, J.W., S.A. Fleming, M.J. Kranacher, and R.A. Rilley. 2010. “Beyond the Fraud Triangle: Enhancing Deterrence of Economic Crimes.” </w:t>
      </w:r>
      <w:r w:rsidRPr="004B3F8F">
        <w:rPr>
          <w:rFonts w:ascii="Arial" w:eastAsiaTheme="minorHAnsi" w:hAnsi="Arial" w:cs="Arial"/>
          <w:i/>
          <w:iCs/>
          <w:kern w:val="0"/>
          <w:lang w:val="en-US" w:eastAsia="en-US"/>
          <w14:ligatures w14:val="none"/>
        </w:rPr>
        <w:t>The CPA Journal</w:t>
      </w:r>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shd w:val="clear" w:color="auto" w:fill="FFFFFF"/>
          <w:lang w:eastAsia="en-US"/>
          <w14:ligatures w14:val="none"/>
        </w:rPr>
        <w:t>; New York</w:t>
      </w:r>
      <w:hyperlink r:id="rId80" w:tooltip="Click to search for more items from this issue" w:history="1">
        <w:r w:rsidRPr="004B3F8F">
          <w:rPr>
            <w:rFonts w:ascii="Arial" w:eastAsiaTheme="minorHAnsi" w:hAnsi="Arial" w:cs="Arial"/>
            <w:kern w:val="0"/>
            <w:shd w:val="clear" w:color="auto" w:fill="FFFFFF"/>
            <w:lang w:eastAsia="en-US"/>
            <w14:ligatures w14:val="none"/>
          </w:rPr>
          <w:t> Vol. 80, </w:t>
        </w:r>
        <w:proofErr w:type="spellStart"/>
        <w:r w:rsidRPr="004B3F8F">
          <w:rPr>
            <w:rFonts w:ascii="Arial" w:eastAsiaTheme="minorHAnsi" w:hAnsi="Arial" w:cs="Arial"/>
            <w:kern w:val="0"/>
            <w:shd w:val="clear" w:color="auto" w:fill="FFFFFF"/>
            <w:lang w:eastAsia="en-US"/>
            <w14:ligatures w14:val="none"/>
          </w:rPr>
          <w:t>Iss</w:t>
        </w:r>
        <w:proofErr w:type="spellEnd"/>
        <w:r w:rsidRPr="004B3F8F">
          <w:rPr>
            <w:rFonts w:ascii="Arial" w:eastAsiaTheme="minorHAnsi" w:hAnsi="Arial" w:cs="Arial"/>
            <w:kern w:val="0"/>
            <w:shd w:val="clear" w:color="auto" w:fill="FFFFFF"/>
            <w:lang w:eastAsia="en-US"/>
            <w14:ligatures w14:val="none"/>
          </w:rPr>
          <w:t>. 7, </w:t>
        </w:r>
      </w:hyperlink>
      <w:r w:rsidRPr="004B3F8F">
        <w:rPr>
          <w:rFonts w:ascii="Arial" w:eastAsiaTheme="minorHAnsi" w:hAnsi="Arial" w:cs="Arial"/>
          <w:kern w:val="0"/>
          <w:shd w:val="clear" w:color="auto" w:fill="FFFFFF"/>
          <w:lang w:eastAsia="en-US"/>
          <w14:ligatures w14:val="none"/>
        </w:rPr>
        <w:t> (Jul 2010): 17-23,3</w:t>
      </w:r>
    </w:p>
    <w:p w14:paraId="08BE051D"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91" w:name="_Hlk42377087"/>
      <w:r w:rsidRPr="004B3F8F">
        <w:rPr>
          <w:rFonts w:ascii="Arial" w:eastAsiaTheme="minorHAnsi" w:hAnsi="Arial" w:cs="Arial"/>
          <w:kern w:val="0"/>
          <w:lang w:val="en-US" w:eastAsia="en-US"/>
          <w14:ligatures w14:val="none"/>
        </w:rPr>
        <w:t>Duarte</w:t>
      </w:r>
      <w:bookmarkEnd w:id="891"/>
      <w:r w:rsidRPr="004B3F8F">
        <w:rPr>
          <w:rFonts w:ascii="Arial" w:eastAsiaTheme="minorHAnsi" w:hAnsi="Arial" w:cs="Arial"/>
          <w:kern w:val="0"/>
          <w:lang w:val="en-US" w:eastAsia="en-US"/>
          <w14:ligatures w14:val="none"/>
        </w:rPr>
        <w:t xml:space="preserve">, J., K. Kong, S. Siegel, and L. Young. 2014. “The Impact of the Sarbanes–Oxley Act on Shareholders and Managers of Foreign Firms.” </w:t>
      </w:r>
      <w:r w:rsidRPr="004B3F8F">
        <w:rPr>
          <w:rFonts w:ascii="Arial" w:eastAsiaTheme="minorHAnsi" w:hAnsi="Arial" w:cs="Arial"/>
          <w:i/>
          <w:kern w:val="0"/>
          <w:lang w:val="en-US" w:eastAsia="en-US"/>
          <w14:ligatures w14:val="none"/>
        </w:rPr>
        <w:t>Review of Finance</w:t>
      </w:r>
      <w:r w:rsidRPr="004B3F8F">
        <w:rPr>
          <w:rFonts w:ascii="Arial" w:eastAsiaTheme="minorHAnsi" w:hAnsi="Arial" w:cs="Arial"/>
          <w:kern w:val="0"/>
          <w:lang w:val="en-US" w:eastAsia="en-US"/>
          <w14:ligatures w14:val="none"/>
        </w:rPr>
        <w:t xml:space="preserve"> 18, no. 1, pp. 417-55.</w:t>
      </w:r>
    </w:p>
    <w:p w14:paraId="7CD6CD6C"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92" w:name="_Hlk42377113"/>
      <w:r w:rsidRPr="004B3F8F">
        <w:rPr>
          <w:rFonts w:ascii="Arial" w:eastAsiaTheme="minorHAnsi" w:hAnsi="Arial" w:cs="Arial"/>
          <w:kern w:val="0"/>
          <w:lang w:val="en-US" w:eastAsia="en-US"/>
          <w14:ligatures w14:val="none"/>
        </w:rPr>
        <w:t>Dunn</w:t>
      </w:r>
      <w:bookmarkEnd w:id="892"/>
      <w:r w:rsidRPr="004B3F8F">
        <w:rPr>
          <w:rFonts w:ascii="Arial" w:eastAsiaTheme="minorHAnsi" w:hAnsi="Arial" w:cs="Arial"/>
          <w:kern w:val="0"/>
          <w:lang w:val="en-US" w:eastAsia="en-US"/>
          <w14:ligatures w14:val="none"/>
        </w:rPr>
        <w:t xml:space="preserve">, P. 1999. </w:t>
      </w:r>
      <w:r w:rsidRPr="004B3F8F">
        <w:rPr>
          <w:rFonts w:ascii="Arial" w:eastAsiaTheme="minorHAnsi" w:hAnsi="Arial" w:cs="Arial"/>
          <w:i/>
          <w:iCs/>
          <w:kern w:val="0"/>
          <w:lang w:val="en-US" w:eastAsia="en-US"/>
          <w14:ligatures w14:val="none"/>
        </w:rPr>
        <w:t>Fraudulent Financial Reporting: A Deception Based on Predisposition, Motive, and Opportunity</w:t>
      </w:r>
      <w:r w:rsidRPr="004B3F8F">
        <w:rPr>
          <w:rFonts w:ascii="Arial" w:eastAsiaTheme="minorHAnsi" w:hAnsi="Arial" w:cs="Arial"/>
          <w:kern w:val="0"/>
          <w:lang w:val="en-US" w:eastAsia="en-US"/>
          <w14:ligatures w14:val="none"/>
        </w:rPr>
        <w:t>. PhD Thesis. Boston University, Graduate School of Management.</w:t>
      </w:r>
    </w:p>
    <w:p w14:paraId="5793A8A9"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Dunn, P. 2004. “The Impact of Insider Power on Fraudulent Financial Reporting.” </w:t>
      </w:r>
      <w:r w:rsidRPr="004B3F8F">
        <w:rPr>
          <w:rFonts w:ascii="Arial" w:eastAsiaTheme="minorHAnsi" w:hAnsi="Arial" w:cs="Arial"/>
          <w:i/>
          <w:iCs/>
          <w:kern w:val="0"/>
          <w:lang w:val="en-US" w:eastAsia="en-US"/>
          <w14:ligatures w14:val="none"/>
        </w:rPr>
        <w:t>Journal of Management</w:t>
      </w:r>
      <w:r w:rsidRPr="004B3F8F">
        <w:rPr>
          <w:rFonts w:ascii="Arial" w:eastAsiaTheme="minorHAnsi" w:hAnsi="Arial" w:cs="Arial"/>
          <w:kern w:val="0"/>
          <w:lang w:val="en-US" w:eastAsia="en-US"/>
          <w14:ligatures w14:val="none"/>
        </w:rPr>
        <w:t xml:space="preserve"> 30, no. 3, pp. 397-412.</w:t>
      </w:r>
    </w:p>
    <w:p w14:paraId="56BA421F" w14:textId="77777777" w:rsidR="004B3F8F" w:rsidRPr="004B3F8F" w:rsidRDefault="004B3F8F" w:rsidP="004B3F8F">
      <w:pPr>
        <w:spacing w:before="100" w:beforeAutospacing="1" w:after="100" w:afterAutospacing="1" w:line="480" w:lineRule="auto"/>
        <w:ind w:left="709" w:hanging="709"/>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Dutton, K. 2012. </w:t>
      </w:r>
      <w:r w:rsidRPr="004B3F8F">
        <w:rPr>
          <w:rFonts w:asciiTheme="minorBidi" w:eastAsia="Times New Roman" w:hAnsiTheme="minorBidi"/>
          <w:i/>
          <w:iCs/>
          <w:kern w:val="0"/>
          <w14:ligatures w14:val="none"/>
        </w:rPr>
        <w:t>The Wisdom of Psychopaths: What Saints, Spies, and Serial Killers Can Teach Us About Success</w:t>
      </w:r>
      <w:r w:rsidRPr="004B3F8F">
        <w:rPr>
          <w:rFonts w:asciiTheme="minorBidi" w:eastAsia="Times New Roman" w:hAnsiTheme="minorBidi"/>
          <w:kern w:val="0"/>
          <w14:ligatures w14:val="none"/>
        </w:rPr>
        <w:t>. Scientific American / Farrar, Straus and Giroux.</w:t>
      </w:r>
    </w:p>
    <w:p w14:paraId="42877A3A" w14:textId="77777777" w:rsidR="004B3F8F" w:rsidRPr="004B3F8F" w:rsidRDefault="004B3F8F" w:rsidP="004B3F8F">
      <w:pPr>
        <w:spacing w:before="100" w:beforeAutospacing="1" w:after="100" w:afterAutospacing="1" w:line="480" w:lineRule="auto"/>
        <w:ind w:left="709" w:hanging="709"/>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Dutton, K.D., &amp; Dutton, D.G. 2020. "The Psychology of Fraud: A Comprehensive Review of the Impact of Psychopathy on Fraudulent Behavior." Journal of Business Ethics, 163(2), 317-332.</w:t>
      </w:r>
    </w:p>
    <w:p w14:paraId="6268CA2D" w14:textId="77777777" w:rsidR="004B3F8F" w:rsidRPr="004B3F8F" w:rsidRDefault="004B3F8F" w:rsidP="004B3F8F">
      <w:pPr>
        <w:spacing w:after="200" w:line="480" w:lineRule="auto"/>
        <w:ind w:left="709" w:hanging="709"/>
        <w:jc w:val="both"/>
        <w:rPr>
          <w:rFonts w:ascii="Arial" w:eastAsiaTheme="minorHAnsi" w:hAnsi="Arial" w:cs="Arial"/>
          <w:kern w:val="0"/>
          <w:lang w:val="en-US" w:eastAsia="en-US"/>
          <w14:ligatures w14:val="none"/>
        </w:rPr>
      </w:pPr>
      <w:bookmarkStart w:id="893" w:name="_Hlk42377137"/>
      <w:r w:rsidRPr="004B3F8F">
        <w:rPr>
          <w:rFonts w:ascii="Arial" w:eastAsiaTheme="minorHAnsi" w:hAnsi="Arial" w:cs="Arial"/>
          <w:kern w:val="0"/>
          <w:lang w:val="en-US" w:eastAsia="en-US"/>
          <w14:ligatures w14:val="none"/>
        </w:rPr>
        <w:t>Dzuranin</w:t>
      </w:r>
      <w:bookmarkEnd w:id="893"/>
      <w:r w:rsidRPr="004B3F8F">
        <w:rPr>
          <w:rFonts w:ascii="Arial" w:eastAsiaTheme="minorHAnsi" w:hAnsi="Arial" w:cs="Arial"/>
          <w:kern w:val="0"/>
          <w:lang w:val="en-US" w:eastAsia="en-US"/>
          <w14:ligatures w14:val="none"/>
        </w:rPr>
        <w:t xml:space="preserve">, A C., and I. </w:t>
      </w:r>
      <w:bookmarkStart w:id="894" w:name="_Hlk42377146"/>
      <w:r w:rsidRPr="004B3F8F">
        <w:rPr>
          <w:rFonts w:ascii="Arial" w:eastAsiaTheme="minorHAnsi" w:hAnsi="Arial" w:cs="Arial"/>
          <w:kern w:val="0"/>
          <w:lang w:val="en-US" w:eastAsia="en-US"/>
          <w14:ligatures w14:val="none"/>
        </w:rPr>
        <w:t>Mălăescu</w:t>
      </w:r>
      <w:bookmarkEnd w:id="894"/>
      <w:r w:rsidRPr="004B3F8F">
        <w:rPr>
          <w:rFonts w:ascii="Arial" w:eastAsiaTheme="minorHAnsi" w:hAnsi="Arial" w:cs="Arial"/>
          <w:kern w:val="0"/>
          <w:lang w:val="en-US" w:eastAsia="en-US"/>
          <w14:ligatures w14:val="none"/>
        </w:rPr>
        <w:t xml:space="preserve">. 2016. “The Current State and Future Direction of IT Audit: Challenges and Opportunities.” </w:t>
      </w:r>
      <w:r w:rsidRPr="004B3F8F">
        <w:rPr>
          <w:rFonts w:ascii="Arial" w:eastAsiaTheme="minorHAnsi" w:hAnsi="Arial" w:cs="Arial"/>
          <w:i/>
          <w:iCs/>
          <w:kern w:val="0"/>
          <w:lang w:val="en-US" w:eastAsia="en-US"/>
          <w14:ligatures w14:val="none"/>
        </w:rPr>
        <w:t>Journal of Information Systems</w:t>
      </w:r>
      <w:r w:rsidRPr="004B3F8F">
        <w:rPr>
          <w:rFonts w:ascii="Arial" w:eastAsiaTheme="minorHAnsi" w:hAnsi="Arial" w:cs="Arial"/>
          <w:kern w:val="0"/>
          <w:lang w:val="en-US" w:eastAsia="en-US"/>
          <w14:ligatures w14:val="none"/>
        </w:rPr>
        <w:t xml:space="preserve"> 30, no. 1, pp. 7-20.</w:t>
      </w:r>
    </w:p>
    <w:p w14:paraId="692108A5" w14:textId="5104FBEA" w:rsidR="004B3F8F" w:rsidRPr="004B3F8F" w:rsidRDefault="00CB692E" w:rsidP="004B3F8F">
      <w:pPr>
        <w:spacing w:after="0" w:line="360" w:lineRule="auto"/>
        <w:ind w:left="851" w:hanging="851"/>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t>Edmonds</w:t>
      </w:r>
      <w:r w:rsidR="004B3F8F" w:rsidRPr="004B3F8F">
        <w:rPr>
          <w:rFonts w:ascii="Arial" w:eastAsiaTheme="minorHAnsi" w:hAnsi="Arial" w:cs="Arial"/>
          <w:kern w:val="0"/>
          <w:lang w:eastAsia="en-US"/>
          <w14:ligatures w14:val="none"/>
        </w:rPr>
        <w:t xml:space="preserve"> and Kennedy, T.D. 2017. An Applied Guide to Research Design. Quantitative, Qualitative, and Mixed Methods. (2nd ed.). Sage</w:t>
      </w:r>
    </w:p>
    <w:p w14:paraId="33559C27" w14:textId="77777777" w:rsidR="004B3F8F" w:rsidRPr="004B3F8F" w:rsidRDefault="004B3F8F" w:rsidP="004B3F8F">
      <w:pPr>
        <w:spacing w:after="0" w:line="360" w:lineRule="auto"/>
        <w:ind w:left="851" w:hanging="851"/>
        <w:jc w:val="both"/>
        <w:rPr>
          <w:rFonts w:ascii="Arial" w:eastAsiaTheme="minorHAnsi" w:hAnsi="Arial" w:cs="Arial"/>
          <w:kern w:val="0"/>
          <w:lang w:eastAsia="en-US"/>
          <w14:ligatures w14:val="none"/>
        </w:rPr>
      </w:pPr>
    </w:p>
    <w:p w14:paraId="76544175"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95" w:name="_Hlk42377159"/>
      <w:r w:rsidRPr="004B3F8F">
        <w:rPr>
          <w:rFonts w:ascii="Arial" w:eastAsiaTheme="minorHAnsi" w:hAnsi="Arial" w:cs="Arial"/>
          <w:kern w:val="0"/>
          <w:lang w:val="en-US" w:eastAsia="en-US"/>
          <w14:ligatures w14:val="none"/>
        </w:rPr>
        <w:lastRenderedPageBreak/>
        <w:t>Elayan</w:t>
      </w:r>
      <w:bookmarkEnd w:id="895"/>
      <w:r w:rsidRPr="004B3F8F">
        <w:rPr>
          <w:rFonts w:ascii="Arial" w:eastAsiaTheme="minorHAnsi" w:hAnsi="Arial" w:cs="Arial"/>
          <w:kern w:val="0"/>
          <w:lang w:val="en-US" w:eastAsia="en-US"/>
          <w14:ligatures w14:val="none"/>
        </w:rPr>
        <w:t xml:space="preserve">, F., J. Li, and T. Meyer. 2008. “Accounting Irregularities, Management Compensation Structure, and Information Asymmetry.” </w:t>
      </w:r>
      <w:r w:rsidRPr="004B3F8F">
        <w:rPr>
          <w:rFonts w:ascii="Arial" w:eastAsiaTheme="minorHAnsi" w:hAnsi="Arial" w:cs="Arial"/>
          <w:i/>
          <w:iCs/>
          <w:kern w:val="0"/>
          <w:lang w:val="en-US" w:eastAsia="en-US"/>
          <w14:ligatures w14:val="none"/>
        </w:rPr>
        <w:t>Accounting and Finance</w:t>
      </w:r>
      <w:r w:rsidRPr="004B3F8F">
        <w:rPr>
          <w:rFonts w:ascii="Arial" w:eastAsiaTheme="minorHAnsi" w:hAnsi="Arial" w:cs="Arial"/>
          <w:kern w:val="0"/>
          <w:lang w:val="en-US" w:eastAsia="en-US"/>
          <w14:ligatures w14:val="none"/>
        </w:rPr>
        <w:t xml:space="preserve"> 48, pp. 741-60.</w:t>
      </w:r>
    </w:p>
    <w:p w14:paraId="196015AD"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Theme="minorBidi" w:eastAsia="Times New Roman" w:hAnsiTheme="minorBidi"/>
          <w:kern w:val="0"/>
          <w:lang w:eastAsia="en-US"/>
          <w14:ligatures w14:val="none"/>
        </w:rPr>
        <w:t xml:space="preserve">Eldenburg, L., Krishnan, H., &amp; Krishnan, R. 2021. The effects of board independence and CEO duality on firm performance and accounting fraud. </w:t>
      </w:r>
      <w:r w:rsidRPr="004B3F8F">
        <w:rPr>
          <w:rFonts w:asciiTheme="minorBidi" w:eastAsia="Times New Roman" w:hAnsiTheme="minorBidi"/>
          <w:i/>
          <w:iCs/>
          <w:kern w:val="0"/>
          <w:lang w:eastAsia="en-US"/>
          <w14:ligatures w14:val="none"/>
        </w:rPr>
        <w:t>Accounting, Organizations and Society, 90</w:t>
      </w:r>
      <w:r w:rsidRPr="004B3F8F">
        <w:rPr>
          <w:rFonts w:asciiTheme="minorBidi" w:eastAsia="Times New Roman" w:hAnsiTheme="minorBidi"/>
          <w:kern w:val="0"/>
          <w:lang w:eastAsia="en-US"/>
          <w14:ligatures w14:val="none"/>
        </w:rPr>
        <w:t>, 101212</w:t>
      </w:r>
    </w:p>
    <w:p w14:paraId="162C3E2E"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96" w:name="_Hlk42377173"/>
      <w:r w:rsidRPr="004B3F8F">
        <w:rPr>
          <w:rFonts w:ascii="Arial" w:eastAsiaTheme="minorHAnsi" w:hAnsi="Arial" w:cs="Arial"/>
          <w:kern w:val="0"/>
          <w:lang w:val="en-US" w:eastAsia="en-US"/>
          <w14:ligatures w14:val="none"/>
        </w:rPr>
        <w:t>Elder</w:t>
      </w:r>
      <w:bookmarkEnd w:id="896"/>
      <w:r w:rsidRPr="004B3F8F">
        <w:rPr>
          <w:rFonts w:ascii="Arial" w:eastAsiaTheme="minorHAnsi" w:hAnsi="Arial" w:cs="Arial"/>
          <w:kern w:val="0"/>
          <w:lang w:val="en-US" w:eastAsia="en-US"/>
          <w14:ligatures w14:val="none"/>
        </w:rPr>
        <w:t xml:space="preserve">, R.J., S.M. Beasley, and A.A. Arens. 2010. </w:t>
      </w:r>
      <w:r w:rsidRPr="004B3F8F">
        <w:rPr>
          <w:rFonts w:ascii="Arial" w:eastAsiaTheme="minorHAnsi" w:hAnsi="Arial" w:cs="Arial"/>
          <w:i/>
          <w:iCs/>
          <w:kern w:val="0"/>
          <w:lang w:val="en-US" w:eastAsia="en-US"/>
          <w14:ligatures w14:val="none"/>
        </w:rPr>
        <w:t>Fraud Auditing. Auditing and Assurance Services: An Integrated Approach</w:t>
      </w:r>
      <w:r w:rsidRPr="004B3F8F">
        <w:rPr>
          <w:rFonts w:ascii="Arial" w:eastAsiaTheme="minorHAnsi" w:hAnsi="Arial" w:cs="Arial"/>
          <w:kern w:val="0"/>
          <w:lang w:val="en-US" w:eastAsia="en-US"/>
          <w14:ligatures w14:val="none"/>
        </w:rPr>
        <w:t>. 13th ed. Upper Saddle River, NJ: Pearson.</w:t>
      </w:r>
    </w:p>
    <w:p w14:paraId="3A5A2442" w14:textId="77777777" w:rsidR="004B3F8F" w:rsidRPr="004B3F8F" w:rsidRDefault="004B3F8F" w:rsidP="004B3F8F">
      <w:pPr>
        <w:spacing w:before="100" w:beforeAutospacing="1" w:after="100" w:afterAutospacing="1" w:line="480" w:lineRule="auto"/>
        <w:ind w:left="709" w:hanging="709"/>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Elshqirat, M. K. 2023. The impact of blockchain technology on accounting and auditing. </w:t>
      </w:r>
      <w:r w:rsidRPr="004B3F8F">
        <w:rPr>
          <w:rFonts w:asciiTheme="minorBidi" w:eastAsia="Times New Roman" w:hAnsiTheme="minorBidi"/>
          <w:i/>
          <w:iCs/>
          <w:kern w:val="0"/>
          <w14:ligatures w14:val="none"/>
        </w:rPr>
        <w:t>ISACA Journal</w:t>
      </w:r>
      <w:r w:rsidRPr="004B3F8F">
        <w:rPr>
          <w:rFonts w:asciiTheme="minorBidi" w:eastAsia="Times New Roman" w:hAnsiTheme="minorBidi"/>
          <w:kern w:val="0"/>
          <w14:ligatures w14:val="none"/>
        </w:rPr>
        <w:t>.</w:t>
      </w:r>
    </w:p>
    <w:p w14:paraId="2F2DBEA3"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eastAsia="en-US"/>
          <w14:ligatures w14:val="none"/>
        </w:rPr>
      </w:pPr>
      <w:r w:rsidRPr="004B3F8F">
        <w:rPr>
          <w:rFonts w:ascii="Arial" w:eastAsiaTheme="minorHAnsi" w:hAnsi="Arial" w:cs="Arial"/>
          <w:kern w:val="0"/>
          <w:lang w:val="en-US" w:eastAsia="en-US"/>
          <w14:ligatures w14:val="none"/>
        </w:rPr>
        <w:t xml:space="preserve">Epstein, B.J., and S. Ramamoorti. 2016. “Auditing with ‘Dark Triad’ Individuals in the Executive Ranks.” </w:t>
      </w:r>
      <w:r w:rsidRPr="004B3F8F">
        <w:rPr>
          <w:rFonts w:ascii="Arial" w:eastAsiaTheme="minorHAnsi" w:hAnsi="Arial" w:cs="Arial"/>
          <w:i/>
          <w:iCs/>
          <w:kern w:val="0"/>
          <w:lang w:val="en-US" w:eastAsia="en-US"/>
          <w14:ligatures w14:val="none"/>
        </w:rPr>
        <w:t>The CPA Journal</w:t>
      </w:r>
      <w:r w:rsidRPr="004B3F8F">
        <w:rPr>
          <w:rFonts w:ascii="Arial" w:eastAsiaTheme="minorHAnsi" w:hAnsi="Arial" w:cs="Arial"/>
          <w:kern w:val="0"/>
          <w:lang w:val="en-US" w:eastAsia="en-US"/>
          <w14:ligatures w14:val="none"/>
        </w:rPr>
        <w:t xml:space="preserve"> March 2016</w:t>
      </w:r>
      <w:r w:rsidRPr="004B3F8F">
        <w:rPr>
          <w:rFonts w:ascii="Arial" w:eastAsiaTheme="minorHAnsi" w:hAnsi="Arial" w:cs="Arial"/>
          <w:kern w:val="0"/>
          <w:lang w:eastAsia="en-US"/>
          <w14:ligatures w14:val="none"/>
        </w:rPr>
        <w:t>, Vol. 86 Issue 3, p14-21.</w:t>
      </w:r>
    </w:p>
    <w:p w14:paraId="08F731B5" w14:textId="77777777" w:rsidR="004B3F8F" w:rsidRPr="004B3F8F" w:rsidRDefault="004B3F8F" w:rsidP="004B3F8F">
      <w:pPr>
        <w:spacing w:after="200" w:line="480" w:lineRule="auto"/>
        <w:ind w:left="785" w:hangingChars="327" w:hanging="785"/>
        <w:jc w:val="both"/>
        <w:rPr>
          <w:rFonts w:asciiTheme="minorBidi" w:eastAsiaTheme="minorHAnsi" w:hAnsiTheme="minorBidi"/>
          <w:kern w:val="0"/>
          <w:lang w:val="en-US" w:eastAsia="en-US"/>
          <w14:ligatures w14:val="none"/>
        </w:rPr>
      </w:pPr>
      <w:r w:rsidRPr="004B3F8F">
        <w:rPr>
          <w:rFonts w:asciiTheme="minorBidi" w:eastAsiaTheme="minorHAnsi" w:hAnsiTheme="minorBidi"/>
          <w:kern w:val="0"/>
          <w:lang w:eastAsia="en-US"/>
          <w14:ligatures w14:val="none"/>
        </w:rPr>
        <w:t>Eriksson, P. &amp; Kovalainen, A., 2008. Qualitative Methods in Business Research. London: Sage Publication Ltd.</w:t>
      </w:r>
    </w:p>
    <w:p w14:paraId="0E3AB2F7"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97" w:name="_Hlk42377187"/>
      <w:r w:rsidRPr="004B3F8F">
        <w:rPr>
          <w:rFonts w:ascii="Arial" w:eastAsiaTheme="minorHAnsi" w:hAnsi="Arial" w:cs="Arial"/>
          <w:kern w:val="0"/>
          <w:lang w:val="en-US" w:eastAsia="en-US"/>
          <w14:ligatures w14:val="none"/>
        </w:rPr>
        <w:t>Erickson</w:t>
      </w:r>
      <w:bookmarkEnd w:id="897"/>
      <w:r w:rsidRPr="004B3F8F">
        <w:rPr>
          <w:rFonts w:ascii="Arial" w:eastAsiaTheme="minorHAnsi" w:hAnsi="Arial" w:cs="Arial"/>
          <w:kern w:val="0"/>
          <w:lang w:val="en-US" w:eastAsia="en-US"/>
          <w14:ligatures w14:val="none"/>
        </w:rPr>
        <w:t xml:space="preserve">, M., M. Hanlon, and E. Maydew. 2006. “Is There a Link Between Executive Equity Incentives and Accounting Fraud?” </w:t>
      </w:r>
      <w:r w:rsidRPr="004B3F8F">
        <w:rPr>
          <w:rFonts w:ascii="Arial" w:eastAsiaTheme="minorHAnsi" w:hAnsi="Arial" w:cs="Arial"/>
          <w:i/>
          <w:iCs/>
          <w:kern w:val="0"/>
          <w:lang w:val="en-US" w:eastAsia="en-US"/>
          <w14:ligatures w14:val="none"/>
        </w:rPr>
        <w:t>Journal of Accounting Research</w:t>
      </w:r>
      <w:r w:rsidRPr="004B3F8F">
        <w:rPr>
          <w:rFonts w:ascii="Arial" w:eastAsiaTheme="minorHAnsi" w:hAnsi="Arial" w:cs="Arial"/>
          <w:kern w:val="0"/>
          <w:lang w:val="en-US" w:eastAsia="en-US"/>
          <w14:ligatures w14:val="none"/>
        </w:rPr>
        <w:t xml:space="preserve"> 44, no. 1, pp. 113-43.</w:t>
      </w:r>
    </w:p>
    <w:p w14:paraId="7CF068C5" w14:textId="44B5F0BC" w:rsidR="004B3F8F" w:rsidRPr="004B3F8F" w:rsidRDefault="004B3F8F" w:rsidP="004B3F8F">
      <w:pPr>
        <w:spacing w:after="0" w:line="360" w:lineRule="auto"/>
        <w:ind w:left="709" w:hanging="709"/>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t xml:space="preserve">EY. 2017. The risks and opportunities of blockchain disruption in the boardroom. </w:t>
      </w:r>
      <w:hyperlink r:id="rId81" w:history="1">
        <w:r w:rsidRPr="004B3F8F">
          <w:rPr>
            <w:rFonts w:ascii="Arial" w:eastAsiaTheme="minorHAnsi" w:hAnsi="Arial" w:cs="Arial"/>
            <w:kern w:val="0"/>
            <w:lang w:eastAsia="en-US"/>
            <w14:ligatures w14:val="none"/>
          </w:rPr>
          <w:t>https://www.ey.com/gl/en/issues/governance-and-reporting/center-for-boardmatters/ey-the-risks-and-opportunities-of-blockchain</w:t>
        </w:r>
      </w:hyperlink>
      <w:r w:rsidRPr="004B3F8F">
        <w:rPr>
          <w:rFonts w:ascii="Arial" w:eastAsiaTheme="minorHAnsi" w:hAnsi="Arial" w:cs="Arial"/>
          <w:kern w:val="0"/>
          <w:lang w:eastAsia="en-US"/>
          <w14:ligatures w14:val="none"/>
        </w:rPr>
        <w:t xml:space="preserve"> (accessed </w:t>
      </w:r>
      <w:r w:rsidR="005669C8" w:rsidRPr="004B3F8F">
        <w:rPr>
          <w:rFonts w:ascii="Arial" w:eastAsiaTheme="minorHAnsi" w:hAnsi="Arial" w:cs="Arial"/>
          <w:kern w:val="0"/>
          <w:lang w:eastAsia="en-US"/>
          <w14:ligatures w14:val="none"/>
        </w:rPr>
        <w:t>December</w:t>
      </w:r>
      <w:r w:rsidRPr="004B3F8F">
        <w:rPr>
          <w:rFonts w:ascii="Arial" w:eastAsiaTheme="minorHAnsi" w:hAnsi="Arial" w:cs="Arial"/>
          <w:kern w:val="0"/>
          <w:lang w:eastAsia="en-US"/>
          <w14:ligatures w14:val="none"/>
        </w:rPr>
        <w:t xml:space="preserve"> 2019)</w:t>
      </w:r>
    </w:p>
    <w:p w14:paraId="2DF052DE" w14:textId="77777777" w:rsidR="004B3F8F" w:rsidRPr="004B3F8F" w:rsidRDefault="004B3F8F" w:rsidP="004B3F8F">
      <w:pPr>
        <w:spacing w:after="0" w:line="360" w:lineRule="auto"/>
        <w:jc w:val="both"/>
        <w:rPr>
          <w:rFonts w:ascii="Arial" w:eastAsiaTheme="minorHAnsi" w:hAnsi="Arial" w:cs="Arial"/>
          <w:kern w:val="0"/>
          <w:lang w:eastAsia="en-US"/>
          <w14:ligatures w14:val="none"/>
        </w:rPr>
      </w:pPr>
    </w:p>
    <w:p w14:paraId="77A7C784" w14:textId="4A1A827A" w:rsidR="004B3F8F" w:rsidRPr="004B3F8F" w:rsidRDefault="004B3F8F" w:rsidP="004B3F8F">
      <w:pPr>
        <w:spacing w:after="0" w:line="360" w:lineRule="auto"/>
        <w:ind w:left="709" w:hanging="709"/>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lastRenderedPageBreak/>
        <w:t xml:space="preserve">EY. 2018a. Blockchain has the potential to streamline and accelerate business processes and reduce risk. </w:t>
      </w:r>
      <w:hyperlink r:id="rId82" w:history="1">
        <w:r w:rsidRPr="004B3F8F">
          <w:rPr>
            <w:rFonts w:ascii="Arial" w:eastAsiaTheme="minorHAnsi" w:hAnsi="Arial" w:cs="Arial"/>
            <w:kern w:val="0"/>
            <w:lang w:eastAsia="en-US"/>
            <w14:ligatures w14:val="none"/>
          </w:rPr>
          <w:t>https://www.ey.com/en_gl/blockchain</w:t>
        </w:r>
      </w:hyperlink>
      <w:r w:rsidRPr="004B3F8F">
        <w:rPr>
          <w:rFonts w:ascii="Arial" w:eastAsiaTheme="minorHAnsi" w:hAnsi="Arial" w:cs="Arial"/>
          <w:kern w:val="0"/>
          <w:lang w:eastAsia="en-US"/>
          <w14:ligatures w14:val="none"/>
        </w:rPr>
        <w:t xml:space="preserve"> (accessed </w:t>
      </w:r>
      <w:r w:rsidR="00CB692E" w:rsidRPr="004B3F8F">
        <w:rPr>
          <w:rFonts w:ascii="Arial" w:eastAsiaTheme="minorHAnsi" w:hAnsi="Arial" w:cs="Arial"/>
          <w:kern w:val="0"/>
          <w:lang w:eastAsia="en-US"/>
          <w14:ligatures w14:val="none"/>
        </w:rPr>
        <w:t>December</w:t>
      </w:r>
      <w:r w:rsidRPr="004B3F8F">
        <w:rPr>
          <w:rFonts w:ascii="Arial" w:eastAsiaTheme="minorHAnsi" w:hAnsi="Arial" w:cs="Arial"/>
          <w:kern w:val="0"/>
          <w:lang w:eastAsia="en-US"/>
          <w14:ligatures w14:val="none"/>
        </w:rPr>
        <w:t xml:space="preserve"> 2019)</w:t>
      </w:r>
    </w:p>
    <w:p w14:paraId="7A9E0DFB" w14:textId="77777777" w:rsidR="004B3F8F" w:rsidRPr="004B3F8F" w:rsidRDefault="004B3F8F" w:rsidP="004B3F8F">
      <w:pPr>
        <w:spacing w:after="0" w:line="360" w:lineRule="auto"/>
        <w:ind w:left="709" w:hanging="709"/>
        <w:jc w:val="both"/>
        <w:rPr>
          <w:rFonts w:ascii="Arial" w:eastAsiaTheme="minorHAnsi" w:hAnsi="Arial" w:cs="Arial"/>
          <w:color w:val="0000FF"/>
          <w:kern w:val="0"/>
          <w:u w:val="single"/>
          <w:lang w:eastAsia="en-US"/>
          <w14:ligatures w14:val="none"/>
        </w:rPr>
      </w:pPr>
    </w:p>
    <w:p w14:paraId="1C8B6047" w14:textId="77777777" w:rsidR="004B3F8F" w:rsidRPr="004B3F8F" w:rsidRDefault="004B3F8F" w:rsidP="004B3F8F">
      <w:pPr>
        <w:spacing w:line="480" w:lineRule="auto"/>
        <w:ind w:left="709" w:hanging="709"/>
        <w:jc w:val="both"/>
        <w:rPr>
          <w:rFonts w:ascii="Arial" w:eastAsiaTheme="minorHAnsi" w:hAnsi="Arial" w:cs="Arial"/>
          <w:kern w:val="0"/>
          <w:shd w:val="clear" w:color="auto" w:fill="FFFFFF"/>
          <w:lang w:eastAsia="en-US"/>
          <w14:ligatures w14:val="none"/>
        </w:rPr>
      </w:pPr>
      <w:r w:rsidRPr="004B3F8F">
        <w:rPr>
          <w:rFonts w:ascii="Arial" w:eastAsiaTheme="minorHAnsi" w:hAnsi="Arial" w:cs="Arial"/>
          <w:kern w:val="0"/>
          <w:shd w:val="clear" w:color="auto" w:fill="FFFFFF"/>
          <w:lang w:eastAsia="en-US"/>
          <w14:ligatures w14:val="none"/>
        </w:rPr>
        <w:t>Falkenbach, D Poythress, N Falki, M, &amp; Manchak, S. 2007. "</w:t>
      </w:r>
      <w:r w:rsidRPr="004B3F8F">
        <w:rPr>
          <w:rFonts w:ascii="Arial" w:eastAsiaTheme="minorHAnsi" w:hAnsi="Arial" w:cs="Arial"/>
          <w:i/>
          <w:iCs/>
          <w:kern w:val="0"/>
          <w:shd w:val="clear" w:color="auto" w:fill="FFFFFF"/>
          <w:lang w:eastAsia="en-US"/>
          <w14:ligatures w14:val="none"/>
        </w:rPr>
        <w:t>Reliability and Validity of Two Self-Report Measures of Psychopathy".</w:t>
      </w:r>
      <w:r w:rsidRPr="004B3F8F">
        <w:rPr>
          <w:rFonts w:ascii="Arial" w:eastAsiaTheme="minorHAnsi" w:hAnsi="Arial" w:cs="Arial"/>
          <w:kern w:val="0"/>
          <w:shd w:val="clear" w:color="auto" w:fill="FFFFFF"/>
          <w:lang w:eastAsia="en-US"/>
          <w14:ligatures w14:val="none"/>
        </w:rPr>
        <w:t> </w:t>
      </w:r>
      <w:r w:rsidRPr="004B3F8F">
        <w:rPr>
          <w:rFonts w:ascii="Arial" w:eastAsiaTheme="minorHAnsi" w:hAnsi="Arial" w:cs="Arial"/>
          <w:i/>
          <w:iCs/>
          <w:kern w:val="0"/>
          <w:shd w:val="clear" w:color="auto" w:fill="FFFFFF"/>
          <w:lang w:eastAsia="en-US"/>
          <w14:ligatures w14:val="none"/>
        </w:rPr>
        <w:t>Assessment</w:t>
      </w:r>
      <w:r w:rsidRPr="004B3F8F">
        <w:rPr>
          <w:rFonts w:ascii="Arial" w:eastAsiaTheme="minorHAnsi" w:hAnsi="Arial" w:cs="Arial"/>
          <w:kern w:val="0"/>
          <w:shd w:val="clear" w:color="auto" w:fill="FFFFFF"/>
          <w:lang w:eastAsia="en-US"/>
          <w14:ligatures w14:val="none"/>
        </w:rPr>
        <w:t>. 14 (4): 344–345</w:t>
      </w:r>
      <w:bookmarkStart w:id="898" w:name="_Hlk42377198"/>
    </w:p>
    <w:p w14:paraId="29F954A4" w14:textId="77777777" w:rsidR="004B3F8F" w:rsidRPr="004B3F8F" w:rsidRDefault="004B3F8F" w:rsidP="004B3F8F">
      <w:pPr>
        <w:spacing w:after="200" w:line="480" w:lineRule="auto"/>
        <w:ind w:left="851" w:hanging="851"/>
        <w:jc w:val="both"/>
        <w:rPr>
          <w:rFonts w:ascii="Arial" w:eastAsiaTheme="minorHAnsi" w:hAnsi="Arial" w:cs="Arial"/>
          <w:kern w:val="0"/>
          <w:shd w:val="clear" w:color="auto" w:fill="FFFFFF"/>
          <w:lang w:val="en-US" w:eastAsia="en-US"/>
          <w14:ligatures w14:val="none"/>
        </w:rPr>
      </w:pPr>
      <w:r w:rsidRPr="004B3F8F">
        <w:rPr>
          <w:rFonts w:ascii="Arial" w:eastAsiaTheme="minorHAnsi" w:hAnsi="Arial" w:cs="Arial"/>
          <w:kern w:val="0"/>
          <w:lang w:val="en-US" w:eastAsia="en-US"/>
          <w14:ligatures w14:val="none"/>
        </w:rPr>
        <w:t>Favere-Marchesi</w:t>
      </w:r>
      <w:bookmarkEnd w:id="898"/>
      <w:r w:rsidRPr="004B3F8F">
        <w:rPr>
          <w:rFonts w:ascii="Arial" w:eastAsiaTheme="minorHAnsi" w:hAnsi="Arial" w:cs="Arial"/>
          <w:kern w:val="0"/>
          <w:lang w:val="en-US" w:eastAsia="en-US"/>
          <w14:ligatures w14:val="none"/>
        </w:rPr>
        <w:t xml:space="preserve">, M. 2009. Cognitive Effects of Decomposition on Fraud-Risk Assessments. </w:t>
      </w:r>
      <w:r w:rsidRPr="004B3F8F">
        <w:rPr>
          <w:rFonts w:ascii="Arial" w:eastAsiaTheme="minorHAnsi" w:hAnsi="Arial" w:cs="Arial"/>
          <w:i/>
          <w:kern w:val="0"/>
          <w:lang w:val="en-US" w:eastAsia="en-US"/>
          <w14:ligatures w14:val="none"/>
        </w:rPr>
        <w:t>CAAA Annual Conference 2009 Paper</w:t>
      </w:r>
      <w:r w:rsidRPr="004B3F8F">
        <w:rPr>
          <w:rFonts w:ascii="Arial" w:eastAsiaTheme="minorHAnsi" w:hAnsi="Arial" w:cs="Arial"/>
          <w:kern w:val="0"/>
          <w:lang w:val="en-US" w:eastAsia="en-US"/>
          <w14:ligatures w14:val="none"/>
        </w:rPr>
        <w:t xml:space="preserve">, pp. 1-23. </w:t>
      </w:r>
      <w:hyperlink r:id="rId83" w:history="1">
        <w:r w:rsidRPr="004B3F8F">
          <w:rPr>
            <w:rFonts w:ascii="Arial" w:eastAsiaTheme="minorHAnsi" w:hAnsi="Arial" w:cs="Arial"/>
            <w:kern w:val="0"/>
            <w:lang w:val="en-US" w:eastAsia="en-US"/>
            <w14:ligatures w14:val="none"/>
          </w:rPr>
          <w:t>www.ssrn.com</w:t>
        </w:r>
      </w:hyperlink>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shd w:val="clear" w:color="auto" w:fill="FFFFFF"/>
          <w:lang w:val="en-US" w:eastAsia="en-US"/>
          <w14:ligatures w14:val="none"/>
        </w:rPr>
        <w:t>(accessed April 1, 2019).</w:t>
      </w:r>
    </w:p>
    <w:p w14:paraId="5D30F10B" w14:textId="77777777" w:rsidR="004B3F8F" w:rsidRPr="004B3F8F" w:rsidRDefault="004B3F8F" w:rsidP="004B3F8F">
      <w:pPr>
        <w:spacing w:before="100" w:beforeAutospacing="1" w:after="100" w:afterAutospacing="1" w:line="480" w:lineRule="auto"/>
        <w:jc w:val="both"/>
        <w:rPr>
          <w:rFonts w:ascii="Arial" w:eastAsia="Times New Roman" w:hAnsi="Arial" w:cs="Arial"/>
          <w:kern w:val="0"/>
          <w14:ligatures w14:val="none"/>
        </w:rPr>
      </w:pPr>
      <w:r w:rsidRPr="004B3F8F">
        <w:rPr>
          <w:rFonts w:ascii="Arial" w:eastAsia="Times New Roman" w:hAnsi="Arial" w:cs="Arial"/>
          <w:kern w:val="0"/>
          <w14:ligatures w14:val="none"/>
        </w:rPr>
        <w:t>Festinger, L. 1957. A Theory of Cognitive Dissonance. Stanford University Press.</w:t>
      </w:r>
    </w:p>
    <w:p w14:paraId="399C0831" w14:textId="77777777" w:rsidR="004B3F8F" w:rsidRPr="004B3F8F" w:rsidRDefault="004B3F8F" w:rsidP="004B3F8F">
      <w:pPr>
        <w:spacing w:after="200" w:line="480" w:lineRule="auto"/>
        <w:ind w:left="851" w:hanging="851"/>
        <w:jc w:val="both"/>
        <w:rPr>
          <w:rFonts w:asciiTheme="minorBidi" w:eastAsiaTheme="minorHAnsi" w:hAnsiTheme="minorBidi"/>
          <w:kern w:val="0"/>
          <w:lang w:val="en-US" w:eastAsia="en-US"/>
          <w14:ligatures w14:val="none"/>
        </w:rPr>
      </w:pPr>
      <w:r w:rsidRPr="004B3F8F">
        <w:rPr>
          <w:rFonts w:asciiTheme="minorBidi" w:eastAsia="Times New Roman" w:hAnsiTheme="minorBidi"/>
          <w:kern w:val="0"/>
          <w:lang w:eastAsia="en-US"/>
          <w14:ligatures w14:val="none"/>
        </w:rPr>
        <w:t xml:space="preserve">Fielding, N. G., &amp; Fielding, J. L. 1986. Linking data: The articulation of qualitative and quantitative methods in social research. </w:t>
      </w:r>
      <w:r w:rsidRPr="004B3F8F">
        <w:rPr>
          <w:rFonts w:asciiTheme="minorBidi" w:eastAsia="Times New Roman" w:hAnsiTheme="minorBidi"/>
          <w:i/>
          <w:iCs/>
          <w:kern w:val="0"/>
          <w:lang w:eastAsia="en-US"/>
          <w14:ligatures w14:val="none"/>
        </w:rPr>
        <w:t>Beverly Hills, CA: Sage</w:t>
      </w:r>
    </w:p>
    <w:p w14:paraId="31F3076F"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Financial Services Authority. 2009. “The Turner Review a Regulatory Response to the Global Banking Crisis.” March. </w:t>
      </w:r>
      <w:hyperlink r:id="rId84" w:history="1">
        <w:r w:rsidRPr="004B3F8F">
          <w:rPr>
            <w:rFonts w:ascii="Arial" w:eastAsiaTheme="minorHAnsi" w:hAnsi="Arial" w:cs="Arial"/>
            <w:kern w:val="0"/>
            <w:lang w:eastAsia="en-US"/>
            <w14:ligatures w14:val="none"/>
          </w:rPr>
          <w:t>https://www.nottingham.ac.uk/business/businesscentres/gcbfi/documents/researchreports/paper61.pdf</w:t>
        </w:r>
      </w:hyperlink>
      <w:r w:rsidRPr="004B3F8F">
        <w:rPr>
          <w:rFonts w:ascii="Arial" w:eastAsiaTheme="minorHAnsi" w:hAnsi="Arial" w:cs="Arial"/>
          <w:kern w:val="0"/>
          <w:shd w:val="clear" w:color="auto" w:fill="FFFFFF"/>
          <w:lang w:val="en-US" w:eastAsia="en-US"/>
          <w14:ligatures w14:val="none"/>
        </w:rPr>
        <w:t xml:space="preserve"> (accessed April 20, 2018).</w:t>
      </w:r>
    </w:p>
    <w:p w14:paraId="5370F9AD"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Financial Stability Board. 2017. “</w:t>
      </w:r>
      <w:r w:rsidRPr="004B3F8F">
        <w:rPr>
          <w:rFonts w:ascii="Arial" w:eastAsiaTheme="minorHAnsi" w:hAnsi="Arial" w:cs="Arial"/>
          <w:iCs/>
          <w:kern w:val="0"/>
          <w:lang w:val="en-US" w:eastAsia="en-US"/>
          <w14:ligatures w14:val="none"/>
        </w:rPr>
        <w:t xml:space="preserve">Financial Stability Implications from FinTech.” </w:t>
      </w:r>
      <w:hyperlink r:id="rId85" w:history="1">
        <w:r w:rsidRPr="004B3F8F">
          <w:rPr>
            <w:rFonts w:ascii="Arial" w:eastAsiaTheme="minorHAnsi" w:hAnsi="Arial" w:cs="Arial"/>
            <w:kern w:val="0"/>
            <w:lang w:val="en-US" w:eastAsia="en-US"/>
            <w14:ligatures w14:val="none"/>
          </w:rPr>
          <w:t>http://www.fsb.org/wp-content/uploads/R270617.pdf</w:t>
        </w:r>
      </w:hyperlink>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shd w:val="clear" w:color="auto" w:fill="FFFFFF"/>
          <w:lang w:val="en-US" w:eastAsia="en-US"/>
          <w14:ligatures w14:val="none"/>
        </w:rPr>
        <w:t>(accessed April 20, 2018).</w:t>
      </w:r>
    </w:p>
    <w:p w14:paraId="30273F36"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899" w:name="_Hlk42377211"/>
      <w:r w:rsidRPr="004B3F8F">
        <w:rPr>
          <w:rFonts w:ascii="Arial" w:eastAsiaTheme="minorHAnsi" w:hAnsi="Arial" w:cs="Arial"/>
          <w:kern w:val="0"/>
          <w:lang w:val="en-US" w:eastAsia="en-US"/>
          <w14:ligatures w14:val="none"/>
        </w:rPr>
        <w:t>Firth</w:t>
      </w:r>
      <w:bookmarkEnd w:id="899"/>
      <w:r w:rsidRPr="004B3F8F">
        <w:rPr>
          <w:rFonts w:ascii="Arial" w:eastAsiaTheme="minorHAnsi" w:hAnsi="Arial" w:cs="Arial"/>
          <w:kern w:val="0"/>
          <w:lang w:val="en-US" w:eastAsia="en-US"/>
          <w14:ligatures w14:val="none"/>
        </w:rPr>
        <w:t xml:space="preserve">, M., O.M. Rui, and W. Wu. 2011. “Cooking the Books: Recipes and Costs of Falsified Financial Statements in China.” </w:t>
      </w:r>
      <w:r w:rsidRPr="004B3F8F">
        <w:rPr>
          <w:rFonts w:ascii="Arial" w:eastAsiaTheme="minorHAnsi" w:hAnsi="Arial" w:cs="Arial"/>
          <w:i/>
          <w:iCs/>
          <w:kern w:val="0"/>
          <w:lang w:val="en-US" w:eastAsia="en-US"/>
          <w14:ligatures w14:val="none"/>
        </w:rPr>
        <w:t>Journal of Corporate Finance</w:t>
      </w:r>
      <w:r w:rsidRPr="004B3F8F">
        <w:rPr>
          <w:rFonts w:ascii="Arial" w:eastAsiaTheme="minorHAnsi" w:hAnsi="Arial" w:cs="Arial"/>
          <w:kern w:val="0"/>
          <w:lang w:val="en-US" w:eastAsia="en-US"/>
          <w14:ligatures w14:val="none"/>
        </w:rPr>
        <w:t xml:space="preserve"> 17, pp. 371-90.</w:t>
      </w:r>
    </w:p>
    <w:p w14:paraId="6CB0BA87"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eastAsia="en-US"/>
          <w14:ligatures w14:val="none"/>
        </w:rPr>
      </w:pPr>
      <w:r w:rsidRPr="004B3F8F">
        <w:rPr>
          <w:rFonts w:ascii="Arial" w:eastAsiaTheme="minorHAnsi" w:hAnsi="Arial" w:cs="Arial"/>
          <w:kern w:val="0"/>
          <w:shd w:val="clear" w:color="auto" w:fill="FFFFFF"/>
          <w:lang w:eastAsia="en-US"/>
          <w14:ligatures w14:val="none"/>
        </w:rPr>
        <w:t>Flick, U. 2011. Introducing Research Methodology: A Beginner's Guide to Doing a Research Project. Los Angeles: Sage.</w:t>
      </w:r>
    </w:p>
    <w:p w14:paraId="52F0CAEC"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eastAsia="en-US"/>
          <w14:ligatures w14:val="none"/>
        </w:rPr>
      </w:pPr>
      <w:r w:rsidRPr="004B3F8F">
        <w:rPr>
          <w:rFonts w:ascii="Arial" w:eastAsiaTheme="minorHAnsi" w:hAnsi="Arial" w:cs="Arial"/>
          <w:kern w:val="0"/>
          <w:shd w:val="clear" w:color="auto" w:fill="FFFFFF"/>
          <w:lang w:eastAsia="en-US"/>
          <w14:ligatures w14:val="none"/>
        </w:rPr>
        <w:lastRenderedPageBreak/>
        <w:t>Fraser, I.1993. ‘</w:t>
      </w:r>
      <w:r w:rsidRPr="004B3F8F">
        <w:rPr>
          <w:rFonts w:ascii="Arial" w:eastAsiaTheme="minorHAnsi" w:hAnsi="Arial" w:cs="Arial"/>
          <w:i/>
          <w:iCs/>
          <w:kern w:val="0"/>
          <w:shd w:val="clear" w:color="auto" w:fill="FFFFFF"/>
          <w:lang w:eastAsia="en-US"/>
          <w14:ligatures w14:val="none"/>
        </w:rPr>
        <w:t>’Triple-entry Bookkeeping: A Critique’’</w:t>
      </w:r>
      <w:r w:rsidRPr="004B3F8F">
        <w:rPr>
          <w:rFonts w:ascii="Arial" w:eastAsiaTheme="minorHAnsi" w:hAnsi="Arial" w:cs="Arial"/>
          <w:kern w:val="0"/>
          <w:shd w:val="clear" w:color="auto" w:fill="FFFFFF"/>
          <w:lang w:eastAsia="en-US"/>
          <w14:ligatures w14:val="none"/>
        </w:rPr>
        <w:t xml:space="preserve">, Accounting &amp; Business Research. Volume 23, Issue 90 </w:t>
      </w:r>
    </w:p>
    <w:p w14:paraId="7AA59F90" w14:textId="77777777" w:rsidR="004B3F8F" w:rsidRPr="004B3F8F" w:rsidRDefault="004B3F8F" w:rsidP="004B3F8F">
      <w:pPr>
        <w:spacing w:before="100" w:beforeAutospacing="1" w:after="100" w:afterAutospacing="1" w:line="480" w:lineRule="auto"/>
        <w:ind w:left="709" w:hanging="709"/>
        <w:jc w:val="both"/>
        <w:rPr>
          <w:rFonts w:ascii="Arial" w:eastAsia="Times New Roman" w:hAnsi="Arial" w:cs="Arial"/>
          <w:kern w:val="0"/>
          <w14:ligatures w14:val="none"/>
        </w:rPr>
      </w:pPr>
      <w:r w:rsidRPr="004B3F8F">
        <w:rPr>
          <w:rFonts w:ascii="Arial" w:eastAsia="Times New Roman" w:hAnsi="Arial" w:cs="Arial"/>
          <w:kern w:val="0"/>
          <w14:ligatures w14:val="none"/>
        </w:rPr>
        <w:t>Francis, B. B., Hasan, I., &amp; Wu, Q. 2013. The benefits of conservative accounting to shareholders: Evidence from the financial crisis. Accounting Horizons, 27(2), 319-346.</w:t>
      </w:r>
    </w:p>
    <w:p w14:paraId="3EE763BB"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00" w:name="_Hlk42377222"/>
      <w:r w:rsidRPr="004B3F8F">
        <w:rPr>
          <w:rFonts w:ascii="Arial" w:eastAsiaTheme="minorHAnsi" w:hAnsi="Arial" w:cs="Arial"/>
          <w:kern w:val="0"/>
          <w:lang w:val="en-US" w:eastAsia="en-US"/>
          <w14:ligatures w14:val="none"/>
        </w:rPr>
        <w:t>Fraud Act</w:t>
      </w:r>
      <w:bookmarkEnd w:id="900"/>
      <w:r w:rsidRPr="004B3F8F">
        <w:rPr>
          <w:rFonts w:ascii="Arial" w:eastAsiaTheme="minorHAnsi" w:hAnsi="Arial" w:cs="Arial"/>
          <w:kern w:val="0"/>
          <w:lang w:val="en-US" w:eastAsia="en-US"/>
          <w14:ligatures w14:val="none"/>
        </w:rPr>
        <w:t xml:space="preserve">. 2006. </w:t>
      </w:r>
      <w:r w:rsidRPr="004B3F8F">
        <w:rPr>
          <w:rFonts w:ascii="Arial" w:eastAsiaTheme="minorHAnsi" w:hAnsi="Arial" w:cs="Arial"/>
          <w:i/>
          <w:iCs/>
          <w:kern w:val="0"/>
          <w:lang w:val="en-US" w:eastAsia="en-US"/>
          <w14:ligatures w14:val="none"/>
        </w:rPr>
        <w:t xml:space="preserve">Chapter 35: Fraud. </w:t>
      </w:r>
      <w:r w:rsidRPr="004B3F8F">
        <w:rPr>
          <w:rFonts w:ascii="Arial" w:eastAsiaTheme="minorHAnsi" w:hAnsi="Arial" w:cs="Arial"/>
          <w:kern w:val="0"/>
          <w:lang w:val="en-US" w:eastAsia="en-US"/>
          <w14:ligatures w14:val="none"/>
        </w:rPr>
        <w:t>London: The Stationery Office Limited.</w:t>
      </w:r>
    </w:p>
    <w:p w14:paraId="4DE9BFB2" w14:textId="77777777" w:rsidR="004B3F8F" w:rsidRPr="004B3F8F" w:rsidRDefault="004B3F8F" w:rsidP="004B3F8F">
      <w:pPr>
        <w:spacing w:after="200" w:line="480" w:lineRule="auto"/>
        <w:ind w:left="785" w:hangingChars="327" w:hanging="785"/>
        <w:jc w:val="both"/>
        <w:rPr>
          <w:rFonts w:ascii="Arial" w:eastAsiaTheme="minorHAnsi" w:hAnsi="Arial" w:cs="Arial"/>
          <w:spacing w:val="5"/>
          <w:kern w:val="0"/>
          <w:lang w:val="en-US" w:eastAsia="en-US"/>
          <w14:ligatures w14:val="none"/>
        </w:rPr>
      </w:pPr>
      <w:bookmarkStart w:id="901" w:name="_Hlk42377232"/>
      <w:r w:rsidRPr="004B3F8F">
        <w:rPr>
          <w:rFonts w:ascii="Arial" w:eastAsiaTheme="minorHAnsi" w:hAnsi="Arial" w:cs="Arial"/>
          <w:kern w:val="0"/>
          <w:lang w:val="en-US" w:eastAsia="en-US"/>
          <w14:ligatures w14:val="none"/>
        </w:rPr>
        <w:t>Free</w:t>
      </w:r>
      <w:bookmarkEnd w:id="901"/>
      <w:r w:rsidRPr="004B3F8F">
        <w:rPr>
          <w:rFonts w:ascii="Arial" w:eastAsiaTheme="minorHAnsi" w:hAnsi="Arial" w:cs="Arial"/>
          <w:kern w:val="0"/>
          <w:lang w:val="en-US" w:eastAsia="en-US"/>
          <w14:ligatures w14:val="none"/>
        </w:rPr>
        <w:t>, C. 2015. “Looking Through the Fraud Triangle: A Review and Call for New Directions</w:t>
      </w:r>
      <w:r w:rsidRPr="004B3F8F">
        <w:rPr>
          <w:rFonts w:ascii="Arial" w:eastAsiaTheme="minorHAnsi" w:hAnsi="Arial" w:cs="Arial"/>
          <w:i/>
          <w:iCs/>
          <w:kern w:val="0"/>
          <w:lang w:val="en-US" w:eastAsia="en-US"/>
          <w14:ligatures w14:val="none"/>
        </w:rPr>
        <w:t>.</w:t>
      </w:r>
      <w:r w:rsidRPr="004B3F8F">
        <w:rPr>
          <w:rFonts w:ascii="Arial" w:eastAsiaTheme="minorHAnsi" w:hAnsi="Arial" w:cs="Arial"/>
          <w:iCs/>
          <w:kern w:val="0"/>
          <w:lang w:val="en-US" w:eastAsia="en-US"/>
          <w14:ligatures w14:val="none"/>
        </w:rPr>
        <w:t>”</w:t>
      </w:r>
      <w:r w:rsidRPr="004B3F8F">
        <w:rPr>
          <w:rFonts w:ascii="Arial" w:eastAsiaTheme="minorHAnsi" w:hAnsi="Arial" w:cs="Arial"/>
          <w:i/>
          <w:iCs/>
          <w:kern w:val="0"/>
          <w:lang w:val="en-US" w:eastAsia="en-US"/>
          <w14:ligatures w14:val="none"/>
        </w:rPr>
        <w:t xml:space="preserve"> Meditari Accountancy Research</w:t>
      </w:r>
      <w:r w:rsidRPr="004B3F8F">
        <w:rPr>
          <w:rFonts w:ascii="Arial" w:eastAsiaTheme="minorHAnsi" w:hAnsi="Arial" w:cs="Arial"/>
          <w:spacing w:val="5"/>
          <w:kern w:val="0"/>
          <w:lang w:val="en-US" w:eastAsia="en-US"/>
          <w14:ligatures w14:val="none"/>
        </w:rPr>
        <w:t xml:space="preserve"> 23, no. 2, pp. 175-96.</w:t>
      </w:r>
    </w:p>
    <w:p w14:paraId="1B6BE370" w14:textId="77777777" w:rsidR="004B3F8F" w:rsidRPr="004B3F8F" w:rsidRDefault="004B3F8F" w:rsidP="004B3F8F">
      <w:pPr>
        <w:spacing w:before="100" w:beforeAutospacing="1" w:after="100" w:afterAutospacing="1" w:line="480" w:lineRule="auto"/>
        <w:ind w:left="709" w:hanging="709"/>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Free, C., &amp; Murphy, P.R. 2015. "The ties that bind: The decision to co-offend in fraud." Contemporary Accounting Research, 32(1), 18-54. This study provides evidence that anti-fraud measures need to be adapted to the specific context and culture of the organization to be effective.</w:t>
      </w:r>
    </w:p>
    <w:p w14:paraId="1500F603" w14:textId="77777777" w:rsidR="004B3F8F" w:rsidRPr="004B3F8F" w:rsidRDefault="004B3F8F" w:rsidP="004B3F8F">
      <w:pPr>
        <w:spacing w:line="480" w:lineRule="auto"/>
        <w:ind w:left="851" w:hanging="851"/>
        <w:jc w:val="both"/>
        <w:rPr>
          <w:rFonts w:ascii="Arial" w:eastAsiaTheme="minorHAnsi" w:hAnsi="Arial" w:cs="Arial"/>
          <w:kern w:val="0"/>
          <w:shd w:val="clear" w:color="auto" w:fill="FFFFFF"/>
          <w:lang w:eastAsia="en-US"/>
          <w14:ligatures w14:val="none"/>
        </w:rPr>
      </w:pPr>
      <w:r w:rsidRPr="004B3F8F">
        <w:rPr>
          <w:rFonts w:ascii="Arial" w:eastAsiaTheme="minorHAnsi" w:hAnsi="Arial" w:cs="Arial"/>
          <w:kern w:val="0"/>
          <w:shd w:val="clear" w:color="auto" w:fill="FFFFFF"/>
          <w:lang w:eastAsia="en-US"/>
          <w14:ligatures w14:val="none"/>
        </w:rPr>
        <w:t>Fritzon, K., Brooks, N., Croom, S., Brooks, N., Fritzon, K., &amp; Croom, S. 2020. Corporate psychopathy: Entering the paradox and emerging unscathed. </w:t>
      </w:r>
      <w:r w:rsidRPr="004B3F8F">
        <w:rPr>
          <w:rFonts w:ascii="Arial" w:eastAsiaTheme="minorHAnsi" w:hAnsi="Arial" w:cs="Arial"/>
          <w:i/>
          <w:iCs/>
          <w:kern w:val="0"/>
          <w:shd w:val="clear" w:color="auto" w:fill="FFFFFF"/>
          <w:lang w:eastAsia="en-US"/>
          <w14:ligatures w14:val="none"/>
        </w:rPr>
        <w:t>Corporate Psychopathy: Investigating Destructive Personalities in the Workplace</w:t>
      </w:r>
      <w:r w:rsidRPr="004B3F8F">
        <w:rPr>
          <w:rFonts w:ascii="Arial" w:eastAsiaTheme="minorHAnsi" w:hAnsi="Arial" w:cs="Arial"/>
          <w:kern w:val="0"/>
          <w:shd w:val="clear" w:color="auto" w:fill="FFFFFF"/>
          <w:lang w:eastAsia="en-US"/>
          <w14:ligatures w14:val="none"/>
        </w:rPr>
        <w:t>, 327-365.</w:t>
      </w:r>
    </w:p>
    <w:p w14:paraId="60EA9F03" w14:textId="77777777" w:rsidR="004B3F8F" w:rsidRPr="004B3F8F" w:rsidRDefault="004B3F8F" w:rsidP="004B3F8F">
      <w:pPr>
        <w:spacing w:line="480" w:lineRule="auto"/>
        <w:ind w:left="851" w:hanging="851"/>
        <w:jc w:val="both"/>
        <w:rPr>
          <w:rFonts w:ascii="Arial" w:eastAsiaTheme="minorHAnsi" w:hAnsi="Arial" w:cs="Arial"/>
          <w:kern w:val="0"/>
          <w:shd w:val="clear" w:color="auto" w:fill="FFFFFF"/>
          <w:lang w:eastAsia="en-US"/>
          <w14:ligatures w14:val="none"/>
        </w:rPr>
      </w:pPr>
      <w:r w:rsidRPr="004B3F8F">
        <w:rPr>
          <w:rFonts w:ascii="Arial" w:eastAsiaTheme="minorHAnsi" w:hAnsi="Arial" w:cs="Arial"/>
          <w:kern w:val="0"/>
          <w:shd w:val="clear" w:color="auto" w:fill="FFFFFF"/>
          <w:lang w:eastAsia="en-US"/>
          <w14:ligatures w14:val="none"/>
        </w:rPr>
        <w:t>Fritzon, K., Brooks, N., &amp; Croom, S. 2019. </w:t>
      </w:r>
      <w:r w:rsidRPr="004B3F8F">
        <w:rPr>
          <w:rFonts w:ascii="Arial" w:eastAsiaTheme="minorHAnsi" w:hAnsi="Arial" w:cs="Arial"/>
          <w:i/>
          <w:iCs/>
          <w:kern w:val="0"/>
          <w:shd w:val="clear" w:color="auto" w:fill="FFFFFF"/>
          <w:lang w:eastAsia="en-US"/>
          <w14:ligatures w14:val="none"/>
        </w:rPr>
        <w:t>Corporate psychopathy: Investigating destructive personalities in the workplace</w:t>
      </w:r>
      <w:r w:rsidRPr="004B3F8F">
        <w:rPr>
          <w:rFonts w:ascii="Arial" w:eastAsiaTheme="minorHAnsi" w:hAnsi="Arial" w:cs="Arial"/>
          <w:kern w:val="0"/>
          <w:shd w:val="clear" w:color="auto" w:fill="FFFFFF"/>
          <w:lang w:eastAsia="en-US"/>
          <w14:ligatures w14:val="none"/>
        </w:rPr>
        <w:t>. Springer Nature.</w:t>
      </w:r>
    </w:p>
    <w:p w14:paraId="23E332B3"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02" w:name="_Hlk42377243"/>
      <w:r w:rsidRPr="004B3F8F">
        <w:rPr>
          <w:rFonts w:ascii="Arial" w:eastAsiaTheme="minorHAnsi" w:hAnsi="Arial" w:cs="Arial"/>
          <w:kern w:val="0"/>
          <w:lang w:val="en-US" w:eastAsia="en-US"/>
          <w14:ligatures w14:val="none"/>
        </w:rPr>
        <w:t>Frost</w:t>
      </w:r>
      <w:bookmarkEnd w:id="902"/>
      <w:r w:rsidRPr="004B3F8F">
        <w:rPr>
          <w:rFonts w:ascii="Arial" w:eastAsiaTheme="minorHAnsi" w:hAnsi="Arial" w:cs="Arial"/>
          <w:kern w:val="0"/>
          <w:lang w:val="en-US" w:eastAsia="en-US"/>
          <w14:ligatures w14:val="none"/>
        </w:rPr>
        <w:t>, K. 2012</w:t>
      </w:r>
      <w:r w:rsidRPr="004B3F8F">
        <w:rPr>
          <w:rFonts w:ascii="Arial" w:eastAsiaTheme="minorHAnsi" w:hAnsi="Arial" w:cs="Arial"/>
          <w:i/>
          <w:iCs/>
          <w:kern w:val="0"/>
          <w:lang w:val="en-US" w:eastAsia="en-US"/>
          <w14:ligatures w14:val="none"/>
        </w:rPr>
        <w:t>. “</w:t>
      </w:r>
      <w:hyperlink r:id="rId86" w:history="1">
        <w:r w:rsidRPr="004B3F8F">
          <w:rPr>
            <w:rFonts w:ascii="Arial" w:eastAsiaTheme="minorHAnsi" w:hAnsi="Arial" w:cs="Arial"/>
            <w:kern w:val="0"/>
            <w:lang w:val="en-US" w:eastAsia="en-US"/>
            <w14:ligatures w14:val="none"/>
          </w:rPr>
          <w:t>Top 10 Reasons Why Frauds Occur</w:t>
        </w:r>
      </w:hyperlink>
      <w:r w:rsidRPr="004B3F8F">
        <w:rPr>
          <w:rFonts w:ascii="Arial" w:eastAsiaTheme="minorHAnsi" w:hAnsi="Arial" w:cs="Arial"/>
          <w:i/>
          <w:iCs/>
          <w:kern w:val="0"/>
          <w:lang w:val="en-US" w:eastAsia="en-US"/>
          <w14:ligatures w14:val="none"/>
        </w:rPr>
        <w:t xml:space="preserve">,” Metro. </w:t>
      </w:r>
      <w:hyperlink r:id="rId87" w:history="1">
        <w:r w:rsidRPr="004B3F8F">
          <w:rPr>
            <w:rFonts w:ascii="Arial" w:eastAsiaTheme="minorHAnsi" w:hAnsi="Arial" w:cs="Arial"/>
            <w:kern w:val="0"/>
            <w:lang w:val="en-US" w:eastAsia="en-US"/>
            <w14:ligatures w14:val="none"/>
          </w:rPr>
          <w:t>Archived</w:t>
        </w:r>
      </w:hyperlink>
      <w:r w:rsidRPr="004B3F8F">
        <w:rPr>
          <w:rFonts w:ascii="Arial" w:eastAsiaTheme="minorHAnsi" w:hAnsi="Arial" w:cs="Arial"/>
          <w:i/>
          <w:iCs/>
          <w:kern w:val="0"/>
          <w:lang w:val="en-US" w:eastAsia="en-US"/>
          <w14:ligatures w14:val="none"/>
        </w:rPr>
        <w:t xml:space="preserve"> from the original on May 6, 2017</w:t>
      </w:r>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shd w:val="clear" w:color="auto" w:fill="FFFFFF"/>
          <w:lang w:val="en-US" w:eastAsia="en-US"/>
          <w14:ligatures w14:val="none"/>
        </w:rPr>
        <w:t>(accessed November 30, 2018).</w:t>
      </w:r>
    </w:p>
    <w:p w14:paraId="5E1CB320"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Frunza, M.C. 2016. </w:t>
      </w:r>
      <w:r w:rsidRPr="004B3F8F">
        <w:rPr>
          <w:rFonts w:ascii="Arial" w:eastAsiaTheme="minorHAnsi" w:hAnsi="Arial" w:cs="Arial"/>
          <w:i/>
          <w:kern w:val="0"/>
          <w:lang w:val="en-US" w:eastAsia="en-US"/>
          <w14:ligatures w14:val="none"/>
        </w:rPr>
        <w:t>Solving Modern Crime in Financial Markets.</w:t>
      </w:r>
      <w:r w:rsidRPr="004B3F8F">
        <w:rPr>
          <w:rFonts w:ascii="Arial" w:eastAsiaTheme="minorHAnsi" w:hAnsi="Arial" w:cs="Arial"/>
          <w:kern w:val="0"/>
          <w:lang w:val="en-US" w:eastAsia="en-US"/>
          <w14:ligatures w14:val="none"/>
        </w:rPr>
        <w:t xml:space="preserve"> 1st ed. Elsevier. Oxford, UK</w:t>
      </w:r>
    </w:p>
    <w:p w14:paraId="0E10B203"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lastRenderedPageBreak/>
        <w:t xml:space="preserve">Furnham, A., S.C. Richards, and D.L. Paulhus, 2013. “The Dark Triad of Personality: A 10-Year Review.” </w:t>
      </w:r>
      <w:r w:rsidRPr="004B3F8F">
        <w:rPr>
          <w:rFonts w:ascii="Arial" w:eastAsiaTheme="minorHAnsi" w:hAnsi="Arial" w:cs="Arial"/>
          <w:i/>
          <w:iCs/>
          <w:kern w:val="0"/>
          <w:lang w:val="en-US" w:eastAsia="en-US"/>
          <w14:ligatures w14:val="none"/>
        </w:rPr>
        <w:t>Social and Personality Psychology Compass</w:t>
      </w:r>
      <w:r w:rsidRPr="004B3F8F">
        <w:rPr>
          <w:rFonts w:ascii="Arial" w:eastAsiaTheme="minorHAnsi" w:hAnsi="Arial" w:cs="Arial"/>
          <w:kern w:val="0"/>
          <w:lang w:val="en-US" w:eastAsia="en-US"/>
          <w14:ligatures w14:val="none"/>
        </w:rPr>
        <w:t xml:space="preserve"> 7, no. 3, pp. 199-216.</w:t>
      </w:r>
    </w:p>
    <w:p w14:paraId="3189D955" w14:textId="77777777" w:rsidR="004B3F8F" w:rsidRPr="004B3F8F" w:rsidRDefault="004B3F8F" w:rsidP="004B3F8F">
      <w:pPr>
        <w:spacing w:after="0" w:line="360" w:lineRule="auto"/>
        <w:ind w:left="851" w:hanging="851"/>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t xml:space="preserve">Fusch, P. I., &amp; Ness, L. R. 2015. </w:t>
      </w:r>
      <w:r w:rsidRPr="004B3F8F">
        <w:rPr>
          <w:rFonts w:ascii="Arial" w:eastAsiaTheme="minorHAnsi" w:hAnsi="Arial" w:cs="Arial"/>
          <w:i/>
          <w:iCs/>
          <w:kern w:val="0"/>
          <w:lang w:eastAsia="en-US"/>
          <w14:ligatures w14:val="none"/>
        </w:rPr>
        <w:t>‘’Are we there yet? Data saturation in qualitative research. The Qualitative Report’’</w:t>
      </w:r>
      <w:r w:rsidRPr="004B3F8F">
        <w:rPr>
          <w:rFonts w:ascii="Arial" w:eastAsiaTheme="minorHAnsi" w:hAnsi="Arial" w:cs="Arial"/>
          <w:kern w:val="0"/>
          <w:lang w:eastAsia="en-US"/>
          <w14:ligatures w14:val="none"/>
        </w:rPr>
        <w:t>, 20(9), Pp. 1408-1416.</w:t>
      </w:r>
    </w:p>
    <w:p w14:paraId="10636D38" w14:textId="77777777" w:rsidR="004B3F8F" w:rsidRPr="004B3F8F" w:rsidRDefault="004B3F8F" w:rsidP="004B3F8F">
      <w:pPr>
        <w:spacing w:after="0" w:line="360" w:lineRule="auto"/>
        <w:ind w:left="851" w:hanging="851"/>
        <w:jc w:val="both"/>
        <w:rPr>
          <w:rFonts w:ascii="Arial" w:eastAsiaTheme="minorHAnsi" w:hAnsi="Arial" w:cs="Arial"/>
          <w:kern w:val="0"/>
          <w:lang w:eastAsia="en-US"/>
          <w14:ligatures w14:val="none"/>
        </w:rPr>
      </w:pPr>
    </w:p>
    <w:p w14:paraId="5161C0EE" w14:textId="77777777" w:rsidR="004B3F8F" w:rsidRPr="004B3F8F" w:rsidRDefault="004B3F8F" w:rsidP="004B3F8F">
      <w:pPr>
        <w:spacing w:after="0" w:line="360" w:lineRule="auto"/>
        <w:ind w:left="851" w:hanging="851"/>
        <w:jc w:val="both"/>
        <w:rPr>
          <w:rFonts w:asciiTheme="minorBidi" w:eastAsia="Times New Roman" w:hAnsiTheme="minorBidi"/>
          <w:kern w:val="0"/>
          <w:lang w:eastAsia="en-US"/>
          <w14:ligatures w14:val="none"/>
        </w:rPr>
      </w:pPr>
      <w:r w:rsidRPr="004B3F8F">
        <w:rPr>
          <w:rFonts w:asciiTheme="minorBidi" w:eastAsia="Times New Roman" w:hAnsiTheme="minorBidi"/>
          <w:kern w:val="0"/>
          <w:lang w:eastAsia="en-US"/>
          <w14:ligatures w14:val="none"/>
        </w:rPr>
        <w:t xml:space="preserve">Galperin, B. L., &amp; Burke, R. J. 2020. "Corporate Psychopathy and Misconduct." </w:t>
      </w:r>
      <w:r w:rsidRPr="004B3F8F">
        <w:rPr>
          <w:rFonts w:asciiTheme="minorBidi" w:eastAsia="Times New Roman" w:hAnsiTheme="minorBidi"/>
          <w:i/>
          <w:iCs/>
          <w:kern w:val="0"/>
          <w:lang w:eastAsia="en-US"/>
          <w14:ligatures w14:val="none"/>
        </w:rPr>
        <w:t>Academy of Management Perspectives</w:t>
      </w:r>
      <w:r w:rsidRPr="004B3F8F">
        <w:rPr>
          <w:rFonts w:asciiTheme="minorBidi" w:eastAsia="Times New Roman" w:hAnsiTheme="minorBidi"/>
          <w:kern w:val="0"/>
          <w:lang w:eastAsia="en-US"/>
          <w14:ligatures w14:val="none"/>
        </w:rPr>
        <w:t>.</w:t>
      </w:r>
    </w:p>
    <w:p w14:paraId="2E333E28" w14:textId="77777777" w:rsidR="004B3F8F" w:rsidRPr="004B3F8F" w:rsidRDefault="004B3F8F" w:rsidP="004B3F8F">
      <w:pPr>
        <w:spacing w:after="0" w:line="360" w:lineRule="auto"/>
        <w:ind w:left="851" w:hanging="851"/>
        <w:jc w:val="both"/>
        <w:rPr>
          <w:rFonts w:asciiTheme="minorBidi" w:eastAsia="Times New Roman" w:hAnsiTheme="minorBidi"/>
          <w:kern w:val="0"/>
          <w:lang w:eastAsia="en-US"/>
          <w14:ligatures w14:val="none"/>
        </w:rPr>
      </w:pPr>
    </w:p>
    <w:p w14:paraId="7EE45A3F" w14:textId="77777777" w:rsidR="004B3F8F" w:rsidRPr="004B3F8F" w:rsidRDefault="004B3F8F" w:rsidP="004B3F8F">
      <w:pPr>
        <w:spacing w:after="0" w:line="360" w:lineRule="auto"/>
        <w:ind w:left="851" w:hanging="851"/>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t xml:space="preserve">Gao, S., &amp; Jiang, L. 2020. "The Impact of Psychopathic Traits on Corporate Fraud in China." </w:t>
      </w:r>
      <w:r w:rsidRPr="004B3F8F">
        <w:rPr>
          <w:rFonts w:ascii="Arial" w:eastAsiaTheme="majorEastAsia" w:hAnsi="Arial" w:cs="Arial"/>
          <w:i/>
          <w:iCs/>
          <w:kern w:val="0"/>
          <w:lang w:eastAsia="en-US"/>
          <w14:ligatures w14:val="none"/>
        </w:rPr>
        <w:t>Asian Journal of Accounting Research</w:t>
      </w:r>
      <w:r w:rsidRPr="004B3F8F">
        <w:rPr>
          <w:rFonts w:ascii="Arial" w:eastAsiaTheme="minorHAnsi" w:hAnsi="Arial" w:cs="Arial"/>
          <w:kern w:val="0"/>
          <w:lang w:eastAsia="en-US"/>
          <w14:ligatures w14:val="none"/>
        </w:rPr>
        <w:t>.</w:t>
      </w:r>
    </w:p>
    <w:p w14:paraId="19671B4D"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Gao, Y., Raine, A., &amp; Schug, R. A. 2011. "P3 event-related potentials and childhood maltreatment in successful and unsuccessful psychopaths." </w:t>
      </w:r>
      <w:r w:rsidRPr="004B3F8F">
        <w:rPr>
          <w:rFonts w:asciiTheme="minorBidi" w:eastAsia="Times New Roman" w:hAnsiTheme="minorBidi"/>
          <w:i/>
          <w:iCs/>
          <w:kern w:val="0"/>
          <w14:ligatures w14:val="none"/>
        </w:rPr>
        <w:t>Brain and Cognition</w:t>
      </w:r>
      <w:r w:rsidRPr="004B3F8F">
        <w:rPr>
          <w:rFonts w:asciiTheme="minorBidi" w:eastAsia="Times New Roman" w:hAnsiTheme="minorBidi"/>
          <w:kern w:val="0"/>
          <w14:ligatures w14:val="none"/>
        </w:rPr>
        <w:t>, 77(2), 176-182.</w:t>
      </w:r>
    </w:p>
    <w:p w14:paraId="238F088E"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García-Sánchez, I. M., &amp; García-Meca, E. 2017. Do talented managers invest more efficiently? The moderation role of corporate governance mechanisms. Corporate Governance: An International Review, 25(1).</w:t>
      </w:r>
    </w:p>
    <w:p w14:paraId="4147F02D" w14:textId="77777777" w:rsidR="004B3F8F" w:rsidRPr="004B3F8F" w:rsidRDefault="004B3F8F" w:rsidP="004B3F8F">
      <w:pPr>
        <w:spacing w:line="480" w:lineRule="auto"/>
        <w:ind w:left="851" w:hanging="851"/>
        <w:jc w:val="both"/>
        <w:rPr>
          <w:rFonts w:ascii="Arial" w:eastAsiaTheme="minorHAnsi" w:hAnsi="Arial" w:cs="Arial"/>
          <w:color w:val="000000" w:themeColor="text1"/>
          <w:kern w:val="0"/>
          <w:shd w:val="clear" w:color="auto" w:fill="FFFFFF"/>
          <w:lang w:eastAsia="en-US"/>
          <w14:ligatures w14:val="none"/>
        </w:rPr>
      </w:pPr>
      <w:r w:rsidRPr="004B3F8F">
        <w:rPr>
          <w:rFonts w:ascii="Arial" w:eastAsiaTheme="minorHAnsi" w:hAnsi="Arial" w:cs="Arial"/>
          <w:color w:val="000000" w:themeColor="text1"/>
          <w:kern w:val="0"/>
          <w:shd w:val="clear" w:color="auto" w:fill="FFFFFF"/>
          <w:lang w:eastAsia="en-US"/>
          <w14:ligatures w14:val="none"/>
        </w:rPr>
        <w:t>Gettysburg. 2023</w:t>
      </w:r>
      <w:r w:rsidRPr="004B3F8F">
        <w:rPr>
          <w:rFonts w:asciiTheme="minorBidi" w:eastAsiaTheme="minorHAnsi" w:hAnsiTheme="minorBidi"/>
          <w:color w:val="000000" w:themeColor="text1"/>
          <w:kern w:val="0"/>
          <w:shd w:val="clear" w:color="auto" w:fill="FFFFFF"/>
          <w:lang w:eastAsia="en-US"/>
          <w14:ligatures w14:val="none"/>
        </w:rPr>
        <w:t xml:space="preserve">. </w:t>
      </w:r>
      <w:hyperlink r:id="rId88" w:anchor=":~:text=Writer%20Annie%20Dillard%20famously%20said,on%20your%20quality%20of%20life." w:history="1">
        <w:r w:rsidRPr="004B3F8F">
          <w:rPr>
            <w:rFonts w:asciiTheme="minorBidi" w:eastAsiaTheme="minorHAnsi" w:hAnsiTheme="minorBidi"/>
            <w:color w:val="000000" w:themeColor="text1"/>
            <w:kern w:val="0"/>
            <w:lang w:eastAsia="en-US"/>
            <w14:ligatures w14:val="none"/>
          </w:rPr>
          <w:t>One third of your life is spent at work - Gettysburg College</w:t>
        </w:r>
      </w:hyperlink>
      <w:r w:rsidRPr="004B3F8F">
        <w:rPr>
          <w:rFonts w:asciiTheme="minorBidi" w:eastAsiaTheme="minorHAnsi" w:hAnsiTheme="minorBidi"/>
          <w:color w:val="000000" w:themeColor="text1"/>
          <w:kern w:val="0"/>
          <w:lang w:eastAsia="en-US"/>
          <w14:ligatures w14:val="none"/>
        </w:rPr>
        <w:t xml:space="preserve">. </w:t>
      </w:r>
      <w:hyperlink r:id="rId89" w:history="1">
        <w:r w:rsidRPr="004B3F8F">
          <w:rPr>
            <w:rFonts w:asciiTheme="minorBidi" w:eastAsiaTheme="minorHAnsi" w:hAnsiTheme="minorBidi"/>
            <w:color w:val="000000" w:themeColor="text1"/>
            <w:kern w:val="0"/>
            <w:lang w:eastAsia="en-US"/>
            <w14:ligatures w14:val="none"/>
          </w:rPr>
          <w:t>www.gettsburg.edu/news/stories</w:t>
        </w:r>
      </w:hyperlink>
      <w:r w:rsidRPr="004B3F8F">
        <w:rPr>
          <w:rFonts w:asciiTheme="minorBidi" w:eastAsiaTheme="minorHAnsi" w:hAnsiTheme="minorBidi"/>
          <w:color w:val="000000" w:themeColor="text1"/>
          <w:kern w:val="0"/>
          <w:lang w:eastAsia="en-US"/>
          <w14:ligatures w14:val="none"/>
        </w:rPr>
        <w:t xml:space="preserve"> Accessed May 2023</w:t>
      </w:r>
    </w:p>
    <w:p w14:paraId="7FD5B7D9" w14:textId="77777777" w:rsidR="004B3F8F" w:rsidRPr="004B3F8F" w:rsidRDefault="004B3F8F" w:rsidP="004B3F8F">
      <w:pPr>
        <w:spacing w:after="0" w:line="360" w:lineRule="auto"/>
        <w:ind w:left="851" w:hanging="851"/>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t>Goddard, W, &amp; Melville, 2004. Research Methodology: An Introduction. 2</w:t>
      </w:r>
      <w:r w:rsidRPr="004B3F8F">
        <w:rPr>
          <w:rFonts w:ascii="Arial" w:eastAsiaTheme="minorHAnsi" w:hAnsi="Arial" w:cs="Arial"/>
          <w:kern w:val="0"/>
          <w:vertAlign w:val="superscript"/>
          <w:lang w:eastAsia="en-US"/>
          <w14:ligatures w14:val="none"/>
        </w:rPr>
        <w:t>nd</w:t>
      </w:r>
      <w:r w:rsidRPr="004B3F8F">
        <w:rPr>
          <w:rFonts w:ascii="Arial" w:eastAsiaTheme="minorHAnsi" w:hAnsi="Arial" w:cs="Arial"/>
          <w:kern w:val="0"/>
          <w:lang w:eastAsia="en-US"/>
          <w14:ligatures w14:val="none"/>
        </w:rPr>
        <w:t xml:space="preserve"> Edition.  </w:t>
      </w:r>
    </w:p>
    <w:p w14:paraId="44FB074D" w14:textId="77777777" w:rsidR="004B3F8F" w:rsidRPr="004B3F8F" w:rsidRDefault="004B3F8F" w:rsidP="004B3F8F">
      <w:pPr>
        <w:spacing w:after="0" w:line="360" w:lineRule="auto"/>
        <w:ind w:left="851" w:hanging="851"/>
        <w:jc w:val="both"/>
        <w:rPr>
          <w:rFonts w:ascii="Arial" w:eastAsiaTheme="minorHAnsi" w:hAnsi="Arial" w:cs="Arial"/>
          <w:kern w:val="0"/>
          <w:lang w:eastAsia="en-US"/>
          <w14:ligatures w14:val="none"/>
        </w:rPr>
      </w:pPr>
    </w:p>
    <w:p w14:paraId="6D53FE65"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03" w:name="_Hlk42377255"/>
      <w:r w:rsidRPr="004B3F8F">
        <w:rPr>
          <w:rFonts w:ascii="Arial" w:eastAsiaTheme="minorHAnsi" w:hAnsi="Arial" w:cs="Arial"/>
          <w:kern w:val="0"/>
          <w:lang w:val="en-US" w:eastAsia="en-US"/>
          <w14:ligatures w14:val="none"/>
        </w:rPr>
        <w:t>Goel</w:t>
      </w:r>
      <w:bookmarkEnd w:id="903"/>
      <w:r w:rsidRPr="004B3F8F">
        <w:rPr>
          <w:rFonts w:ascii="Arial" w:eastAsiaTheme="minorHAnsi" w:hAnsi="Arial" w:cs="Arial"/>
          <w:kern w:val="0"/>
          <w:lang w:val="en-US" w:eastAsia="en-US"/>
          <w14:ligatures w14:val="none"/>
        </w:rPr>
        <w:t xml:space="preserve">, S., and J. </w:t>
      </w:r>
      <w:bookmarkStart w:id="904" w:name="_Hlk42377261"/>
      <w:r w:rsidRPr="004B3F8F">
        <w:rPr>
          <w:rFonts w:ascii="Arial" w:eastAsiaTheme="minorHAnsi" w:hAnsi="Arial" w:cs="Arial"/>
          <w:kern w:val="0"/>
          <w:lang w:val="en-US" w:eastAsia="en-US"/>
          <w14:ligatures w14:val="none"/>
        </w:rPr>
        <w:t>Gangolly. 2012</w:t>
      </w:r>
      <w:bookmarkEnd w:id="904"/>
      <w:r w:rsidRPr="004B3F8F">
        <w:rPr>
          <w:rFonts w:ascii="Arial" w:eastAsiaTheme="minorHAnsi" w:hAnsi="Arial" w:cs="Arial"/>
          <w:kern w:val="0"/>
          <w:lang w:val="en-US" w:eastAsia="en-US"/>
          <w14:ligatures w14:val="none"/>
        </w:rPr>
        <w:t xml:space="preserve">. “Beyond the Numbers: Mining the Annual Reports for Hidden Cues Indicative of Financial Statement Fraud.” </w:t>
      </w:r>
      <w:r w:rsidRPr="004B3F8F">
        <w:rPr>
          <w:rFonts w:ascii="Arial" w:eastAsiaTheme="minorHAnsi" w:hAnsi="Arial" w:cs="Arial"/>
          <w:i/>
          <w:iCs/>
          <w:kern w:val="0"/>
          <w:lang w:val="en-US" w:eastAsia="en-US"/>
          <w14:ligatures w14:val="none"/>
        </w:rPr>
        <w:t>Intelligent Systems in Accounting, Finance, and Management</w:t>
      </w:r>
      <w:r w:rsidRPr="004B3F8F">
        <w:rPr>
          <w:rFonts w:ascii="Arial" w:eastAsiaTheme="minorHAnsi" w:hAnsi="Arial" w:cs="Arial"/>
          <w:kern w:val="0"/>
          <w:lang w:val="en-US" w:eastAsia="en-US"/>
          <w14:ligatures w14:val="none"/>
        </w:rPr>
        <w:t xml:space="preserve"> 19, pp. 75-89.</w:t>
      </w:r>
    </w:p>
    <w:p w14:paraId="4A535856"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lastRenderedPageBreak/>
        <w:t>Golec, D., Strugar, I. and Belak, D., 2021. The benefits of enterprise data warehouse implementation in cloud vs. on-premises. </w:t>
      </w:r>
      <w:r w:rsidRPr="004B3F8F">
        <w:rPr>
          <w:rFonts w:ascii="Arial" w:hAnsi="Arial" w:cs="Arial"/>
          <w:i/>
          <w:iCs/>
          <w:color w:val="222222"/>
          <w:shd w:val="clear" w:color="auto" w:fill="FFFFFF"/>
        </w:rPr>
        <w:t>ENTRENOVA-ENTERPRISE RESEARCH INNOVATION</w:t>
      </w:r>
      <w:r w:rsidRPr="004B3F8F">
        <w:rPr>
          <w:rFonts w:ascii="Arial" w:hAnsi="Arial" w:cs="Arial"/>
          <w:color w:val="222222"/>
          <w:shd w:val="clear" w:color="auto" w:fill="FFFFFF"/>
        </w:rPr>
        <w:t>, </w:t>
      </w:r>
      <w:r w:rsidRPr="004B3F8F">
        <w:rPr>
          <w:rFonts w:ascii="Arial" w:hAnsi="Arial" w:cs="Arial"/>
          <w:i/>
          <w:iCs/>
          <w:color w:val="222222"/>
          <w:shd w:val="clear" w:color="auto" w:fill="FFFFFF"/>
        </w:rPr>
        <w:t>7</w:t>
      </w:r>
      <w:r w:rsidRPr="004B3F8F">
        <w:rPr>
          <w:rFonts w:ascii="Arial" w:hAnsi="Arial" w:cs="Arial"/>
          <w:color w:val="222222"/>
          <w:shd w:val="clear" w:color="auto" w:fill="FFFFFF"/>
        </w:rPr>
        <w:t>(1), pp.66-74.</w:t>
      </w:r>
    </w:p>
    <w:p w14:paraId="7A70A797"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05" w:name="_Hlk42377275"/>
      <w:r w:rsidRPr="004B3F8F">
        <w:rPr>
          <w:rFonts w:ascii="Arial" w:eastAsiaTheme="minorHAnsi" w:hAnsi="Arial" w:cs="Arial"/>
          <w:kern w:val="0"/>
          <w:lang w:val="en-US" w:eastAsia="en-US"/>
          <w14:ligatures w14:val="none"/>
        </w:rPr>
        <w:t>Golia</w:t>
      </w:r>
      <w:bookmarkEnd w:id="905"/>
      <w:r w:rsidRPr="004B3F8F">
        <w:rPr>
          <w:rFonts w:ascii="Arial" w:eastAsiaTheme="minorHAnsi" w:hAnsi="Arial" w:cs="Arial"/>
          <w:kern w:val="0"/>
          <w:lang w:val="en-US" w:eastAsia="en-US"/>
          <w14:ligatures w14:val="none"/>
        </w:rPr>
        <w:t xml:space="preserve">, N. 2013. “What Big Data Means for Infrastructure Costs?” </w:t>
      </w:r>
      <w:r w:rsidRPr="004B3F8F">
        <w:rPr>
          <w:rFonts w:ascii="Arial" w:eastAsiaTheme="minorHAnsi" w:hAnsi="Arial" w:cs="Arial"/>
          <w:i/>
          <w:iCs/>
          <w:kern w:val="0"/>
          <w:lang w:val="en-US" w:eastAsia="en-US"/>
          <w14:ligatures w14:val="none"/>
        </w:rPr>
        <w:t>Insurance and Technology</w:t>
      </w:r>
      <w:r w:rsidRPr="004B3F8F">
        <w:rPr>
          <w:rFonts w:ascii="Arial" w:eastAsiaTheme="minorHAnsi" w:hAnsi="Arial" w:cs="Arial"/>
          <w:kern w:val="0"/>
          <w:lang w:val="en-US" w:eastAsia="en-US"/>
          <w14:ligatures w14:val="none"/>
        </w:rPr>
        <w:t xml:space="preserve"> </w:t>
      </w:r>
      <w:proofErr w:type="gramStart"/>
      <w:r w:rsidRPr="004B3F8F">
        <w:rPr>
          <w:rFonts w:ascii="Arial" w:eastAsiaTheme="minorHAnsi" w:hAnsi="Arial" w:cs="Arial"/>
          <w:kern w:val="0"/>
          <w:lang w:val="en-US" w:eastAsia="en-US"/>
          <w14:ligatures w14:val="none"/>
        </w:rPr>
        <w:t>May,</w:t>
      </w:r>
      <w:proofErr w:type="gramEnd"/>
      <w:r w:rsidRPr="004B3F8F">
        <w:rPr>
          <w:rFonts w:ascii="Arial" w:eastAsiaTheme="minorHAnsi" w:hAnsi="Arial" w:cs="Arial"/>
          <w:kern w:val="0"/>
          <w:lang w:val="en-US" w:eastAsia="en-US"/>
          <w14:ligatures w14:val="none"/>
        </w:rPr>
        <w:t xml:space="preserve"> 30-31.</w:t>
      </w:r>
    </w:p>
    <w:p w14:paraId="4EDA4F94"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06" w:name="_Hlk42377289"/>
      <w:r w:rsidRPr="004B3F8F">
        <w:rPr>
          <w:rFonts w:ascii="Arial" w:eastAsiaTheme="minorHAnsi" w:hAnsi="Arial" w:cs="Arial"/>
          <w:kern w:val="0"/>
          <w:lang w:val="en-US" w:eastAsia="en-US"/>
          <w14:ligatures w14:val="none"/>
        </w:rPr>
        <w:t>Gordon</w:t>
      </w:r>
      <w:bookmarkEnd w:id="906"/>
      <w:r w:rsidRPr="004B3F8F">
        <w:rPr>
          <w:rFonts w:ascii="Arial" w:eastAsiaTheme="minorHAnsi" w:hAnsi="Arial" w:cs="Arial"/>
          <w:kern w:val="0"/>
          <w:lang w:val="en-US" w:eastAsia="en-US"/>
          <w14:ligatures w14:val="none"/>
        </w:rPr>
        <w:t xml:space="preserve">, E.A., E. Henry, T.T. Louwers, and B.J. Reed. March 2007. “Auditing Related Party Transactions: A Literature Overview and Research Synthesis.” </w:t>
      </w:r>
      <w:r w:rsidRPr="004B3F8F">
        <w:rPr>
          <w:rFonts w:ascii="Arial" w:eastAsiaTheme="minorHAnsi" w:hAnsi="Arial" w:cs="Arial"/>
          <w:i/>
          <w:iCs/>
          <w:kern w:val="0"/>
          <w:lang w:val="en-US" w:eastAsia="en-US"/>
          <w14:ligatures w14:val="none"/>
        </w:rPr>
        <w:t>Accounting Horizons</w:t>
      </w:r>
      <w:r w:rsidRPr="004B3F8F">
        <w:rPr>
          <w:rFonts w:ascii="Arial" w:eastAsiaTheme="minorHAnsi" w:hAnsi="Arial" w:cs="Arial"/>
          <w:kern w:val="0"/>
          <w:lang w:val="en-US" w:eastAsia="en-US"/>
          <w14:ligatures w14:val="none"/>
        </w:rPr>
        <w:t xml:space="preserve"> 21, no. 1.</w:t>
      </w:r>
    </w:p>
    <w:p w14:paraId="282BC732"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Ghoshal, S., &amp; Moran, P. 2016. "The Science Behind Corporate Psychopathy." </w:t>
      </w:r>
      <w:r w:rsidRPr="004B3F8F">
        <w:rPr>
          <w:rFonts w:asciiTheme="minorBidi" w:eastAsia="Times New Roman" w:hAnsiTheme="minorBidi"/>
          <w:i/>
          <w:iCs/>
          <w:kern w:val="0"/>
          <w14:ligatures w14:val="none"/>
        </w:rPr>
        <w:t>Journal of Business Ethics</w:t>
      </w:r>
      <w:r w:rsidRPr="004B3F8F">
        <w:rPr>
          <w:rFonts w:asciiTheme="minorBidi" w:eastAsia="Times New Roman" w:hAnsiTheme="minorBidi"/>
          <w:kern w:val="0"/>
          <w14:ligatures w14:val="none"/>
        </w:rPr>
        <w:t>, 138(3), 421-431.</w:t>
      </w:r>
    </w:p>
    <w:p w14:paraId="32858841" w14:textId="77777777" w:rsidR="004B3F8F" w:rsidRPr="004B3F8F" w:rsidRDefault="004B3F8F" w:rsidP="004B3F8F">
      <w:pPr>
        <w:spacing w:after="200" w:line="480" w:lineRule="auto"/>
        <w:ind w:left="801" w:hangingChars="327" w:hanging="801"/>
        <w:jc w:val="both"/>
        <w:rPr>
          <w:rFonts w:ascii="Arial" w:eastAsiaTheme="minorHAnsi" w:hAnsi="Arial" w:cs="Arial"/>
          <w:spacing w:val="5"/>
          <w:kern w:val="0"/>
          <w:lang w:val="en-US" w:eastAsia="en-US"/>
          <w14:ligatures w14:val="none"/>
        </w:rPr>
      </w:pPr>
      <w:r w:rsidRPr="004B3F8F">
        <w:rPr>
          <w:rFonts w:ascii="Arial" w:eastAsiaTheme="minorHAnsi" w:hAnsi="Arial" w:cs="Arial"/>
          <w:spacing w:val="5"/>
          <w:kern w:val="0"/>
          <w:lang w:val="en-US" w:eastAsia="en-US"/>
          <w14:ligatures w14:val="none"/>
        </w:rPr>
        <w:t xml:space="preserve">Gottfredson, M.R., and T. Hirschi, 1990. </w:t>
      </w:r>
      <w:r w:rsidRPr="004B3F8F">
        <w:rPr>
          <w:rFonts w:ascii="Arial" w:eastAsiaTheme="minorHAnsi" w:hAnsi="Arial" w:cs="Arial"/>
          <w:i/>
          <w:iCs/>
          <w:spacing w:val="5"/>
          <w:kern w:val="0"/>
          <w:lang w:val="en-US" w:eastAsia="en-US"/>
          <w14:ligatures w14:val="none"/>
        </w:rPr>
        <w:t>A General Theory of Crime.</w:t>
      </w:r>
      <w:r w:rsidRPr="004B3F8F">
        <w:rPr>
          <w:rFonts w:ascii="Arial" w:eastAsiaTheme="minorHAnsi" w:hAnsi="Arial" w:cs="Arial"/>
          <w:spacing w:val="5"/>
          <w:kern w:val="0"/>
          <w:lang w:val="en-US" w:eastAsia="en-US"/>
          <w14:ligatures w14:val="none"/>
        </w:rPr>
        <w:t xml:space="preserve"> Stanford, CA: Stanford University Press.</w:t>
      </w:r>
    </w:p>
    <w:p w14:paraId="47C8FD34" w14:textId="77777777" w:rsidR="004B3F8F" w:rsidRPr="004B3F8F" w:rsidRDefault="004B3F8F" w:rsidP="004B3F8F">
      <w:pPr>
        <w:spacing w:after="0"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Gough, D., Oliver, S., &amp; Thomas, J. 2017. </w:t>
      </w:r>
      <w:r w:rsidRPr="004B3F8F">
        <w:rPr>
          <w:rFonts w:asciiTheme="minorBidi" w:eastAsia="Times New Roman" w:hAnsiTheme="minorBidi"/>
          <w:i/>
          <w:iCs/>
          <w:kern w:val="0"/>
          <w14:ligatures w14:val="none"/>
        </w:rPr>
        <w:t>An Introduction to Systematic Reviews</w:t>
      </w:r>
      <w:r w:rsidRPr="004B3F8F">
        <w:rPr>
          <w:rFonts w:asciiTheme="minorBidi" w:eastAsia="Times New Roman" w:hAnsiTheme="minorBidi"/>
          <w:kern w:val="0"/>
          <w14:ligatures w14:val="none"/>
        </w:rPr>
        <w:t xml:space="preserve"> (2nd ed.). SAGE Publications.</w:t>
      </w:r>
    </w:p>
    <w:p w14:paraId="04A69AB2" w14:textId="77777777" w:rsidR="004B3F8F" w:rsidRPr="004B3F8F" w:rsidRDefault="004B3F8F" w:rsidP="004B3F8F">
      <w:pPr>
        <w:spacing w:after="200" w:line="480" w:lineRule="auto"/>
        <w:ind w:left="801" w:hangingChars="327" w:hanging="801"/>
        <w:jc w:val="both"/>
        <w:rPr>
          <w:rFonts w:ascii="Arial" w:eastAsiaTheme="minorHAnsi" w:hAnsi="Arial" w:cs="Arial"/>
          <w:kern w:val="0"/>
          <w:shd w:val="clear" w:color="auto" w:fill="FFFFFF"/>
          <w:lang w:eastAsia="en-US"/>
          <w14:ligatures w14:val="none"/>
        </w:rPr>
      </w:pPr>
      <w:r w:rsidRPr="004B3F8F">
        <w:rPr>
          <w:rFonts w:ascii="Arial" w:eastAsiaTheme="minorHAnsi" w:hAnsi="Arial" w:cs="Arial"/>
          <w:spacing w:val="5"/>
          <w:kern w:val="0"/>
          <w:lang w:val="en-US" w:eastAsia="en-US"/>
          <w14:ligatures w14:val="none"/>
        </w:rPr>
        <w:t xml:space="preserve">Graham, </w:t>
      </w:r>
      <w:r w:rsidRPr="004B3F8F">
        <w:rPr>
          <w:rFonts w:ascii="Arial" w:eastAsiaTheme="minorHAnsi" w:hAnsi="Arial" w:cs="Arial"/>
          <w:kern w:val="0"/>
          <w:shd w:val="clear" w:color="auto" w:fill="FFFFFF"/>
          <w:lang w:eastAsia="en-US"/>
          <w14:ligatures w14:val="none"/>
        </w:rPr>
        <w:t>J. R., Grennan, J., Harvey, C. R., &amp; Rajgopal, S. 2022. Corporate culture: Evidence from the field. </w:t>
      </w:r>
      <w:r w:rsidRPr="004B3F8F">
        <w:rPr>
          <w:rFonts w:ascii="Arial" w:eastAsiaTheme="minorHAnsi" w:hAnsi="Arial" w:cs="Arial"/>
          <w:i/>
          <w:iCs/>
          <w:kern w:val="0"/>
          <w:shd w:val="clear" w:color="auto" w:fill="FFFFFF"/>
          <w:lang w:eastAsia="en-US"/>
          <w14:ligatures w14:val="none"/>
        </w:rPr>
        <w:t>Journal of Financial Economics</w:t>
      </w:r>
      <w:r w:rsidRPr="004B3F8F">
        <w:rPr>
          <w:rFonts w:ascii="Arial" w:eastAsiaTheme="minorHAnsi" w:hAnsi="Arial" w:cs="Arial"/>
          <w:kern w:val="0"/>
          <w:shd w:val="clear" w:color="auto" w:fill="FFFFFF"/>
          <w:lang w:eastAsia="en-US"/>
          <w14:ligatures w14:val="none"/>
        </w:rPr>
        <w:t>, </w:t>
      </w:r>
      <w:r w:rsidRPr="004B3F8F">
        <w:rPr>
          <w:rFonts w:ascii="Arial" w:eastAsiaTheme="minorHAnsi" w:hAnsi="Arial" w:cs="Arial"/>
          <w:i/>
          <w:iCs/>
          <w:kern w:val="0"/>
          <w:shd w:val="clear" w:color="auto" w:fill="FFFFFF"/>
          <w:lang w:eastAsia="en-US"/>
          <w14:ligatures w14:val="none"/>
        </w:rPr>
        <w:t>146</w:t>
      </w:r>
      <w:r w:rsidRPr="004B3F8F">
        <w:rPr>
          <w:rFonts w:ascii="Arial" w:eastAsiaTheme="minorHAnsi" w:hAnsi="Arial" w:cs="Arial"/>
          <w:kern w:val="0"/>
          <w:shd w:val="clear" w:color="auto" w:fill="FFFFFF"/>
          <w:lang w:eastAsia="en-US"/>
          <w14:ligatures w14:val="none"/>
        </w:rPr>
        <w:t>(2), 552-593.</w:t>
      </w:r>
    </w:p>
    <w:p w14:paraId="06895A3C" w14:textId="77777777" w:rsidR="004B3F8F" w:rsidRPr="004B3F8F" w:rsidRDefault="004B3F8F" w:rsidP="004B3F8F">
      <w:pPr>
        <w:spacing w:after="200" w:line="480" w:lineRule="auto"/>
        <w:ind w:left="801" w:hangingChars="327" w:hanging="801"/>
        <w:jc w:val="both"/>
        <w:rPr>
          <w:rFonts w:ascii="Arial" w:eastAsia="Times New Roman" w:hAnsi="Arial" w:cs="Arial"/>
          <w:kern w:val="0"/>
          <w:lang w:val="en-US" w:eastAsia="en-GB"/>
          <w14:ligatures w14:val="none"/>
        </w:rPr>
      </w:pPr>
      <w:r w:rsidRPr="004B3F8F">
        <w:rPr>
          <w:rFonts w:ascii="Arial" w:eastAsiaTheme="minorHAnsi" w:hAnsi="Arial" w:cs="Arial"/>
          <w:spacing w:val="5"/>
          <w:kern w:val="0"/>
          <w:lang w:val="en-US" w:eastAsia="en-US"/>
          <w14:ligatures w14:val="none"/>
        </w:rPr>
        <w:t xml:space="preserve">Gray, </w:t>
      </w:r>
      <w:r w:rsidRPr="004B3F8F">
        <w:rPr>
          <w:rFonts w:ascii="Arial" w:eastAsia="Times New Roman" w:hAnsi="Arial" w:cs="Arial"/>
          <w:kern w:val="0"/>
          <w:lang w:val="en-US" w:eastAsia="en-GB"/>
          <w14:ligatures w14:val="none"/>
        </w:rPr>
        <w:t xml:space="preserve">R., D. Owen, and C. Adams. 1996. </w:t>
      </w:r>
      <w:r w:rsidRPr="004B3F8F">
        <w:rPr>
          <w:rFonts w:ascii="Arial" w:eastAsia="Times New Roman" w:hAnsi="Arial" w:cs="Arial"/>
          <w:i/>
          <w:iCs/>
          <w:kern w:val="0"/>
          <w:lang w:val="en-US" w:eastAsia="en-GB"/>
          <w14:ligatures w14:val="none"/>
        </w:rPr>
        <w:t>Accounting and Accountability; Changes and Challenges in Corporate Social and Environmental Reporting.</w:t>
      </w:r>
      <w:r w:rsidRPr="004B3F8F">
        <w:rPr>
          <w:rFonts w:ascii="Arial" w:eastAsia="Times New Roman" w:hAnsi="Arial" w:cs="Arial"/>
          <w:kern w:val="0"/>
          <w:lang w:val="en-US" w:eastAsia="en-GB"/>
          <w14:ligatures w14:val="none"/>
        </w:rPr>
        <w:t xml:space="preserve"> Harlow: Prentice Hall Europe.</w:t>
      </w:r>
    </w:p>
    <w:p w14:paraId="5E5772C8" w14:textId="77777777" w:rsidR="004B3F8F" w:rsidRPr="004B3F8F" w:rsidRDefault="004B3F8F" w:rsidP="004B3F8F">
      <w:pPr>
        <w:spacing w:after="200" w:line="480" w:lineRule="auto"/>
        <w:ind w:left="785" w:hangingChars="327" w:hanging="785"/>
        <w:jc w:val="both"/>
        <w:rPr>
          <w:rFonts w:asciiTheme="minorBidi" w:eastAsiaTheme="minorHAnsi" w:hAnsiTheme="minorBidi"/>
          <w:spacing w:val="5"/>
          <w:kern w:val="0"/>
          <w:lang w:val="en-US" w:eastAsia="en-US"/>
          <w14:ligatures w14:val="none"/>
        </w:rPr>
      </w:pPr>
      <w:r w:rsidRPr="004B3F8F">
        <w:rPr>
          <w:rFonts w:asciiTheme="minorBidi" w:eastAsia="Times New Roman" w:hAnsiTheme="minorBidi"/>
          <w:kern w:val="0"/>
          <w:lang w:eastAsia="en-US"/>
          <w14:ligatures w14:val="none"/>
        </w:rPr>
        <w:t xml:space="preserve">Greene, J. C., Caracelli, V. J., &amp; Graham, W. F. 1989. Toward a conceptual framework for mixed-method evaluation designs. </w:t>
      </w:r>
      <w:r w:rsidRPr="004B3F8F">
        <w:rPr>
          <w:rFonts w:asciiTheme="minorBidi" w:eastAsia="Times New Roman" w:hAnsiTheme="minorBidi"/>
          <w:i/>
          <w:iCs/>
          <w:kern w:val="0"/>
          <w:lang w:eastAsia="en-US"/>
          <w14:ligatures w14:val="none"/>
        </w:rPr>
        <w:t>Educational Evaluation and Policy Analysis, 11</w:t>
      </w:r>
      <w:r w:rsidRPr="004B3F8F">
        <w:rPr>
          <w:rFonts w:asciiTheme="minorBidi" w:eastAsia="Times New Roman" w:hAnsiTheme="minorBidi"/>
          <w:kern w:val="0"/>
          <w:lang w:eastAsia="en-US"/>
          <w14:ligatures w14:val="none"/>
        </w:rPr>
        <w:t>(3), 255-274.</w:t>
      </w:r>
    </w:p>
    <w:p w14:paraId="5BDB4B54"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07" w:name="_Hlk42377317"/>
      <w:r w:rsidRPr="004B3F8F">
        <w:rPr>
          <w:rFonts w:ascii="Arial" w:eastAsiaTheme="minorHAnsi" w:hAnsi="Arial" w:cs="Arial"/>
          <w:kern w:val="0"/>
          <w:lang w:val="en-US" w:eastAsia="en-US"/>
          <w14:ligatures w14:val="none"/>
        </w:rPr>
        <w:lastRenderedPageBreak/>
        <w:t>Greenfield</w:t>
      </w:r>
      <w:bookmarkEnd w:id="907"/>
      <w:r w:rsidRPr="004B3F8F">
        <w:rPr>
          <w:rFonts w:ascii="Arial" w:eastAsiaTheme="minorHAnsi" w:hAnsi="Arial" w:cs="Arial"/>
          <w:kern w:val="0"/>
          <w:lang w:val="en-US" w:eastAsia="en-US"/>
          <w14:ligatures w14:val="none"/>
        </w:rPr>
        <w:t xml:space="preserve">, H. 2010. “The Decline of the Best: An Insider’s Lessons from Lehman Brothers.” </w:t>
      </w:r>
      <w:r w:rsidRPr="004B3F8F">
        <w:rPr>
          <w:rFonts w:ascii="Arial" w:eastAsiaTheme="minorHAnsi" w:hAnsi="Arial" w:cs="Arial"/>
          <w:i/>
          <w:iCs/>
          <w:kern w:val="0"/>
          <w:lang w:val="en-US" w:eastAsia="en-US"/>
          <w14:ligatures w14:val="none"/>
        </w:rPr>
        <w:t>Leader to Leader</w:t>
      </w:r>
      <w:r w:rsidRPr="004B3F8F">
        <w:rPr>
          <w:rFonts w:ascii="Arial" w:eastAsiaTheme="minorHAnsi" w:hAnsi="Arial" w:cs="Arial"/>
          <w:kern w:val="0"/>
          <w:lang w:val="en-US" w:eastAsia="en-US"/>
          <w14:ligatures w14:val="none"/>
        </w:rPr>
        <w:t xml:space="preserve"> 55, pp. 30-36.</w:t>
      </w:r>
    </w:p>
    <w:p w14:paraId="06E5CC35"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eastAsia="en-US"/>
          <w14:ligatures w14:val="none"/>
        </w:rPr>
        <w:t xml:space="preserve">Grigg, I. 2005. Triple entry accounting. Systemics Inc. </w:t>
      </w:r>
      <w:r w:rsidRPr="004B3F8F">
        <w:rPr>
          <w:rFonts w:ascii="Arial" w:eastAsiaTheme="minorHAnsi" w:hAnsi="Arial" w:cs="Arial"/>
          <w:kern w:val="0"/>
          <w:shd w:val="clear" w:color="auto" w:fill="FFFFFF"/>
          <w:lang w:val="en-US" w:eastAsia="en-US"/>
          <w14:ligatures w14:val="none"/>
        </w:rPr>
        <w:t>DOI:</w:t>
      </w:r>
      <w:hyperlink r:id="rId90" w:tgtFrame="_blank" w:history="1">
        <w:r w:rsidRPr="004B3F8F">
          <w:rPr>
            <w:rFonts w:ascii="Arial" w:eastAsiaTheme="minorHAnsi" w:hAnsi="Arial" w:cs="Arial"/>
            <w:kern w:val="0"/>
            <w:bdr w:val="none" w:sz="0" w:space="0" w:color="auto" w:frame="1"/>
            <w:shd w:val="clear" w:color="auto" w:fill="FFFFFF"/>
            <w:lang w:val="en-US" w:eastAsia="en-US"/>
            <w14:ligatures w14:val="none"/>
          </w:rPr>
          <w:t>10.13140/RG.2.2.12032.43524</w:t>
        </w:r>
      </w:hyperlink>
      <w:r w:rsidRPr="004B3F8F">
        <w:rPr>
          <w:rFonts w:ascii="Arial" w:eastAsiaTheme="minorHAnsi" w:hAnsi="Arial" w:cs="Arial"/>
          <w:kern w:val="0"/>
          <w:lang w:val="en-US" w:eastAsia="en-US"/>
          <w14:ligatures w14:val="none"/>
        </w:rPr>
        <w:t xml:space="preserve">. (accessed </w:t>
      </w:r>
      <w:proofErr w:type="gramStart"/>
      <w:r w:rsidRPr="004B3F8F">
        <w:rPr>
          <w:rFonts w:ascii="Arial" w:eastAsiaTheme="minorHAnsi" w:hAnsi="Arial" w:cs="Arial"/>
          <w:kern w:val="0"/>
          <w:lang w:val="en-US" w:eastAsia="en-US"/>
          <w14:ligatures w14:val="none"/>
        </w:rPr>
        <w:t>June,</w:t>
      </w:r>
      <w:proofErr w:type="gramEnd"/>
      <w:r w:rsidRPr="004B3F8F">
        <w:rPr>
          <w:rFonts w:ascii="Arial" w:eastAsiaTheme="minorHAnsi" w:hAnsi="Arial" w:cs="Arial"/>
          <w:kern w:val="0"/>
          <w:lang w:val="en-US" w:eastAsia="en-US"/>
          <w14:ligatures w14:val="none"/>
        </w:rPr>
        <w:t xml:space="preserve"> 2021)</w:t>
      </w:r>
    </w:p>
    <w:p w14:paraId="38D7B5F1"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Guides, I., Guide: SOC 2 Reporting on an Examination of Controls at a Service Organization Relevant to Security, Availability, Processing Integrity, Confidentiality, or Privacy, January 1, 2018.</w:t>
      </w:r>
    </w:p>
    <w:p w14:paraId="466BAA3A" w14:textId="77777777" w:rsidR="004B3F8F" w:rsidRPr="004B3F8F" w:rsidRDefault="004B3F8F" w:rsidP="004B3F8F">
      <w:pPr>
        <w:spacing w:after="200" w:line="480" w:lineRule="auto"/>
        <w:ind w:left="851" w:hanging="851"/>
        <w:jc w:val="both"/>
        <w:rPr>
          <w:rFonts w:ascii="Arial" w:eastAsiaTheme="minorHAnsi" w:hAnsi="Arial" w:cs="Arial"/>
          <w:kern w:val="0"/>
          <w:lang w:val="en-US" w:eastAsia="en-US"/>
          <w14:ligatures w14:val="none"/>
        </w:rPr>
      </w:pPr>
      <w:bookmarkStart w:id="908" w:name="_Hlk42377331"/>
      <w:r w:rsidRPr="004B3F8F">
        <w:rPr>
          <w:rFonts w:ascii="Arial" w:eastAsiaTheme="minorHAnsi" w:hAnsi="Arial" w:cs="Arial"/>
          <w:kern w:val="0"/>
          <w:lang w:val="en-US" w:eastAsia="en-US"/>
          <w14:ligatures w14:val="none"/>
        </w:rPr>
        <w:t>Gupta</w:t>
      </w:r>
      <w:bookmarkEnd w:id="908"/>
      <w:r w:rsidRPr="004B3F8F">
        <w:rPr>
          <w:rFonts w:ascii="Arial" w:eastAsiaTheme="minorHAnsi" w:hAnsi="Arial" w:cs="Arial"/>
          <w:kern w:val="0"/>
          <w:lang w:val="en-US" w:eastAsia="en-US"/>
          <w14:ligatures w14:val="none"/>
        </w:rPr>
        <w:t xml:space="preserve">, V. 2017. “The Promise of Blockchain Is a World Without Middlemen.” </w:t>
      </w:r>
      <w:r w:rsidRPr="004B3F8F">
        <w:rPr>
          <w:rFonts w:ascii="Arial" w:eastAsiaTheme="minorHAnsi" w:hAnsi="Arial" w:cs="Arial"/>
          <w:i/>
          <w:iCs/>
          <w:kern w:val="0"/>
          <w:lang w:val="en-US" w:eastAsia="en-US"/>
          <w14:ligatures w14:val="none"/>
        </w:rPr>
        <w:t>Harvard Business Review Digital Articles</w:t>
      </w:r>
      <w:r w:rsidRPr="004B3F8F">
        <w:rPr>
          <w:rFonts w:ascii="Arial" w:eastAsiaTheme="minorHAnsi" w:hAnsi="Arial" w:cs="Arial"/>
          <w:kern w:val="0"/>
          <w:lang w:val="en-US" w:eastAsia="en-US"/>
          <w14:ligatures w14:val="none"/>
        </w:rPr>
        <w:t xml:space="preserve">. </w:t>
      </w:r>
      <w:hyperlink r:id="rId91" w:history="1">
        <w:r w:rsidRPr="004B3F8F">
          <w:rPr>
            <w:rFonts w:ascii="Arial" w:eastAsiaTheme="minorHAnsi" w:hAnsi="Arial" w:cs="Arial"/>
            <w:kern w:val="0"/>
            <w:lang w:val="en-US" w:eastAsia="en-US"/>
            <w14:ligatures w14:val="none"/>
          </w:rPr>
          <w:t>https://www.hbsp.harvard.edu/product/H03HV9-PDF-ENG?Ntt=&amp;itemFindingMethod=Recommendation&amp;recommendedBy=H02F0M-PDF-ENG</w:t>
        </w:r>
      </w:hyperlink>
    </w:p>
    <w:p w14:paraId="2B6E5E72"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eastAsia="en-US"/>
          <w14:ligatures w14:val="none"/>
        </w:rPr>
      </w:pPr>
      <w:bookmarkStart w:id="909" w:name="_Hlk42377346"/>
      <w:r w:rsidRPr="004B3F8F">
        <w:rPr>
          <w:rFonts w:ascii="Arial" w:eastAsiaTheme="minorHAnsi" w:hAnsi="Arial" w:cs="Arial"/>
          <w:kern w:val="0"/>
          <w:lang w:val="de-DE" w:eastAsia="en-US"/>
          <w14:ligatures w14:val="none"/>
        </w:rPr>
        <w:t>Ham</w:t>
      </w:r>
      <w:bookmarkEnd w:id="909"/>
      <w:r w:rsidRPr="004B3F8F">
        <w:rPr>
          <w:rFonts w:ascii="Arial" w:eastAsiaTheme="minorHAnsi" w:hAnsi="Arial" w:cs="Arial"/>
          <w:kern w:val="0"/>
          <w:lang w:val="de-DE" w:eastAsia="en-US"/>
          <w14:ligatures w14:val="none"/>
        </w:rPr>
        <w:t xml:space="preserve">, C., M.H. Lang, N. Seybert, and S. Wang. 2015. </w:t>
      </w:r>
      <w:r w:rsidRPr="004B3F8F">
        <w:rPr>
          <w:rFonts w:ascii="Arial" w:eastAsiaTheme="minorHAnsi" w:hAnsi="Arial" w:cs="Arial"/>
          <w:kern w:val="0"/>
          <w:lang w:val="en-US" w:eastAsia="en-US"/>
          <w14:ligatures w14:val="none"/>
        </w:rPr>
        <w:t>“CFO</w:t>
      </w:r>
      <w:r w:rsidRPr="004B3F8F">
        <w:rPr>
          <w:rFonts w:ascii="Arial" w:eastAsiaTheme="minorHAnsi" w:hAnsi="Arial" w:cs="Arial"/>
          <w:i/>
          <w:iCs/>
          <w:kern w:val="0"/>
          <w:lang w:val="en-US" w:eastAsia="en-US"/>
          <w14:ligatures w14:val="none"/>
        </w:rPr>
        <w:t xml:space="preserve"> </w:t>
      </w:r>
      <w:r w:rsidRPr="004B3F8F">
        <w:rPr>
          <w:rFonts w:ascii="Arial" w:eastAsiaTheme="minorHAnsi" w:hAnsi="Arial" w:cs="Arial"/>
          <w:kern w:val="0"/>
          <w:lang w:val="en-US" w:eastAsia="en-US"/>
          <w14:ligatures w14:val="none"/>
        </w:rPr>
        <w:t xml:space="preserve">Narcissism and Financial Reporting Quality.” http://dx.doi.org/10.2139/ssrn.2581157, </w:t>
      </w:r>
      <w:r w:rsidRPr="004B3F8F">
        <w:rPr>
          <w:rFonts w:ascii="Arial" w:eastAsiaTheme="minorHAnsi" w:hAnsi="Arial" w:cs="Arial"/>
          <w:kern w:val="0"/>
          <w:shd w:val="clear" w:color="auto" w:fill="FFFFFF"/>
          <w:lang w:val="en-US" w:eastAsia="en-US"/>
          <w14:ligatures w14:val="none"/>
        </w:rPr>
        <w:t xml:space="preserve">(accessed December 25, 2017). </w:t>
      </w:r>
      <w:hyperlink r:id="rId92" w:history="1">
        <w:r w:rsidRPr="004B3F8F">
          <w:rPr>
            <w:rFonts w:ascii="Arial" w:eastAsiaTheme="minorHAnsi" w:hAnsi="Arial" w:cs="Arial"/>
            <w:kern w:val="0"/>
            <w:lang w:eastAsia="en-US"/>
            <w14:ligatures w14:val="none"/>
          </w:rPr>
          <w:t>https://papers.ssrn.com/sol3/papers.cfm?abstract_id=2581157</w:t>
        </w:r>
      </w:hyperlink>
    </w:p>
    <w:p w14:paraId="4429FA0E"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Han, H., Shiwakoti, R.K., Jarvis, R., Mordi, C. and Botchie, D., 2023. Accounting and auditing with blockchain technology and artificial Intelligence: A literature review. </w:t>
      </w:r>
      <w:r w:rsidRPr="004B3F8F">
        <w:rPr>
          <w:rFonts w:ascii="Arial" w:hAnsi="Arial" w:cs="Arial"/>
          <w:i/>
          <w:iCs/>
          <w:color w:val="222222"/>
          <w:shd w:val="clear" w:color="auto" w:fill="FFFFFF"/>
        </w:rPr>
        <w:t>International Journal of Accounting Information Systems</w:t>
      </w:r>
      <w:r w:rsidRPr="004B3F8F">
        <w:rPr>
          <w:rFonts w:ascii="Arial" w:hAnsi="Arial" w:cs="Arial"/>
          <w:color w:val="222222"/>
          <w:shd w:val="clear" w:color="auto" w:fill="FFFFFF"/>
        </w:rPr>
        <w:t>, </w:t>
      </w:r>
      <w:r w:rsidRPr="004B3F8F">
        <w:rPr>
          <w:rFonts w:ascii="Arial" w:hAnsi="Arial" w:cs="Arial"/>
          <w:i/>
          <w:iCs/>
          <w:color w:val="222222"/>
          <w:shd w:val="clear" w:color="auto" w:fill="FFFFFF"/>
        </w:rPr>
        <w:t>48</w:t>
      </w:r>
      <w:r w:rsidRPr="004B3F8F">
        <w:rPr>
          <w:rFonts w:ascii="Arial" w:hAnsi="Arial" w:cs="Arial"/>
          <w:color w:val="222222"/>
          <w:shd w:val="clear" w:color="auto" w:fill="FFFFFF"/>
        </w:rPr>
        <w:t>, p.100598.</w:t>
      </w:r>
    </w:p>
    <w:p w14:paraId="196ABF3C"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bookmarkStart w:id="910" w:name="_Hlk171503203"/>
      <w:r w:rsidRPr="004B3F8F">
        <w:rPr>
          <w:rFonts w:asciiTheme="minorBidi" w:eastAsia="Times New Roman" w:hAnsiTheme="minorBidi"/>
          <w:kern w:val="0"/>
          <w14:ligatures w14:val="none"/>
        </w:rPr>
        <w:t>Hare, R. D., &amp; Neumann, C. S. 2008</w:t>
      </w:r>
      <w:bookmarkEnd w:id="910"/>
      <w:r w:rsidRPr="004B3F8F">
        <w:rPr>
          <w:rFonts w:asciiTheme="minorBidi" w:eastAsia="Times New Roman" w:hAnsiTheme="minorBidi"/>
          <w:kern w:val="0"/>
          <w14:ligatures w14:val="none"/>
        </w:rPr>
        <w:t xml:space="preserve">. Psychopathy as a clinical and empirical construct. </w:t>
      </w:r>
      <w:r w:rsidRPr="004B3F8F">
        <w:rPr>
          <w:rFonts w:asciiTheme="minorBidi" w:eastAsia="Times New Roman" w:hAnsiTheme="minorBidi"/>
          <w:i/>
          <w:iCs/>
          <w:kern w:val="0"/>
          <w14:ligatures w14:val="none"/>
        </w:rPr>
        <w:t>Annual Review of Clinical Psychology, 4</w:t>
      </w:r>
      <w:r w:rsidRPr="004B3F8F">
        <w:rPr>
          <w:rFonts w:asciiTheme="minorBidi" w:eastAsia="Times New Roman" w:hAnsiTheme="minorBidi"/>
          <w:kern w:val="0"/>
          <w14:ligatures w14:val="none"/>
        </w:rPr>
        <w:t>, 217-246.</w:t>
      </w:r>
    </w:p>
    <w:p w14:paraId="2F37139A" w14:textId="6403989A" w:rsidR="004B3F8F" w:rsidRPr="004B3F8F" w:rsidRDefault="004B3F8F" w:rsidP="004B3F8F">
      <w:pPr>
        <w:spacing w:line="480" w:lineRule="auto"/>
        <w:jc w:val="both"/>
        <w:rPr>
          <w:rFonts w:ascii="Arial" w:eastAsiaTheme="minorHAnsi" w:hAnsi="Arial" w:cs="Arial"/>
          <w:color w:val="000000" w:themeColor="text1"/>
          <w:kern w:val="0"/>
          <w:shd w:val="clear" w:color="auto" w:fill="FFFFFF"/>
          <w:lang w:eastAsia="en-US"/>
          <w14:ligatures w14:val="none"/>
        </w:rPr>
      </w:pPr>
      <w:r w:rsidRPr="004B3F8F">
        <w:rPr>
          <w:rFonts w:ascii="Arial" w:eastAsiaTheme="minorHAnsi" w:hAnsi="Arial" w:cs="Arial"/>
          <w:color w:val="000000" w:themeColor="text1"/>
          <w:kern w:val="0"/>
          <w:shd w:val="clear" w:color="auto" w:fill="FFFFFF"/>
          <w:lang w:eastAsia="en-US"/>
          <w14:ligatures w14:val="none"/>
        </w:rPr>
        <w:t xml:space="preserve">Hare, R. D. 2003. Psychopathy </w:t>
      </w:r>
      <w:r w:rsidR="005669C8" w:rsidRPr="004B3F8F">
        <w:rPr>
          <w:rFonts w:ascii="Arial" w:eastAsiaTheme="minorHAnsi" w:hAnsi="Arial" w:cs="Arial"/>
          <w:color w:val="000000" w:themeColor="text1"/>
          <w:kern w:val="0"/>
          <w:shd w:val="clear" w:color="auto" w:fill="FFFFFF"/>
          <w:lang w:eastAsia="en-US"/>
          <w14:ligatures w14:val="none"/>
        </w:rPr>
        <w:t>checklist revised</w:t>
      </w:r>
      <w:r w:rsidRPr="004B3F8F">
        <w:rPr>
          <w:rFonts w:ascii="Arial" w:eastAsiaTheme="minorHAnsi" w:hAnsi="Arial" w:cs="Arial"/>
          <w:color w:val="000000" w:themeColor="text1"/>
          <w:kern w:val="0"/>
          <w:shd w:val="clear" w:color="auto" w:fill="FFFFFF"/>
          <w:lang w:eastAsia="en-US"/>
          <w14:ligatures w14:val="none"/>
        </w:rPr>
        <w:t>. Psychological Assessment.</w:t>
      </w:r>
    </w:p>
    <w:p w14:paraId="6EF7B443" w14:textId="77777777" w:rsidR="004B3F8F" w:rsidRPr="004B3F8F" w:rsidRDefault="004B3F8F" w:rsidP="004B3F8F">
      <w:pPr>
        <w:spacing w:before="100" w:beforeAutospacing="1" w:after="100" w:afterAutospacing="1" w:line="480" w:lineRule="auto"/>
        <w:ind w:left="709" w:hanging="709"/>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lastRenderedPageBreak/>
        <w:t>Hare, R.D. 1999. "Without Conscience: The Disturbing World of the Psychopaths Among Us." Guilford Press.</w:t>
      </w:r>
    </w:p>
    <w:p w14:paraId="2FCB6CD2" w14:textId="77777777" w:rsidR="004B3F8F" w:rsidRPr="004B3F8F" w:rsidRDefault="004B3F8F" w:rsidP="004B3F8F">
      <w:pPr>
        <w:spacing w:line="480" w:lineRule="auto"/>
        <w:ind w:left="851" w:hanging="851"/>
        <w:jc w:val="both"/>
        <w:rPr>
          <w:rFonts w:ascii="Arial" w:eastAsiaTheme="minorHAnsi" w:hAnsi="Arial" w:cs="Arial"/>
          <w:color w:val="000000" w:themeColor="text1"/>
          <w:kern w:val="0"/>
          <w:lang w:eastAsia="en-US"/>
          <w14:ligatures w14:val="none"/>
        </w:rPr>
      </w:pPr>
      <w:r w:rsidRPr="004B3F8F">
        <w:rPr>
          <w:rFonts w:ascii="Arial" w:eastAsiaTheme="minorHAnsi" w:hAnsi="Arial" w:cs="Arial"/>
          <w:color w:val="000000" w:themeColor="text1"/>
          <w:kern w:val="0"/>
          <w:shd w:val="clear" w:color="auto" w:fill="FFFFFF"/>
          <w:lang w:eastAsia="en-US"/>
          <w14:ligatures w14:val="none"/>
        </w:rPr>
        <w:t>Hare, RD.1994, "Predators: The Disturbing World of the Psychopaths among Us", Psychology Today, 27 (1): 54–61.</w:t>
      </w:r>
    </w:p>
    <w:p w14:paraId="2A1A7F25"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11" w:name="_Hlk42377359"/>
      <w:r w:rsidRPr="004B3F8F">
        <w:rPr>
          <w:rFonts w:ascii="Arial" w:eastAsiaTheme="minorHAnsi" w:hAnsi="Arial" w:cs="Arial"/>
          <w:kern w:val="0"/>
          <w:lang w:val="en-US" w:eastAsia="en-US"/>
          <w14:ligatures w14:val="none"/>
        </w:rPr>
        <w:t>Hasnan</w:t>
      </w:r>
      <w:bookmarkEnd w:id="911"/>
      <w:r w:rsidRPr="004B3F8F">
        <w:rPr>
          <w:rFonts w:ascii="Arial" w:eastAsiaTheme="minorHAnsi" w:hAnsi="Arial" w:cs="Arial"/>
          <w:kern w:val="0"/>
          <w:lang w:val="en-US" w:eastAsia="en-US"/>
          <w14:ligatures w14:val="none"/>
        </w:rPr>
        <w:t xml:space="preserve">, S., R.A. Rahman, S. Mahenthiran. 2008. </w:t>
      </w:r>
      <w:r w:rsidRPr="004B3F8F">
        <w:rPr>
          <w:rFonts w:ascii="Arial" w:eastAsiaTheme="minorHAnsi" w:hAnsi="Arial" w:cs="Arial"/>
          <w:i/>
          <w:iCs/>
          <w:kern w:val="0"/>
          <w:lang w:val="en-US" w:eastAsia="en-US"/>
          <w14:ligatures w14:val="none"/>
        </w:rPr>
        <w:t>Management Predisposition, Motive, Opportunity, and Earnings Management for Fraudulent Financial Reporting in Malaysia</w:t>
      </w:r>
      <w:r w:rsidRPr="004B3F8F">
        <w:rPr>
          <w:rFonts w:ascii="Arial" w:eastAsiaTheme="minorHAnsi" w:hAnsi="Arial" w:cs="Arial"/>
          <w:iCs/>
          <w:kern w:val="0"/>
          <w:lang w:val="en-US" w:eastAsia="en-US"/>
          <w14:ligatures w14:val="none"/>
        </w:rPr>
        <w:t xml:space="preserve">, pp. </w:t>
      </w:r>
      <w:r w:rsidRPr="004B3F8F">
        <w:rPr>
          <w:rFonts w:ascii="Arial" w:eastAsiaTheme="minorHAnsi" w:hAnsi="Arial" w:cs="Arial"/>
          <w:kern w:val="0"/>
          <w:lang w:val="en-US" w:eastAsia="en-US"/>
          <w14:ligatures w14:val="none"/>
        </w:rPr>
        <w:t xml:space="preserve">1-47. www.ssrn.com, </w:t>
      </w:r>
      <w:r w:rsidRPr="004B3F8F">
        <w:rPr>
          <w:rFonts w:ascii="Arial" w:eastAsiaTheme="minorHAnsi" w:hAnsi="Arial" w:cs="Arial"/>
          <w:kern w:val="0"/>
          <w:shd w:val="clear" w:color="auto" w:fill="FFFFFF"/>
          <w:lang w:val="en-US" w:eastAsia="en-US"/>
          <w14:ligatures w14:val="none"/>
        </w:rPr>
        <w:t>(accessed May 1, 2019).</w:t>
      </w:r>
    </w:p>
    <w:p w14:paraId="558C7386"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Hasnan, S., R. Abdul Rahman, and S. Mahenthiran. 2013. “Management Motive, Weak Governance, Earnings Management, and Fraudulent Financial Reporting: Malaysian Evidence.” </w:t>
      </w:r>
      <w:r w:rsidRPr="004B3F8F">
        <w:rPr>
          <w:rFonts w:ascii="Arial" w:eastAsiaTheme="minorHAnsi" w:hAnsi="Arial" w:cs="Arial"/>
          <w:i/>
          <w:iCs/>
          <w:kern w:val="0"/>
          <w:lang w:val="en-US" w:eastAsia="en-US"/>
          <w14:ligatures w14:val="none"/>
        </w:rPr>
        <w:t>Journal of International Accounting</w:t>
      </w:r>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i/>
          <w:iCs/>
          <w:kern w:val="0"/>
          <w:lang w:val="en-US" w:eastAsia="en-US"/>
          <w14:ligatures w14:val="none"/>
        </w:rPr>
        <w:t>Research</w:t>
      </w:r>
      <w:r w:rsidRPr="004B3F8F">
        <w:rPr>
          <w:rFonts w:ascii="Arial" w:eastAsiaTheme="minorHAnsi" w:hAnsi="Arial" w:cs="Arial"/>
          <w:kern w:val="0"/>
          <w:lang w:val="en-US" w:eastAsia="en-US"/>
          <w14:ligatures w14:val="none"/>
        </w:rPr>
        <w:t xml:space="preserve"> 12, no. 1, pp. 1-27.</w:t>
      </w:r>
    </w:p>
    <w:p w14:paraId="0838C7A8"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Hazar, H.B., 2021. New paradigm in auditing: Continuous auditing. </w:t>
      </w:r>
      <w:r w:rsidRPr="004B3F8F">
        <w:rPr>
          <w:rFonts w:ascii="Arial" w:hAnsi="Arial" w:cs="Arial"/>
          <w:i/>
          <w:iCs/>
          <w:color w:val="222222"/>
          <w:shd w:val="clear" w:color="auto" w:fill="FFFFFF"/>
        </w:rPr>
        <w:t>Ethics and Sustainability in Accounting and Finance, Volume II</w:t>
      </w:r>
      <w:r w:rsidRPr="004B3F8F">
        <w:rPr>
          <w:rFonts w:ascii="Arial" w:hAnsi="Arial" w:cs="Arial"/>
          <w:color w:val="222222"/>
          <w:shd w:val="clear" w:color="auto" w:fill="FFFFFF"/>
        </w:rPr>
        <w:t>, pp.253-268.</w:t>
      </w:r>
    </w:p>
    <w:p w14:paraId="055021B2"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12" w:name="_Hlk42377387"/>
      <w:r w:rsidRPr="004B3F8F">
        <w:rPr>
          <w:rFonts w:ascii="Arial" w:eastAsiaTheme="minorHAnsi" w:hAnsi="Arial" w:cs="Arial"/>
          <w:kern w:val="0"/>
          <w:lang w:val="en-US" w:eastAsia="en-US"/>
          <w14:ligatures w14:val="none"/>
        </w:rPr>
        <w:t>Haynie</w:t>
      </w:r>
      <w:bookmarkEnd w:id="912"/>
      <w:r w:rsidRPr="004B3F8F">
        <w:rPr>
          <w:rFonts w:ascii="Arial" w:eastAsiaTheme="minorHAnsi" w:hAnsi="Arial" w:cs="Arial"/>
          <w:kern w:val="0"/>
          <w:lang w:val="en-US" w:eastAsia="en-US"/>
          <w14:ligatures w14:val="none"/>
        </w:rPr>
        <w:t xml:space="preserve">, D.L., and D.W. </w:t>
      </w:r>
      <w:bookmarkStart w:id="913" w:name="_Hlk42377398"/>
      <w:r w:rsidRPr="004B3F8F">
        <w:rPr>
          <w:rFonts w:ascii="Arial" w:eastAsiaTheme="minorHAnsi" w:hAnsi="Arial" w:cs="Arial"/>
          <w:kern w:val="0"/>
          <w:lang w:val="en-US" w:eastAsia="en-US"/>
          <w14:ligatures w14:val="none"/>
        </w:rPr>
        <w:t>Osgood</w:t>
      </w:r>
      <w:bookmarkEnd w:id="913"/>
      <w:r w:rsidRPr="004B3F8F">
        <w:rPr>
          <w:rFonts w:ascii="Arial" w:eastAsiaTheme="minorHAnsi" w:hAnsi="Arial" w:cs="Arial"/>
          <w:kern w:val="0"/>
          <w:lang w:val="en-US" w:eastAsia="en-US"/>
          <w14:ligatures w14:val="none"/>
        </w:rPr>
        <w:t xml:space="preserve">. 2005. “Reconsidering Peers and Delinquency: How Do Peers’ Matter?” </w:t>
      </w:r>
      <w:r w:rsidRPr="004B3F8F">
        <w:rPr>
          <w:rFonts w:ascii="Arial" w:eastAsiaTheme="minorHAnsi" w:hAnsi="Arial" w:cs="Arial"/>
          <w:i/>
          <w:iCs/>
          <w:kern w:val="0"/>
          <w:lang w:val="en-US" w:eastAsia="en-US"/>
          <w14:ligatures w14:val="none"/>
        </w:rPr>
        <w:t>Social Forces</w:t>
      </w:r>
      <w:r w:rsidRPr="004B3F8F">
        <w:rPr>
          <w:rFonts w:ascii="Arial" w:eastAsiaTheme="minorHAnsi" w:hAnsi="Arial" w:cs="Arial"/>
          <w:kern w:val="0"/>
          <w:lang w:val="en-US" w:eastAsia="en-US"/>
          <w14:ligatures w14:val="none"/>
        </w:rPr>
        <w:t xml:space="preserve"> 84, no. 1109, pp. 1109-1130.</w:t>
      </w:r>
    </w:p>
    <w:p w14:paraId="6E295CD6"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Heale, R., &amp; Forbes, D. 2013. "Understanding Triangulation in Research." </w:t>
      </w:r>
      <w:r w:rsidRPr="004B3F8F">
        <w:rPr>
          <w:rFonts w:asciiTheme="minorBidi" w:eastAsia="Times New Roman" w:hAnsiTheme="minorBidi"/>
          <w:i/>
          <w:iCs/>
          <w:kern w:val="0"/>
          <w14:ligatures w14:val="none"/>
        </w:rPr>
        <w:t>Evidence-Based Nursing, 16</w:t>
      </w:r>
      <w:r w:rsidRPr="004B3F8F">
        <w:rPr>
          <w:rFonts w:asciiTheme="minorBidi" w:eastAsia="Times New Roman" w:hAnsiTheme="minorBidi"/>
          <w:kern w:val="0"/>
          <w14:ligatures w14:val="none"/>
        </w:rPr>
        <w:t>(4), 98. doi:10.1136/eb-2013-101494.</w:t>
      </w:r>
    </w:p>
    <w:p w14:paraId="43DB8044"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14" w:name="_Hlk42377410"/>
      <w:r w:rsidRPr="004B3F8F">
        <w:rPr>
          <w:rFonts w:ascii="Arial" w:eastAsiaTheme="minorHAnsi" w:hAnsi="Arial" w:cs="Arial"/>
          <w:kern w:val="0"/>
          <w:lang w:val="en-US" w:eastAsia="en-US"/>
          <w14:ligatures w14:val="none"/>
        </w:rPr>
        <w:t>Henry</w:t>
      </w:r>
      <w:bookmarkEnd w:id="914"/>
      <w:r w:rsidRPr="004B3F8F">
        <w:rPr>
          <w:rFonts w:ascii="Arial" w:eastAsiaTheme="minorHAnsi" w:hAnsi="Arial" w:cs="Arial"/>
          <w:kern w:val="0"/>
          <w:lang w:val="en-US" w:eastAsia="en-US"/>
          <w14:ligatures w14:val="none"/>
        </w:rPr>
        <w:t xml:space="preserve">, S., and M. </w:t>
      </w:r>
      <w:bookmarkStart w:id="915" w:name="_Hlk42377422"/>
      <w:r w:rsidRPr="004B3F8F">
        <w:rPr>
          <w:rFonts w:ascii="Arial" w:eastAsiaTheme="minorHAnsi" w:hAnsi="Arial" w:cs="Arial"/>
          <w:kern w:val="0"/>
          <w:lang w:val="en-US" w:eastAsia="en-US"/>
          <w14:ligatures w14:val="none"/>
        </w:rPr>
        <w:t>Lanier</w:t>
      </w:r>
      <w:bookmarkEnd w:id="915"/>
      <w:r w:rsidRPr="004B3F8F">
        <w:rPr>
          <w:rFonts w:ascii="Arial" w:eastAsiaTheme="minorHAnsi" w:hAnsi="Arial" w:cs="Arial"/>
          <w:kern w:val="0"/>
          <w:lang w:val="en-US" w:eastAsia="en-US"/>
          <w14:ligatures w14:val="none"/>
        </w:rPr>
        <w:t xml:space="preserve">. 2006. </w:t>
      </w:r>
      <w:r w:rsidRPr="004B3F8F">
        <w:rPr>
          <w:rFonts w:ascii="Arial" w:eastAsiaTheme="minorHAnsi" w:hAnsi="Arial" w:cs="Arial"/>
          <w:i/>
          <w:iCs/>
          <w:kern w:val="0"/>
          <w:lang w:val="en-US" w:eastAsia="en-US"/>
          <w14:ligatures w14:val="none"/>
        </w:rPr>
        <w:t>The Essential Criminology Reader.</w:t>
      </w:r>
      <w:r w:rsidRPr="004B3F8F">
        <w:rPr>
          <w:rFonts w:ascii="Arial" w:eastAsiaTheme="minorHAnsi" w:hAnsi="Arial" w:cs="Arial"/>
          <w:kern w:val="0"/>
          <w:lang w:val="en-US" w:eastAsia="en-US"/>
          <w14:ligatures w14:val="none"/>
        </w:rPr>
        <w:t xml:space="preserve"> Boulder, CO: Westview Press.</w:t>
      </w:r>
    </w:p>
    <w:p w14:paraId="56D49ABA"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Hess, K., &amp; Cottrell, J. 2016. "Creating an Ethical Organizational Culture: The Role of the HR Leader." </w:t>
      </w:r>
      <w:r w:rsidRPr="004B3F8F">
        <w:rPr>
          <w:rFonts w:asciiTheme="minorBidi" w:eastAsia="Times New Roman" w:hAnsiTheme="minorBidi"/>
          <w:i/>
          <w:iCs/>
          <w:kern w:val="0"/>
          <w14:ligatures w14:val="none"/>
        </w:rPr>
        <w:t>Journal of Business and Behavioral Sciences</w:t>
      </w:r>
      <w:r w:rsidRPr="004B3F8F">
        <w:rPr>
          <w:rFonts w:asciiTheme="minorBidi" w:eastAsia="Times New Roman" w:hAnsiTheme="minorBidi"/>
          <w:kern w:val="0"/>
          <w14:ligatures w14:val="none"/>
        </w:rPr>
        <w:t>, 28(2), 46-58.</w:t>
      </w:r>
    </w:p>
    <w:p w14:paraId="3540AC3C"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16" w:name="_Hlk42377433"/>
      <w:r w:rsidRPr="004B3F8F">
        <w:rPr>
          <w:rFonts w:ascii="Arial" w:eastAsiaTheme="minorHAnsi" w:hAnsi="Arial" w:cs="Arial"/>
          <w:kern w:val="0"/>
          <w:lang w:eastAsia="en-US"/>
          <w14:ligatures w14:val="none"/>
        </w:rPr>
        <w:lastRenderedPageBreak/>
        <w:t>Hochberg</w:t>
      </w:r>
      <w:bookmarkEnd w:id="916"/>
      <w:r w:rsidRPr="004B3F8F">
        <w:rPr>
          <w:rFonts w:ascii="Arial" w:eastAsiaTheme="minorHAnsi" w:hAnsi="Arial" w:cs="Arial"/>
          <w:kern w:val="0"/>
          <w:lang w:eastAsia="en-US"/>
          <w14:ligatures w14:val="none"/>
        </w:rPr>
        <w:t xml:space="preserve">, Y.V., P. Sapienza, and A. Vissing-Jorgensen. </w:t>
      </w:r>
      <w:r w:rsidRPr="004B3F8F">
        <w:rPr>
          <w:rFonts w:ascii="Arial" w:eastAsiaTheme="minorHAnsi" w:hAnsi="Arial" w:cs="Arial"/>
          <w:kern w:val="0"/>
          <w:lang w:val="en-US" w:eastAsia="en-US"/>
          <w14:ligatures w14:val="none"/>
        </w:rPr>
        <w:t>2009. “A Lobbying Approach to Evaluating the Sarbanes</w:t>
      </w:r>
      <w:r w:rsidRPr="004B3F8F">
        <w:rPr>
          <w:rFonts w:ascii="Cambria Math" w:eastAsiaTheme="minorHAnsi" w:hAnsi="Cambria Math" w:cs="Cambria Math"/>
          <w:kern w:val="0"/>
          <w:lang w:val="en-US" w:eastAsia="en-US"/>
          <w14:ligatures w14:val="none"/>
        </w:rPr>
        <w:t>‐</w:t>
      </w:r>
      <w:r w:rsidRPr="004B3F8F">
        <w:rPr>
          <w:rFonts w:ascii="Arial" w:eastAsiaTheme="minorHAnsi" w:hAnsi="Arial" w:cs="Arial"/>
          <w:kern w:val="0"/>
          <w:lang w:val="en-US" w:eastAsia="en-US"/>
          <w14:ligatures w14:val="none"/>
        </w:rPr>
        <w:t xml:space="preserve">Oxley Act of 2002.” </w:t>
      </w:r>
      <w:r w:rsidRPr="004B3F8F">
        <w:rPr>
          <w:rFonts w:ascii="Arial" w:eastAsiaTheme="minorHAnsi" w:hAnsi="Arial" w:cs="Arial"/>
          <w:i/>
          <w:kern w:val="0"/>
          <w:lang w:val="en-US" w:eastAsia="en-US"/>
          <w14:ligatures w14:val="none"/>
        </w:rPr>
        <w:t>Journal of Accounting Research</w:t>
      </w:r>
      <w:r w:rsidRPr="004B3F8F">
        <w:rPr>
          <w:rFonts w:ascii="Arial" w:eastAsiaTheme="minorHAnsi" w:hAnsi="Arial" w:cs="Arial"/>
          <w:kern w:val="0"/>
          <w:lang w:val="en-US" w:eastAsia="en-US"/>
          <w14:ligatures w14:val="none"/>
        </w:rPr>
        <w:t xml:space="preserve"> 47, no. 2, pp. 519-83.</w:t>
      </w:r>
    </w:p>
    <w:p w14:paraId="0D1C4B66"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17" w:name="_Hlk42377446"/>
      <w:r w:rsidRPr="004B3F8F">
        <w:rPr>
          <w:rFonts w:ascii="Arial" w:eastAsiaTheme="minorHAnsi" w:hAnsi="Arial" w:cs="Arial"/>
          <w:kern w:val="0"/>
          <w:lang w:val="en-US" w:eastAsia="en-US"/>
          <w14:ligatures w14:val="none"/>
        </w:rPr>
        <w:t>Hodge</w:t>
      </w:r>
      <w:bookmarkEnd w:id="917"/>
      <w:r w:rsidRPr="004B3F8F">
        <w:rPr>
          <w:rFonts w:ascii="Arial" w:eastAsiaTheme="minorHAnsi" w:hAnsi="Arial" w:cs="Arial"/>
          <w:kern w:val="0"/>
          <w:lang w:val="en-US" w:eastAsia="en-US"/>
          <w14:ligatures w14:val="none"/>
        </w:rPr>
        <w:t xml:space="preserve">, M., and L. </w:t>
      </w:r>
      <w:bookmarkStart w:id="918" w:name="_Hlk42377453"/>
      <w:r w:rsidRPr="004B3F8F">
        <w:rPr>
          <w:rFonts w:ascii="Arial" w:eastAsiaTheme="minorHAnsi" w:hAnsi="Arial" w:cs="Arial"/>
          <w:kern w:val="0"/>
          <w:lang w:val="en-US" w:eastAsia="en-US"/>
          <w14:ligatures w14:val="none"/>
        </w:rPr>
        <w:t>Reid</w:t>
      </w:r>
      <w:bookmarkEnd w:id="918"/>
      <w:r w:rsidRPr="004B3F8F">
        <w:rPr>
          <w:rFonts w:ascii="Arial" w:eastAsiaTheme="minorHAnsi" w:hAnsi="Arial" w:cs="Arial"/>
          <w:kern w:val="0"/>
          <w:lang w:val="en-US" w:eastAsia="en-US"/>
          <w14:ligatures w14:val="none"/>
        </w:rPr>
        <w:t>. 1971. “</w:t>
      </w:r>
      <w:r w:rsidRPr="004B3F8F">
        <w:rPr>
          <w:rFonts w:ascii="Arial" w:eastAsiaTheme="minorHAnsi" w:hAnsi="Arial" w:cs="Arial"/>
          <w:iCs/>
          <w:kern w:val="0"/>
          <w:lang w:val="en-US" w:eastAsia="en-US"/>
          <w14:ligatures w14:val="none"/>
        </w:rPr>
        <w:t>The Influence of Similarity between Relevant and Irrelevant Information Upon a Complex Identification Task.”</w:t>
      </w:r>
      <w:r w:rsidRPr="004B3F8F">
        <w:rPr>
          <w:rFonts w:ascii="Arial" w:eastAsiaTheme="minorHAnsi" w:hAnsi="Arial" w:cs="Arial"/>
          <w:i/>
          <w:kern w:val="0"/>
          <w:lang w:val="en-US" w:eastAsia="en-US"/>
          <w14:ligatures w14:val="none"/>
        </w:rPr>
        <w:t xml:space="preserve"> </w:t>
      </w:r>
      <w:r w:rsidRPr="004B3F8F">
        <w:rPr>
          <w:rFonts w:ascii="Arial" w:eastAsiaTheme="minorHAnsi" w:hAnsi="Arial" w:cs="Arial"/>
          <w:i/>
          <w:iCs/>
          <w:kern w:val="0"/>
          <w:lang w:val="en-US" w:eastAsia="en-US"/>
          <w14:ligatures w14:val="none"/>
        </w:rPr>
        <w:t>Perception and Psychophysics</w:t>
      </w:r>
      <w:r w:rsidRPr="004B3F8F">
        <w:rPr>
          <w:rFonts w:ascii="Arial" w:eastAsiaTheme="minorHAnsi" w:hAnsi="Arial" w:cs="Arial"/>
          <w:kern w:val="0"/>
          <w:lang w:val="en-US" w:eastAsia="en-US"/>
          <w14:ligatures w14:val="none"/>
        </w:rPr>
        <w:t xml:space="preserve"> 10, no. 4, pp. 193-96.</w:t>
      </w:r>
    </w:p>
    <w:p w14:paraId="1185341E"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19" w:name="_Hlk42377484"/>
      <w:r w:rsidRPr="004B3F8F">
        <w:rPr>
          <w:rFonts w:ascii="Arial" w:eastAsiaTheme="minorHAnsi" w:hAnsi="Arial" w:cs="Arial"/>
          <w:kern w:val="0"/>
          <w:lang w:val="en-US" w:eastAsia="en-US"/>
          <w14:ligatures w14:val="none"/>
        </w:rPr>
        <w:t>Hollinger</w:t>
      </w:r>
      <w:bookmarkEnd w:id="919"/>
      <w:r w:rsidRPr="004B3F8F">
        <w:rPr>
          <w:rFonts w:ascii="Arial" w:eastAsiaTheme="minorHAnsi" w:hAnsi="Arial" w:cs="Arial"/>
          <w:kern w:val="0"/>
          <w:lang w:val="en-US" w:eastAsia="en-US"/>
          <w14:ligatures w14:val="none"/>
        </w:rPr>
        <w:t xml:space="preserve">, R.C., and J.P. </w:t>
      </w:r>
      <w:bookmarkStart w:id="920" w:name="_Hlk42377492"/>
      <w:r w:rsidRPr="004B3F8F">
        <w:rPr>
          <w:rFonts w:ascii="Arial" w:eastAsiaTheme="minorHAnsi" w:hAnsi="Arial" w:cs="Arial"/>
          <w:kern w:val="0"/>
          <w:lang w:val="en-US" w:eastAsia="en-US"/>
          <w14:ligatures w14:val="none"/>
        </w:rPr>
        <w:t>Clark</w:t>
      </w:r>
      <w:bookmarkEnd w:id="920"/>
      <w:r w:rsidRPr="004B3F8F">
        <w:rPr>
          <w:rFonts w:ascii="Arial" w:eastAsiaTheme="minorHAnsi" w:hAnsi="Arial" w:cs="Arial"/>
          <w:kern w:val="0"/>
          <w:lang w:val="en-US" w:eastAsia="en-US"/>
          <w14:ligatures w14:val="none"/>
        </w:rPr>
        <w:t xml:space="preserve">. 1984. </w:t>
      </w:r>
      <w:r w:rsidRPr="004B3F8F">
        <w:rPr>
          <w:rFonts w:ascii="Arial" w:eastAsiaTheme="minorHAnsi" w:hAnsi="Arial" w:cs="Arial"/>
          <w:i/>
          <w:iCs/>
          <w:kern w:val="0"/>
          <w:lang w:val="en-US" w:eastAsia="en-US"/>
          <w14:ligatures w14:val="none"/>
        </w:rPr>
        <w:t>Theft by Employees.</w:t>
      </w:r>
      <w:r w:rsidRPr="004B3F8F">
        <w:rPr>
          <w:rFonts w:ascii="Arial" w:eastAsiaTheme="minorHAnsi" w:hAnsi="Arial" w:cs="Arial"/>
          <w:kern w:val="0"/>
          <w:lang w:val="en-US" w:eastAsia="en-US"/>
          <w14:ligatures w14:val="none"/>
        </w:rPr>
        <w:t xml:space="preserve"> Lexington: Lexington Books.</w:t>
      </w:r>
    </w:p>
    <w:p w14:paraId="3E2D0EE2"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21" w:name="_Hlk42377505"/>
      <w:r w:rsidRPr="004B3F8F">
        <w:rPr>
          <w:rFonts w:ascii="Arial" w:eastAsiaTheme="minorHAnsi" w:hAnsi="Arial" w:cs="Arial"/>
          <w:kern w:val="0"/>
          <w:lang w:val="en-US" w:eastAsia="en-US"/>
          <w14:ligatures w14:val="none"/>
        </w:rPr>
        <w:t>Holtfreter</w:t>
      </w:r>
      <w:bookmarkEnd w:id="921"/>
      <w:r w:rsidRPr="004B3F8F">
        <w:rPr>
          <w:rFonts w:ascii="Arial" w:eastAsiaTheme="minorHAnsi" w:hAnsi="Arial" w:cs="Arial"/>
          <w:kern w:val="0"/>
          <w:lang w:val="en-US" w:eastAsia="en-US"/>
          <w14:ligatures w14:val="none"/>
        </w:rPr>
        <w:t xml:space="preserve">, K. 2005. “Fraud in US Organisations: An Examination of Control Mechanisms.” </w:t>
      </w:r>
      <w:r w:rsidRPr="004B3F8F">
        <w:rPr>
          <w:rFonts w:ascii="Arial" w:eastAsiaTheme="minorHAnsi" w:hAnsi="Arial" w:cs="Arial"/>
          <w:i/>
          <w:iCs/>
          <w:kern w:val="0"/>
          <w:lang w:val="en-US" w:eastAsia="en-US"/>
          <w14:ligatures w14:val="none"/>
        </w:rPr>
        <w:t>Journal of Financial Crime</w:t>
      </w:r>
      <w:r w:rsidRPr="004B3F8F">
        <w:rPr>
          <w:rFonts w:ascii="Arial" w:eastAsiaTheme="minorHAnsi" w:hAnsi="Arial" w:cs="Arial"/>
          <w:kern w:val="0"/>
          <w:lang w:val="en-US" w:eastAsia="en-US"/>
          <w14:ligatures w14:val="none"/>
        </w:rPr>
        <w:t xml:space="preserve"> 12, no. 1, pp. 88-95.</w:t>
      </w:r>
    </w:p>
    <w:p w14:paraId="61A0BF7A"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22" w:name="_Hlk42377517"/>
      <w:r w:rsidRPr="004B3F8F">
        <w:rPr>
          <w:rFonts w:ascii="Arial" w:eastAsiaTheme="minorHAnsi" w:hAnsi="Arial" w:cs="Arial"/>
          <w:kern w:val="0"/>
          <w:lang w:val="en-US" w:eastAsia="en-US"/>
          <w14:ligatures w14:val="none"/>
        </w:rPr>
        <w:t>Hopwood</w:t>
      </w:r>
      <w:bookmarkEnd w:id="922"/>
      <w:r w:rsidRPr="004B3F8F">
        <w:rPr>
          <w:rFonts w:ascii="Arial" w:eastAsiaTheme="minorHAnsi" w:hAnsi="Arial" w:cs="Arial"/>
          <w:kern w:val="0"/>
          <w:lang w:val="en-US" w:eastAsia="en-US"/>
          <w14:ligatures w14:val="none"/>
        </w:rPr>
        <w:t xml:space="preserve">, W.S., J.J. Leiner, and G. Young. 2008. </w:t>
      </w:r>
      <w:r w:rsidRPr="004B3F8F">
        <w:rPr>
          <w:rFonts w:ascii="Arial" w:eastAsiaTheme="minorHAnsi" w:hAnsi="Arial" w:cs="Arial"/>
          <w:i/>
          <w:iCs/>
          <w:kern w:val="0"/>
          <w:lang w:val="en-US" w:eastAsia="en-US"/>
          <w14:ligatures w14:val="none"/>
        </w:rPr>
        <w:t>Forensic Accounting</w:t>
      </w:r>
      <w:r w:rsidRPr="004B3F8F">
        <w:rPr>
          <w:rFonts w:ascii="Arial" w:eastAsiaTheme="minorHAnsi" w:hAnsi="Arial" w:cs="Arial"/>
          <w:kern w:val="0"/>
          <w:lang w:val="en-US" w:eastAsia="en-US"/>
          <w14:ligatures w14:val="none"/>
        </w:rPr>
        <w:t>. New York: McGraw-Hill Irwin.</w:t>
      </w:r>
    </w:p>
    <w:p w14:paraId="6EDEA12E"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Hossain, N. and Hallock, J., Struggles for Accountability in the 2022 Cost-of-living Crisis: Lessons from the Global Protest Wave.</w:t>
      </w:r>
    </w:p>
    <w:p w14:paraId="6DDA5732"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Hou, G., Ma, J., Liang, C. and Li, J., 2021. Efficient audit protocol supporting virtual nodes in cloud storage. </w:t>
      </w:r>
      <w:r w:rsidRPr="004B3F8F">
        <w:rPr>
          <w:rFonts w:ascii="Arial" w:hAnsi="Arial" w:cs="Arial"/>
          <w:i/>
          <w:iCs/>
          <w:color w:val="222222"/>
          <w:shd w:val="clear" w:color="auto" w:fill="FFFFFF"/>
        </w:rPr>
        <w:t>Transactions on Emerging Telecommunications Technologies</w:t>
      </w:r>
      <w:r w:rsidRPr="004B3F8F">
        <w:rPr>
          <w:rFonts w:ascii="Arial" w:hAnsi="Arial" w:cs="Arial"/>
          <w:color w:val="222222"/>
          <w:shd w:val="clear" w:color="auto" w:fill="FFFFFF"/>
        </w:rPr>
        <w:t>, </w:t>
      </w:r>
      <w:r w:rsidRPr="004B3F8F">
        <w:rPr>
          <w:rFonts w:ascii="Arial" w:hAnsi="Arial" w:cs="Arial"/>
          <w:i/>
          <w:iCs/>
          <w:color w:val="222222"/>
          <w:shd w:val="clear" w:color="auto" w:fill="FFFFFF"/>
        </w:rPr>
        <w:t>32</w:t>
      </w:r>
      <w:r w:rsidRPr="004B3F8F">
        <w:rPr>
          <w:rFonts w:ascii="Arial" w:hAnsi="Arial" w:cs="Arial"/>
          <w:color w:val="222222"/>
          <w:shd w:val="clear" w:color="auto" w:fill="FFFFFF"/>
        </w:rPr>
        <w:t>(5), p.e3911.</w:t>
      </w:r>
    </w:p>
    <w:p w14:paraId="6C50122C"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23" w:name="_Hlk42377531"/>
      <w:r w:rsidRPr="004B3F8F">
        <w:rPr>
          <w:rFonts w:ascii="Arial" w:eastAsiaTheme="minorHAnsi" w:hAnsi="Arial" w:cs="Arial"/>
          <w:kern w:val="0"/>
          <w:lang w:val="en-US" w:eastAsia="en-US"/>
          <w14:ligatures w14:val="none"/>
        </w:rPr>
        <w:t>Hribar</w:t>
      </w:r>
      <w:bookmarkEnd w:id="923"/>
      <w:r w:rsidRPr="004B3F8F">
        <w:rPr>
          <w:rFonts w:ascii="Arial" w:eastAsiaTheme="minorHAnsi" w:hAnsi="Arial" w:cs="Arial"/>
          <w:kern w:val="0"/>
          <w:lang w:val="en-US" w:eastAsia="en-US"/>
          <w14:ligatures w14:val="none"/>
        </w:rPr>
        <w:t xml:space="preserve">, P., T. Kravet, and R. Wilson. 2014. “A New Measure of Accounting Quality.” </w:t>
      </w:r>
      <w:r w:rsidRPr="004B3F8F">
        <w:rPr>
          <w:rFonts w:ascii="Arial" w:eastAsiaTheme="minorHAnsi" w:hAnsi="Arial" w:cs="Arial"/>
          <w:i/>
          <w:iCs/>
          <w:kern w:val="0"/>
          <w:lang w:val="en-US" w:eastAsia="en-US"/>
          <w14:ligatures w14:val="none"/>
        </w:rPr>
        <w:t>Review of Accounting Studies</w:t>
      </w:r>
      <w:r w:rsidRPr="004B3F8F">
        <w:rPr>
          <w:rFonts w:ascii="Arial" w:eastAsiaTheme="minorHAnsi" w:hAnsi="Arial" w:cs="Arial"/>
          <w:kern w:val="0"/>
          <w:lang w:val="en-US" w:eastAsia="en-US"/>
          <w14:ligatures w14:val="none"/>
        </w:rPr>
        <w:t xml:space="preserve"> 19, no. 1, pp. 506-38.</w:t>
      </w:r>
    </w:p>
    <w:p w14:paraId="56D6094F"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Huang, F., No, W.G., Vasarhelyi, M.A. and Yan, Z., 2022. Audit data analytics, machine learning, and full population testing. </w:t>
      </w:r>
      <w:r w:rsidRPr="004B3F8F">
        <w:rPr>
          <w:rFonts w:ascii="Arial" w:hAnsi="Arial" w:cs="Arial"/>
          <w:i/>
          <w:iCs/>
          <w:color w:val="222222"/>
          <w:shd w:val="clear" w:color="auto" w:fill="FFFFFF"/>
        </w:rPr>
        <w:t>The Journal of Finance and Data Science</w:t>
      </w:r>
      <w:r w:rsidRPr="004B3F8F">
        <w:rPr>
          <w:rFonts w:ascii="Arial" w:hAnsi="Arial" w:cs="Arial"/>
          <w:color w:val="222222"/>
          <w:shd w:val="clear" w:color="auto" w:fill="FFFFFF"/>
        </w:rPr>
        <w:t>, </w:t>
      </w:r>
      <w:r w:rsidRPr="004B3F8F">
        <w:rPr>
          <w:rFonts w:ascii="Arial" w:hAnsi="Arial" w:cs="Arial"/>
          <w:i/>
          <w:iCs/>
          <w:color w:val="222222"/>
          <w:shd w:val="clear" w:color="auto" w:fill="FFFFFF"/>
        </w:rPr>
        <w:t>8</w:t>
      </w:r>
      <w:r w:rsidRPr="004B3F8F">
        <w:rPr>
          <w:rFonts w:ascii="Arial" w:hAnsi="Arial" w:cs="Arial"/>
          <w:color w:val="222222"/>
          <w:shd w:val="clear" w:color="auto" w:fill="FFFFFF"/>
        </w:rPr>
        <w:t>, pp.138-144.</w:t>
      </w:r>
    </w:p>
    <w:p w14:paraId="6C30081E"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24" w:name="_Hlk42377545"/>
      <w:r w:rsidRPr="004B3F8F">
        <w:rPr>
          <w:rFonts w:ascii="Arial" w:eastAsiaTheme="minorHAnsi" w:hAnsi="Arial" w:cs="Arial"/>
          <w:kern w:val="0"/>
          <w:lang w:val="en-US" w:eastAsia="en-US"/>
          <w14:ligatures w14:val="none"/>
        </w:rPr>
        <w:lastRenderedPageBreak/>
        <w:t>Huber</w:t>
      </w:r>
      <w:bookmarkEnd w:id="924"/>
      <w:r w:rsidRPr="004B3F8F">
        <w:rPr>
          <w:rFonts w:ascii="Arial" w:eastAsiaTheme="minorHAnsi" w:hAnsi="Arial" w:cs="Arial"/>
          <w:kern w:val="0"/>
          <w:lang w:val="en-US" w:eastAsia="en-US"/>
          <w14:ligatures w14:val="none"/>
        </w:rPr>
        <w:t xml:space="preserve">, D.W. 2017. “Forensic Accounting, Fraud Theory, and the End of the Fraud Triangle.” </w:t>
      </w:r>
      <w:r w:rsidRPr="004B3F8F">
        <w:rPr>
          <w:rFonts w:ascii="Arial" w:eastAsiaTheme="minorHAnsi" w:hAnsi="Arial" w:cs="Arial"/>
          <w:i/>
          <w:iCs/>
          <w:kern w:val="0"/>
          <w:lang w:val="en-US" w:eastAsia="en-US"/>
          <w14:ligatures w14:val="none"/>
        </w:rPr>
        <w:t>Journal of Theoretical Accounting Research</w:t>
      </w:r>
      <w:r w:rsidRPr="004B3F8F">
        <w:rPr>
          <w:rFonts w:ascii="Arial" w:eastAsiaTheme="minorHAnsi" w:hAnsi="Arial" w:cs="Arial"/>
          <w:kern w:val="0"/>
          <w:lang w:val="en-US" w:eastAsia="en-US"/>
          <w14:ligatures w14:val="none"/>
        </w:rPr>
        <w:t xml:space="preserve"> 12, no. 2, pp. 28-48.</w:t>
      </w:r>
    </w:p>
    <w:p w14:paraId="09B460BC"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eastAsia="en-US"/>
          <w14:ligatures w14:val="none"/>
        </w:rPr>
        <w:t>Hurley, E., Dietrich, T., and Rundle-Thiele, S. (2021). Integrating theory in Co-design: An abductive approach. Australasian Marketing Journal, 29(1), pp. 66-77.</w:t>
      </w:r>
    </w:p>
    <w:p w14:paraId="67EFCD42"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25" w:name="_Hlk42377727"/>
      <w:r w:rsidRPr="004B3F8F">
        <w:rPr>
          <w:rFonts w:ascii="Arial" w:eastAsiaTheme="minorHAnsi" w:hAnsi="Arial" w:cs="Arial"/>
          <w:kern w:val="0"/>
          <w:lang w:val="en-US" w:eastAsia="en-US"/>
          <w14:ligatures w14:val="none"/>
        </w:rPr>
        <w:t>Hyperledger</w:t>
      </w:r>
      <w:bookmarkEnd w:id="925"/>
      <w:r w:rsidRPr="004B3F8F">
        <w:rPr>
          <w:rFonts w:ascii="Arial" w:eastAsiaTheme="minorHAnsi" w:hAnsi="Arial" w:cs="Arial"/>
          <w:kern w:val="0"/>
          <w:lang w:val="en-US" w:eastAsia="en-US"/>
          <w14:ligatures w14:val="none"/>
        </w:rPr>
        <w:t xml:space="preserve">. 2016. “Hyperledger Whitepaper.” </w:t>
      </w:r>
      <w:hyperlink r:id="rId93" w:history="1">
        <w:r w:rsidRPr="004B3F8F">
          <w:rPr>
            <w:rFonts w:ascii="Arial" w:eastAsiaTheme="minorHAnsi" w:hAnsi="Arial" w:cs="Arial"/>
            <w:kern w:val="0"/>
            <w:lang w:eastAsia="en-US"/>
            <w14:ligatures w14:val="none"/>
          </w:rPr>
          <w:t>https://blockchainlab.com/pdf/Hyperledger%20Whitepaper.pdf</w:t>
        </w:r>
      </w:hyperlink>
      <w:r w:rsidRPr="004B3F8F">
        <w:rPr>
          <w:rFonts w:ascii="Arial" w:eastAsiaTheme="minorHAnsi" w:hAnsi="Arial" w:cs="Arial"/>
          <w:kern w:val="0"/>
          <w:lang w:eastAsia="en-US"/>
          <w14:ligatures w14:val="none"/>
        </w:rPr>
        <w:t>.</w:t>
      </w:r>
      <w:r w:rsidRPr="004B3F8F">
        <w:rPr>
          <w:rFonts w:ascii="Arial" w:eastAsiaTheme="minorHAnsi" w:hAnsi="Arial" w:cs="Arial"/>
          <w:kern w:val="0"/>
          <w:shd w:val="clear" w:color="auto" w:fill="FFFFFF"/>
          <w:lang w:val="en-US" w:eastAsia="en-US"/>
          <w14:ligatures w14:val="none"/>
        </w:rPr>
        <w:t xml:space="preserve"> (accessed April 20, 2018).</w:t>
      </w:r>
    </w:p>
    <w:p w14:paraId="75A24952"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IAASB. 2016. “Exploring the Growing Use of Technology in the Audit, with a Focus on Data Analytics.” </w:t>
      </w:r>
      <w:r w:rsidRPr="004B3F8F">
        <w:rPr>
          <w:rFonts w:ascii="Arial" w:eastAsiaTheme="minorHAnsi" w:hAnsi="Arial" w:cs="Arial"/>
          <w:i/>
          <w:iCs/>
          <w:kern w:val="0"/>
          <w:lang w:val="en-US" w:eastAsia="en-US"/>
          <w14:ligatures w14:val="none"/>
        </w:rPr>
        <w:t>IAASB Data Analytics Working Group</w:t>
      </w:r>
      <w:r w:rsidRPr="004B3F8F">
        <w:rPr>
          <w:rFonts w:ascii="Arial" w:eastAsiaTheme="minorHAnsi" w:hAnsi="Arial" w:cs="Arial"/>
          <w:kern w:val="0"/>
          <w:lang w:val="en-US" w:eastAsia="en-US"/>
          <w14:ligatures w14:val="none"/>
        </w:rPr>
        <w:t xml:space="preserve">. </w:t>
      </w:r>
      <w:hyperlink r:id="rId94" w:history="1">
        <w:r w:rsidRPr="004B3F8F">
          <w:rPr>
            <w:rFonts w:ascii="Arial" w:eastAsiaTheme="minorHAnsi" w:hAnsi="Arial" w:cs="Arial"/>
            <w:kern w:val="0"/>
            <w:lang w:val="en-US" w:eastAsia="en-US"/>
            <w14:ligatures w14:val="none"/>
          </w:rPr>
          <w:t>https://www.accountancyeurope.eu/wp-content/uploads/IAASBs-Discussion-Paper-on-theuse-of-Technology-with-a-focus-on-Data-Analytics.pdf</w:t>
        </w:r>
      </w:hyperlink>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shd w:val="clear" w:color="auto" w:fill="FFFFFF"/>
          <w:lang w:val="en-US" w:eastAsia="en-US"/>
          <w14:ligatures w14:val="none"/>
        </w:rPr>
        <w:t>(accessed 20 April 2018).</w:t>
      </w:r>
    </w:p>
    <w:p w14:paraId="6DE3C1A7" w14:textId="77777777" w:rsidR="004B3F8F" w:rsidRPr="004B3F8F" w:rsidRDefault="004B3F8F" w:rsidP="004B3F8F">
      <w:pPr>
        <w:spacing w:before="100" w:beforeAutospacing="1" w:after="100" w:afterAutospacing="1" w:line="480" w:lineRule="auto"/>
        <w:ind w:left="709" w:hanging="709"/>
        <w:jc w:val="both"/>
        <w:rPr>
          <w:rFonts w:asciiTheme="minorBidi" w:eastAsia="Times New Roman" w:hAnsiTheme="minorBidi"/>
          <w:kern w:val="0"/>
          <w14:ligatures w14:val="none"/>
        </w:rPr>
      </w:pPr>
      <w:r w:rsidRPr="004B3F8F">
        <w:rPr>
          <w:rFonts w:asciiTheme="minorBidi" w:eastAsia="Times New Roman" w:hAnsiTheme="minorBidi"/>
          <w:kern w:val="0"/>
          <w:lang w:val="es-ES_tradnl"/>
          <w14:ligatures w14:val="none"/>
        </w:rPr>
        <w:t xml:space="preserve">Ibáñez, L. D., &amp; Simó, P. 2022. </w:t>
      </w:r>
      <w:r w:rsidRPr="004B3F8F">
        <w:rPr>
          <w:rFonts w:asciiTheme="minorBidi" w:eastAsia="Times New Roman" w:hAnsiTheme="minorBidi"/>
          <w:kern w:val="0"/>
          <w14:ligatures w14:val="none"/>
        </w:rPr>
        <w:t xml:space="preserve">Blockchain and transparency: The evolution and applications of decentralized technology in public and private sectors. </w:t>
      </w:r>
      <w:r w:rsidRPr="004B3F8F">
        <w:rPr>
          <w:rFonts w:asciiTheme="minorBidi" w:eastAsia="Times New Roman" w:hAnsiTheme="minorBidi"/>
          <w:i/>
          <w:iCs/>
          <w:kern w:val="0"/>
          <w14:ligatures w14:val="none"/>
        </w:rPr>
        <w:t>Journal of Information Technology</w:t>
      </w:r>
      <w:r w:rsidRPr="004B3F8F">
        <w:rPr>
          <w:rFonts w:asciiTheme="minorBidi" w:eastAsia="Times New Roman" w:hAnsiTheme="minorBidi"/>
          <w:kern w:val="0"/>
          <w14:ligatures w14:val="none"/>
        </w:rPr>
        <w:t>, 37(1), 56-73.</w:t>
      </w:r>
    </w:p>
    <w:p w14:paraId="55890F0A"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r w:rsidRPr="004B3F8F">
        <w:rPr>
          <w:rFonts w:ascii="Arial" w:eastAsiaTheme="minorHAnsi" w:hAnsi="Arial" w:cs="Arial"/>
          <w:kern w:val="0"/>
          <w:lang w:val="en-US" w:eastAsia="en-US"/>
          <w14:ligatures w14:val="none"/>
        </w:rPr>
        <w:t xml:space="preserve">IBM.2012. “The Four V’s of Big Data.” http://www.ibmbigdatahub.com/infographic/four-vsbig- data, </w:t>
      </w:r>
      <w:r w:rsidRPr="004B3F8F">
        <w:rPr>
          <w:rFonts w:ascii="Arial" w:eastAsiaTheme="minorHAnsi" w:hAnsi="Arial" w:cs="Arial"/>
          <w:kern w:val="0"/>
          <w:shd w:val="clear" w:color="auto" w:fill="FFFFFF"/>
          <w:lang w:val="en-US" w:eastAsia="en-US"/>
          <w14:ligatures w14:val="none"/>
        </w:rPr>
        <w:t>(accessed April 20, 2018).</w:t>
      </w:r>
    </w:p>
    <w:p w14:paraId="0612D7B7" w14:textId="77777777" w:rsidR="004B3F8F" w:rsidRPr="004B3F8F" w:rsidRDefault="004B3F8F" w:rsidP="004B3F8F">
      <w:pPr>
        <w:shd w:val="clear" w:color="auto" w:fill="FFFFFF"/>
        <w:spacing w:after="0" w:line="480" w:lineRule="auto"/>
        <w:ind w:left="851" w:hanging="851"/>
        <w:rPr>
          <w:rFonts w:ascii="Arial" w:eastAsia="Times New Roman" w:hAnsi="Arial" w:cs="Arial"/>
          <w:spacing w:val="-5"/>
          <w:kern w:val="0"/>
          <w:lang w:eastAsia="en-GB"/>
          <w14:ligatures w14:val="none"/>
        </w:rPr>
      </w:pPr>
      <w:r w:rsidRPr="004B3F8F">
        <w:rPr>
          <w:rFonts w:ascii="Arial" w:eastAsia="Times New Roman" w:hAnsi="Arial" w:cs="Arial"/>
          <w:spacing w:val="-5"/>
          <w:kern w:val="0"/>
          <w:lang w:eastAsia="en-GB"/>
          <w14:ligatures w14:val="none"/>
        </w:rPr>
        <w:t xml:space="preserve">Ijiri, Y. 1986. ‘’A Framework for Triple Entry Bookkeeping’’, The Accounting Review </w:t>
      </w:r>
      <w:hyperlink r:id="rId95" w:history="1">
        <w:r w:rsidRPr="004B3F8F">
          <w:rPr>
            <w:rFonts w:ascii="Arial" w:eastAsia="Times New Roman" w:hAnsi="Arial" w:cs="Arial"/>
            <w:spacing w:val="-5"/>
            <w:kern w:val="0"/>
            <w:lang w:eastAsia="en-GB"/>
            <w14:ligatures w14:val="none"/>
          </w:rPr>
          <w:t>Vol. 61, No. 4 (Oct. 1986)</w:t>
        </w:r>
      </w:hyperlink>
      <w:r w:rsidRPr="004B3F8F">
        <w:rPr>
          <w:rFonts w:ascii="Arial" w:eastAsia="Times New Roman" w:hAnsi="Arial" w:cs="Arial"/>
          <w:spacing w:val="-5"/>
          <w:kern w:val="0"/>
          <w:lang w:eastAsia="en-GB"/>
          <w14:ligatures w14:val="none"/>
        </w:rPr>
        <w:t>, pp. 745-759</w:t>
      </w:r>
    </w:p>
    <w:p w14:paraId="1BEA3C3C" w14:textId="77777777" w:rsidR="004B3F8F" w:rsidRPr="004B3F8F" w:rsidRDefault="004B3F8F" w:rsidP="004B3F8F">
      <w:pPr>
        <w:spacing w:after="200" w:line="480" w:lineRule="auto"/>
        <w:ind w:left="851" w:hanging="851"/>
        <w:jc w:val="both"/>
        <w:rPr>
          <w:rFonts w:ascii="Arial" w:eastAsiaTheme="minorHAnsi" w:hAnsi="Arial" w:cs="Arial"/>
          <w:iCs/>
          <w:kern w:val="0"/>
          <w:lang w:val="en-US" w:eastAsia="en-US"/>
          <w14:ligatures w14:val="none"/>
        </w:rPr>
      </w:pPr>
      <w:bookmarkStart w:id="926" w:name="_Hlk42377750"/>
      <w:r w:rsidRPr="004B3F8F">
        <w:rPr>
          <w:rFonts w:ascii="Arial" w:eastAsiaTheme="minorHAnsi" w:hAnsi="Arial" w:cs="Arial"/>
          <w:kern w:val="0"/>
          <w:lang w:val="en-US" w:eastAsia="en-US"/>
          <w14:ligatures w14:val="none"/>
        </w:rPr>
        <w:t>Inagaki</w:t>
      </w:r>
      <w:bookmarkEnd w:id="926"/>
      <w:r w:rsidRPr="004B3F8F">
        <w:rPr>
          <w:rFonts w:ascii="Arial" w:eastAsiaTheme="minorHAnsi" w:hAnsi="Arial" w:cs="Arial"/>
          <w:kern w:val="0"/>
          <w:lang w:val="en-US" w:eastAsia="en-US"/>
          <w14:ligatures w14:val="none"/>
        </w:rPr>
        <w:t xml:space="preserve">, K. 2015a. “Japan Inc Left Shaken by Toshiba Scandal.” </w:t>
      </w:r>
      <w:r w:rsidRPr="004B3F8F">
        <w:rPr>
          <w:rFonts w:ascii="Arial" w:eastAsiaTheme="minorHAnsi" w:hAnsi="Arial" w:cs="Arial"/>
          <w:i/>
          <w:iCs/>
          <w:kern w:val="0"/>
          <w:lang w:val="en-US" w:eastAsia="en-US"/>
          <w14:ligatures w14:val="none"/>
        </w:rPr>
        <w:t>The Financial Times</w:t>
      </w:r>
      <w:r w:rsidRPr="004B3F8F">
        <w:rPr>
          <w:rFonts w:ascii="Arial" w:eastAsiaTheme="minorHAnsi" w:hAnsi="Arial" w:cs="Arial"/>
          <w:kern w:val="0"/>
          <w:lang w:val="en-US" w:eastAsia="en-US"/>
          <w14:ligatures w14:val="none"/>
        </w:rPr>
        <w:t>, July 22.</w:t>
      </w:r>
    </w:p>
    <w:p w14:paraId="0415787B"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lastRenderedPageBreak/>
        <w:t xml:space="preserve">Inagaki, K. 2015b. “EY’s Japan Chief Quits After Toshiba Audit Fine.” </w:t>
      </w:r>
      <w:r w:rsidRPr="004B3F8F">
        <w:rPr>
          <w:rFonts w:ascii="Arial" w:eastAsiaTheme="minorHAnsi" w:hAnsi="Arial" w:cs="Arial"/>
          <w:i/>
          <w:iCs/>
          <w:kern w:val="0"/>
          <w:lang w:val="en-US" w:eastAsia="en-US"/>
          <w14:ligatures w14:val="none"/>
        </w:rPr>
        <w:t>The Financial Times</w:t>
      </w:r>
      <w:r w:rsidRPr="004B3F8F">
        <w:rPr>
          <w:rFonts w:ascii="Arial" w:eastAsiaTheme="minorHAnsi" w:hAnsi="Arial" w:cs="Arial"/>
          <w:kern w:val="0"/>
          <w:lang w:val="en-US" w:eastAsia="en-US"/>
          <w14:ligatures w14:val="none"/>
        </w:rPr>
        <w:t>, December 23.</w:t>
      </w:r>
    </w:p>
    <w:p w14:paraId="46BBC061"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27" w:name="_Hlk42377772"/>
      <w:r w:rsidRPr="004B3F8F">
        <w:rPr>
          <w:rFonts w:ascii="Arial" w:eastAsiaTheme="minorHAnsi" w:hAnsi="Arial" w:cs="Arial"/>
          <w:kern w:val="0"/>
          <w:lang w:val="en-US" w:eastAsia="en-US"/>
          <w14:ligatures w14:val="none"/>
        </w:rPr>
        <w:t>Inbar</w:t>
      </w:r>
      <w:bookmarkEnd w:id="927"/>
      <w:r w:rsidRPr="004B3F8F">
        <w:rPr>
          <w:rFonts w:ascii="Arial" w:eastAsiaTheme="minorHAnsi" w:hAnsi="Arial" w:cs="Arial"/>
          <w:kern w:val="0"/>
          <w:lang w:val="en-US" w:eastAsia="en-US"/>
          <w14:ligatures w14:val="none"/>
        </w:rPr>
        <w:t xml:space="preserve">, D. February 2013. “Making the Most Out of Your Data: Big Data Opportunities.” </w:t>
      </w:r>
      <w:r w:rsidRPr="004B3F8F">
        <w:rPr>
          <w:rFonts w:ascii="Arial" w:eastAsiaTheme="minorHAnsi" w:hAnsi="Arial" w:cs="Arial"/>
          <w:i/>
          <w:kern w:val="0"/>
          <w:lang w:val="en-US" w:eastAsia="en-US"/>
          <w14:ligatures w14:val="none"/>
        </w:rPr>
        <w:t>Silicon India</w:t>
      </w:r>
      <w:r w:rsidRPr="004B3F8F">
        <w:rPr>
          <w:rFonts w:ascii="Arial" w:eastAsiaTheme="minorHAnsi" w:hAnsi="Arial" w:cs="Arial"/>
          <w:kern w:val="0"/>
          <w:lang w:val="en-US" w:eastAsia="en-US"/>
          <w14:ligatures w14:val="none"/>
        </w:rPr>
        <w:t>, p. 35.</w:t>
      </w:r>
    </w:p>
    <w:p w14:paraId="2BD01DD5"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bookmarkStart w:id="928" w:name="_Hlk42377784"/>
      <w:r w:rsidRPr="004B3F8F">
        <w:rPr>
          <w:rFonts w:ascii="Arial" w:eastAsiaTheme="minorHAnsi" w:hAnsi="Arial" w:cs="Arial"/>
          <w:kern w:val="0"/>
          <w:lang w:val="en-US" w:eastAsia="en-US"/>
          <w14:ligatures w14:val="none"/>
        </w:rPr>
        <w:t>International Federation of Accountants</w:t>
      </w:r>
      <w:bookmarkEnd w:id="928"/>
      <w:r w:rsidRPr="004B3F8F">
        <w:rPr>
          <w:rFonts w:ascii="Arial" w:eastAsiaTheme="minorHAnsi" w:hAnsi="Arial" w:cs="Arial"/>
          <w:kern w:val="0"/>
          <w:lang w:val="en-US" w:eastAsia="en-US"/>
          <w14:ligatures w14:val="none"/>
        </w:rPr>
        <w:t>. 2019. “</w:t>
      </w:r>
      <w:r w:rsidRPr="004B3F8F">
        <w:rPr>
          <w:rFonts w:ascii="Arial" w:eastAsiaTheme="minorHAnsi" w:hAnsi="Arial" w:cs="Arial"/>
          <w:kern w:val="0"/>
          <w:shd w:val="clear" w:color="auto" w:fill="FFFFFF"/>
          <w:lang w:val="en-US" w:eastAsia="en-US"/>
          <w14:ligatures w14:val="none"/>
        </w:rPr>
        <w:t>International Code of Ethics for Professional Accountants (Including International Independence Standards.”</w:t>
      </w:r>
      <w:r w:rsidRPr="004B3F8F">
        <w:rPr>
          <w:rFonts w:ascii="Arial" w:eastAsiaTheme="minorHAnsi" w:hAnsi="Arial" w:cs="Arial"/>
          <w:kern w:val="0"/>
          <w:lang w:val="en-US" w:eastAsia="en-US"/>
          <w14:ligatures w14:val="none"/>
        </w:rPr>
        <w:t xml:space="preserve"> </w:t>
      </w:r>
      <w:hyperlink r:id="rId96" w:history="1">
        <w:r w:rsidRPr="004B3F8F">
          <w:rPr>
            <w:rFonts w:ascii="Arial" w:eastAsiaTheme="minorHAnsi" w:hAnsi="Arial" w:cs="Arial"/>
            <w:kern w:val="0"/>
            <w:lang w:val="en-US" w:eastAsia="en-US"/>
            <w14:ligatures w14:val="none"/>
          </w:rPr>
          <w:t>https://www.ethicsboard.org/publications/final-pronouncement-restructured-code-19</w:t>
        </w:r>
      </w:hyperlink>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shd w:val="clear" w:color="auto" w:fill="FFFFFF"/>
          <w:lang w:val="en-US" w:eastAsia="en-US"/>
          <w14:ligatures w14:val="none"/>
        </w:rPr>
        <w:t>(accessed April 1, 2019).</w:t>
      </w:r>
    </w:p>
    <w:p w14:paraId="6A1550FD"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Ishfaq, M. 2022. Blockchain technology: Benefits, challenges, applications, and integration with cloud computing. </w:t>
      </w:r>
      <w:r w:rsidRPr="004B3F8F">
        <w:rPr>
          <w:rFonts w:asciiTheme="minorBidi" w:eastAsia="Times New Roman" w:hAnsiTheme="minorBidi"/>
          <w:i/>
          <w:iCs/>
          <w:kern w:val="0"/>
          <w14:ligatures w14:val="none"/>
        </w:rPr>
        <w:t>Future Internet</w:t>
      </w:r>
      <w:r w:rsidRPr="004B3F8F">
        <w:rPr>
          <w:rFonts w:asciiTheme="minorBidi" w:eastAsia="Times New Roman" w:hAnsiTheme="minorBidi"/>
          <w:kern w:val="0"/>
          <w14:ligatures w14:val="none"/>
        </w:rPr>
        <w:t>.</w:t>
      </w:r>
    </w:p>
    <w:p w14:paraId="4ED0E73B"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lang w:eastAsia="en-US"/>
          <w14:ligatures w14:val="none"/>
        </w:rPr>
        <w:t xml:space="preserve">Israel, M. 2015. </w:t>
      </w:r>
      <w:r w:rsidRPr="004B3F8F">
        <w:rPr>
          <w:rFonts w:asciiTheme="minorBidi" w:eastAsia="Times New Roman" w:hAnsiTheme="minorBidi"/>
          <w:i/>
          <w:iCs/>
          <w:kern w:val="0"/>
          <w:lang w:eastAsia="en-US"/>
          <w14:ligatures w14:val="none"/>
        </w:rPr>
        <w:t>Research Ethics and Integrity for Social Scientists: Beyond Regulatory Compliance</w:t>
      </w:r>
      <w:r w:rsidRPr="004B3F8F">
        <w:rPr>
          <w:rFonts w:asciiTheme="minorBidi" w:eastAsia="Times New Roman" w:hAnsiTheme="minorBidi"/>
          <w:kern w:val="0"/>
          <w:lang w:eastAsia="en-US"/>
          <w14:ligatures w14:val="none"/>
        </w:rPr>
        <w:t xml:space="preserve"> (2nd ed.). SAGE Publications</w:t>
      </w:r>
    </w:p>
    <w:p w14:paraId="3F439CCC"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29" w:name="_Hlk42377805"/>
      <w:r w:rsidRPr="004B3F8F">
        <w:rPr>
          <w:rFonts w:ascii="Arial" w:eastAsiaTheme="minorHAnsi" w:hAnsi="Arial" w:cs="Arial"/>
          <w:kern w:val="0"/>
          <w:lang w:val="en-US" w:eastAsia="en-US"/>
          <w14:ligatures w14:val="none"/>
        </w:rPr>
        <w:t>Issa</w:t>
      </w:r>
      <w:bookmarkEnd w:id="929"/>
      <w:r w:rsidRPr="004B3F8F">
        <w:rPr>
          <w:rFonts w:ascii="Arial" w:eastAsiaTheme="minorHAnsi" w:hAnsi="Arial" w:cs="Arial"/>
          <w:kern w:val="0"/>
          <w:lang w:val="en-US" w:eastAsia="en-US"/>
          <w14:ligatures w14:val="none"/>
        </w:rPr>
        <w:t xml:space="preserve">, H., and A. </w:t>
      </w:r>
      <w:bookmarkStart w:id="930" w:name="_Hlk42377813"/>
      <w:r w:rsidRPr="004B3F8F">
        <w:rPr>
          <w:rFonts w:ascii="Arial" w:eastAsiaTheme="minorHAnsi" w:hAnsi="Arial" w:cs="Arial"/>
          <w:kern w:val="0"/>
          <w:lang w:val="en-US" w:eastAsia="en-US"/>
          <w14:ligatures w14:val="none"/>
        </w:rPr>
        <w:t>Kogan</w:t>
      </w:r>
      <w:bookmarkEnd w:id="930"/>
      <w:r w:rsidRPr="004B3F8F">
        <w:rPr>
          <w:rFonts w:ascii="Arial" w:eastAsiaTheme="minorHAnsi" w:hAnsi="Arial" w:cs="Arial"/>
          <w:kern w:val="0"/>
          <w:lang w:val="en-US" w:eastAsia="en-US"/>
          <w14:ligatures w14:val="none"/>
        </w:rPr>
        <w:t xml:space="preserve">. 2013. A Predictive Ordered Logistic Regression Model for Quality Review of Control Risk Assessments. </w:t>
      </w:r>
      <w:r w:rsidRPr="004B3F8F">
        <w:rPr>
          <w:rFonts w:ascii="Arial" w:eastAsiaTheme="minorHAnsi" w:hAnsi="Arial" w:cs="Arial"/>
          <w:iCs/>
          <w:kern w:val="0"/>
          <w:lang w:val="en-US" w:eastAsia="en-US"/>
          <w14:ligatures w14:val="none"/>
        </w:rPr>
        <w:t>Working Paper</w:t>
      </w:r>
      <w:r w:rsidRPr="004B3F8F">
        <w:rPr>
          <w:rFonts w:ascii="Arial" w:eastAsiaTheme="minorHAnsi" w:hAnsi="Arial" w:cs="Arial"/>
          <w:kern w:val="0"/>
          <w:lang w:val="en-US" w:eastAsia="en-US"/>
          <w14:ligatures w14:val="none"/>
        </w:rPr>
        <w:t>. Rutgers Accounting Research Center.</w:t>
      </w:r>
    </w:p>
    <w:p w14:paraId="1FE31A33" w14:textId="77777777" w:rsidR="004B3F8F" w:rsidRPr="004B3F8F" w:rsidRDefault="004B3F8F" w:rsidP="004B3F8F">
      <w:pPr>
        <w:spacing w:line="480" w:lineRule="auto"/>
        <w:ind w:left="851" w:hanging="851"/>
        <w:jc w:val="both"/>
        <w:rPr>
          <w:rFonts w:ascii="Arial" w:eastAsiaTheme="minorHAnsi" w:hAnsi="Arial" w:cs="Arial"/>
          <w:color w:val="222222"/>
          <w:kern w:val="0"/>
          <w:shd w:val="clear" w:color="auto" w:fill="FFFFFF"/>
          <w:lang w:eastAsia="en-US"/>
          <w14:ligatures w14:val="none"/>
        </w:rPr>
      </w:pPr>
      <w:bookmarkStart w:id="931" w:name="_Hlk142153886"/>
      <w:r w:rsidRPr="004B3F8F">
        <w:rPr>
          <w:rFonts w:ascii="Arial" w:eastAsiaTheme="minorHAnsi" w:hAnsi="Arial" w:cs="Arial"/>
          <w:color w:val="222222"/>
          <w:kern w:val="0"/>
          <w:shd w:val="clear" w:color="auto" w:fill="FFFFFF"/>
          <w:lang w:eastAsia="en-US"/>
          <w14:ligatures w14:val="none"/>
        </w:rPr>
        <w:t>Itzkowitz, S., &amp; Howell</w:t>
      </w:r>
      <w:bookmarkEnd w:id="931"/>
      <w:r w:rsidRPr="004B3F8F">
        <w:rPr>
          <w:rFonts w:ascii="Arial" w:eastAsiaTheme="minorHAnsi" w:hAnsi="Arial" w:cs="Arial"/>
          <w:color w:val="222222"/>
          <w:kern w:val="0"/>
          <w:shd w:val="clear" w:color="auto" w:fill="FFFFFF"/>
          <w:lang w:eastAsia="en-US"/>
          <w14:ligatures w14:val="none"/>
        </w:rPr>
        <w:t>, E. F. (Eds.). 2019. </w:t>
      </w:r>
      <w:r w:rsidRPr="004B3F8F">
        <w:rPr>
          <w:rFonts w:ascii="Arial" w:eastAsiaTheme="minorHAnsi" w:hAnsi="Arial" w:cs="Arial"/>
          <w:i/>
          <w:iCs/>
          <w:color w:val="222222"/>
          <w:kern w:val="0"/>
          <w:shd w:val="clear" w:color="auto" w:fill="FFFFFF"/>
          <w:lang w:eastAsia="en-US"/>
          <w14:ligatures w14:val="none"/>
        </w:rPr>
        <w:t>Psychoanalysts, psychologists and psychiatrists discuss psychopathy and human evil</w:t>
      </w:r>
      <w:r w:rsidRPr="004B3F8F">
        <w:rPr>
          <w:rFonts w:ascii="Arial" w:eastAsiaTheme="minorHAnsi" w:hAnsi="Arial" w:cs="Arial"/>
          <w:color w:val="222222"/>
          <w:kern w:val="0"/>
          <w:shd w:val="clear" w:color="auto" w:fill="FFFFFF"/>
          <w:lang w:eastAsia="en-US"/>
          <w14:ligatures w14:val="none"/>
        </w:rPr>
        <w:t>. Routledge.</w:t>
      </w:r>
    </w:p>
    <w:p w14:paraId="6670D311"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Jackson, C.W. 2015. </w:t>
      </w:r>
      <w:r w:rsidRPr="004B3F8F">
        <w:rPr>
          <w:rFonts w:ascii="Arial" w:eastAsiaTheme="minorHAnsi" w:hAnsi="Arial" w:cs="Arial"/>
          <w:i/>
          <w:iCs/>
          <w:kern w:val="0"/>
          <w:lang w:val="en-US" w:eastAsia="en-US"/>
          <w14:ligatures w14:val="none"/>
        </w:rPr>
        <w:t>Detecting Accounting Fraud. Analysis and Ethics</w:t>
      </w:r>
      <w:r w:rsidRPr="004B3F8F">
        <w:rPr>
          <w:rFonts w:ascii="Arial" w:eastAsiaTheme="minorHAnsi" w:hAnsi="Arial" w:cs="Arial"/>
          <w:kern w:val="0"/>
          <w:lang w:val="en-US" w:eastAsia="en-US"/>
          <w14:ligatures w14:val="none"/>
        </w:rPr>
        <w:t>. Global ed. Pearson.</w:t>
      </w:r>
      <w:r w:rsidRPr="004B3F8F">
        <w:rPr>
          <w:rFonts w:ascii="Arial" w:eastAsiaTheme="minorHAnsi" w:hAnsi="Arial" w:cs="Arial"/>
          <w:kern w:val="0"/>
          <w:lang w:eastAsia="en-US"/>
          <w14:ligatures w14:val="none"/>
        </w:rPr>
        <w:t xml:space="preserve"> Ashford, UK</w:t>
      </w:r>
    </w:p>
    <w:p w14:paraId="115E2A64"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32" w:name="_Hlk42378009"/>
      <w:r w:rsidRPr="004B3F8F">
        <w:rPr>
          <w:rFonts w:ascii="Arial" w:eastAsiaTheme="minorHAnsi" w:hAnsi="Arial" w:cs="Arial"/>
          <w:kern w:val="0"/>
          <w:lang w:val="en-US" w:eastAsia="en-US"/>
          <w14:ligatures w14:val="none"/>
        </w:rPr>
        <w:t>Jain</w:t>
      </w:r>
      <w:bookmarkEnd w:id="932"/>
      <w:r w:rsidRPr="004B3F8F">
        <w:rPr>
          <w:rFonts w:ascii="Arial" w:eastAsiaTheme="minorHAnsi" w:hAnsi="Arial" w:cs="Arial"/>
          <w:kern w:val="0"/>
          <w:lang w:val="en-US" w:eastAsia="en-US"/>
          <w14:ligatures w14:val="none"/>
        </w:rPr>
        <w:t>, P.K., C.J. Kim, and Z. Rezaee. 2008. “The Sarbanes</w:t>
      </w:r>
      <w:r w:rsidRPr="004B3F8F">
        <w:rPr>
          <w:rFonts w:ascii="Cambria Math" w:eastAsiaTheme="minorHAnsi" w:hAnsi="Cambria Math" w:cs="Cambria Math"/>
          <w:kern w:val="0"/>
          <w:lang w:val="en-US" w:eastAsia="en-US"/>
          <w14:ligatures w14:val="none"/>
        </w:rPr>
        <w:t>‐</w:t>
      </w:r>
      <w:r w:rsidRPr="004B3F8F">
        <w:rPr>
          <w:rFonts w:ascii="Arial" w:eastAsiaTheme="minorHAnsi" w:hAnsi="Arial" w:cs="Arial"/>
          <w:kern w:val="0"/>
          <w:lang w:val="en-US" w:eastAsia="en-US"/>
          <w14:ligatures w14:val="none"/>
        </w:rPr>
        <w:t xml:space="preserve">Oxley Act of 2002 and Market Liquidity.” </w:t>
      </w:r>
      <w:r w:rsidRPr="004B3F8F">
        <w:rPr>
          <w:rFonts w:ascii="Arial" w:eastAsiaTheme="minorHAnsi" w:hAnsi="Arial" w:cs="Arial"/>
          <w:i/>
          <w:kern w:val="0"/>
          <w:lang w:val="en-US" w:eastAsia="en-US"/>
          <w14:ligatures w14:val="none"/>
        </w:rPr>
        <w:t xml:space="preserve">Financial Review </w:t>
      </w:r>
      <w:r w:rsidRPr="004B3F8F">
        <w:rPr>
          <w:rFonts w:ascii="Arial" w:eastAsiaTheme="minorHAnsi" w:hAnsi="Arial" w:cs="Arial"/>
          <w:kern w:val="0"/>
          <w:lang w:val="en-US" w:eastAsia="en-US"/>
          <w14:ligatures w14:val="none"/>
        </w:rPr>
        <w:t>43, no. 3, pp. 361-82.</w:t>
      </w:r>
    </w:p>
    <w:p w14:paraId="648CF16D" w14:textId="332D65DA"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lastRenderedPageBreak/>
        <w:t xml:space="preserve">James, L. 2022. Is </w:t>
      </w:r>
      <w:r w:rsidR="00CB692E" w:rsidRPr="004B3F8F">
        <w:rPr>
          <w:rFonts w:ascii="Arial" w:hAnsi="Arial" w:cs="Arial"/>
          <w:color w:val="222222"/>
          <w:shd w:val="clear" w:color="auto" w:fill="FFFFFF"/>
        </w:rPr>
        <w:t>Hyper automation</w:t>
      </w:r>
      <w:r w:rsidRPr="004B3F8F">
        <w:rPr>
          <w:rFonts w:ascii="Arial" w:hAnsi="Arial" w:cs="Arial"/>
          <w:color w:val="222222"/>
          <w:shd w:val="clear" w:color="auto" w:fill="FFFFFF"/>
        </w:rPr>
        <w:t xml:space="preserve"> Worth the Hype?. </w:t>
      </w:r>
      <w:r w:rsidRPr="004B3F8F">
        <w:rPr>
          <w:rFonts w:ascii="Arial" w:hAnsi="Arial" w:cs="Arial"/>
          <w:i/>
          <w:iCs/>
          <w:color w:val="222222"/>
          <w:shd w:val="clear" w:color="auto" w:fill="FFFFFF"/>
        </w:rPr>
        <w:t>Engineering &amp; Technology</w:t>
      </w:r>
      <w:r w:rsidRPr="004B3F8F">
        <w:rPr>
          <w:rFonts w:ascii="Arial" w:hAnsi="Arial" w:cs="Arial"/>
          <w:color w:val="222222"/>
          <w:shd w:val="clear" w:color="auto" w:fill="FFFFFF"/>
        </w:rPr>
        <w:t>, </w:t>
      </w:r>
      <w:r w:rsidRPr="004B3F8F">
        <w:rPr>
          <w:rFonts w:ascii="Arial" w:hAnsi="Arial" w:cs="Arial"/>
          <w:i/>
          <w:iCs/>
          <w:color w:val="222222"/>
          <w:shd w:val="clear" w:color="auto" w:fill="FFFFFF"/>
        </w:rPr>
        <w:t>17</w:t>
      </w:r>
      <w:r w:rsidRPr="004B3F8F">
        <w:rPr>
          <w:rFonts w:ascii="Arial" w:hAnsi="Arial" w:cs="Arial"/>
          <w:color w:val="222222"/>
          <w:shd w:val="clear" w:color="auto" w:fill="FFFFFF"/>
        </w:rPr>
        <w:t>(1), 22-25.</w:t>
      </w:r>
    </w:p>
    <w:p w14:paraId="0E16DE28" w14:textId="77777777" w:rsidR="004B3F8F" w:rsidRPr="004B3F8F" w:rsidRDefault="004B3F8F" w:rsidP="004B3F8F">
      <w:pPr>
        <w:spacing w:line="480" w:lineRule="auto"/>
        <w:ind w:left="851" w:hanging="851"/>
        <w:jc w:val="both"/>
        <w:rPr>
          <w:rFonts w:ascii="Arial" w:eastAsiaTheme="minorHAnsi" w:hAnsi="Arial" w:cs="Arial"/>
          <w:color w:val="222222"/>
          <w:kern w:val="0"/>
          <w:shd w:val="clear" w:color="auto" w:fill="FFFFFF"/>
          <w:lang w:eastAsia="en-US"/>
          <w14:ligatures w14:val="none"/>
        </w:rPr>
      </w:pPr>
      <w:r w:rsidRPr="004B3F8F">
        <w:rPr>
          <w:rFonts w:ascii="Arial" w:eastAsiaTheme="minorHAnsi" w:hAnsi="Arial" w:cs="Arial"/>
          <w:color w:val="222222"/>
          <w:kern w:val="0"/>
          <w:shd w:val="clear" w:color="auto" w:fill="FFFFFF"/>
          <w:lang w:eastAsia="en-US"/>
          <w14:ligatures w14:val="none"/>
        </w:rPr>
        <w:t>Jay, A. 2021. Management and Machiavelli. In </w:t>
      </w:r>
      <w:r w:rsidRPr="004B3F8F">
        <w:rPr>
          <w:rFonts w:ascii="Arial" w:eastAsiaTheme="minorHAnsi" w:hAnsi="Arial" w:cs="Arial"/>
          <w:i/>
          <w:iCs/>
          <w:color w:val="222222"/>
          <w:kern w:val="0"/>
          <w:shd w:val="clear" w:color="auto" w:fill="FFFFFF"/>
          <w:lang w:eastAsia="en-US"/>
          <w14:ligatures w14:val="none"/>
        </w:rPr>
        <w:t>Organizational Collaboration</w:t>
      </w:r>
      <w:r w:rsidRPr="004B3F8F">
        <w:rPr>
          <w:rFonts w:ascii="Arial" w:eastAsiaTheme="minorHAnsi" w:hAnsi="Arial" w:cs="Arial"/>
          <w:color w:val="222222"/>
          <w:kern w:val="0"/>
          <w:shd w:val="clear" w:color="auto" w:fill="FFFFFF"/>
          <w:lang w:eastAsia="en-US"/>
          <w14:ligatures w14:val="none"/>
        </w:rPr>
        <w:t> (pp. 76-87). Routledge.</w:t>
      </w:r>
    </w:p>
    <w:p w14:paraId="1E556C2A"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33" w:name="_Hlk42378027"/>
      <w:r w:rsidRPr="004B3F8F">
        <w:rPr>
          <w:rFonts w:ascii="Arial" w:eastAsiaTheme="minorHAnsi" w:hAnsi="Arial" w:cs="Arial"/>
          <w:kern w:val="0"/>
          <w:lang w:val="en-US" w:eastAsia="en-US"/>
          <w14:ligatures w14:val="none"/>
        </w:rPr>
        <w:t>Jayalakshmy</w:t>
      </w:r>
      <w:bookmarkEnd w:id="933"/>
      <w:r w:rsidRPr="004B3F8F">
        <w:rPr>
          <w:rFonts w:ascii="Arial" w:eastAsiaTheme="minorHAnsi" w:hAnsi="Arial" w:cs="Arial"/>
          <w:kern w:val="0"/>
          <w:lang w:val="en-US" w:eastAsia="en-US"/>
          <w14:ligatures w14:val="none"/>
        </w:rPr>
        <w:t xml:space="preserve">, R., A. Seetharaman, and T.W. Khong. 2005. “The Changing Role of the Auditors.” </w:t>
      </w:r>
      <w:r w:rsidRPr="004B3F8F">
        <w:rPr>
          <w:rFonts w:ascii="Arial" w:eastAsiaTheme="minorHAnsi" w:hAnsi="Arial" w:cs="Arial"/>
          <w:i/>
          <w:iCs/>
          <w:kern w:val="0"/>
          <w:lang w:val="en-US" w:eastAsia="en-US"/>
          <w14:ligatures w14:val="none"/>
        </w:rPr>
        <w:t>Managerial Auditing Journal</w:t>
      </w:r>
      <w:r w:rsidRPr="004B3F8F">
        <w:rPr>
          <w:rFonts w:ascii="Arial" w:eastAsiaTheme="minorHAnsi" w:hAnsi="Arial" w:cs="Arial"/>
          <w:kern w:val="0"/>
          <w:lang w:val="en-US" w:eastAsia="en-US"/>
          <w14:ligatures w14:val="none"/>
        </w:rPr>
        <w:t xml:space="preserve"> 20, no. 3, pp. 249-71.</w:t>
      </w:r>
    </w:p>
    <w:p w14:paraId="4E23539C"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Jenkins, G., &amp; Sielski, A. 2023. Blockchain in accounting and auditing: unveiling challenges and opportunities for digital transformation. </w:t>
      </w:r>
      <w:r w:rsidRPr="004B3F8F">
        <w:rPr>
          <w:rFonts w:asciiTheme="minorBidi" w:eastAsia="Times New Roman" w:hAnsiTheme="minorBidi"/>
          <w:i/>
          <w:iCs/>
          <w:kern w:val="0"/>
          <w14:ligatures w14:val="none"/>
        </w:rPr>
        <w:t>Emerald Insight</w:t>
      </w:r>
      <w:r w:rsidRPr="004B3F8F">
        <w:rPr>
          <w:rFonts w:asciiTheme="minorBidi" w:eastAsia="Times New Roman" w:hAnsiTheme="minorBidi"/>
          <w:kern w:val="0"/>
          <w14:ligatures w14:val="none"/>
        </w:rPr>
        <w:t>.</w:t>
      </w:r>
    </w:p>
    <w:p w14:paraId="3C4B6508"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Jensen, M.C., and M.H. Meckling. 1976. “Theory of the Firm: Managerial Behavior, Agency Costs and Ownership Structure.” </w:t>
      </w:r>
      <w:r w:rsidRPr="004B3F8F">
        <w:rPr>
          <w:rFonts w:ascii="Arial" w:eastAsiaTheme="minorHAnsi" w:hAnsi="Arial" w:cs="Arial"/>
          <w:i/>
          <w:iCs/>
          <w:kern w:val="0"/>
          <w:lang w:val="en-US" w:eastAsia="en-US"/>
          <w14:ligatures w14:val="none"/>
        </w:rPr>
        <w:t>Journal of Financial Economics</w:t>
      </w:r>
      <w:r w:rsidRPr="004B3F8F">
        <w:rPr>
          <w:rFonts w:ascii="Arial" w:eastAsiaTheme="minorHAnsi" w:hAnsi="Arial" w:cs="Arial"/>
          <w:kern w:val="0"/>
          <w:lang w:val="en-US" w:eastAsia="en-US"/>
          <w14:ligatures w14:val="none"/>
        </w:rPr>
        <w:t xml:space="preserve"> 3, no. 4, pp. 305-60.</w:t>
      </w:r>
    </w:p>
    <w:p w14:paraId="336FCA2F"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Jeske, D. and Olson, D., 2021. Onboarding new hires: recognising mutual learning opportunities. </w:t>
      </w:r>
      <w:r w:rsidRPr="004B3F8F">
        <w:rPr>
          <w:rFonts w:ascii="Arial" w:hAnsi="Arial" w:cs="Arial"/>
          <w:i/>
          <w:iCs/>
          <w:color w:val="222222"/>
          <w:shd w:val="clear" w:color="auto" w:fill="FFFFFF"/>
        </w:rPr>
        <w:t>Journal of Work-Applied Management</w:t>
      </w:r>
      <w:r w:rsidRPr="004B3F8F">
        <w:rPr>
          <w:rFonts w:ascii="Arial" w:hAnsi="Arial" w:cs="Arial"/>
          <w:color w:val="222222"/>
          <w:shd w:val="clear" w:color="auto" w:fill="FFFFFF"/>
        </w:rPr>
        <w:t>, </w:t>
      </w:r>
      <w:r w:rsidRPr="004B3F8F">
        <w:rPr>
          <w:rFonts w:ascii="Arial" w:hAnsi="Arial" w:cs="Arial"/>
          <w:i/>
          <w:iCs/>
          <w:color w:val="222222"/>
          <w:shd w:val="clear" w:color="auto" w:fill="FFFFFF"/>
        </w:rPr>
        <w:t>14</w:t>
      </w:r>
      <w:r w:rsidRPr="004B3F8F">
        <w:rPr>
          <w:rFonts w:ascii="Arial" w:hAnsi="Arial" w:cs="Arial"/>
          <w:color w:val="222222"/>
          <w:shd w:val="clear" w:color="auto" w:fill="FFFFFF"/>
        </w:rPr>
        <w:t>(1), pp.63-76.</w:t>
      </w:r>
    </w:p>
    <w:p w14:paraId="62AC4497"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Jick, T. D. 1979. "Mixing Qualitative and Quantitative Methods: Triangulation in Action." </w:t>
      </w:r>
      <w:r w:rsidRPr="004B3F8F">
        <w:rPr>
          <w:rFonts w:asciiTheme="minorBidi" w:eastAsia="Times New Roman" w:hAnsiTheme="minorBidi"/>
          <w:i/>
          <w:iCs/>
          <w:kern w:val="0"/>
          <w14:ligatures w14:val="none"/>
        </w:rPr>
        <w:t>Administrative Science Quarterly, 24</w:t>
      </w:r>
      <w:r w:rsidRPr="004B3F8F">
        <w:rPr>
          <w:rFonts w:asciiTheme="minorBidi" w:eastAsia="Times New Roman" w:hAnsiTheme="minorBidi"/>
          <w:kern w:val="0"/>
          <w14:ligatures w14:val="none"/>
        </w:rPr>
        <w:t>(4), 602-611. doi:10.2307/2392366.</w:t>
      </w:r>
    </w:p>
    <w:p w14:paraId="05D034B1" w14:textId="77777777" w:rsidR="004B3F8F" w:rsidRPr="004B3F8F" w:rsidRDefault="004B3F8F" w:rsidP="004B3F8F">
      <w:pPr>
        <w:spacing w:before="100" w:beforeAutospacing="1" w:after="100" w:afterAutospacing="1" w:line="480" w:lineRule="auto"/>
        <w:ind w:left="709" w:hanging="709"/>
        <w:jc w:val="both"/>
        <w:rPr>
          <w:rFonts w:asciiTheme="minorBidi" w:eastAsia="Times New Roman" w:hAnsiTheme="minorBidi"/>
          <w:kern w:val="0"/>
          <w:lang w:val="fr-FR"/>
          <w14:ligatures w14:val="none"/>
        </w:rPr>
      </w:pPr>
      <w:r w:rsidRPr="004B3F8F">
        <w:rPr>
          <w:rFonts w:asciiTheme="minorBidi" w:eastAsia="Times New Roman" w:hAnsiTheme="minorBidi"/>
          <w:kern w:val="0"/>
          <w14:ligatures w14:val="none"/>
        </w:rPr>
        <w:t xml:space="preserve">Jonason, P.K., &amp; Ktoff, H. 2020. "The Dark Triad of Personality: A 10-Year Review." </w:t>
      </w:r>
      <w:r w:rsidRPr="004B3F8F">
        <w:rPr>
          <w:rFonts w:asciiTheme="minorBidi" w:eastAsia="Times New Roman" w:hAnsiTheme="minorBidi"/>
          <w:kern w:val="0"/>
          <w:lang w:val="fr-FR"/>
          <w14:ligatures w14:val="none"/>
        </w:rPr>
        <w:t>Current Directions in Psychological Science, 29(1), 61-68.</w:t>
      </w:r>
    </w:p>
    <w:p w14:paraId="1F8229FE" w14:textId="77777777" w:rsidR="004B3F8F" w:rsidRPr="004B3F8F" w:rsidRDefault="004B3F8F" w:rsidP="004B3F8F">
      <w:pPr>
        <w:spacing w:line="480" w:lineRule="auto"/>
        <w:ind w:left="851" w:hanging="851"/>
        <w:jc w:val="both"/>
        <w:rPr>
          <w:rFonts w:ascii="Arial" w:eastAsiaTheme="minorHAnsi" w:hAnsi="Arial" w:cs="Arial"/>
          <w:color w:val="222222"/>
          <w:kern w:val="0"/>
          <w:shd w:val="clear" w:color="auto" w:fill="FFFFFF"/>
          <w:lang w:eastAsia="en-US"/>
          <w14:ligatures w14:val="none"/>
        </w:rPr>
      </w:pPr>
      <w:r w:rsidRPr="004B3F8F">
        <w:rPr>
          <w:rFonts w:ascii="Arial" w:eastAsiaTheme="minorHAnsi" w:hAnsi="Arial" w:cs="Arial"/>
          <w:color w:val="222222"/>
          <w:kern w:val="0"/>
          <w:shd w:val="clear" w:color="auto" w:fill="FFFFFF"/>
          <w:lang w:val="fr-FR" w:eastAsia="en-US"/>
          <w14:ligatures w14:val="none"/>
        </w:rPr>
        <w:t xml:space="preserve">Johanson, M., Vaurio, O., Tiihonen, J., &amp; Lähteenvuo, M. 2020. </w:t>
      </w:r>
      <w:r w:rsidRPr="004B3F8F">
        <w:rPr>
          <w:rFonts w:ascii="Arial" w:eastAsiaTheme="minorHAnsi" w:hAnsi="Arial" w:cs="Arial"/>
          <w:color w:val="222222"/>
          <w:kern w:val="0"/>
          <w:shd w:val="clear" w:color="auto" w:fill="FFFFFF"/>
          <w:lang w:eastAsia="en-US"/>
          <w14:ligatures w14:val="none"/>
        </w:rPr>
        <w:t xml:space="preserve">A systematic literature review.  </w:t>
      </w:r>
    </w:p>
    <w:p w14:paraId="5F91B7E2"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34" w:name="_Hlk42378053"/>
      <w:r w:rsidRPr="004B3F8F">
        <w:rPr>
          <w:rFonts w:ascii="Arial" w:eastAsiaTheme="minorHAnsi" w:hAnsi="Arial" w:cs="Arial"/>
          <w:kern w:val="0"/>
          <w:lang w:val="en-US" w:eastAsia="en-US"/>
          <w14:ligatures w14:val="none"/>
        </w:rPr>
        <w:lastRenderedPageBreak/>
        <w:t>Johnson</w:t>
      </w:r>
      <w:bookmarkEnd w:id="934"/>
      <w:r w:rsidRPr="004B3F8F">
        <w:rPr>
          <w:rFonts w:ascii="Arial" w:eastAsiaTheme="minorHAnsi" w:hAnsi="Arial" w:cs="Arial"/>
          <w:kern w:val="0"/>
          <w:lang w:val="en-US" w:eastAsia="en-US"/>
          <w14:ligatures w14:val="none"/>
        </w:rPr>
        <w:t xml:space="preserve">, E.N., J.R. Kuhn, B.A. Apostolou, and J.M. Hassell. 2013. “Auditor Perceptions of Client Narcissism as a Fraud Attitude Risk Factor.” </w:t>
      </w:r>
      <w:r w:rsidRPr="004B3F8F">
        <w:rPr>
          <w:rFonts w:ascii="Arial" w:eastAsiaTheme="minorHAnsi" w:hAnsi="Arial" w:cs="Arial"/>
          <w:i/>
          <w:iCs/>
          <w:kern w:val="0"/>
          <w:lang w:val="en-US" w:eastAsia="en-US"/>
          <w14:ligatures w14:val="none"/>
        </w:rPr>
        <w:t xml:space="preserve">Auditing: A Journal of Practice &amp; Theory </w:t>
      </w:r>
      <w:r w:rsidRPr="004B3F8F">
        <w:rPr>
          <w:rFonts w:ascii="Arial" w:eastAsiaTheme="minorHAnsi" w:hAnsi="Arial" w:cs="Arial"/>
          <w:kern w:val="0"/>
          <w:lang w:val="en-US" w:eastAsia="en-US"/>
          <w14:ligatures w14:val="none"/>
        </w:rPr>
        <w:t>32, no. 1, pp. 203-19.</w:t>
      </w:r>
    </w:p>
    <w:p w14:paraId="7448454C" w14:textId="77777777" w:rsidR="004B3F8F" w:rsidRPr="004B3F8F" w:rsidRDefault="004B3F8F" w:rsidP="004B3F8F">
      <w:pPr>
        <w:spacing w:after="200" w:line="480" w:lineRule="auto"/>
        <w:ind w:left="785" w:hangingChars="327" w:hanging="785"/>
        <w:jc w:val="both"/>
        <w:rPr>
          <w:rFonts w:asciiTheme="minorBidi" w:eastAsiaTheme="minorHAnsi" w:hAnsiTheme="minorBidi"/>
          <w:kern w:val="0"/>
          <w:lang w:val="en-US" w:eastAsia="en-US"/>
          <w14:ligatures w14:val="none"/>
        </w:rPr>
      </w:pPr>
      <w:r w:rsidRPr="004B3F8F">
        <w:rPr>
          <w:rFonts w:asciiTheme="minorBidi" w:eastAsiaTheme="minorHAnsi" w:hAnsiTheme="minorBidi"/>
          <w:kern w:val="0"/>
          <w:lang w:eastAsia="en-US"/>
          <w14:ligatures w14:val="none"/>
        </w:rPr>
        <w:t>Johnson, P. &amp; Clark, M., 2006. Business and Management Research Methodologies. Sage Library in Business and Management</w:t>
      </w:r>
    </w:p>
    <w:p w14:paraId="1397598A"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35" w:name="_Hlk42378071"/>
      <w:r w:rsidRPr="004B3F8F">
        <w:rPr>
          <w:rFonts w:ascii="Arial" w:eastAsiaTheme="minorHAnsi" w:hAnsi="Arial" w:cs="Arial"/>
          <w:kern w:val="0"/>
          <w:lang w:val="en-US" w:eastAsia="en-US"/>
          <w14:ligatures w14:val="none"/>
        </w:rPr>
        <w:t>Johnson</w:t>
      </w:r>
      <w:bookmarkEnd w:id="935"/>
      <w:r w:rsidRPr="004B3F8F">
        <w:rPr>
          <w:rFonts w:ascii="Arial" w:eastAsiaTheme="minorHAnsi" w:hAnsi="Arial" w:cs="Arial"/>
          <w:kern w:val="0"/>
          <w:lang w:val="en-US" w:eastAsia="en-US"/>
          <w14:ligatures w14:val="none"/>
        </w:rPr>
        <w:t xml:space="preserve">, G.G., and C.L. </w:t>
      </w:r>
      <w:bookmarkStart w:id="936" w:name="_Hlk42378078"/>
      <w:r w:rsidRPr="004B3F8F">
        <w:rPr>
          <w:rFonts w:ascii="Arial" w:eastAsiaTheme="minorHAnsi" w:hAnsi="Arial" w:cs="Arial"/>
          <w:kern w:val="0"/>
          <w:lang w:val="en-US" w:eastAsia="en-US"/>
          <w14:ligatures w14:val="none"/>
        </w:rPr>
        <w:t>Rudesill. 2001</w:t>
      </w:r>
      <w:bookmarkEnd w:id="936"/>
      <w:r w:rsidRPr="004B3F8F">
        <w:rPr>
          <w:rFonts w:ascii="Arial" w:eastAsiaTheme="minorHAnsi" w:hAnsi="Arial" w:cs="Arial"/>
          <w:kern w:val="0"/>
          <w:lang w:val="en-US" w:eastAsia="en-US"/>
          <w14:ligatures w14:val="none"/>
        </w:rPr>
        <w:t xml:space="preserve">. “An Investigation into Fraud Prevention and Detection of Small Businesses in the United States: Responsibilities of Auditors, Managers, and Business Owners.” </w:t>
      </w:r>
      <w:r w:rsidRPr="004B3F8F">
        <w:rPr>
          <w:rFonts w:ascii="Arial" w:eastAsiaTheme="minorHAnsi" w:hAnsi="Arial" w:cs="Arial"/>
          <w:i/>
          <w:iCs/>
          <w:kern w:val="0"/>
          <w:lang w:val="en-US" w:eastAsia="en-US"/>
          <w14:ligatures w14:val="none"/>
        </w:rPr>
        <w:t>Accounting Forum</w:t>
      </w:r>
      <w:r w:rsidRPr="004B3F8F">
        <w:rPr>
          <w:rFonts w:ascii="Arial" w:eastAsiaTheme="minorHAnsi" w:hAnsi="Arial" w:cs="Arial"/>
          <w:kern w:val="0"/>
          <w:lang w:val="en-US" w:eastAsia="en-US"/>
          <w14:ligatures w14:val="none"/>
        </w:rPr>
        <w:t xml:space="preserve"> 25, 1, p. 56.</w:t>
      </w:r>
    </w:p>
    <w:p w14:paraId="3052D063"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Johnson, S.A., H.E. Ryan, and Tian, Y.S. 2008. “Managerial Incentives and Corporate Fraud: The Sources of Incentives Matter.” </w:t>
      </w:r>
      <w:hyperlink r:id="rId97" w:history="1">
        <w:r w:rsidRPr="004B3F8F">
          <w:rPr>
            <w:rFonts w:ascii="Arial" w:eastAsiaTheme="minorHAnsi" w:hAnsi="Arial" w:cs="Arial"/>
            <w:kern w:val="0"/>
            <w:lang w:val="en-US" w:eastAsia="en-US"/>
            <w14:ligatures w14:val="none"/>
          </w:rPr>
          <w:t>www.ssrn.com</w:t>
        </w:r>
      </w:hyperlink>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shd w:val="clear" w:color="auto" w:fill="FFFFFF"/>
          <w:lang w:val="en-US" w:eastAsia="en-US"/>
          <w14:ligatures w14:val="none"/>
        </w:rPr>
        <w:t>(accessed January 1, 2019).</w:t>
      </w:r>
    </w:p>
    <w:p w14:paraId="741123DA"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37" w:name="_Hlk42378128"/>
      <w:r w:rsidRPr="004B3F8F">
        <w:rPr>
          <w:rFonts w:ascii="Arial" w:eastAsiaTheme="minorHAnsi" w:hAnsi="Arial" w:cs="Arial"/>
          <w:kern w:val="0"/>
          <w:lang w:eastAsia="en-US"/>
          <w14:ligatures w14:val="none"/>
        </w:rPr>
        <w:t>Jo-Kranacher</w:t>
      </w:r>
      <w:bookmarkEnd w:id="937"/>
      <w:r w:rsidRPr="004B3F8F">
        <w:rPr>
          <w:rFonts w:ascii="Arial" w:eastAsiaTheme="minorHAnsi" w:hAnsi="Arial" w:cs="Arial"/>
          <w:kern w:val="0"/>
          <w:lang w:eastAsia="en-US"/>
          <w14:ligatures w14:val="none"/>
        </w:rPr>
        <w:t xml:space="preserve">, M., and L. </w:t>
      </w:r>
      <w:bookmarkStart w:id="938" w:name="_Hlk42378135"/>
      <w:r w:rsidRPr="004B3F8F">
        <w:rPr>
          <w:rFonts w:ascii="Arial" w:eastAsiaTheme="minorHAnsi" w:hAnsi="Arial" w:cs="Arial"/>
          <w:kern w:val="0"/>
          <w:lang w:eastAsia="en-US"/>
          <w14:ligatures w14:val="none"/>
        </w:rPr>
        <w:t xml:space="preserve">Stern. </w:t>
      </w:r>
      <w:r w:rsidRPr="004B3F8F">
        <w:rPr>
          <w:rFonts w:ascii="Arial" w:eastAsiaTheme="minorHAnsi" w:hAnsi="Arial" w:cs="Arial"/>
          <w:kern w:val="0"/>
          <w:lang w:val="en-US" w:eastAsia="en-US"/>
          <w14:ligatures w14:val="none"/>
        </w:rPr>
        <w:t>2004</w:t>
      </w:r>
      <w:bookmarkEnd w:id="938"/>
      <w:r w:rsidRPr="004B3F8F">
        <w:rPr>
          <w:rFonts w:ascii="Arial" w:eastAsiaTheme="minorHAnsi" w:hAnsi="Arial" w:cs="Arial"/>
          <w:kern w:val="0"/>
          <w:lang w:val="en-US" w:eastAsia="en-US"/>
          <w14:ligatures w14:val="none"/>
        </w:rPr>
        <w:t xml:space="preserve">. “Enhancing Fraud Detection through Education.” </w:t>
      </w:r>
      <w:r w:rsidRPr="004B3F8F">
        <w:rPr>
          <w:rFonts w:ascii="Arial" w:eastAsiaTheme="minorHAnsi" w:hAnsi="Arial" w:cs="Arial"/>
          <w:i/>
          <w:iCs/>
          <w:kern w:val="0"/>
          <w:lang w:val="en-US" w:eastAsia="en-US"/>
          <w14:ligatures w14:val="none"/>
        </w:rPr>
        <w:t>The CPA Journal</w:t>
      </w:r>
      <w:r w:rsidRPr="004B3F8F">
        <w:rPr>
          <w:rFonts w:ascii="Arial" w:eastAsiaTheme="minorHAnsi" w:hAnsi="Arial" w:cs="Arial"/>
          <w:kern w:val="0"/>
          <w:lang w:val="en-US" w:eastAsia="en-US"/>
          <w14:ligatures w14:val="none"/>
        </w:rPr>
        <w:t xml:space="preserve"> 74, no. 11, p. 66.</w:t>
      </w:r>
    </w:p>
    <w:p w14:paraId="509963BF" w14:textId="77777777" w:rsidR="004B3F8F" w:rsidRPr="004B3F8F" w:rsidRDefault="004B3F8F" w:rsidP="004B3F8F">
      <w:pPr>
        <w:spacing w:after="200" w:line="480" w:lineRule="auto"/>
        <w:ind w:left="785" w:hangingChars="327" w:hanging="785"/>
        <w:jc w:val="both"/>
        <w:rPr>
          <w:rFonts w:asciiTheme="minorBidi" w:eastAsiaTheme="minorHAnsi" w:hAnsiTheme="minorBidi"/>
          <w:kern w:val="0"/>
          <w:lang w:val="en-US" w:eastAsia="en-US"/>
          <w14:ligatures w14:val="none"/>
        </w:rPr>
      </w:pPr>
      <w:r w:rsidRPr="004B3F8F">
        <w:rPr>
          <w:rFonts w:asciiTheme="minorBidi" w:eastAsiaTheme="minorHAnsi" w:hAnsiTheme="minorBidi"/>
          <w:kern w:val="0"/>
          <w:lang w:eastAsia="en-US"/>
          <w14:ligatures w14:val="none"/>
        </w:rPr>
        <w:t>Jones, D. N., &amp; Paulhus, D. L. 2017. Duplicity Among the Dark Triad: Three Faces of Deceit. Journal of Personality and Social Psychology</w:t>
      </w:r>
      <w:r w:rsidRPr="004B3F8F">
        <w:rPr>
          <w:rFonts w:asciiTheme="minorBidi" w:eastAsiaTheme="minorHAnsi" w:hAnsiTheme="minorBidi"/>
          <w:b/>
          <w:bCs/>
          <w:kern w:val="0"/>
          <w:lang w:eastAsia="en-US"/>
          <w14:ligatures w14:val="none"/>
        </w:rPr>
        <w:t xml:space="preserve">, </w:t>
      </w:r>
      <w:r w:rsidRPr="004B3F8F">
        <w:rPr>
          <w:rFonts w:asciiTheme="minorBidi" w:eastAsiaTheme="minorHAnsi" w:hAnsiTheme="minorBidi"/>
          <w:kern w:val="0"/>
          <w:lang w:eastAsia="en-US"/>
          <w14:ligatures w14:val="none"/>
        </w:rPr>
        <w:t>113</w:t>
      </w:r>
      <w:r w:rsidRPr="004B3F8F">
        <w:rPr>
          <w:rFonts w:asciiTheme="minorBidi" w:eastAsiaTheme="minorHAnsi" w:hAnsiTheme="minorBidi"/>
          <w:b/>
          <w:bCs/>
          <w:kern w:val="0"/>
          <w:lang w:eastAsia="en-US"/>
          <w14:ligatures w14:val="none"/>
        </w:rPr>
        <w:t>(</w:t>
      </w:r>
      <w:r w:rsidRPr="004B3F8F">
        <w:rPr>
          <w:rFonts w:asciiTheme="minorBidi" w:eastAsiaTheme="minorHAnsi" w:hAnsiTheme="minorBidi"/>
          <w:kern w:val="0"/>
          <w:lang w:eastAsia="en-US"/>
          <w14:ligatures w14:val="none"/>
        </w:rPr>
        <w:t xml:space="preserve">2), 329–342. </w:t>
      </w:r>
    </w:p>
    <w:p w14:paraId="2794727A" w14:textId="77777777" w:rsidR="004B3F8F" w:rsidRPr="004B3F8F" w:rsidRDefault="004B3F8F" w:rsidP="004B3F8F">
      <w:pPr>
        <w:spacing w:before="100" w:beforeAutospacing="1" w:after="100" w:afterAutospacing="1" w:line="480" w:lineRule="auto"/>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Jones, D. N., &amp; Paulhus, D. L. 2014. Introducing the Short Dark Triad (SD3): A brief measure of dark personality traits. </w:t>
      </w:r>
      <w:r w:rsidRPr="004B3F8F">
        <w:rPr>
          <w:rFonts w:asciiTheme="minorBidi" w:eastAsia="Times New Roman" w:hAnsiTheme="minorBidi"/>
          <w:i/>
          <w:iCs/>
          <w:kern w:val="0"/>
          <w14:ligatures w14:val="none"/>
        </w:rPr>
        <w:t>Assessment</w:t>
      </w:r>
      <w:r w:rsidRPr="004B3F8F">
        <w:rPr>
          <w:rFonts w:asciiTheme="minorBidi" w:eastAsia="Times New Roman" w:hAnsiTheme="minorBidi"/>
          <w:kern w:val="0"/>
          <w14:ligatures w14:val="none"/>
        </w:rPr>
        <w:t>, 21(1), 28-41.</w:t>
      </w:r>
    </w:p>
    <w:p w14:paraId="04F86EDE"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39" w:name="_Hlk42378233"/>
      <w:r w:rsidRPr="004B3F8F">
        <w:rPr>
          <w:rFonts w:ascii="Arial" w:eastAsiaTheme="minorHAnsi" w:hAnsi="Arial" w:cs="Arial"/>
          <w:kern w:val="0"/>
          <w:lang w:val="en-US" w:eastAsia="en-US"/>
          <w14:ligatures w14:val="none"/>
        </w:rPr>
        <w:t>Jones</w:t>
      </w:r>
      <w:bookmarkEnd w:id="939"/>
      <w:r w:rsidRPr="004B3F8F">
        <w:rPr>
          <w:rFonts w:ascii="Arial" w:eastAsiaTheme="minorHAnsi" w:hAnsi="Arial" w:cs="Arial"/>
          <w:kern w:val="0"/>
          <w:lang w:val="en-US" w:eastAsia="en-US"/>
          <w14:ligatures w14:val="none"/>
        </w:rPr>
        <w:t xml:space="preserve">, M. 2011. </w:t>
      </w:r>
      <w:r w:rsidRPr="004B3F8F">
        <w:rPr>
          <w:rFonts w:ascii="Arial" w:eastAsiaTheme="minorHAnsi" w:hAnsi="Arial" w:cs="Arial"/>
          <w:i/>
          <w:iCs/>
          <w:kern w:val="0"/>
          <w:lang w:val="en-US" w:eastAsia="en-US"/>
          <w14:ligatures w14:val="none"/>
        </w:rPr>
        <w:t>Creative Accounting, Fraud and International Accounting Scandals</w:t>
      </w:r>
      <w:r w:rsidRPr="004B3F8F">
        <w:rPr>
          <w:rFonts w:ascii="Arial" w:eastAsiaTheme="minorHAnsi" w:hAnsi="Arial" w:cs="Arial"/>
          <w:kern w:val="0"/>
          <w:lang w:val="en-US" w:eastAsia="en-US"/>
          <w14:ligatures w14:val="none"/>
        </w:rPr>
        <w:t>. England: Wiley.</w:t>
      </w:r>
    </w:p>
    <w:p w14:paraId="49C1E522" w14:textId="77777777" w:rsidR="004B3F8F" w:rsidRPr="004B3F8F" w:rsidRDefault="004B3F8F" w:rsidP="004B3F8F">
      <w:pPr>
        <w:spacing w:before="100" w:beforeAutospacing="1" w:after="100" w:afterAutospacing="1" w:line="480" w:lineRule="auto"/>
        <w:ind w:left="851" w:hanging="851"/>
        <w:jc w:val="both"/>
        <w:rPr>
          <w:rFonts w:ascii="Arial" w:eastAsia="Times New Roman" w:hAnsi="Arial" w:cs="Arial"/>
          <w:kern w:val="0"/>
          <w14:ligatures w14:val="none"/>
        </w:rPr>
      </w:pPr>
      <w:r w:rsidRPr="004B3F8F">
        <w:rPr>
          <w:rFonts w:ascii="Arial" w:eastAsia="Times New Roman" w:hAnsi="Arial" w:cs="Arial"/>
          <w:kern w:val="0"/>
          <w14:ligatures w14:val="none"/>
        </w:rPr>
        <w:t>Jones, T. M. 1991. Ethical decision making by individuals in organizations: An issue-contingent model. Academy of Management Review, 16(2), 366-395.</w:t>
      </w:r>
    </w:p>
    <w:p w14:paraId="2E8022D1" w14:textId="77777777" w:rsidR="004B3F8F" w:rsidRPr="004B3F8F" w:rsidRDefault="004B3F8F" w:rsidP="004B3F8F">
      <w:pPr>
        <w:spacing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lastRenderedPageBreak/>
        <w:t xml:space="preserve">Jonsdottir, E., &amp; Berg, M. 2022. Blockchain regulation: Balancing innovation and consumer protection. </w:t>
      </w:r>
      <w:r w:rsidRPr="004B3F8F">
        <w:rPr>
          <w:rFonts w:asciiTheme="minorBidi" w:eastAsia="Times New Roman" w:hAnsiTheme="minorBidi"/>
          <w:i/>
          <w:iCs/>
          <w:kern w:val="0"/>
          <w14:ligatures w14:val="none"/>
        </w:rPr>
        <w:t>Regulation &amp; Governance</w:t>
      </w:r>
      <w:r w:rsidRPr="004B3F8F">
        <w:rPr>
          <w:rFonts w:asciiTheme="minorBidi" w:eastAsia="Times New Roman" w:hAnsiTheme="minorBidi"/>
          <w:kern w:val="0"/>
          <w14:ligatures w14:val="none"/>
        </w:rPr>
        <w:t>, 16(2), 210-230.</w:t>
      </w:r>
    </w:p>
    <w:p w14:paraId="04C48120"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40" w:name="_Hlk42378247"/>
      <w:r w:rsidRPr="004B3F8F">
        <w:rPr>
          <w:rFonts w:ascii="Arial" w:eastAsiaTheme="minorHAnsi" w:hAnsi="Arial" w:cs="Arial"/>
          <w:kern w:val="0"/>
          <w:lang w:val="en-US" w:eastAsia="en-US"/>
          <w14:ligatures w14:val="none"/>
        </w:rPr>
        <w:t>Kalbers</w:t>
      </w:r>
      <w:bookmarkEnd w:id="940"/>
      <w:r w:rsidRPr="004B3F8F">
        <w:rPr>
          <w:rFonts w:ascii="Arial" w:eastAsiaTheme="minorHAnsi" w:hAnsi="Arial" w:cs="Arial"/>
          <w:kern w:val="0"/>
          <w:lang w:val="en-US" w:eastAsia="en-US"/>
          <w14:ligatures w14:val="none"/>
        </w:rPr>
        <w:t xml:space="preserve">, L.P. 2009. “Fraudulent Financial Reporting, Corporate Governance and Ethics: 1987-2007.” </w:t>
      </w:r>
      <w:r w:rsidRPr="004B3F8F">
        <w:rPr>
          <w:rFonts w:ascii="Arial" w:eastAsiaTheme="minorHAnsi" w:hAnsi="Arial" w:cs="Arial"/>
          <w:i/>
          <w:iCs/>
          <w:kern w:val="0"/>
          <w:lang w:val="en-US" w:eastAsia="en-US"/>
          <w14:ligatures w14:val="none"/>
        </w:rPr>
        <w:t>Review of Accounting and Finance</w:t>
      </w:r>
      <w:r w:rsidRPr="004B3F8F">
        <w:rPr>
          <w:rFonts w:ascii="Arial" w:eastAsiaTheme="minorHAnsi" w:hAnsi="Arial" w:cs="Arial"/>
          <w:kern w:val="0"/>
          <w:lang w:val="en-US" w:eastAsia="en-US"/>
          <w14:ligatures w14:val="none"/>
        </w:rPr>
        <w:t xml:space="preserve"> 8, no. 2, pp. 187-209.</w:t>
      </w:r>
    </w:p>
    <w:p w14:paraId="019A49E6"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41" w:name="_Hlk42378261"/>
      <w:r w:rsidRPr="004B3F8F">
        <w:rPr>
          <w:rFonts w:ascii="Arial" w:eastAsiaTheme="minorHAnsi" w:hAnsi="Arial" w:cs="Arial"/>
          <w:kern w:val="0"/>
          <w:lang w:val="en-US" w:eastAsia="en-US"/>
          <w14:ligatures w14:val="none"/>
        </w:rPr>
        <w:t>Kamel</w:t>
      </w:r>
      <w:bookmarkEnd w:id="941"/>
      <w:r w:rsidRPr="004B3F8F">
        <w:rPr>
          <w:rFonts w:ascii="Arial" w:eastAsiaTheme="minorHAnsi" w:hAnsi="Arial" w:cs="Arial"/>
          <w:kern w:val="0"/>
          <w:lang w:val="en-US" w:eastAsia="en-US"/>
          <w14:ligatures w14:val="none"/>
        </w:rPr>
        <w:t xml:space="preserve">, H., and S. </w:t>
      </w:r>
      <w:bookmarkStart w:id="942" w:name="_Hlk42378268"/>
      <w:r w:rsidRPr="004B3F8F">
        <w:rPr>
          <w:rFonts w:ascii="Arial" w:eastAsiaTheme="minorHAnsi" w:hAnsi="Arial" w:cs="Arial"/>
          <w:kern w:val="0"/>
          <w:lang w:val="en-US" w:eastAsia="en-US"/>
          <w14:ligatures w14:val="none"/>
        </w:rPr>
        <w:t>Elbanna</w:t>
      </w:r>
      <w:bookmarkEnd w:id="942"/>
      <w:r w:rsidRPr="004B3F8F">
        <w:rPr>
          <w:rFonts w:ascii="Arial" w:eastAsiaTheme="minorHAnsi" w:hAnsi="Arial" w:cs="Arial"/>
          <w:kern w:val="0"/>
          <w:lang w:val="en-US" w:eastAsia="en-US"/>
          <w14:ligatures w14:val="none"/>
        </w:rPr>
        <w:t xml:space="preserve">. 2010. “Assessing the Perceptions of the Quality of Reported Earnings in Egypt.” </w:t>
      </w:r>
      <w:r w:rsidRPr="004B3F8F">
        <w:rPr>
          <w:rFonts w:ascii="Arial" w:eastAsiaTheme="minorHAnsi" w:hAnsi="Arial" w:cs="Arial"/>
          <w:i/>
          <w:iCs/>
          <w:kern w:val="0"/>
          <w:lang w:val="en-US" w:eastAsia="en-US"/>
          <w14:ligatures w14:val="none"/>
        </w:rPr>
        <w:t>Managerial Auditing Journal</w:t>
      </w:r>
      <w:r w:rsidRPr="004B3F8F">
        <w:rPr>
          <w:rFonts w:ascii="Arial" w:eastAsiaTheme="minorHAnsi" w:hAnsi="Arial" w:cs="Arial"/>
          <w:kern w:val="0"/>
          <w:lang w:val="en-US" w:eastAsia="en-US"/>
          <w14:ligatures w14:val="none"/>
        </w:rPr>
        <w:t xml:space="preserve"> 25, no. 1, pp. 32-52.</w:t>
      </w:r>
    </w:p>
    <w:p w14:paraId="1711A28C"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43" w:name="_Hlk42378283"/>
      <w:r w:rsidRPr="004B3F8F">
        <w:rPr>
          <w:rFonts w:ascii="Arial" w:eastAsiaTheme="minorHAnsi" w:hAnsi="Arial" w:cs="Arial"/>
          <w:kern w:val="0"/>
          <w:lang w:val="en-US" w:eastAsia="en-US"/>
          <w14:ligatures w14:val="none"/>
        </w:rPr>
        <w:t>Kang</w:t>
      </w:r>
      <w:bookmarkEnd w:id="943"/>
      <w:r w:rsidRPr="004B3F8F">
        <w:rPr>
          <w:rFonts w:ascii="Arial" w:eastAsiaTheme="minorHAnsi" w:hAnsi="Arial" w:cs="Arial"/>
          <w:kern w:val="0"/>
          <w:lang w:val="en-US" w:eastAsia="en-US"/>
          <w14:ligatures w14:val="none"/>
        </w:rPr>
        <w:t xml:space="preserve">, Q., Q. Liu, and R. Qi. 2010. “The Sarbanes-Oxley Act and Corporate Investment: A Structural Assessment.” </w:t>
      </w:r>
      <w:r w:rsidRPr="004B3F8F">
        <w:rPr>
          <w:rFonts w:ascii="Arial" w:eastAsiaTheme="minorHAnsi" w:hAnsi="Arial" w:cs="Arial"/>
          <w:i/>
          <w:kern w:val="0"/>
          <w:lang w:val="en-US" w:eastAsia="en-US"/>
          <w14:ligatures w14:val="none"/>
        </w:rPr>
        <w:t>Journal of Financial Economics</w:t>
      </w:r>
      <w:r w:rsidRPr="004B3F8F">
        <w:rPr>
          <w:rFonts w:ascii="Arial" w:eastAsiaTheme="minorHAnsi" w:hAnsi="Arial" w:cs="Arial"/>
          <w:kern w:val="0"/>
          <w:lang w:val="en-US" w:eastAsia="en-US"/>
          <w14:ligatures w14:val="none"/>
        </w:rPr>
        <w:t xml:space="preserve"> 96, no. 2, pp. 291-305.</w:t>
      </w:r>
    </w:p>
    <w:p w14:paraId="1A958BDC"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44" w:name="_Hlk42378304"/>
      <w:r w:rsidRPr="004B3F8F">
        <w:rPr>
          <w:rFonts w:ascii="Arial" w:eastAsiaTheme="minorHAnsi" w:hAnsi="Arial" w:cs="Arial"/>
          <w:kern w:val="0"/>
          <w:lang w:val="en-US" w:eastAsia="en-US"/>
          <w14:ligatures w14:val="none"/>
        </w:rPr>
        <w:t>Kapardis</w:t>
      </w:r>
      <w:bookmarkEnd w:id="944"/>
      <w:r w:rsidRPr="004B3F8F">
        <w:rPr>
          <w:rFonts w:ascii="Arial" w:eastAsiaTheme="minorHAnsi" w:hAnsi="Arial" w:cs="Arial"/>
          <w:kern w:val="0"/>
          <w:lang w:val="en-US" w:eastAsia="en-US"/>
          <w14:ligatures w14:val="none"/>
        </w:rPr>
        <w:t xml:space="preserve">, M.K. 2002. “A Fraud Detection Model: A Must for Auditors.” </w:t>
      </w:r>
      <w:r w:rsidRPr="004B3F8F">
        <w:rPr>
          <w:rFonts w:ascii="Arial" w:eastAsiaTheme="minorHAnsi" w:hAnsi="Arial" w:cs="Arial"/>
          <w:i/>
          <w:iCs/>
          <w:kern w:val="0"/>
          <w:lang w:val="en-US" w:eastAsia="en-US"/>
          <w14:ligatures w14:val="none"/>
        </w:rPr>
        <w:t>Journal of Financial Regulation and Compliance</w:t>
      </w:r>
      <w:r w:rsidRPr="004B3F8F">
        <w:rPr>
          <w:rFonts w:ascii="Arial" w:eastAsiaTheme="minorHAnsi" w:hAnsi="Arial" w:cs="Arial"/>
          <w:kern w:val="0"/>
          <w:lang w:val="en-US" w:eastAsia="en-US"/>
          <w14:ligatures w14:val="none"/>
        </w:rPr>
        <w:t xml:space="preserve"> 10, no. 3, pp. 266-78.</w:t>
      </w:r>
    </w:p>
    <w:p w14:paraId="76234256"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45" w:name="_Hlk42378320"/>
      <w:r w:rsidRPr="004B3F8F">
        <w:rPr>
          <w:rFonts w:ascii="Arial" w:eastAsiaTheme="minorHAnsi" w:hAnsi="Arial" w:cs="Arial"/>
          <w:kern w:val="0"/>
          <w:lang w:val="en-US" w:eastAsia="en-US"/>
          <w14:ligatures w14:val="none"/>
        </w:rPr>
        <w:t>Kapardis</w:t>
      </w:r>
      <w:bookmarkEnd w:id="945"/>
      <w:r w:rsidRPr="004B3F8F">
        <w:rPr>
          <w:rFonts w:ascii="Arial" w:eastAsiaTheme="minorHAnsi" w:hAnsi="Arial" w:cs="Arial"/>
          <w:kern w:val="0"/>
          <w:lang w:val="en-US" w:eastAsia="en-US"/>
          <w14:ligatures w14:val="none"/>
        </w:rPr>
        <w:t xml:space="preserve">, M.K., C. Christodoulou, and M. Agathocleous. 2010. “Neural Networks: The Panacea in Fraud Detection?” </w:t>
      </w:r>
      <w:r w:rsidRPr="004B3F8F">
        <w:rPr>
          <w:rFonts w:ascii="Arial" w:eastAsiaTheme="minorHAnsi" w:hAnsi="Arial" w:cs="Arial"/>
          <w:i/>
          <w:iCs/>
          <w:kern w:val="0"/>
          <w:lang w:val="en-US" w:eastAsia="en-US"/>
          <w14:ligatures w14:val="none"/>
        </w:rPr>
        <w:t xml:space="preserve">Managerial Auditing Journal </w:t>
      </w:r>
      <w:r w:rsidRPr="004B3F8F">
        <w:rPr>
          <w:rFonts w:ascii="Arial" w:eastAsiaTheme="minorHAnsi" w:hAnsi="Arial" w:cs="Arial"/>
          <w:kern w:val="0"/>
          <w:lang w:val="en-US" w:eastAsia="en-US"/>
          <w14:ligatures w14:val="none"/>
        </w:rPr>
        <w:t>25, no. 7, pp. 659-78.</w:t>
      </w:r>
    </w:p>
    <w:p w14:paraId="41B4C368"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Kaplan, S. E., Pope, K. R., &amp; Samuels, J. A. 2012. An examination of the effect of CEO social influence pressure and CFO accounting experience on CFO financial reporting decisions. </w:t>
      </w:r>
      <w:r w:rsidRPr="004B3F8F">
        <w:rPr>
          <w:rFonts w:asciiTheme="minorBidi" w:eastAsia="Times New Roman" w:hAnsiTheme="minorBidi"/>
          <w:i/>
          <w:iCs/>
          <w:kern w:val="0"/>
          <w14:ligatures w14:val="none"/>
        </w:rPr>
        <w:t>Behavioral Research in Accounting</w:t>
      </w:r>
      <w:r w:rsidRPr="004B3F8F">
        <w:rPr>
          <w:rFonts w:asciiTheme="minorBidi" w:eastAsia="Times New Roman" w:hAnsiTheme="minorBidi"/>
          <w:kern w:val="0"/>
          <w14:ligatures w14:val="none"/>
        </w:rPr>
        <w:t>, 24(1), 69-89.</w:t>
      </w:r>
    </w:p>
    <w:p w14:paraId="4EB94D10"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Kaptein, M. 2011. “Understanding Unethical Behaviour by Unravelling Ethical Culture.” </w:t>
      </w:r>
      <w:r w:rsidRPr="004B3F8F">
        <w:rPr>
          <w:rFonts w:ascii="Arial" w:eastAsiaTheme="minorHAnsi" w:hAnsi="Arial" w:cs="Arial"/>
          <w:i/>
          <w:iCs/>
          <w:kern w:val="0"/>
          <w:lang w:val="en-US" w:eastAsia="en-US"/>
          <w14:ligatures w14:val="none"/>
        </w:rPr>
        <w:t>Human Relations</w:t>
      </w:r>
      <w:r w:rsidRPr="004B3F8F">
        <w:rPr>
          <w:rFonts w:ascii="Arial" w:eastAsiaTheme="minorHAnsi" w:hAnsi="Arial" w:cs="Arial"/>
          <w:kern w:val="0"/>
          <w:lang w:val="en-US" w:eastAsia="en-US"/>
          <w14:ligatures w14:val="none"/>
        </w:rPr>
        <w:t xml:space="preserve"> 64, no. 6, pp. 843-69.</w:t>
      </w:r>
    </w:p>
    <w:p w14:paraId="35CE4850"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46" w:name="_Hlk42378342"/>
      <w:r w:rsidRPr="004B3F8F">
        <w:rPr>
          <w:rFonts w:ascii="Arial" w:eastAsiaTheme="minorHAnsi" w:hAnsi="Arial" w:cs="Arial"/>
          <w:kern w:val="0"/>
          <w:lang w:val="en-US" w:eastAsia="en-US"/>
          <w14:ligatures w14:val="none"/>
        </w:rPr>
        <w:t>Kassem</w:t>
      </w:r>
      <w:bookmarkEnd w:id="946"/>
      <w:r w:rsidRPr="004B3F8F">
        <w:rPr>
          <w:rFonts w:ascii="Arial" w:eastAsiaTheme="minorHAnsi" w:hAnsi="Arial" w:cs="Arial"/>
          <w:kern w:val="0"/>
          <w:lang w:val="en-US" w:eastAsia="en-US"/>
          <w14:ligatures w14:val="none"/>
        </w:rPr>
        <w:t xml:space="preserve">, R. 2016. </w:t>
      </w:r>
      <w:r w:rsidRPr="004B3F8F">
        <w:rPr>
          <w:rFonts w:ascii="Arial" w:eastAsiaTheme="minorHAnsi" w:hAnsi="Arial" w:cs="Arial"/>
          <w:i/>
          <w:iCs/>
          <w:kern w:val="0"/>
          <w:lang w:val="en-US" w:eastAsia="en-US"/>
          <w14:ligatures w14:val="none"/>
        </w:rPr>
        <w:t xml:space="preserve">Detecting Financial Reporting Fraud: The Impact and Implications of Management Motivations for External Auditors – Evidence from the Egyptian </w:t>
      </w:r>
      <w:r w:rsidRPr="004B3F8F">
        <w:rPr>
          <w:rFonts w:ascii="Arial" w:eastAsiaTheme="minorHAnsi" w:hAnsi="Arial" w:cs="Arial"/>
          <w:i/>
          <w:iCs/>
          <w:kern w:val="0"/>
          <w:lang w:val="en-US" w:eastAsia="en-US"/>
          <w14:ligatures w14:val="none"/>
        </w:rPr>
        <w:lastRenderedPageBreak/>
        <w:t>Context</w:t>
      </w:r>
      <w:r w:rsidRPr="004B3F8F">
        <w:rPr>
          <w:rFonts w:ascii="Arial" w:eastAsiaTheme="minorHAnsi" w:hAnsi="Arial" w:cs="Arial"/>
          <w:kern w:val="0"/>
          <w:lang w:val="en-US" w:eastAsia="en-US"/>
          <w14:ligatures w14:val="none"/>
        </w:rPr>
        <w:t>. PhD Thesis. https://repository.lboro.ac.uk/articles/Detecting_financial_reporting_fraud_the_impact_and_implications_of_management_motivations_for_external_auditors_-_evidence_from_the_Egyptian_context/94960</w:t>
      </w:r>
    </w:p>
    <w:p w14:paraId="45B8F550"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Kassem, R., and A. Higson. 2012. “Financial Reporting Fraud: Are Standards’ Setters and Auditors Doing Enough?” </w:t>
      </w:r>
      <w:r w:rsidRPr="004B3F8F">
        <w:rPr>
          <w:rFonts w:ascii="Arial" w:eastAsiaTheme="minorHAnsi" w:hAnsi="Arial" w:cs="Arial"/>
          <w:i/>
          <w:iCs/>
          <w:kern w:val="0"/>
          <w:lang w:val="en-US" w:eastAsia="en-US"/>
          <w14:ligatures w14:val="none"/>
        </w:rPr>
        <w:t>International Journal of Business and Social Science</w:t>
      </w:r>
      <w:r w:rsidRPr="004B3F8F">
        <w:rPr>
          <w:rFonts w:ascii="Arial" w:eastAsiaTheme="minorHAnsi" w:hAnsi="Arial" w:cs="Arial"/>
          <w:kern w:val="0"/>
          <w:lang w:val="en-US" w:eastAsia="en-US"/>
          <w14:ligatures w14:val="none"/>
        </w:rPr>
        <w:t xml:space="preserve"> 3, no. 19, pp. 283-90.</w:t>
      </w:r>
    </w:p>
    <w:p w14:paraId="63A7C624"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47" w:name="_Hlk42378355"/>
      <w:r w:rsidRPr="004B3F8F">
        <w:rPr>
          <w:rFonts w:ascii="Arial" w:eastAsiaTheme="minorHAnsi" w:hAnsi="Arial" w:cs="Arial"/>
          <w:kern w:val="0"/>
          <w:lang w:val="en-US" w:eastAsia="en-US"/>
          <w14:ligatures w14:val="none"/>
        </w:rPr>
        <w:t>Kassem</w:t>
      </w:r>
      <w:bookmarkEnd w:id="947"/>
      <w:r w:rsidRPr="004B3F8F">
        <w:rPr>
          <w:rFonts w:ascii="Arial" w:eastAsiaTheme="minorHAnsi" w:hAnsi="Arial" w:cs="Arial"/>
          <w:kern w:val="0"/>
          <w:lang w:val="en-US" w:eastAsia="en-US"/>
          <w14:ligatures w14:val="none"/>
        </w:rPr>
        <w:t xml:space="preserve">, R., and A.W. </w:t>
      </w:r>
      <w:bookmarkStart w:id="948" w:name="_Hlk42378365"/>
      <w:r w:rsidRPr="004B3F8F">
        <w:rPr>
          <w:rFonts w:ascii="Arial" w:eastAsiaTheme="minorHAnsi" w:hAnsi="Arial" w:cs="Arial"/>
          <w:kern w:val="0"/>
          <w:lang w:val="en-US" w:eastAsia="en-US"/>
          <w14:ligatures w14:val="none"/>
        </w:rPr>
        <w:t>Higson</w:t>
      </w:r>
      <w:bookmarkEnd w:id="948"/>
      <w:r w:rsidRPr="004B3F8F">
        <w:rPr>
          <w:rFonts w:ascii="Arial" w:eastAsiaTheme="minorHAnsi" w:hAnsi="Arial" w:cs="Arial"/>
          <w:kern w:val="0"/>
          <w:lang w:val="en-US" w:eastAsia="en-US"/>
          <w14:ligatures w14:val="none"/>
        </w:rPr>
        <w:t xml:space="preserve">. 2016. “External Auditors and Corporate Corruption: Implications for Audit Regulators.” </w:t>
      </w:r>
      <w:r w:rsidRPr="004B3F8F">
        <w:rPr>
          <w:rFonts w:ascii="Arial" w:eastAsiaTheme="minorHAnsi" w:hAnsi="Arial" w:cs="Arial"/>
          <w:i/>
          <w:iCs/>
          <w:kern w:val="0"/>
          <w:lang w:val="en-US" w:eastAsia="en-US"/>
          <w14:ligatures w14:val="none"/>
        </w:rPr>
        <w:t>Current Issues in Auditing</w:t>
      </w:r>
      <w:r w:rsidRPr="004B3F8F">
        <w:rPr>
          <w:rFonts w:ascii="Arial" w:eastAsiaTheme="minorHAnsi" w:hAnsi="Arial" w:cs="Arial"/>
          <w:kern w:val="0"/>
          <w:lang w:val="en-US" w:eastAsia="en-US"/>
          <w14:ligatures w14:val="none"/>
        </w:rPr>
        <w:t xml:space="preserve">. </w:t>
      </w:r>
    </w:p>
    <w:p w14:paraId="3669493E" w14:textId="77777777" w:rsidR="004B3F8F" w:rsidRPr="004B3F8F" w:rsidRDefault="004B3F8F" w:rsidP="004B3F8F">
      <w:pPr>
        <w:spacing w:line="480" w:lineRule="auto"/>
        <w:ind w:left="851" w:hanging="851"/>
        <w:rPr>
          <w:rFonts w:ascii="Arial" w:hAnsi="Arial" w:cs="Arial"/>
          <w:color w:val="222222"/>
          <w:shd w:val="clear" w:color="auto" w:fill="FFFFFF"/>
        </w:rPr>
      </w:pPr>
      <w:r w:rsidRPr="004B3F8F">
        <w:rPr>
          <w:rFonts w:ascii="Arial" w:hAnsi="Arial" w:cs="Arial"/>
          <w:color w:val="222222"/>
          <w:shd w:val="clear" w:color="auto" w:fill="FFFFFF"/>
        </w:rPr>
        <w:t>Ketz, J.E., 2020. The myth of auditor independence. </w:t>
      </w:r>
      <w:r w:rsidRPr="004B3F8F">
        <w:rPr>
          <w:rFonts w:ascii="Arial" w:hAnsi="Arial" w:cs="Arial"/>
          <w:i/>
          <w:iCs/>
          <w:color w:val="222222"/>
          <w:shd w:val="clear" w:color="auto" w:fill="FFFFFF"/>
        </w:rPr>
        <w:t>The CPA Journal</w:t>
      </w:r>
      <w:r w:rsidRPr="004B3F8F">
        <w:rPr>
          <w:rFonts w:ascii="Arial" w:hAnsi="Arial" w:cs="Arial"/>
          <w:color w:val="222222"/>
          <w:shd w:val="clear" w:color="auto" w:fill="FFFFFF"/>
        </w:rPr>
        <w:t>, </w:t>
      </w:r>
      <w:r w:rsidRPr="004B3F8F">
        <w:rPr>
          <w:rFonts w:ascii="Arial" w:hAnsi="Arial" w:cs="Arial"/>
          <w:i/>
          <w:iCs/>
          <w:color w:val="222222"/>
          <w:shd w:val="clear" w:color="auto" w:fill="FFFFFF"/>
        </w:rPr>
        <w:t>90</w:t>
      </w:r>
      <w:r w:rsidRPr="004B3F8F">
        <w:rPr>
          <w:rFonts w:ascii="Arial" w:hAnsi="Arial" w:cs="Arial"/>
          <w:color w:val="222222"/>
          <w:shd w:val="clear" w:color="auto" w:fill="FFFFFF"/>
        </w:rPr>
        <w:t>(2), pp.6-9.</w:t>
      </w:r>
    </w:p>
    <w:p w14:paraId="002B9429"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49" w:name="_Hlk42378381"/>
      <w:r w:rsidRPr="004B3F8F">
        <w:rPr>
          <w:rFonts w:ascii="Arial" w:eastAsiaTheme="minorHAnsi" w:hAnsi="Arial" w:cs="Arial"/>
          <w:kern w:val="0"/>
          <w:lang w:val="en-US" w:eastAsia="en-US"/>
          <w14:ligatures w14:val="none"/>
        </w:rPr>
        <w:t>Keay</w:t>
      </w:r>
      <w:bookmarkEnd w:id="949"/>
      <w:r w:rsidRPr="004B3F8F">
        <w:rPr>
          <w:rFonts w:ascii="Arial" w:eastAsiaTheme="minorHAnsi" w:hAnsi="Arial" w:cs="Arial"/>
          <w:kern w:val="0"/>
          <w:lang w:val="en-US" w:eastAsia="en-US"/>
          <w14:ligatures w14:val="none"/>
        </w:rPr>
        <w:t xml:space="preserve">, J. 1992. </w:t>
      </w:r>
      <w:r w:rsidRPr="004B3F8F">
        <w:rPr>
          <w:rFonts w:ascii="Arial" w:eastAsiaTheme="minorHAnsi" w:hAnsi="Arial" w:cs="Arial"/>
          <w:i/>
          <w:iCs/>
          <w:kern w:val="0"/>
          <w:lang w:val="en-US" w:eastAsia="en-US"/>
          <w14:ligatures w14:val="none"/>
        </w:rPr>
        <w:t>The Honourable East India Company: A History of the English East India Company</w:t>
      </w:r>
      <w:r w:rsidRPr="004B3F8F">
        <w:rPr>
          <w:rFonts w:ascii="Arial" w:eastAsiaTheme="minorHAnsi" w:hAnsi="Arial" w:cs="Arial"/>
          <w:kern w:val="0"/>
          <w:lang w:val="en-US" w:eastAsia="en-US"/>
          <w14:ligatures w14:val="none"/>
        </w:rPr>
        <w:t>. London: HarperCollins.</w:t>
      </w:r>
    </w:p>
    <w:p w14:paraId="22DFAB0F"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t>Kelemen, M. and Rumens, N. 2008. An Introduction to Critical Management Research. London, Sage</w:t>
      </w:r>
    </w:p>
    <w:p w14:paraId="79B220D5"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Kirlappos, I., &amp; Sasse, M. A. 2012. Security education against phishing: A modest proposal for a major rethink. </w:t>
      </w:r>
      <w:r w:rsidRPr="004B3F8F">
        <w:rPr>
          <w:rFonts w:asciiTheme="minorBidi" w:eastAsia="Times New Roman" w:hAnsiTheme="minorBidi"/>
          <w:i/>
          <w:iCs/>
          <w:kern w:val="0"/>
          <w14:ligatures w14:val="none"/>
        </w:rPr>
        <w:t>IEEE Security &amp; Privacy</w:t>
      </w:r>
      <w:r w:rsidRPr="004B3F8F">
        <w:rPr>
          <w:rFonts w:asciiTheme="minorBidi" w:eastAsia="Times New Roman" w:hAnsiTheme="minorBidi"/>
          <w:kern w:val="0"/>
          <w14:ligatures w14:val="none"/>
        </w:rPr>
        <w:t>, 10(2), 24-32.</w:t>
      </w:r>
    </w:p>
    <w:p w14:paraId="41A2976C" w14:textId="77777777" w:rsidR="004B3F8F" w:rsidRPr="004B3F8F" w:rsidRDefault="004B3F8F" w:rsidP="004B3F8F">
      <w:pPr>
        <w:spacing w:after="0" w:line="480" w:lineRule="auto"/>
        <w:ind w:left="851" w:hanging="851"/>
        <w:contextualSpacing/>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Klotz, A. C., &amp; Neubaum, D. O. 2016. Research on the dark side of personality traits in entrepreneurship: Observations from an organizational behavior perspective. </w:t>
      </w:r>
      <w:r w:rsidRPr="004B3F8F">
        <w:rPr>
          <w:rFonts w:asciiTheme="minorBidi" w:eastAsia="Times New Roman" w:hAnsiTheme="minorBidi"/>
          <w:i/>
          <w:iCs/>
          <w:kern w:val="0"/>
          <w14:ligatures w14:val="none"/>
        </w:rPr>
        <w:t>Entrepreneurship Theory and Practice</w:t>
      </w:r>
      <w:r w:rsidRPr="004B3F8F">
        <w:rPr>
          <w:rFonts w:asciiTheme="minorBidi" w:eastAsia="Times New Roman" w:hAnsiTheme="minorBidi"/>
          <w:kern w:val="0"/>
          <w14:ligatures w14:val="none"/>
        </w:rPr>
        <w:t>, 40(1), 7-17.</w:t>
      </w:r>
    </w:p>
    <w:p w14:paraId="1597D072" w14:textId="77777777" w:rsidR="004B3F8F" w:rsidRPr="004B3F8F" w:rsidRDefault="004B3F8F" w:rsidP="004B3F8F">
      <w:pPr>
        <w:spacing w:after="0" w:line="480" w:lineRule="auto"/>
        <w:contextualSpacing/>
        <w:jc w:val="both"/>
        <w:rPr>
          <w:rFonts w:asciiTheme="minorBidi" w:eastAsia="Times New Roman" w:hAnsiTheme="minorBidi"/>
          <w:kern w:val="0"/>
          <w14:ligatures w14:val="none"/>
        </w:rPr>
      </w:pPr>
    </w:p>
    <w:p w14:paraId="7C246074"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bookmarkStart w:id="950" w:name="_Hlk42378396"/>
      <w:r w:rsidRPr="004B3F8F">
        <w:rPr>
          <w:rFonts w:ascii="Arial" w:eastAsiaTheme="minorHAnsi" w:hAnsi="Arial" w:cs="Arial"/>
          <w:kern w:val="0"/>
          <w:lang w:val="en-US" w:eastAsia="en-US"/>
          <w14:ligatures w14:val="none"/>
        </w:rPr>
        <w:t>Kohlbeck</w:t>
      </w:r>
      <w:bookmarkEnd w:id="950"/>
      <w:r w:rsidRPr="004B3F8F">
        <w:rPr>
          <w:rFonts w:ascii="Arial" w:eastAsiaTheme="minorHAnsi" w:hAnsi="Arial" w:cs="Arial"/>
          <w:kern w:val="0"/>
          <w:lang w:val="en-US" w:eastAsia="en-US"/>
          <w14:ligatures w14:val="none"/>
        </w:rPr>
        <w:t xml:space="preserve">, M., and B. </w:t>
      </w:r>
      <w:bookmarkStart w:id="951" w:name="_Hlk42378404"/>
      <w:r w:rsidRPr="004B3F8F">
        <w:rPr>
          <w:rFonts w:ascii="Arial" w:eastAsiaTheme="minorHAnsi" w:hAnsi="Arial" w:cs="Arial"/>
          <w:kern w:val="0"/>
          <w:lang w:val="en-US" w:eastAsia="en-US"/>
          <w14:ligatures w14:val="none"/>
        </w:rPr>
        <w:t>Mayhew. 2004</w:t>
      </w:r>
      <w:bookmarkEnd w:id="951"/>
      <w:r w:rsidRPr="004B3F8F">
        <w:rPr>
          <w:rFonts w:ascii="Arial" w:eastAsiaTheme="minorHAnsi" w:hAnsi="Arial" w:cs="Arial"/>
          <w:kern w:val="0"/>
          <w:lang w:val="en-US" w:eastAsia="en-US"/>
          <w14:ligatures w14:val="none"/>
        </w:rPr>
        <w:t>. “Related Party Transactions</w:t>
      </w:r>
      <w:r w:rsidRPr="004B3F8F">
        <w:rPr>
          <w:rFonts w:ascii="Arial" w:eastAsiaTheme="minorHAnsi" w:hAnsi="Arial" w:cs="Arial"/>
          <w:i/>
          <w:iCs/>
          <w:kern w:val="0"/>
          <w:lang w:val="en-US" w:eastAsia="en-US"/>
          <w14:ligatures w14:val="none"/>
        </w:rPr>
        <w:t>.</w:t>
      </w:r>
      <w:r w:rsidRPr="004B3F8F">
        <w:rPr>
          <w:rFonts w:ascii="Arial" w:eastAsiaTheme="minorHAnsi" w:hAnsi="Arial" w:cs="Arial"/>
          <w:kern w:val="0"/>
          <w:lang w:val="en-US" w:eastAsia="en-US"/>
          <w14:ligatures w14:val="none"/>
        </w:rPr>
        <w:t>” http//:</w:t>
      </w:r>
      <w:hyperlink r:id="rId98" w:history="1">
        <w:r w:rsidRPr="004B3F8F">
          <w:rPr>
            <w:rFonts w:ascii="Arial" w:eastAsiaTheme="minorHAnsi" w:hAnsi="Arial" w:cs="Arial"/>
            <w:kern w:val="0"/>
            <w:lang w:val="en-US" w:eastAsia="en-US"/>
            <w14:ligatures w14:val="none"/>
          </w:rPr>
          <w:t>www.ssrn.com</w:t>
        </w:r>
      </w:hyperlink>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shd w:val="clear" w:color="auto" w:fill="FFFFFF"/>
          <w:lang w:val="en-US" w:eastAsia="en-US"/>
          <w14:ligatures w14:val="none"/>
        </w:rPr>
        <w:t>(accessed January 1, 2019).</w:t>
      </w:r>
    </w:p>
    <w:p w14:paraId="1A954771"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lastRenderedPageBreak/>
        <w:t xml:space="preserve">Kokina, J., Mancha, R., &amp; Pachamanova, D. 2017. </w:t>
      </w:r>
      <w:r w:rsidRPr="004B3F8F">
        <w:rPr>
          <w:rFonts w:ascii="Arial" w:eastAsiaTheme="minorHAnsi" w:hAnsi="Arial" w:cs="Arial"/>
          <w:i/>
          <w:iCs/>
          <w:kern w:val="0"/>
          <w:lang w:eastAsia="en-US"/>
          <w14:ligatures w14:val="none"/>
        </w:rPr>
        <w:t>‘’Blockchain: Emergent industry adoption and implications for accounting’</w:t>
      </w:r>
      <w:r w:rsidRPr="004B3F8F">
        <w:rPr>
          <w:rFonts w:ascii="Arial" w:eastAsiaTheme="minorHAnsi" w:hAnsi="Arial" w:cs="Arial"/>
          <w:kern w:val="0"/>
          <w:lang w:eastAsia="en-US"/>
          <w14:ligatures w14:val="none"/>
        </w:rPr>
        <w:t>’, Journal of Emerging Technologies in Accounting, 14(2), Pp. 91-100</w:t>
      </w:r>
    </w:p>
    <w:p w14:paraId="6BE272EB"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König, A., &amp; Steinmetz, H. 2020. "Ethical Leadership and Human Resource Practices as Predictors of Employee Organizational Commitment: A Study Across Sectors." </w:t>
      </w:r>
      <w:r w:rsidRPr="004B3F8F">
        <w:rPr>
          <w:rFonts w:asciiTheme="minorBidi" w:eastAsia="Times New Roman" w:hAnsiTheme="minorBidi"/>
          <w:i/>
          <w:iCs/>
          <w:kern w:val="0"/>
          <w14:ligatures w14:val="none"/>
        </w:rPr>
        <w:t>Journal of Business Ethics</w:t>
      </w:r>
      <w:r w:rsidRPr="004B3F8F">
        <w:rPr>
          <w:rFonts w:asciiTheme="minorBidi" w:eastAsia="Times New Roman" w:hAnsiTheme="minorBidi"/>
          <w:kern w:val="0"/>
          <w14:ligatures w14:val="none"/>
        </w:rPr>
        <w:t>, 162(3), 689-706.</w:t>
      </w:r>
    </w:p>
    <w:p w14:paraId="695F9C67"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bookmarkStart w:id="952" w:name="_Hlk42378419"/>
      <w:r w:rsidRPr="004B3F8F">
        <w:rPr>
          <w:rFonts w:ascii="Arial" w:eastAsiaTheme="minorHAnsi" w:hAnsi="Arial" w:cs="Arial"/>
          <w:kern w:val="0"/>
          <w:shd w:val="clear" w:color="auto" w:fill="FFFFFF"/>
          <w:lang w:val="en-US" w:eastAsia="en-US"/>
          <w14:ligatures w14:val="none"/>
        </w:rPr>
        <w:t>Koshy</w:t>
      </w:r>
      <w:bookmarkEnd w:id="952"/>
      <w:r w:rsidRPr="004B3F8F">
        <w:rPr>
          <w:rFonts w:ascii="Arial" w:eastAsiaTheme="minorHAnsi" w:hAnsi="Arial" w:cs="Arial"/>
          <w:kern w:val="0"/>
          <w:shd w:val="clear" w:color="auto" w:fill="FFFFFF"/>
          <w:lang w:val="en-US" w:eastAsia="en-US"/>
          <w14:ligatures w14:val="none"/>
        </w:rPr>
        <w:t xml:space="preserve">, P., D. Koshy, and P. McDaniel. 2014. “An Analysis of Anonymity in Bitcoin Using P2P Network Traffic.” In </w:t>
      </w:r>
      <w:r w:rsidRPr="004B3F8F">
        <w:rPr>
          <w:rFonts w:ascii="Arial" w:eastAsiaTheme="minorHAnsi" w:hAnsi="Arial" w:cs="Arial"/>
          <w:i/>
          <w:kern w:val="0"/>
          <w:shd w:val="clear" w:color="auto" w:fill="FFFFFF"/>
          <w:lang w:val="en-US" w:eastAsia="en-US"/>
          <w14:ligatures w14:val="none"/>
        </w:rPr>
        <w:t xml:space="preserve">Financial Cryptography and Data Security, </w:t>
      </w:r>
      <w:r w:rsidRPr="004B3F8F">
        <w:rPr>
          <w:rFonts w:ascii="Arial" w:eastAsiaTheme="minorHAnsi" w:hAnsi="Arial" w:cs="Arial"/>
          <w:kern w:val="0"/>
          <w:shd w:val="clear" w:color="auto" w:fill="FFFFFF"/>
          <w:lang w:val="en-US" w:eastAsia="en-US"/>
          <w14:ligatures w14:val="none"/>
        </w:rPr>
        <w:t>ed. N. Christin and R. Safavi-Naini. Vol. 8437. Lecture Notes in Computer Science</w:t>
      </w:r>
      <w:r w:rsidRPr="004B3F8F">
        <w:rPr>
          <w:rFonts w:ascii="Arial" w:eastAsiaTheme="minorHAnsi" w:hAnsi="Arial" w:cs="Arial"/>
          <w:i/>
          <w:kern w:val="0"/>
          <w:shd w:val="clear" w:color="auto" w:fill="FFFFFF"/>
          <w:lang w:val="en-US" w:eastAsia="en-US"/>
          <w14:ligatures w14:val="none"/>
        </w:rPr>
        <w:t>.</w:t>
      </w:r>
      <w:r w:rsidRPr="004B3F8F">
        <w:rPr>
          <w:rFonts w:ascii="Arial" w:eastAsiaTheme="minorHAnsi" w:hAnsi="Arial" w:cs="Arial"/>
          <w:kern w:val="0"/>
          <w:shd w:val="clear" w:color="auto" w:fill="FFFFFF"/>
          <w:lang w:val="en-US" w:eastAsia="en-US"/>
          <w14:ligatures w14:val="none"/>
        </w:rPr>
        <w:t xml:space="preserve"> Heidelberg: Springer Berlin.</w:t>
      </w:r>
    </w:p>
    <w:p w14:paraId="13FFFF27"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r w:rsidRPr="004B3F8F">
        <w:rPr>
          <w:rFonts w:asciiTheme="minorBidi" w:eastAsia="Times New Roman" w:hAnsiTheme="minorBidi"/>
          <w:kern w:val="0"/>
          <w:lang w:eastAsia="en-US"/>
          <w14:ligatures w14:val="none"/>
        </w:rPr>
        <w:t>Kowalski, C. M., &amp; Twardowska, M. 2022. "Corporate Psychopathy and Its Impact on Workplace Bullying and Employee Well-being."</w:t>
      </w:r>
    </w:p>
    <w:p w14:paraId="5EEC2593"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53" w:name="_Hlk42378447"/>
      <w:r w:rsidRPr="004B3F8F">
        <w:rPr>
          <w:rFonts w:ascii="Arial" w:eastAsiaTheme="minorHAnsi" w:hAnsi="Arial" w:cs="Arial"/>
          <w:kern w:val="0"/>
          <w:lang w:val="en-US" w:eastAsia="en-US"/>
          <w14:ligatures w14:val="none"/>
        </w:rPr>
        <w:t>KPMG Forensic</w:t>
      </w:r>
      <w:bookmarkEnd w:id="953"/>
      <w:r w:rsidRPr="004B3F8F">
        <w:rPr>
          <w:rFonts w:ascii="Arial" w:eastAsiaTheme="minorHAnsi" w:hAnsi="Arial" w:cs="Arial"/>
          <w:kern w:val="0"/>
          <w:lang w:val="en-US" w:eastAsia="en-US"/>
          <w14:ligatures w14:val="none"/>
        </w:rPr>
        <w:t xml:space="preserve">. 2014. </w:t>
      </w:r>
      <w:r w:rsidRPr="004B3F8F">
        <w:rPr>
          <w:rFonts w:ascii="Arial" w:eastAsiaTheme="minorHAnsi" w:hAnsi="Arial" w:cs="Arial"/>
          <w:i/>
          <w:iCs/>
          <w:kern w:val="0"/>
          <w:lang w:val="en-US" w:eastAsia="en-US"/>
          <w14:ligatures w14:val="none"/>
        </w:rPr>
        <w:t>Fraud Risk Management: Developing a Strategy for Prevention, Detection, and Response.</w:t>
      </w:r>
      <w:r w:rsidRPr="004B3F8F">
        <w:rPr>
          <w:rFonts w:ascii="Arial" w:eastAsiaTheme="minorHAnsi" w:hAnsi="Arial" w:cs="Arial"/>
          <w:kern w:val="0"/>
          <w:lang w:val="en-US" w:eastAsia="en-US"/>
          <w14:ligatures w14:val="none"/>
        </w:rPr>
        <w:t xml:space="preserve"> Australia: KPMG.</w:t>
      </w:r>
    </w:p>
    <w:p w14:paraId="246A7144"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54" w:name="_Hlk42378459"/>
      <w:r w:rsidRPr="004B3F8F">
        <w:rPr>
          <w:rFonts w:ascii="Arial" w:eastAsiaTheme="minorHAnsi" w:hAnsi="Arial" w:cs="Arial"/>
          <w:kern w:val="0"/>
          <w:lang w:val="en-US" w:eastAsia="en-US"/>
          <w14:ligatures w14:val="none"/>
        </w:rPr>
        <w:t>KPMG</w:t>
      </w:r>
      <w:bookmarkEnd w:id="954"/>
      <w:r w:rsidRPr="004B3F8F">
        <w:rPr>
          <w:rFonts w:ascii="Arial" w:eastAsiaTheme="minorHAnsi" w:hAnsi="Arial" w:cs="Arial"/>
          <w:kern w:val="0"/>
          <w:lang w:val="en-US" w:eastAsia="en-US"/>
          <w14:ligatures w14:val="none"/>
        </w:rPr>
        <w:t xml:space="preserve">. 2006. </w:t>
      </w:r>
      <w:r w:rsidRPr="004B3F8F">
        <w:rPr>
          <w:rFonts w:ascii="Arial" w:eastAsiaTheme="minorHAnsi" w:hAnsi="Arial" w:cs="Arial"/>
          <w:i/>
          <w:iCs/>
          <w:kern w:val="0"/>
          <w:lang w:val="en-US" w:eastAsia="en-US"/>
          <w14:ligatures w14:val="none"/>
        </w:rPr>
        <w:t>Fraud Survey 2006.</w:t>
      </w:r>
      <w:r w:rsidRPr="004B3F8F">
        <w:rPr>
          <w:rFonts w:ascii="Arial" w:eastAsiaTheme="minorHAnsi" w:hAnsi="Arial" w:cs="Arial"/>
          <w:kern w:val="0"/>
          <w:lang w:val="en-US" w:eastAsia="en-US"/>
          <w14:ligatures w14:val="none"/>
        </w:rPr>
        <w:t xml:space="preserve"> Australia: KPMG Forensic.</w:t>
      </w:r>
    </w:p>
    <w:p w14:paraId="2287F0A8"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r w:rsidRPr="004B3F8F">
        <w:rPr>
          <w:rFonts w:ascii="Arial" w:eastAsiaTheme="minorHAnsi" w:hAnsi="Arial" w:cs="Arial"/>
          <w:kern w:val="0"/>
          <w:lang w:val="en-US" w:eastAsia="en-US"/>
          <w14:ligatures w14:val="none"/>
        </w:rPr>
        <w:t xml:space="preserve">KPMG. 2016a. </w:t>
      </w:r>
      <w:r w:rsidRPr="004B3F8F">
        <w:rPr>
          <w:rFonts w:ascii="Arial" w:eastAsiaTheme="minorHAnsi" w:hAnsi="Arial" w:cs="Arial"/>
          <w:i/>
          <w:iCs/>
          <w:kern w:val="0"/>
          <w:lang w:val="en-US" w:eastAsia="en-US"/>
          <w14:ligatures w14:val="none"/>
        </w:rPr>
        <w:t>Fraud and Misconduct: The Changing Landscape</w:t>
      </w:r>
      <w:r w:rsidRPr="004B3F8F">
        <w:rPr>
          <w:rFonts w:ascii="Arial" w:eastAsiaTheme="minorHAnsi" w:hAnsi="Arial" w:cs="Arial"/>
          <w:kern w:val="0"/>
          <w:lang w:val="en-US" w:eastAsia="en-US"/>
          <w14:ligatures w14:val="none"/>
        </w:rPr>
        <w:t xml:space="preserve">. Australia: </w:t>
      </w:r>
      <w:r w:rsidRPr="004B3F8F">
        <w:rPr>
          <w:rFonts w:ascii="Arial" w:eastAsiaTheme="minorHAnsi" w:hAnsi="Arial" w:cs="Arial"/>
          <w:kern w:val="0"/>
          <w:shd w:val="clear" w:color="auto" w:fill="FFFFFF"/>
          <w:lang w:val="en-US" w:eastAsia="en-US"/>
          <w14:ligatures w14:val="none"/>
        </w:rPr>
        <w:t>KPMG.</w:t>
      </w:r>
    </w:p>
    <w:p w14:paraId="5428244A"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KPMG. 2016b. </w:t>
      </w:r>
      <w:r w:rsidRPr="004B3F8F">
        <w:rPr>
          <w:rFonts w:ascii="Arial" w:eastAsiaTheme="minorHAnsi" w:hAnsi="Arial" w:cs="Arial"/>
          <w:i/>
          <w:kern w:val="0"/>
          <w:lang w:val="en-US" w:eastAsia="en-US"/>
          <w14:ligatures w14:val="none"/>
        </w:rPr>
        <w:t>Consensus, Immutable Agreement for the Internet of Value</w:t>
      </w:r>
      <w:r w:rsidRPr="004B3F8F">
        <w:rPr>
          <w:rFonts w:ascii="Arial" w:eastAsiaTheme="minorHAnsi" w:hAnsi="Arial" w:cs="Arial"/>
          <w:kern w:val="0"/>
          <w:lang w:val="en-US" w:eastAsia="en-US"/>
          <w14:ligatures w14:val="none"/>
        </w:rPr>
        <w:t>. Australia: KPMG.</w:t>
      </w:r>
    </w:p>
    <w:p w14:paraId="2304FAC2"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KPMG. 2016c. </w:t>
      </w:r>
      <w:r w:rsidRPr="004B3F8F">
        <w:rPr>
          <w:rFonts w:ascii="Arial" w:eastAsiaTheme="minorHAnsi" w:hAnsi="Arial" w:cs="Arial"/>
          <w:i/>
          <w:kern w:val="0"/>
          <w:lang w:val="en-US" w:eastAsia="en-US"/>
          <w14:ligatures w14:val="none"/>
        </w:rPr>
        <w:t>Leveraging Data Analytics and Continuous Auditing Processes for Improved Audit Planning, Effectiveness, and Efficiency</w:t>
      </w:r>
      <w:r w:rsidRPr="004B3F8F">
        <w:rPr>
          <w:rFonts w:ascii="Arial" w:eastAsiaTheme="minorHAnsi" w:hAnsi="Arial" w:cs="Arial"/>
          <w:kern w:val="0"/>
          <w:lang w:val="en-US" w:eastAsia="en-US"/>
          <w14:ligatures w14:val="none"/>
        </w:rPr>
        <w:t>. Australia: KPMG.</w:t>
      </w:r>
    </w:p>
    <w:p w14:paraId="1114B015"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KPMG. 2017a. </w:t>
      </w:r>
      <w:r w:rsidRPr="004B3F8F">
        <w:rPr>
          <w:rFonts w:ascii="Arial" w:eastAsiaTheme="minorHAnsi" w:hAnsi="Arial" w:cs="Arial"/>
          <w:i/>
          <w:kern w:val="0"/>
          <w:lang w:val="en-US" w:eastAsia="en-US"/>
          <w14:ligatures w14:val="none"/>
        </w:rPr>
        <w:t>Audit 2025, The Future Is Now</w:t>
      </w:r>
      <w:r w:rsidRPr="004B3F8F">
        <w:rPr>
          <w:rFonts w:ascii="Arial" w:eastAsiaTheme="minorHAnsi" w:hAnsi="Arial" w:cs="Arial"/>
          <w:kern w:val="0"/>
          <w:lang w:val="en-US" w:eastAsia="en-US"/>
          <w14:ligatures w14:val="none"/>
        </w:rPr>
        <w:t>. Forbes Insights (March). Australia: KPMG.</w:t>
      </w:r>
    </w:p>
    <w:p w14:paraId="61B3D3AB" w14:textId="77777777" w:rsidR="004B3F8F" w:rsidRPr="00DE3122" w:rsidRDefault="004B3F8F" w:rsidP="004B3F8F">
      <w:pPr>
        <w:spacing w:after="200" w:line="480" w:lineRule="auto"/>
        <w:ind w:left="785" w:hangingChars="327" w:hanging="785"/>
        <w:jc w:val="both"/>
        <w:rPr>
          <w:rFonts w:ascii="Arial" w:eastAsiaTheme="minorHAnsi" w:hAnsi="Arial" w:cs="Arial"/>
          <w:kern w:val="0"/>
          <w:lang w:eastAsia="en-US"/>
          <w14:ligatures w14:val="none"/>
        </w:rPr>
      </w:pPr>
      <w:r w:rsidRPr="004B3F8F">
        <w:rPr>
          <w:rFonts w:ascii="Arial" w:eastAsiaTheme="minorHAnsi" w:hAnsi="Arial" w:cs="Arial"/>
          <w:kern w:val="0"/>
          <w:lang w:val="en-US" w:eastAsia="en-US"/>
          <w14:ligatures w14:val="none"/>
        </w:rPr>
        <w:lastRenderedPageBreak/>
        <w:t xml:space="preserve">KPMG. 2017b. </w:t>
      </w:r>
      <w:r w:rsidRPr="00DE3122">
        <w:rPr>
          <w:rFonts w:ascii="Arial" w:eastAsiaTheme="minorHAnsi" w:hAnsi="Arial" w:cs="Arial"/>
          <w:i/>
          <w:kern w:val="0"/>
          <w:lang w:eastAsia="en-US"/>
          <w14:ligatures w14:val="none"/>
        </w:rPr>
        <w:t>KPMG Fraud Barometer 2017</w:t>
      </w:r>
      <w:r w:rsidRPr="00DE3122">
        <w:rPr>
          <w:rFonts w:ascii="Arial" w:eastAsiaTheme="minorHAnsi" w:hAnsi="Arial" w:cs="Arial"/>
          <w:kern w:val="0"/>
          <w:lang w:eastAsia="en-US"/>
          <w14:ligatures w14:val="none"/>
        </w:rPr>
        <w:t>. Australia: KPMG.</w:t>
      </w:r>
    </w:p>
    <w:p w14:paraId="4ACC303F" w14:textId="652AE243" w:rsidR="004B3F8F" w:rsidRPr="004B3F8F" w:rsidRDefault="004B3F8F" w:rsidP="004B3F8F">
      <w:pPr>
        <w:spacing w:after="0" w:line="360" w:lineRule="auto"/>
        <w:ind w:left="993" w:hanging="993"/>
        <w:jc w:val="both"/>
        <w:rPr>
          <w:rFonts w:ascii="Arial" w:eastAsiaTheme="minorHAnsi" w:hAnsi="Arial" w:cs="Arial"/>
          <w:i/>
          <w:iCs/>
          <w:kern w:val="0"/>
          <w:lang w:eastAsia="en-US"/>
          <w14:ligatures w14:val="none"/>
        </w:rPr>
      </w:pPr>
      <w:r w:rsidRPr="00DE3122">
        <w:rPr>
          <w:rFonts w:ascii="Arial" w:eastAsiaTheme="minorHAnsi" w:hAnsi="Arial" w:cs="Arial"/>
          <w:kern w:val="0"/>
          <w:lang w:eastAsia="en-US"/>
          <w14:ligatures w14:val="none"/>
        </w:rPr>
        <w:t xml:space="preserve">KPMG. 2018a. </w:t>
      </w:r>
      <w:r w:rsidRPr="004B3F8F">
        <w:rPr>
          <w:rFonts w:ascii="Arial" w:eastAsiaTheme="minorHAnsi" w:hAnsi="Arial" w:cs="Arial"/>
          <w:kern w:val="0"/>
          <w:lang w:eastAsia="en-US"/>
          <w14:ligatures w14:val="none"/>
        </w:rPr>
        <w:t xml:space="preserve">Audit point of view the blockchain shift will be seismic. </w:t>
      </w:r>
      <w:hyperlink r:id="rId99" w:history="1">
        <w:r w:rsidRPr="004B3F8F">
          <w:rPr>
            <w:rFonts w:ascii="Arial" w:eastAsiaTheme="minorHAnsi" w:hAnsi="Arial" w:cs="Arial"/>
            <w:kern w:val="0"/>
            <w:lang w:eastAsia="en-US"/>
            <w14:ligatures w14:val="none"/>
          </w:rPr>
          <w:t>https://assets.kpmg/content/dam/kpmg/ca/pdf/2018/02/apov-blockchain-feb-2018.pdf</w:t>
        </w:r>
      </w:hyperlink>
      <w:r w:rsidRPr="004B3F8F">
        <w:rPr>
          <w:rFonts w:ascii="Arial" w:eastAsiaTheme="minorHAnsi" w:hAnsi="Arial" w:cs="Arial"/>
          <w:kern w:val="0"/>
          <w:lang w:eastAsia="en-US"/>
          <w14:ligatures w14:val="none"/>
        </w:rPr>
        <w:t xml:space="preserve">  </w:t>
      </w:r>
      <w:r w:rsidRPr="004B3F8F">
        <w:rPr>
          <w:rFonts w:ascii="Arial" w:eastAsiaTheme="minorHAnsi" w:hAnsi="Arial" w:cs="Arial"/>
          <w:i/>
          <w:iCs/>
          <w:kern w:val="0"/>
          <w:lang w:eastAsia="en-US"/>
          <w14:ligatures w14:val="none"/>
        </w:rPr>
        <w:t xml:space="preserve">(accessed </w:t>
      </w:r>
      <w:r w:rsidR="005669C8" w:rsidRPr="004B3F8F">
        <w:rPr>
          <w:rFonts w:ascii="Arial" w:eastAsiaTheme="minorHAnsi" w:hAnsi="Arial" w:cs="Arial"/>
          <w:i/>
          <w:iCs/>
          <w:kern w:val="0"/>
          <w:lang w:eastAsia="en-US"/>
          <w14:ligatures w14:val="none"/>
        </w:rPr>
        <w:t>March</w:t>
      </w:r>
      <w:r w:rsidRPr="004B3F8F">
        <w:rPr>
          <w:rFonts w:ascii="Arial" w:eastAsiaTheme="minorHAnsi" w:hAnsi="Arial" w:cs="Arial"/>
          <w:i/>
          <w:iCs/>
          <w:kern w:val="0"/>
          <w:lang w:eastAsia="en-US"/>
          <w14:ligatures w14:val="none"/>
        </w:rPr>
        <w:t xml:space="preserve"> 2021)</w:t>
      </w:r>
    </w:p>
    <w:p w14:paraId="1663B4A9" w14:textId="77777777" w:rsidR="004B3F8F" w:rsidRPr="004B3F8F" w:rsidRDefault="004B3F8F" w:rsidP="004B3F8F">
      <w:pPr>
        <w:spacing w:after="0" w:line="360" w:lineRule="auto"/>
        <w:ind w:left="993" w:hanging="993"/>
        <w:jc w:val="both"/>
        <w:rPr>
          <w:rFonts w:ascii="Arial" w:eastAsiaTheme="minorHAnsi" w:hAnsi="Arial" w:cs="Arial"/>
          <w:i/>
          <w:iCs/>
          <w:kern w:val="0"/>
          <w:lang w:eastAsia="en-US"/>
          <w14:ligatures w14:val="none"/>
        </w:rPr>
      </w:pPr>
    </w:p>
    <w:p w14:paraId="0A166DB9" w14:textId="77777777" w:rsidR="004B3F8F" w:rsidRPr="004B3F8F" w:rsidRDefault="004B3F8F" w:rsidP="004B3F8F">
      <w:pPr>
        <w:spacing w:after="0" w:line="360" w:lineRule="auto"/>
        <w:ind w:left="993" w:hanging="993"/>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t xml:space="preserve">KPMG. 2018b. Blockchain and the future of finance. </w:t>
      </w:r>
      <w:hyperlink r:id="rId100" w:history="1">
        <w:r w:rsidRPr="004B3F8F">
          <w:rPr>
            <w:rFonts w:ascii="Arial" w:eastAsiaTheme="minorHAnsi" w:hAnsi="Arial" w:cs="Arial"/>
            <w:kern w:val="0"/>
            <w:lang w:eastAsia="en-US"/>
            <w14:ligatures w14:val="none"/>
          </w:rPr>
          <w:t>https://advisory.kpmg.us/content/dam/advisory/en/pdfs/blockchain-future-finance.pdf</w:t>
        </w:r>
      </w:hyperlink>
      <w:r w:rsidRPr="004B3F8F">
        <w:rPr>
          <w:rFonts w:ascii="Arial" w:eastAsiaTheme="minorHAnsi" w:hAnsi="Arial" w:cs="Arial"/>
          <w:kern w:val="0"/>
          <w:lang w:eastAsia="en-US"/>
          <w14:ligatures w14:val="none"/>
        </w:rPr>
        <w:t xml:space="preserve"> </w:t>
      </w:r>
      <w:r w:rsidRPr="004B3F8F">
        <w:rPr>
          <w:rFonts w:ascii="Arial" w:eastAsiaTheme="minorHAnsi" w:hAnsi="Arial" w:cs="Arial"/>
          <w:i/>
          <w:iCs/>
          <w:kern w:val="0"/>
          <w:lang w:eastAsia="en-US"/>
          <w14:ligatures w14:val="none"/>
        </w:rPr>
        <w:t>(accessed March, 2021)</w:t>
      </w:r>
    </w:p>
    <w:p w14:paraId="197BF9C6" w14:textId="76DBDF59" w:rsidR="004B3F8F" w:rsidRPr="004B3F8F" w:rsidRDefault="004B3F8F" w:rsidP="004B3F8F">
      <w:pPr>
        <w:spacing w:before="100" w:beforeAutospacing="1" w:after="100" w:afterAutospacing="1" w:line="480" w:lineRule="auto"/>
        <w:ind w:left="1134" w:hanging="1134"/>
        <w:jc w:val="both"/>
        <w:rPr>
          <w:rFonts w:asciiTheme="minorBidi" w:eastAsia="Times New Roman" w:hAnsiTheme="minorBidi"/>
          <w:kern w:val="0"/>
          <w14:ligatures w14:val="none"/>
        </w:rPr>
      </w:pPr>
      <w:bookmarkStart w:id="955" w:name="_Hlk42378628"/>
      <w:r w:rsidRPr="004B3F8F">
        <w:rPr>
          <w:rFonts w:asciiTheme="minorBidi" w:eastAsia="Times New Roman" w:hAnsiTheme="minorBidi"/>
          <w:kern w:val="0"/>
          <w14:ligatures w14:val="none"/>
        </w:rPr>
        <w:t xml:space="preserve">KPMG. 2019. "Global profiles of the fraudster: Technology </w:t>
      </w:r>
      <w:r w:rsidR="005669C8" w:rsidRPr="004B3F8F">
        <w:rPr>
          <w:rFonts w:asciiTheme="minorBidi" w:eastAsia="Times New Roman" w:hAnsiTheme="minorBidi"/>
          <w:kern w:val="0"/>
          <w14:ligatures w14:val="none"/>
        </w:rPr>
        <w:t>enables,</w:t>
      </w:r>
      <w:r w:rsidRPr="004B3F8F">
        <w:rPr>
          <w:rFonts w:asciiTheme="minorBidi" w:eastAsia="Times New Roman" w:hAnsiTheme="minorBidi"/>
          <w:kern w:val="0"/>
          <w14:ligatures w14:val="none"/>
        </w:rPr>
        <w:t xml:space="preserve"> and weak controls fuel the fraud." This report from KPMG highlights that a one-size-fits-all approach is inadequate and stresses the importance of tailored anti-fraud strategies.</w:t>
      </w:r>
    </w:p>
    <w:p w14:paraId="4429D0CF" w14:textId="77777777" w:rsidR="004B3F8F" w:rsidRPr="004B3F8F" w:rsidRDefault="004B3F8F" w:rsidP="004B3F8F">
      <w:pPr>
        <w:spacing w:after="200" w:line="480" w:lineRule="auto"/>
        <w:ind w:left="785" w:hangingChars="327" w:hanging="785"/>
        <w:jc w:val="both"/>
        <w:rPr>
          <w:rFonts w:ascii="Arial" w:eastAsiaTheme="minorHAnsi" w:hAnsi="Arial" w:cs="Arial"/>
          <w:iCs/>
          <w:kern w:val="0"/>
          <w:lang w:val="en-US" w:eastAsia="en-US"/>
          <w14:ligatures w14:val="none"/>
        </w:rPr>
      </w:pPr>
      <w:r w:rsidRPr="004B3F8F">
        <w:rPr>
          <w:rFonts w:ascii="Arial" w:eastAsiaTheme="minorHAnsi" w:hAnsi="Arial" w:cs="Arial"/>
          <w:kern w:val="0"/>
          <w:lang w:val="en-US" w:eastAsia="en-US"/>
          <w14:ligatures w14:val="none"/>
        </w:rPr>
        <w:t>Krahel</w:t>
      </w:r>
      <w:bookmarkEnd w:id="955"/>
      <w:r w:rsidRPr="004B3F8F">
        <w:rPr>
          <w:rFonts w:ascii="Arial" w:eastAsiaTheme="minorHAnsi" w:hAnsi="Arial" w:cs="Arial"/>
          <w:kern w:val="0"/>
          <w:lang w:val="en-US" w:eastAsia="en-US"/>
          <w14:ligatures w14:val="none"/>
        </w:rPr>
        <w:t xml:space="preserve">, J.P., and W.R. </w:t>
      </w:r>
      <w:bookmarkStart w:id="956" w:name="_Hlk42378713"/>
      <w:r w:rsidRPr="004B3F8F">
        <w:rPr>
          <w:rFonts w:ascii="Arial" w:eastAsiaTheme="minorHAnsi" w:hAnsi="Arial" w:cs="Arial"/>
          <w:kern w:val="0"/>
          <w:lang w:val="en-US" w:eastAsia="en-US"/>
          <w14:ligatures w14:val="none"/>
        </w:rPr>
        <w:t>Titera</w:t>
      </w:r>
      <w:bookmarkEnd w:id="956"/>
      <w:r w:rsidRPr="004B3F8F">
        <w:rPr>
          <w:rFonts w:ascii="Arial" w:eastAsiaTheme="minorHAnsi" w:hAnsi="Arial" w:cs="Arial"/>
          <w:kern w:val="0"/>
          <w:lang w:val="en-US" w:eastAsia="en-US"/>
          <w14:ligatures w14:val="none"/>
        </w:rPr>
        <w:t>. 2015. “</w:t>
      </w:r>
      <w:r w:rsidRPr="004B3F8F">
        <w:rPr>
          <w:rFonts w:ascii="Arial" w:eastAsiaTheme="minorHAnsi" w:hAnsi="Arial" w:cs="Arial"/>
          <w:iCs/>
          <w:kern w:val="0"/>
          <w:lang w:val="en-US" w:eastAsia="en-US"/>
          <w14:ligatures w14:val="none"/>
        </w:rPr>
        <w:t>Consequences of Big Data and Formalization on Accounting and Auditing Standards.</w:t>
      </w:r>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i/>
          <w:kern w:val="0"/>
          <w:lang w:val="en-US" w:eastAsia="en-US"/>
          <w14:ligatures w14:val="none"/>
        </w:rPr>
        <w:t>Accounting Horizons</w:t>
      </w:r>
      <w:r w:rsidRPr="004B3F8F">
        <w:rPr>
          <w:rFonts w:ascii="Arial" w:eastAsiaTheme="minorHAnsi" w:hAnsi="Arial" w:cs="Arial"/>
          <w:kern w:val="0"/>
          <w:lang w:val="en-US" w:eastAsia="en-US"/>
          <w14:ligatures w14:val="none"/>
        </w:rPr>
        <w:t xml:space="preserve"> 29, no. 2, pp. 409-22.</w:t>
      </w:r>
    </w:p>
    <w:p w14:paraId="133C71AA"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57" w:name="_Hlk42378727"/>
      <w:r w:rsidRPr="004B3F8F">
        <w:rPr>
          <w:rFonts w:ascii="Arial" w:eastAsiaTheme="minorHAnsi" w:hAnsi="Arial" w:cs="Arial"/>
          <w:kern w:val="0"/>
          <w:lang w:val="en-US" w:eastAsia="en-US"/>
          <w14:ligatures w14:val="none"/>
        </w:rPr>
        <w:t>Kranacher</w:t>
      </w:r>
      <w:bookmarkEnd w:id="957"/>
      <w:r w:rsidRPr="004B3F8F">
        <w:rPr>
          <w:rFonts w:ascii="Arial" w:eastAsiaTheme="minorHAnsi" w:hAnsi="Arial" w:cs="Arial"/>
          <w:kern w:val="0"/>
          <w:lang w:val="en-US" w:eastAsia="en-US"/>
          <w14:ligatures w14:val="none"/>
        </w:rPr>
        <w:t xml:space="preserve">, M.J., R. Riley, and J.T. Wells. 2010. </w:t>
      </w:r>
      <w:r w:rsidRPr="004B3F8F">
        <w:rPr>
          <w:rFonts w:ascii="Arial" w:eastAsiaTheme="minorHAnsi" w:hAnsi="Arial" w:cs="Arial"/>
          <w:i/>
          <w:iCs/>
          <w:kern w:val="0"/>
          <w:lang w:val="en-US" w:eastAsia="en-US"/>
          <w14:ligatures w14:val="none"/>
        </w:rPr>
        <w:t>Forensic Accounting and Fraud Examination</w:t>
      </w:r>
      <w:r w:rsidRPr="004B3F8F">
        <w:rPr>
          <w:rFonts w:ascii="Arial" w:eastAsiaTheme="minorHAnsi" w:hAnsi="Arial" w:cs="Arial"/>
          <w:kern w:val="0"/>
          <w:lang w:val="en-US" w:eastAsia="en-US"/>
          <w14:ligatures w14:val="none"/>
        </w:rPr>
        <w:t xml:space="preserve">. 1st ed. John </w:t>
      </w:r>
      <w:r w:rsidRPr="004B3F8F">
        <w:rPr>
          <w:rFonts w:ascii="Arial" w:eastAsiaTheme="minorHAnsi" w:hAnsi="Arial" w:cs="Arial"/>
          <w:kern w:val="0"/>
          <w:lang w:eastAsia="en-US"/>
          <w14:ligatures w14:val="none"/>
        </w:rPr>
        <w:t>Hoboken, New Jersey (NJ)</w:t>
      </w:r>
      <w:r w:rsidRPr="004B3F8F">
        <w:rPr>
          <w:rFonts w:ascii="Arial" w:eastAsiaTheme="minorHAnsi" w:hAnsi="Arial" w:cs="Arial"/>
          <w:kern w:val="0"/>
          <w:lang w:val="en-US" w:eastAsia="en-US"/>
          <w14:ligatures w14:val="none"/>
        </w:rPr>
        <w:t>Wiley &amp; Sons.</w:t>
      </w:r>
    </w:p>
    <w:p w14:paraId="10E13FC8" w14:textId="77777777" w:rsidR="004B3F8F" w:rsidRPr="004B3F8F" w:rsidRDefault="004B3F8F" w:rsidP="004B3F8F">
      <w:pPr>
        <w:spacing w:line="480" w:lineRule="auto"/>
        <w:ind w:left="851" w:hanging="851"/>
        <w:jc w:val="both"/>
        <w:rPr>
          <w:rFonts w:ascii="Arial" w:hAnsi="Arial" w:cs="Arial"/>
          <w:color w:val="222222"/>
          <w:shd w:val="clear" w:color="auto" w:fill="FFFFFF"/>
        </w:rPr>
      </w:pPr>
      <w:bookmarkStart w:id="958" w:name="_Hlk145235217"/>
      <w:r w:rsidRPr="004B3F8F">
        <w:rPr>
          <w:rFonts w:ascii="Arial" w:hAnsi="Arial" w:cs="Arial"/>
          <w:color w:val="222222"/>
          <w:shd w:val="clear" w:color="auto" w:fill="FFFFFF"/>
        </w:rPr>
        <w:t>Kuenzi, M., Mayer, D.M. and Greenbaum, R.L., 2020</w:t>
      </w:r>
      <w:bookmarkEnd w:id="958"/>
      <w:r w:rsidRPr="004B3F8F">
        <w:rPr>
          <w:rFonts w:ascii="Arial" w:hAnsi="Arial" w:cs="Arial"/>
          <w:color w:val="222222"/>
          <w:shd w:val="clear" w:color="auto" w:fill="FFFFFF"/>
        </w:rPr>
        <w:t>. Creating an ethical organizational environment: The relationship between ethical leadership, ethical organizational climate, and unethical behavior. </w:t>
      </w:r>
      <w:r w:rsidRPr="004B3F8F">
        <w:rPr>
          <w:rFonts w:ascii="Arial" w:hAnsi="Arial" w:cs="Arial"/>
          <w:i/>
          <w:iCs/>
          <w:color w:val="222222"/>
          <w:shd w:val="clear" w:color="auto" w:fill="FFFFFF"/>
        </w:rPr>
        <w:t>Personnel Psychology</w:t>
      </w:r>
      <w:r w:rsidRPr="004B3F8F">
        <w:rPr>
          <w:rFonts w:ascii="Arial" w:hAnsi="Arial" w:cs="Arial"/>
          <w:color w:val="222222"/>
          <w:shd w:val="clear" w:color="auto" w:fill="FFFFFF"/>
        </w:rPr>
        <w:t>, </w:t>
      </w:r>
      <w:r w:rsidRPr="004B3F8F">
        <w:rPr>
          <w:rFonts w:ascii="Arial" w:hAnsi="Arial" w:cs="Arial"/>
          <w:i/>
          <w:iCs/>
          <w:color w:val="222222"/>
          <w:shd w:val="clear" w:color="auto" w:fill="FFFFFF"/>
        </w:rPr>
        <w:t>73</w:t>
      </w:r>
      <w:r w:rsidRPr="004B3F8F">
        <w:rPr>
          <w:rFonts w:ascii="Arial" w:hAnsi="Arial" w:cs="Arial"/>
          <w:color w:val="222222"/>
          <w:shd w:val="clear" w:color="auto" w:fill="FFFFFF"/>
        </w:rPr>
        <w:t>(1), pp.43-71.</w:t>
      </w:r>
    </w:p>
    <w:p w14:paraId="2C5897E6" w14:textId="77777777" w:rsidR="004B3F8F" w:rsidRPr="004B3F8F" w:rsidRDefault="004B3F8F" w:rsidP="004B3F8F">
      <w:pPr>
        <w:spacing w:line="480" w:lineRule="auto"/>
        <w:ind w:left="851" w:hanging="851"/>
        <w:jc w:val="both"/>
        <w:rPr>
          <w:rFonts w:asciiTheme="minorBidi" w:hAnsiTheme="minorBidi"/>
          <w:color w:val="222222"/>
          <w:shd w:val="clear" w:color="auto" w:fill="FFFFFF"/>
        </w:rPr>
      </w:pPr>
      <w:r w:rsidRPr="004B3F8F">
        <w:rPr>
          <w:rFonts w:asciiTheme="minorBidi" w:eastAsiaTheme="minorHAnsi" w:hAnsiTheme="minorBidi"/>
          <w:kern w:val="0"/>
          <w:lang w:eastAsia="en-US"/>
          <w14:ligatures w14:val="none"/>
        </w:rPr>
        <w:t>Kvale, S. &amp; Brinkman, S., 2015. Interviews: Learning the Craft of Qualitative Research Interviewing. Third ed. Los Angeles: Sage.</w:t>
      </w:r>
    </w:p>
    <w:p w14:paraId="5DC82DE4" w14:textId="77777777" w:rsidR="004B3F8F" w:rsidRPr="00DE3122" w:rsidRDefault="004B3F8F" w:rsidP="004B3F8F">
      <w:pPr>
        <w:spacing w:after="200" w:line="480" w:lineRule="auto"/>
        <w:ind w:left="785" w:hangingChars="327" w:hanging="785"/>
        <w:jc w:val="both"/>
        <w:rPr>
          <w:rFonts w:ascii="Arial" w:eastAsiaTheme="minorHAnsi" w:hAnsi="Arial" w:cs="Arial"/>
          <w:kern w:val="0"/>
          <w:lang w:eastAsia="en-US"/>
          <w14:ligatures w14:val="none"/>
        </w:rPr>
      </w:pPr>
      <w:bookmarkStart w:id="959" w:name="_Hlk42378752"/>
      <w:r w:rsidRPr="004B3F8F">
        <w:rPr>
          <w:rFonts w:ascii="Arial" w:eastAsiaTheme="minorHAnsi" w:hAnsi="Arial" w:cs="Arial"/>
          <w:kern w:val="0"/>
          <w:lang w:val="en-US" w:eastAsia="en-US"/>
          <w14:ligatures w14:val="none"/>
        </w:rPr>
        <w:lastRenderedPageBreak/>
        <w:t>Lala</w:t>
      </w:r>
      <w:bookmarkEnd w:id="959"/>
      <w:r w:rsidRPr="004B3F8F">
        <w:rPr>
          <w:rFonts w:ascii="Arial" w:eastAsiaTheme="minorHAnsi" w:hAnsi="Arial" w:cs="Arial"/>
          <w:kern w:val="0"/>
          <w:lang w:val="en-US" w:eastAsia="en-US"/>
          <w14:ligatures w14:val="none"/>
        </w:rPr>
        <w:t xml:space="preserve">, S., M. Gupta, and R. Sharman. 2014. “Fraud Detection through Routine Use of CAATTs.” </w:t>
      </w:r>
      <w:r w:rsidRPr="004B3F8F">
        <w:rPr>
          <w:rFonts w:ascii="Arial" w:eastAsiaTheme="minorHAnsi" w:hAnsi="Arial" w:cs="Arial"/>
          <w:i/>
          <w:kern w:val="0"/>
          <w:lang w:val="en-US" w:eastAsia="en-US"/>
          <w14:ligatures w14:val="none"/>
        </w:rPr>
        <w:t>9th Annual Symposium on Information Assurance</w:t>
      </w:r>
      <w:r w:rsidRPr="004B3F8F">
        <w:rPr>
          <w:rFonts w:ascii="Arial" w:eastAsiaTheme="minorHAnsi" w:hAnsi="Arial" w:cs="Arial"/>
          <w:kern w:val="0"/>
          <w:lang w:val="en-US" w:eastAsia="en-US"/>
          <w14:ligatures w14:val="none"/>
        </w:rPr>
        <w:t xml:space="preserve">. </w:t>
      </w:r>
      <w:r w:rsidRPr="00DE3122">
        <w:rPr>
          <w:rFonts w:ascii="Arial" w:eastAsiaTheme="minorHAnsi" w:hAnsi="Arial" w:cs="Arial"/>
          <w:kern w:val="0"/>
          <w:lang w:eastAsia="en-US"/>
          <w14:ligatures w14:val="none"/>
        </w:rPr>
        <w:t>(ASIA'14), pp. 50-56.</w:t>
      </w:r>
    </w:p>
    <w:p w14:paraId="63956DC6"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DE3122">
        <w:rPr>
          <w:rFonts w:ascii="Arial" w:hAnsi="Arial" w:cs="Arial"/>
          <w:color w:val="222222"/>
          <w:shd w:val="clear" w:color="auto" w:fill="FFFFFF"/>
        </w:rPr>
        <w:t xml:space="preserve">Lamboglia, R., Lavorato, D., Scornavacca, E. and Za, S., 2021. </w:t>
      </w:r>
      <w:r w:rsidRPr="004B3F8F">
        <w:rPr>
          <w:rFonts w:ascii="Arial" w:hAnsi="Arial" w:cs="Arial"/>
          <w:color w:val="222222"/>
          <w:shd w:val="clear" w:color="auto" w:fill="FFFFFF"/>
        </w:rPr>
        <w:t>Exploring the relationship between audit and technology. A bibliometric analysis. </w:t>
      </w:r>
      <w:r w:rsidRPr="004B3F8F">
        <w:rPr>
          <w:rFonts w:ascii="Arial" w:hAnsi="Arial" w:cs="Arial"/>
          <w:i/>
          <w:iCs/>
          <w:color w:val="222222"/>
          <w:shd w:val="clear" w:color="auto" w:fill="FFFFFF"/>
        </w:rPr>
        <w:t>Meditari Accountancy Research</w:t>
      </w:r>
      <w:r w:rsidRPr="004B3F8F">
        <w:rPr>
          <w:rFonts w:ascii="Arial" w:hAnsi="Arial" w:cs="Arial"/>
          <w:color w:val="222222"/>
          <w:shd w:val="clear" w:color="auto" w:fill="FFFFFF"/>
        </w:rPr>
        <w:t>, </w:t>
      </w:r>
      <w:r w:rsidRPr="004B3F8F">
        <w:rPr>
          <w:rFonts w:ascii="Arial" w:hAnsi="Arial" w:cs="Arial"/>
          <w:i/>
          <w:iCs/>
          <w:color w:val="222222"/>
          <w:shd w:val="clear" w:color="auto" w:fill="FFFFFF"/>
        </w:rPr>
        <w:t>29</w:t>
      </w:r>
      <w:r w:rsidRPr="004B3F8F">
        <w:rPr>
          <w:rFonts w:ascii="Arial" w:hAnsi="Arial" w:cs="Arial"/>
          <w:color w:val="222222"/>
          <w:shd w:val="clear" w:color="auto" w:fill="FFFFFF"/>
        </w:rPr>
        <w:t>(5), pp.1233-1260.</w:t>
      </w:r>
    </w:p>
    <w:p w14:paraId="76A13EFC"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Lansiti, M., and K. Lakhani. 2017. “</w:t>
      </w:r>
      <w:r w:rsidRPr="004B3F8F">
        <w:rPr>
          <w:rFonts w:ascii="Arial" w:eastAsiaTheme="minorHAnsi" w:hAnsi="Arial" w:cs="Arial"/>
          <w:iCs/>
          <w:kern w:val="0"/>
          <w:lang w:val="en-US" w:eastAsia="en-US"/>
          <w14:ligatures w14:val="none"/>
        </w:rPr>
        <w:t>The Truth About Blockchain</w:t>
      </w:r>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i/>
          <w:kern w:val="0"/>
          <w:lang w:val="en-US" w:eastAsia="en-US"/>
          <w14:ligatures w14:val="none"/>
        </w:rPr>
        <w:t>Harvard Business Review</w:t>
      </w:r>
      <w:r w:rsidRPr="004B3F8F">
        <w:rPr>
          <w:rFonts w:ascii="Arial" w:eastAsiaTheme="minorHAnsi" w:hAnsi="Arial" w:cs="Arial"/>
          <w:kern w:val="0"/>
          <w:lang w:val="en-US" w:eastAsia="en-US"/>
          <w14:ligatures w14:val="none"/>
        </w:rPr>
        <w:t xml:space="preserve"> January/February, pp 3-11</w:t>
      </w:r>
    </w:p>
    <w:p w14:paraId="22FA45A1"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DE3122">
        <w:rPr>
          <w:rFonts w:ascii="Arial" w:eastAsiaTheme="minorHAnsi" w:hAnsi="Arial" w:cs="Arial"/>
          <w:kern w:val="0"/>
          <w:lang w:val="fr-FR" w:eastAsia="en-US"/>
          <w14:ligatures w14:val="none"/>
        </w:rPr>
        <w:t xml:space="preserve">Le Maux, J., and D. Morin. </w:t>
      </w:r>
      <w:r w:rsidRPr="004B3F8F">
        <w:rPr>
          <w:rFonts w:ascii="Arial" w:eastAsiaTheme="minorHAnsi" w:hAnsi="Arial" w:cs="Arial"/>
          <w:kern w:val="0"/>
          <w:lang w:val="en-US" w:eastAsia="en-US"/>
          <w14:ligatures w14:val="none"/>
        </w:rPr>
        <w:t xml:space="preserve">2011. “Black and White and Red All Over: Lehman Brothers’ Inevitable Bankruptcy Splashed Across Its Financial Statements.” </w:t>
      </w:r>
      <w:r w:rsidRPr="004B3F8F">
        <w:rPr>
          <w:rFonts w:ascii="Arial" w:eastAsiaTheme="minorHAnsi" w:hAnsi="Arial" w:cs="Arial"/>
          <w:i/>
          <w:iCs/>
          <w:kern w:val="0"/>
          <w:lang w:val="en-US" w:eastAsia="en-US"/>
          <w14:ligatures w14:val="none"/>
        </w:rPr>
        <w:t>International Journal of Business &amp;</w:t>
      </w:r>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i/>
          <w:iCs/>
          <w:kern w:val="0"/>
          <w:lang w:val="en-US" w:eastAsia="en-US"/>
          <w14:ligatures w14:val="none"/>
        </w:rPr>
        <w:t>Social Science</w:t>
      </w:r>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iCs/>
          <w:kern w:val="0"/>
          <w:lang w:val="en-US" w:eastAsia="en-US"/>
          <w14:ligatures w14:val="none"/>
        </w:rPr>
        <w:t>2</w:t>
      </w:r>
      <w:r w:rsidRPr="004B3F8F">
        <w:rPr>
          <w:rFonts w:ascii="Arial" w:eastAsiaTheme="minorHAnsi" w:hAnsi="Arial" w:cs="Arial"/>
          <w:kern w:val="0"/>
          <w:lang w:val="en-US" w:eastAsia="en-US"/>
          <w14:ligatures w14:val="none"/>
        </w:rPr>
        <w:t>, no. 20, pp. 39-36.</w:t>
      </w:r>
    </w:p>
    <w:p w14:paraId="764E0388"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60" w:name="_Hlk42378775"/>
      <w:r w:rsidRPr="004B3F8F">
        <w:rPr>
          <w:rFonts w:ascii="Arial" w:eastAsiaTheme="minorHAnsi" w:hAnsi="Arial" w:cs="Arial"/>
          <w:kern w:val="0"/>
          <w:lang w:val="en-US" w:eastAsia="en-US"/>
          <w14:ligatures w14:val="none"/>
        </w:rPr>
        <w:t>Lee</w:t>
      </w:r>
      <w:bookmarkEnd w:id="960"/>
      <w:r w:rsidRPr="004B3F8F">
        <w:rPr>
          <w:rFonts w:ascii="Arial" w:eastAsiaTheme="minorHAnsi" w:hAnsi="Arial" w:cs="Arial"/>
          <w:kern w:val="0"/>
          <w:lang w:val="en-US" w:eastAsia="en-US"/>
          <w14:ligatures w14:val="none"/>
        </w:rPr>
        <w:t xml:space="preserve">, K., and M.C. </w:t>
      </w:r>
      <w:bookmarkStart w:id="961" w:name="_Hlk42378783"/>
      <w:r w:rsidRPr="004B3F8F">
        <w:rPr>
          <w:rFonts w:ascii="Arial" w:eastAsiaTheme="minorHAnsi" w:hAnsi="Arial" w:cs="Arial"/>
          <w:kern w:val="0"/>
          <w:lang w:val="en-US" w:eastAsia="en-US"/>
          <w14:ligatures w14:val="none"/>
        </w:rPr>
        <w:t>Ashton</w:t>
      </w:r>
      <w:bookmarkEnd w:id="961"/>
      <w:r w:rsidRPr="004B3F8F">
        <w:rPr>
          <w:rFonts w:ascii="Arial" w:eastAsiaTheme="minorHAnsi" w:hAnsi="Arial" w:cs="Arial"/>
          <w:kern w:val="0"/>
          <w:lang w:val="en-US" w:eastAsia="en-US"/>
          <w14:ligatures w14:val="none"/>
        </w:rPr>
        <w:t xml:space="preserve">. 2005. “Psychopathy, Machiavellianism, and Narcissism in the Five-Factor Model and the HEXACO Model of Personality Structure.” </w:t>
      </w:r>
      <w:r w:rsidRPr="004B3F8F">
        <w:rPr>
          <w:rFonts w:ascii="Arial" w:eastAsiaTheme="minorHAnsi" w:hAnsi="Arial" w:cs="Arial"/>
          <w:i/>
          <w:iCs/>
          <w:kern w:val="0"/>
          <w:lang w:val="en-US" w:eastAsia="en-US"/>
          <w14:ligatures w14:val="none"/>
        </w:rPr>
        <w:t xml:space="preserve">Personality and Individual Differences </w:t>
      </w:r>
      <w:r w:rsidRPr="004B3F8F">
        <w:rPr>
          <w:rFonts w:ascii="Arial" w:eastAsiaTheme="minorHAnsi" w:hAnsi="Arial" w:cs="Arial"/>
          <w:kern w:val="0"/>
          <w:lang w:val="en-US" w:eastAsia="en-US"/>
          <w14:ligatures w14:val="none"/>
        </w:rPr>
        <w:t>38, pp. 1571-82.</w:t>
      </w:r>
    </w:p>
    <w:p w14:paraId="29EA74A4" w14:textId="77777777" w:rsidR="004B3F8F" w:rsidRPr="004B3F8F" w:rsidRDefault="004B3F8F" w:rsidP="004B3F8F">
      <w:pPr>
        <w:spacing w:before="100" w:beforeAutospacing="1" w:after="100" w:afterAutospacing="1" w:line="480" w:lineRule="auto"/>
        <w:ind w:left="851" w:hanging="851"/>
        <w:jc w:val="both"/>
        <w:rPr>
          <w:rFonts w:ascii="Arial" w:eastAsia="Times New Roman" w:hAnsi="Arial" w:cs="Arial"/>
          <w:kern w:val="0"/>
          <w14:ligatures w14:val="none"/>
        </w:rPr>
      </w:pPr>
      <w:r w:rsidRPr="004B3F8F">
        <w:rPr>
          <w:rFonts w:ascii="Arial" w:eastAsia="Times New Roman" w:hAnsi="Arial" w:cs="Arial"/>
          <w:kern w:val="0"/>
          <w14:ligatures w14:val="none"/>
        </w:rPr>
        <w:t>Lennox, C., Lisowsky, P., &amp; Pittman, J. (2013). Tax aggressiveness and accounting fraud. Journal of Accounting Research, 51(4), 739-778.</w:t>
      </w:r>
    </w:p>
    <w:p w14:paraId="2289715A"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62" w:name="_Hlk42378798"/>
      <w:r w:rsidRPr="004B3F8F">
        <w:rPr>
          <w:rFonts w:ascii="Arial" w:eastAsiaTheme="minorHAnsi" w:hAnsi="Arial" w:cs="Arial"/>
          <w:kern w:val="0"/>
          <w:lang w:val="en-US" w:eastAsia="en-US"/>
          <w14:ligatures w14:val="none"/>
        </w:rPr>
        <w:t>Levenson</w:t>
      </w:r>
      <w:bookmarkEnd w:id="962"/>
      <w:r w:rsidRPr="004B3F8F">
        <w:rPr>
          <w:rFonts w:ascii="Arial" w:eastAsiaTheme="minorHAnsi" w:hAnsi="Arial" w:cs="Arial"/>
          <w:kern w:val="0"/>
          <w:lang w:val="en-US" w:eastAsia="en-US"/>
          <w14:ligatures w14:val="none"/>
        </w:rPr>
        <w:t>, M.R., K.A. Kiehl, and C.M. Fitzpatrick. 1995. “Assessing Psychopathic Attributes in a Noninstitutionalized Population</w:t>
      </w:r>
      <w:r w:rsidRPr="004B3F8F">
        <w:rPr>
          <w:rFonts w:ascii="Arial" w:eastAsiaTheme="minorHAnsi" w:hAnsi="Arial" w:cs="Arial"/>
          <w:i/>
          <w:iCs/>
          <w:kern w:val="0"/>
          <w:lang w:val="en-US" w:eastAsia="en-US"/>
          <w14:ligatures w14:val="none"/>
        </w:rPr>
        <w:t>.</w:t>
      </w:r>
      <w:r w:rsidRPr="004B3F8F">
        <w:rPr>
          <w:rFonts w:ascii="Arial" w:eastAsiaTheme="minorHAnsi" w:hAnsi="Arial" w:cs="Arial"/>
          <w:iCs/>
          <w:kern w:val="0"/>
          <w:lang w:val="en-US" w:eastAsia="en-US"/>
          <w14:ligatures w14:val="none"/>
        </w:rPr>
        <w:t>”</w:t>
      </w:r>
      <w:r w:rsidRPr="004B3F8F">
        <w:rPr>
          <w:rFonts w:ascii="Arial" w:eastAsiaTheme="minorHAnsi" w:hAnsi="Arial" w:cs="Arial"/>
          <w:i/>
          <w:iCs/>
          <w:kern w:val="0"/>
          <w:lang w:val="en-US" w:eastAsia="en-US"/>
          <w14:ligatures w14:val="none"/>
        </w:rPr>
        <w:t xml:space="preserve"> Journal of Personality and Social Psychology</w:t>
      </w:r>
      <w:r w:rsidRPr="004B3F8F">
        <w:rPr>
          <w:rFonts w:ascii="Arial" w:eastAsiaTheme="minorHAnsi" w:hAnsi="Arial" w:cs="Arial"/>
          <w:kern w:val="0"/>
          <w:lang w:val="en-US" w:eastAsia="en-US"/>
          <w14:ligatures w14:val="none"/>
        </w:rPr>
        <w:t xml:space="preserve"> 68, no. 1, pp. 151-58.</w:t>
      </w:r>
    </w:p>
    <w:p w14:paraId="0DCE3EE6" w14:textId="77777777" w:rsidR="004B3F8F" w:rsidRPr="004B3F8F" w:rsidRDefault="004B3F8F" w:rsidP="004B3F8F">
      <w:pPr>
        <w:spacing w:line="480" w:lineRule="auto"/>
        <w:ind w:left="851" w:hanging="851"/>
        <w:jc w:val="both"/>
        <w:rPr>
          <w:rFonts w:ascii="Arial" w:hAnsi="Arial" w:cs="Arial"/>
          <w:shd w:val="clear" w:color="auto" w:fill="FFFFFF"/>
        </w:rPr>
      </w:pPr>
      <w:r w:rsidRPr="004B3F8F">
        <w:rPr>
          <w:rFonts w:ascii="Arial" w:hAnsi="Arial" w:cs="Arial"/>
          <w:shd w:val="clear" w:color="auto" w:fill="FFFFFF"/>
        </w:rPr>
        <w:t>Li, Y., 2023. Construction of enterprise financial accounting cloud platform based on big data. </w:t>
      </w:r>
      <w:r w:rsidRPr="004B3F8F">
        <w:rPr>
          <w:rFonts w:ascii="Arial" w:hAnsi="Arial" w:cs="Arial"/>
          <w:i/>
          <w:iCs/>
          <w:shd w:val="clear" w:color="auto" w:fill="FFFFFF"/>
        </w:rPr>
        <w:t>Finance &amp; Economics</w:t>
      </w:r>
      <w:r w:rsidRPr="004B3F8F">
        <w:rPr>
          <w:rFonts w:ascii="Arial" w:hAnsi="Arial" w:cs="Arial"/>
          <w:shd w:val="clear" w:color="auto" w:fill="FFFFFF"/>
        </w:rPr>
        <w:t>, </w:t>
      </w:r>
      <w:r w:rsidRPr="004B3F8F">
        <w:rPr>
          <w:rFonts w:ascii="Arial" w:hAnsi="Arial" w:cs="Arial"/>
          <w:i/>
          <w:iCs/>
          <w:shd w:val="clear" w:color="auto" w:fill="FFFFFF"/>
        </w:rPr>
        <w:t>1</w:t>
      </w:r>
      <w:r w:rsidRPr="004B3F8F">
        <w:rPr>
          <w:rFonts w:ascii="Arial" w:hAnsi="Arial" w:cs="Arial"/>
          <w:shd w:val="clear" w:color="auto" w:fill="FFFFFF"/>
        </w:rPr>
        <w:t>(1).</w:t>
      </w:r>
    </w:p>
    <w:p w14:paraId="3C4FAFAF" w14:textId="77777777" w:rsidR="004B3F8F" w:rsidRPr="004B3F8F" w:rsidRDefault="004B3F8F" w:rsidP="004B3F8F">
      <w:pPr>
        <w:spacing w:line="480" w:lineRule="auto"/>
        <w:ind w:left="851" w:hanging="851"/>
        <w:jc w:val="both"/>
        <w:rPr>
          <w:rFonts w:asciiTheme="minorBidi" w:hAnsiTheme="minorBidi"/>
          <w:shd w:val="clear" w:color="auto" w:fill="FFFFFF"/>
        </w:rPr>
      </w:pPr>
      <w:r w:rsidRPr="004B3F8F">
        <w:rPr>
          <w:rFonts w:asciiTheme="minorBidi" w:eastAsiaTheme="minorHAnsi" w:hAnsiTheme="minorBidi"/>
          <w:kern w:val="0"/>
          <w:lang w:eastAsia="en-US"/>
          <w14:ligatures w14:val="none"/>
        </w:rPr>
        <w:lastRenderedPageBreak/>
        <w:t>Lin, C.C., Chiu, A.A., Huang, S.Y. and Yen, D.C., 2015. Detecting the financial statement fraud: The analysis of the differences between data mining techniques and experts’ judgments. Knowledge-Based Systems, 89, pp.459-470.</w:t>
      </w:r>
    </w:p>
    <w:p w14:paraId="581393E8"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63" w:name="_Hlk42378827"/>
      <w:r w:rsidRPr="004B3F8F">
        <w:rPr>
          <w:rFonts w:ascii="Arial" w:eastAsiaTheme="minorHAnsi" w:hAnsi="Arial" w:cs="Arial"/>
          <w:kern w:val="0"/>
          <w:lang w:val="en-US" w:eastAsia="en-US"/>
          <w14:ligatures w14:val="none"/>
        </w:rPr>
        <w:t>Lioudis</w:t>
      </w:r>
      <w:bookmarkEnd w:id="963"/>
      <w:r w:rsidRPr="004B3F8F">
        <w:rPr>
          <w:rFonts w:ascii="Arial" w:eastAsiaTheme="minorHAnsi" w:hAnsi="Arial" w:cs="Arial"/>
          <w:kern w:val="0"/>
          <w:lang w:val="en-US" w:eastAsia="en-US"/>
          <w14:ligatures w14:val="none"/>
        </w:rPr>
        <w:t xml:space="preserve">, N.K. 2017. “The Collapse of Lehman Brothers: A Case Study.” https://www.investopedia.com/articles/economics/09/lehman-brothers-collapse.asp, </w:t>
      </w:r>
      <w:r w:rsidRPr="004B3F8F">
        <w:rPr>
          <w:rFonts w:ascii="Arial" w:eastAsiaTheme="minorHAnsi" w:hAnsi="Arial" w:cs="Arial"/>
          <w:kern w:val="0"/>
          <w:shd w:val="clear" w:color="auto" w:fill="FFFFFF"/>
          <w:lang w:val="en-US" w:eastAsia="en-US"/>
          <w14:ligatures w14:val="none"/>
        </w:rPr>
        <w:t>(accessed November 22, 2018).</w:t>
      </w:r>
    </w:p>
    <w:p w14:paraId="021E0221"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Lister, L.M. December 2007. “A Practical Approach to Fraud Risk.” Internal Auditor.</w:t>
      </w:r>
      <w:r w:rsidRPr="004B3F8F">
        <w:rPr>
          <w:rFonts w:ascii="Arial" w:eastAsiaTheme="minorHAnsi" w:hAnsi="Arial" w:cs="Arial"/>
          <w:kern w:val="0"/>
          <w:lang w:eastAsia="en-US"/>
          <w14:ligatures w14:val="none"/>
        </w:rPr>
        <w:t xml:space="preserve"> (Vol. 64, Issue 6)</w:t>
      </w:r>
    </w:p>
    <w:p w14:paraId="54444D1B"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Loebbecke, J.K., M.M. Eining, and J.J. Willingham. 1989. “Auditor’s Experience with Material Irregularities: Frequency, Nature, and Detectability.” </w:t>
      </w:r>
      <w:r w:rsidRPr="004B3F8F">
        <w:rPr>
          <w:rFonts w:ascii="Arial" w:eastAsiaTheme="minorHAnsi" w:hAnsi="Arial" w:cs="Arial"/>
          <w:i/>
          <w:iCs/>
          <w:kern w:val="0"/>
          <w:lang w:val="en-US" w:eastAsia="en-US"/>
          <w14:ligatures w14:val="none"/>
        </w:rPr>
        <w:t xml:space="preserve">Auditing: A Journal of Practice &amp; Theory </w:t>
      </w:r>
      <w:r w:rsidRPr="004B3F8F">
        <w:rPr>
          <w:rFonts w:ascii="Arial" w:eastAsiaTheme="minorHAnsi" w:hAnsi="Arial" w:cs="Arial"/>
          <w:kern w:val="0"/>
          <w:lang w:val="en-US" w:eastAsia="en-US"/>
          <w14:ligatures w14:val="none"/>
        </w:rPr>
        <w:t>9, no. 1, Fall, pp. 1-28.</w:t>
      </w:r>
    </w:p>
    <w:p w14:paraId="5B4EE997"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Lokanan, M.E. 2015. “Challenges to the Fraud Triangle: Questions on Its Usefulness.” </w:t>
      </w:r>
      <w:r w:rsidRPr="004B3F8F">
        <w:rPr>
          <w:rFonts w:ascii="Arial" w:eastAsiaTheme="minorHAnsi" w:hAnsi="Arial" w:cs="Arial"/>
          <w:i/>
          <w:iCs/>
          <w:kern w:val="0"/>
          <w:lang w:val="en-US" w:eastAsia="en-US"/>
          <w14:ligatures w14:val="none"/>
        </w:rPr>
        <w:t>Accounting Forum</w:t>
      </w:r>
      <w:r w:rsidRPr="004B3F8F">
        <w:rPr>
          <w:rFonts w:ascii="Arial" w:eastAsiaTheme="minorHAnsi" w:hAnsi="Arial" w:cs="Arial"/>
          <w:kern w:val="0"/>
          <w:lang w:val="en-US" w:eastAsia="en-US"/>
          <w14:ligatures w14:val="none"/>
        </w:rPr>
        <w:t xml:space="preserve"> 39, no. 3, pp. 201-24.</w:t>
      </w:r>
    </w:p>
    <w:p w14:paraId="7D641C18"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64" w:name="_Hlk42378841"/>
      <w:r w:rsidRPr="004B3F8F">
        <w:rPr>
          <w:rFonts w:ascii="Arial" w:eastAsiaTheme="minorHAnsi" w:hAnsi="Arial" w:cs="Arial"/>
          <w:kern w:val="0"/>
          <w:lang w:val="en-US" w:eastAsia="en-US"/>
          <w14:ligatures w14:val="none"/>
        </w:rPr>
        <w:t>Lord</w:t>
      </w:r>
      <w:bookmarkEnd w:id="964"/>
      <w:r w:rsidRPr="004B3F8F">
        <w:rPr>
          <w:rFonts w:ascii="Arial" w:eastAsiaTheme="minorHAnsi" w:hAnsi="Arial" w:cs="Arial"/>
          <w:kern w:val="0"/>
          <w:lang w:val="en-US" w:eastAsia="en-US"/>
          <w14:ligatures w14:val="none"/>
        </w:rPr>
        <w:t xml:space="preserve">, A.T. 2010. “The Prevalence of Fraud: What Should We, As Academics, Be Doing to Address the Problem?” </w:t>
      </w:r>
      <w:r w:rsidRPr="004B3F8F">
        <w:rPr>
          <w:rFonts w:ascii="Arial" w:eastAsiaTheme="minorHAnsi" w:hAnsi="Arial" w:cs="Arial"/>
          <w:i/>
          <w:iCs/>
          <w:kern w:val="0"/>
          <w:lang w:val="en-US" w:eastAsia="en-US"/>
          <w14:ligatures w14:val="none"/>
        </w:rPr>
        <w:t>Accounting and Management Information Systems</w:t>
      </w:r>
      <w:r w:rsidRPr="004B3F8F">
        <w:rPr>
          <w:rFonts w:ascii="Arial" w:eastAsiaTheme="minorHAnsi" w:hAnsi="Arial" w:cs="Arial"/>
          <w:kern w:val="0"/>
          <w:lang w:val="en-US" w:eastAsia="en-US"/>
          <w14:ligatures w14:val="none"/>
        </w:rPr>
        <w:t xml:space="preserve"> 9, no. 1, pp. 4-21.</w:t>
      </w:r>
    </w:p>
    <w:p w14:paraId="0496C78C" w14:textId="77777777" w:rsidR="004B3F8F" w:rsidRPr="004B3F8F" w:rsidRDefault="004B3F8F" w:rsidP="004B3F8F">
      <w:pPr>
        <w:spacing w:line="480" w:lineRule="auto"/>
        <w:ind w:left="851" w:hanging="851"/>
        <w:jc w:val="both"/>
        <w:rPr>
          <w:rFonts w:ascii="Arial" w:hAnsi="Arial" w:cs="Arial"/>
          <w:color w:val="222222"/>
          <w:shd w:val="clear" w:color="auto" w:fill="FFFFFF"/>
        </w:rPr>
      </w:pPr>
      <w:bookmarkStart w:id="965" w:name="_Hlk146403176"/>
      <w:r w:rsidRPr="004B3F8F">
        <w:rPr>
          <w:rFonts w:ascii="Arial" w:hAnsi="Arial" w:cs="Arial"/>
          <w:color w:val="222222"/>
          <w:shd w:val="clear" w:color="auto" w:fill="FFFFFF"/>
        </w:rPr>
        <w:t>Lukman, H. and Irisha, T., 2020</w:t>
      </w:r>
      <w:bookmarkEnd w:id="965"/>
      <w:r w:rsidRPr="004B3F8F">
        <w:rPr>
          <w:rFonts w:ascii="Arial" w:hAnsi="Arial" w:cs="Arial"/>
          <w:color w:val="222222"/>
          <w:shd w:val="clear" w:color="auto" w:fill="FFFFFF"/>
        </w:rPr>
        <w:t>, December. The effect of creative accounting practices with statutory auditor as mediation, and accountant ethics standards on the reliability of financial statements. In </w:t>
      </w:r>
      <w:r w:rsidRPr="004B3F8F">
        <w:rPr>
          <w:rFonts w:ascii="Arial" w:hAnsi="Arial" w:cs="Arial"/>
          <w:i/>
          <w:iCs/>
          <w:color w:val="222222"/>
          <w:shd w:val="clear" w:color="auto" w:fill="FFFFFF"/>
        </w:rPr>
        <w:t>The 2nd Tarumanagara International Conference on the Applications of Social Sciences and Humanities (TICASH 2020)</w:t>
      </w:r>
      <w:r w:rsidRPr="004B3F8F">
        <w:rPr>
          <w:rFonts w:ascii="Arial" w:hAnsi="Arial" w:cs="Arial"/>
          <w:color w:val="222222"/>
          <w:shd w:val="clear" w:color="auto" w:fill="FFFFFF"/>
        </w:rPr>
        <w:t> (pp. 1023-1029). Atlantis Press.</w:t>
      </w:r>
    </w:p>
    <w:p w14:paraId="2771FF08" w14:textId="72787543" w:rsidR="004B3F8F" w:rsidRPr="004B3F8F" w:rsidRDefault="004B3F8F" w:rsidP="004B3F8F">
      <w:pPr>
        <w:spacing w:line="480" w:lineRule="auto"/>
        <w:ind w:left="851" w:hanging="851"/>
        <w:jc w:val="both"/>
        <w:rPr>
          <w:rFonts w:ascii="Arial" w:eastAsiaTheme="minorHAnsi" w:hAnsi="Arial" w:cs="Arial"/>
          <w:color w:val="222222"/>
          <w:kern w:val="0"/>
          <w:shd w:val="clear" w:color="auto" w:fill="FFFFFF"/>
          <w:lang w:eastAsia="en-US"/>
          <w14:ligatures w14:val="none"/>
        </w:rPr>
      </w:pPr>
      <w:r w:rsidRPr="004B3F8F">
        <w:rPr>
          <w:rFonts w:ascii="Arial" w:eastAsiaTheme="minorHAnsi" w:hAnsi="Arial" w:cs="Arial"/>
          <w:color w:val="222222"/>
          <w:kern w:val="0"/>
          <w:shd w:val="clear" w:color="auto" w:fill="FFFFFF"/>
          <w:lang w:eastAsia="en-US"/>
          <w14:ligatures w14:val="none"/>
        </w:rPr>
        <w:lastRenderedPageBreak/>
        <w:t>Lyons, M. 2019. </w:t>
      </w:r>
      <w:r w:rsidRPr="004B3F8F">
        <w:rPr>
          <w:rFonts w:ascii="Arial" w:eastAsiaTheme="minorHAnsi" w:hAnsi="Arial" w:cs="Arial"/>
          <w:i/>
          <w:iCs/>
          <w:color w:val="222222"/>
          <w:kern w:val="0"/>
          <w:shd w:val="clear" w:color="auto" w:fill="FFFFFF"/>
          <w:lang w:eastAsia="en-US"/>
          <w14:ligatures w14:val="none"/>
        </w:rPr>
        <w:t xml:space="preserve">The dark triad of personality: Narcissism, </w:t>
      </w:r>
      <w:r w:rsidR="00C92663" w:rsidRPr="004B3F8F">
        <w:rPr>
          <w:rFonts w:ascii="Arial" w:eastAsiaTheme="minorHAnsi" w:hAnsi="Arial" w:cs="Arial"/>
          <w:i/>
          <w:iCs/>
          <w:color w:val="222222"/>
          <w:kern w:val="0"/>
          <w:shd w:val="clear" w:color="auto" w:fill="FFFFFF"/>
          <w:lang w:eastAsia="en-US"/>
          <w14:ligatures w14:val="none"/>
        </w:rPr>
        <w:t>Machiavellianism</w:t>
      </w:r>
      <w:r w:rsidRPr="004B3F8F">
        <w:rPr>
          <w:rFonts w:ascii="Arial" w:eastAsiaTheme="minorHAnsi" w:hAnsi="Arial" w:cs="Arial"/>
          <w:i/>
          <w:iCs/>
          <w:color w:val="222222"/>
          <w:kern w:val="0"/>
          <w:shd w:val="clear" w:color="auto" w:fill="FFFFFF"/>
          <w:lang w:eastAsia="en-US"/>
          <w14:ligatures w14:val="none"/>
        </w:rPr>
        <w:t>, and psychopathy in everyday life</w:t>
      </w:r>
      <w:r w:rsidRPr="004B3F8F">
        <w:rPr>
          <w:rFonts w:ascii="Arial" w:eastAsiaTheme="minorHAnsi" w:hAnsi="Arial" w:cs="Arial"/>
          <w:color w:val="222222"/>
          <w:kern w:val="0"/>
          <w:shd w:val="clear" w:color="auto" w:fill="FFFFFF"/>
          <w:lang w:eastAsia="en-US"/>
          <w14:ligatures w14:val="none"/>
        </w:rPr>
        <w:t>. Academic Press.</w:t>
      </w:r>
    </w:p>
    <w:p w14:paraId="5B51A015" w14:textId="0E9374EF"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66" w:name="_Hlk42378858"/>
      <w:r w:rsidRPr="004B3F8F">
        <w:rPr>
          <w:rFonts w:ascii="Arial" w:eastAsiaTheme="minorHAnsi" w:hAnsi="Arial" w:cs="Arial"/>
          <w:kern w:val="0"/>
          <w:lang w:val="en-US" w:eastAsia="en-US"/>
          <w14:ligatures w14:val="none"/>
        </w:rPr>
        <w:t>Makkawi</w:t>
      </w:r>
      <w:bookmarkEnd w:id="966"/>
      <w:r w:rsidRPr="004B3F8F">
        <w:rPr>
          <w:rFonts w:ascii="Arial" w:eastAsiaTheme="minorHAnsi" w:hAnsi="Arial" w:cs="Arial"/>
          <w:kern w:val="0"/>
          <w:lang w:val="en-US" w:eastAsia="en-US"/>
          <w14:ligatures w14:val="none"/>
        </w:rPr>
        <w:t xml:space="preserve">, B., and A. </w:t>
      </w:r>
      <w:bookmarkStart w:id="967" w:name="_Hlk42378871"/>
      <w:r w:rsidRPr="004B3F8F">
        <w:rPr>
          <w:rFonts w:ascii="Arial" w:eastAsiaTheme="minorHAnsi" w:hAnsi="Arial" w:cs="Arial"/>
          <w:kern w:val="0"/>
          <w:lang w:val="en-US" w:eastAsia="en-US"/>
          <w14:ligatures w14:val="none"/>
        </w:rPr>
        <w:t>Schick</w:t>
      </w:r>
      <w:bookmarkEnd w:id="967"/>
      <w:r w:rsidRPr="004B3F8F">
        <w:rPr>
          <w:rFonts w:ascii="Arial" w:eastAsiaTheme="minorHAnsi" w:hAnsi="Arial" w:cs="Arial"/>
          <w:kern w:val="0"/>
          <w:lang w:val="en-US" w:eastAsia="en-US"/>
          <w14:ligatures w14:val="none"/>
        </w:rPr>
        <w:t xml:space="preserve">. 2003. “Are Auditors Sensitive Enough to Fraud?” </w:t>
      </w:r>
      <w:r w:rsidRPr="004B3F8F">
        <w:rPr>
          <w:rFonts w:ascii="Arial" w:eastAsiaTheme="minorHAnsi" w:hAnsi="Arial" w:cs="Arial"/>
          <w:i/>
          <w:iCs/>
          <w:kern w:val="0"/>
          <w:lang w:val="en-US" w:eastAsia="en-US"/>
          <w14:ligatures w14:val="none"/>
        </w:rPr>
        <w:t>Managerial Auditing Journal</w:t>
      </w:r>
      <w:r w:rsidRPr="004B3F8F">
        <w:rPr>
          <w:rFonts w:ascii="Arial" w:eastAsiaTheme="minorHAnsi" w:hAnsi="Arial" w:cs="Arial"/>
          <w:iCs/>
          <w:kern w:val="0"/>
          <w:lang w:val="en-US" w:eastAsia="en-US"/>
          <w14:ligatures w14:val="none"/>
        </w:rPr>
        <w:t xml:space="preserve">, </w:t>
      </w:r>
      <w:r w:rsidR="005669C8" w:rsidRPr="004B3F8F">
        <w:rPr>
          <w:rFonts w:ascii="Arial" w:eastAsiaTheme="minorHAnsi" w:hAnsi="Arial" w:cs="Arial"/>
          <w:iCs/>
          <w:kern w:val="0"/>
          <w:lang w:val="en-US" w:eastAsia="en-US"/>
          <w14:ligatures w14:val="none"/>
        </w:rPr>
        <w:t>Vol (</w:t>
      </w:r>
      <w:r w:rsidRPr="004B3F8F">
        <w:rPr>
          <w:rFonts w:ascii="Arial" w:eastAsiaTheme="minorHAnsi" w:hAnsi="Arial" w:cs="Arial"/>
          <w:iCs/>
          <w:kern w:val="0"/>
          <w:lang w:val="en-US" w:eastAsia="en-US"/>
          <w14:ligatures w14:val="none"/>
        </w:rPr>
        <w:t>18)</w:t>
      </w:r>
      <w:r w:rsidRPr="004B3F8F">
        <w:rPr>
          <w:rFonts w:ascii="Arial" w:eastAsiaTheme="minorHAnsi" w:hAnsi="Arial" w:cs="Arial"/>
          <w:kern w:val="0"/>
          <w:lang w:val="en-US" w:eastAsia="en-US"/>
          <w14:ligatures w14:val="none"/>
        </w:rPr>
        <w:t xml:space="preserve"> www.emerald.com, </w:t>
      </w:r>
      <w:r w:rsidRPr="004B3F8F">
        <w:rPr>
          <w:rFonts w:ascii="Arial" w:eastAsiaTheme="minorHAnsi" w:hAnsi="Arial" w:cs="Arial"/>
          <w:kern w:val="0"/>
          <w:shd w:val="clear" w:color="auto" w:fill="FFFFFF"/>
          <w:lang w:val="en-US" w:eastAsia="en-US"/>
          <w14:ligatures w14:val="none"/>
        </w:rPr>
        <w:t>(accessed July 1, 2019).</w:t>
      </w:r>
    </w:p>
    <w:p w14:paraId="65773F16"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68" w:name="_Hlk42378884"/>
      <w:r w:rsidRPr="004B3F8F">
        <w:rPr>
          <w:rFonts w:ascii="Arial" w:eastAsiaTheme="minorHAnsi" w:hAnsi="Arial" w:cs="Arial"/>
          <w:kern w:val="0"/>
          <w:lang w:val="en-US" w:eastAsia="en-US"/>
          <w14:ligatures w14:val="none"/>
        </w:rPr>
        <w:t>Mansfield</w:t>
      </w:r>
      <w:bookmarkEnd w:id="968"/>
      <w:r w:rsidRPr="004B3F8F">
        <w:rPr>
          <w:rFonts w:ascii="Arial" w:eastAsiaTheme="minorHAnsi" w:hAnsi="Arial" w:cs="Arial"/>
          <w:kern w:val="0"/>
          <w:lang w:val="en-US" w:eastAsia="en-US"/>
          <w14:ligatures w14:val="none"/>
        </w:rPr>
        <w:t>, D. 2013. “</w:t>
      </w:r>
      <w:r w:rsidRPr="004B3F8F">
        <w:rPr>
          <w:rFonts w:ascii="Arial" w:eastAsiaTheme="minorHAnsi" w:hAnsi="Arial" w:cs="Arial"/>
          <w:iCs/>
          <w:kern w:val="0"/>
          <w:lang w:val="en-US" w:eastAsia="en-US"/>
          <w14:ligatures w14:val="none"/>
        </w:rPr>
        <w:t>Keepin’ It Clean.”</w:t>
      </w:r>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i/>
          <w:kern w:val="0"/>
          <w:lang w:val="en-US" w:eastAsia="en-US"/>
          <w14:ligatures w14:val="none"/>
        </w:rPr>
        <w:t xml:space="preserve">NZ </w:t>
      </w:r>
      <w:r w:rsidRPr="004B3F8F">
        <w:rPr>
          <w:rFonts w:ascii="Arial" w:eastAsiaTheme="minorHAnsi" w:hAnsi="Arial" w:cs="Arial"/>
          <w:i/>
          <w:iCs/>
          <w:kern w:val="0"/>
          <w:lang w:val="en-US" w:eastAsia="en-US"/>
          <w14:ligatures w14:val="none"/>
        </w:rPr>
        <w:t>Marketing Magazine</w:t>
      </w:r>
      <w:r w:rsidRPr="004B3F8F">
        <w:rPr>
          <w:rFonts w:ascii="Arial" w:eastAsiaTheme="minorHAnsi" w:hAnsi="Arial" w:cs="Arial"/>
          <w:kern w:val="0"/>
          <w:lang w:val="en-US" w:eastAsia="en-US"/>
          <w14:ligatures w14:val="none"/>
        </w:rPr>
        <w:t xml:space="preserve"> July, p. 72.</w:t>
      </w:r>
    </w:p>
    <w:p w14:paraId="2ABC19B1"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69" w:name="_Hlk42378893"/>
      <w:r w:rsidRPr="004B3F8F">
        <w:rPr>
          <w:rFonts w:ascii="Arial" w:eastAsiaTheme="minorHAnsi" w:hAnsi="Arial" w:cs="Arial"/>
          <w:kern w:val="0"/>
          <w:lang w:val="en-US" w:eastAsia="en-US"/>
          <w14:ligatures w14:val="none"/>
        </w:rPr>
        <w:t>Marks</w:t>
      </w:r>
      <w:bookmarkEnd w:id="969"/>
      <w:r w:rsidRPr="004B3F8F">
        <w:rPr>
          <w:rFonts w:ascii="Arial" w:eastAsiaTheme="minorHAnsi" w:hAnsi="Arial" w:cs="Arial"/>
          <w:kern w:val="0"/>
          <w:lang w:val="en-US" w:eastAsia="en-US"/>
          <w14:ligatures w14:val="none"/>
        </w:rPr>
        <w:t xml:space="preserve">, J. 2009. </w:t>
      </w:r>
      <w:r w:rsidRPr="004B3F8F">
        <w:rPr>
          <w:rFonts w:ascii="Arial" w:eastAsiaTheme="minorHAnsi" w:hAnsi="Arial" w:cs="Arial"/>
          <w:i/>
          <w:iCs/>
          <w:kern w:val="0"/>
          <w:lang w:val="en-US" w:eastAsia="en-US"/>
          <w14:ligatures w14:val="none"/>
        </w:rPr>
        <w:t>Playing Offense in a High-Risk Environment</w:t>
      </w:r>
      <w:r w:rsidRPr="004B3F8F">
        <w:rPr>
          <w:rFonts w:ascii="Arial" w:eastAsiaTheme="minorHAnsi" w:hAnsi="Arial" w:cs="Arial"/>
          <w:kern w:val="0"/>
          <w:lang w:val="en-US" w:eastAsia="en-US"/>
          <w14:ligatures w14:val="none"/>
        </w:rPr>
        <w:t>. New York: Crowe Horwath.</w:t>
      </w:r>
    </w:p>
    <w:p w14:paraId="0D3267F5" w14:textId="77777777" w:rsidR="004B3F8F" w:rsidRPr="004B3F8F" w:rsidRDefault="004B3F8F" w:rsidP="004B3F8F">
      <w:pPr>
        <w:spacing w:line="480" w:lineRule="auto"/>
        <w:ind w:left="851" w:hanging="851"/>
        <w:jc w:val="both"/>
        <w:rPr>
          <w:rFonts w:eastAsiaTheme="minorHAnsi"/>
          <w:kern w:val="0"/>
          <w:lang w:eastAsia="en-US"/>
          <w14:ligatures w14:val="none"/>
        </w:rPr>
      </w:pPr>
      <w:r w:rsidRPr="004B3F8F">
        <w:rPr>
          <w:rFonts w:ascii="Arial" w:eastAsiaTheme="minorHAnsi" w:hAnsi="Arial" w:cs="Arial"/>
          <w:kern w:val="0"/>
          <w:shd w:val="clear" w:color="auto" w:fill="FFFFFF"/>
          <w:lang w:eastAsia="en-US"/>
          <w14:ligatures w14:val="none"/>
        </w:rPr>
        <w:t>Mathieu, C., &amp; Babiak, P. 2016. Corporate psychopathy and abusive supervision: Their influence on employees' job satisfaction and turnover intentions. </w:t>
      </w:r>
      <w:r w:rsidRPr="004B3F8F">
        <w:rPr>
          <w:rFonts w:ascii="Arial" w:eastAsiaTheme="minorHAnsi" w:hAnsi="Arial" w:cs="Arial"/>
          <w:i/>
          <w:iCs/>
          <w:kern w:val="0"/>
          <w:shd w:val="clear" w:color="auto" w:fill="FFFFFF"/>
          <w:lang w:eastAsia="en-US"/>
          <w14:ligatures w14:val="none"/>
        </w:rPr>
        <w:t>Personality and Individual Differences</w:t>
      </w:r>
      <w:r w:rsidRPr="004B3F8F">
        <w:rPr>
          <w:rFonts w:ascii="Arial" w:eastAsiaTheme="minorHAnsi" w:hAnsi="Arial" w:cs="Arial"/>
          <w:kern w:val="0"/>
          <w:shd w:val="clear" w:color="auto" w:fill="FFFFFF"/>
          <w:lang w:eastAsia="en-US"/>
          <w14:ligatures w14:val="none"/>
        </w:rPr>
        <w:t>, </w:t>
      </w:r>
      <w:r w:rsidRPr="004B3F8F">
        <w:rPr>
          <w:rFonts w:ascii="Arial" w:eastAsiaTheme="minorHAnsi" w:hAnsi="Arial" w:cs="Arial"/>
          <w:i/>
          <w:iCs/>
          <w:kern w:val="0"/>
          <w:shd w:val="clear" w:color="auto" w:fill="FFFFFF"/>
          <w:lang w:eastAsia="en-US"/>
          <w14:ligatures w14:val="none"/>
        </w:rPr>
        <w:t>91</w:t>
      </w:r>
      <w:r w:rsidRPr="004B3F8F">
        <w:rPr>
          <w:rFonts w:ascii="Arial" w:eastAsiaTheme="minorHAnsi" w:hAnsi="Arial" w:cs="Arial"/>
          <w:kern w:val="0"/>
          <w:shd w:val="clear" w:color="auto" w:fill="FFFFFF"/>
          <w:lang w:eastAsia="en-US"/>
          <w14:ligatures w14:val="none"/>
        </w:rPr>
        <w:t>, 102-106.</w:t>
      </w:r>
    </w:p>
    <w:p w14:paraId="61CACE82"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Matsueda, M.L. 1988. “The Current State of Differential Association Theory.” </w:t>
      </w:r>
      <w:r w:rsidRPr="004B3F8F">
        <w:rPr>
          <w:rFonts w:ascii="Arial" w:eastAsiaTheme="minorHAnsi" w:hAnsi="Arial" w:cs="Arial"/>
          <w:i/>
          <w:iCs/>
          <w:kern w:val="0"/>
          <w:lang w:val="en-US" w:eastAsia="en-US"/>
          <w14:ligatures w14:val="none"/>
        </w:rPr>
        <w:t>Crime and Delinquency</w:t>
      </w:r>
      <w:r w:rsidRPr="004B3F8F">
        <w:rPr>
          <w:rFonts w:ascii="Arial" w:eastAsiaTheme="minorHAnsi" w:hAnsi="Arial" w:cs="Arial"/>
          <w:kern w:val="0"/>
          <w:lang w:val="en-US" w:eastAsia="en-US"/>
          <w14:ligatures w14:val="none"/>
        </w:rPr>
        <w:t xml:space="preserve"> 34, no. 3, p. 277.</w:t>
      </w:r>
    </w:p>
    <w:p w14:paraId="3C614D62" w14:textId="77777777" w:rsidR="004B3F8F" w:rsidRPr="004B3F8F" w:rsidRDefault="004B3F8F" w:rsidP="004B3F8F">
      <w:pPr>
        <w:spacing w:line="480" w:lineRule="auto"/>
        <w:ind w:left="851" w:hanging="851"/>
        <w:rPr>
          <w:rFonts w:ascii="Arial" w:hAnsi="Arial" w:cs="Arial"/>
          <w:color w:val="222222"/>
          <w:shd w:val="clear" w:color="auto" w:fill="FFFFFF"/>
        </w:rPr>
      </w:pPr>
      <w:r w:rsidRPr="004B3F8F">
        <w:rPr>
          <w:rFonts w:ascii="Arial" w:hAnsi="Arial" w:cs="Arial"/>
          <w:color w:val="222222"/>
          <w:shd w:val="clear" w:color="auto" w:fill="FFFFFF"/>
        </w:rPr>
        <w:t>Mathieu, C., 2022. Psychopathy and corporate crime. In </w:t>
      </w:r>
      <w:r w:rsidRPr="004B3F8F">
        <w:rPr>
          <w:rFonts w:ascii="Arial" w:hAnsi="Arial" w:cs="Arial"/>
          <w:i/>
          <w:iCs/>
          <w:color w:val="222222"/>
          <w:shd w:val="clear" w:color="auto" w:fill="FFFFFF"/>
        </w:rPr>
        <w:t>Psychopathy and Criminal Behavior</w:t>
      </w:r>
      <w:r w:rsidRPr="004B3F8F">
        <w:rPr>
          <w:rFonts w:ascii="Arial" w:hAnsi="Arial" w:cs="Arial"/>
          <w:color w:val="222222"/>
          <w:shd w:val="clear" w:color="auto" w:fill="FFFFFF"/>
        </w:rPr>
        <w:t> (pp. 403-421). Academic Press.</w:t>
      </w:r>
    </w:p>
    <w:p w14:paraId="7BE2819D"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Theme="minorBidi" w:eastAsia="Times New Roman" w:hAnsiTheme="minorBidi"/>
          <w:kern w:val="0"/>
          <w:lang w:eastAsia="en-US"/>
          <w14:ligatures w14:val="none"/>
        </w:rPr>
        <w:t xml:space="preserve">Mathieu, C., Neumann, C. S., Hare, R. D., &amp; Babiak, P. 2021. "Corporate Psychopathy and Dysfunctional Leadership." </w:t>
      </w:r>
      <w:r w:rsidRPr="004B3F8F">
        <w:rPr>
          <w:rFonts w:asciiTheme="minorBidi" w:eastAsia="Times New Roman" w:hAnsiTheme="minorBidi"/>
          <w:i/>
          <w:iCs/>
          <w:kern w:val="0"/>
          <w:lang w:eastAsia="en-US"/>
          <w14:ligatures w14:val="none"/>
        </w:rPr>
        <w:t>Journal of Applied Psychology</w:t>
      </w:r>
      <w:r w:rsidRPr="004B3F8F">
        <w:rPr>
          <w:rFonts w:asciiTheme="minorBidi" w:eastAsia="Times New Roman" w:hAnsiTheme="minorBidi"/>
          <w:kern w:val="0"/>
          <w:lang w:eastAsia="en-US"/>
          <w14:ligatures w14:val="none"/>
        </w:rPr>
        <w:t>.</w:t>
      </w:r>
    </w:p>
    <w:p w14:paraId="3B935C25"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eastAsia="Times New Roman" w:hAnsi="Arial" w:cs="Arial"/>
          <w:kern w:val="0"/>
          <w:lang w:eastAsia="en-US"/>
          <w14:ligatures w14:val="none"/>
        </w:rPr>
        <w:t xml:space="preserve">Mathison, S. 1988. Why triangulate? </w:t>
      </w:r>
      <w:r w:rsidRPr="004B3F8F">
        <w:rPr>
          <w:rFonts w:ascii="Arial" w:eastAsia="Times New Roman" w:hAnsi="Arial" w:cs="Arial"/>
          <w:i/>
          <w:iCs/>
          <w:kern w:val="0"/>
          <w:lang w:eastAsia="en-US"/>
          <w14:ligatures w14:val="none"/>
        </w:rPr>
        <w:t>Educational Researcher, 17</w:t>
      </w:r>
      <w:r w:rsidRPr="004B3F8F">
        <w:rPr>
          <w:rFonts w:ascii="Arial" w:eastAsia="Times New Roman" w:hAnsi="Arial" w:cs="Arial"/>
          <w:kern w:val="0"/>
          <w:lang w:eastAsia="en-US"/>
          <w14:ligatures w14:val="none"/>
        </w:rPr>
        <w:t>(2), 13-17</w:t>
      </w:r>
    </w:p>
    <w:p w14:paraId="1F42D7E0"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Maulida, W.Y. and Bayunitri, B.I., 2021. The influence of whistleblowing system toward fraud prevention. </w:t>
      </w:r>
      <w:r w:rsidRPr="004B3F8F">
        <w:rPr>
          <w:rFonts w:ascii="Arial" w:hAnsi="Arial" w:cs="Arial"/>
          <w:i/>
          <w:iCs/>
          <w:color w:val="222222"/>
          <w:shd w:val="clear" w:color="auto" w:fill="FFFFFF"/>
        </w:rPr>
        <w:t>International Journal of Financial, Accounting, and Management</w:t>
      </w:r>
      <w:r w:rsidRPr="004B3F8F">
        <w:rPr>
          <w:rFonts w:ascii="Arial" w:hAnsi="Arial" w:cs="Arial"/>
          <w:color w:val="222222"/>
          <w:shd w:val="clear" w:color="auto" w:fill="FFFFFF"/>
        </w:rPr>
        <w:t>, </w:t>
      </w:r>
      <w:r w:rsidRPr="004B3F8F">
        <w:rPr>
          <w:rFonts w:ascii="Arial" w:hAnsi="Arial" w:cs="Arial"/>
          <w:i/>
          <w:iCs/>
          <w:color w:val="222222"/>
          <w:shd w:val="clear" w:color="auto" w:fill="FFFFFF"/>
        </w:rPr>
        <w:t>2</w:t>
      </w:r>
      <w:r w:rsidRPr="004B3F8F">
        <w:rPr>
          <w:rFonts w:ascii="Arial" w:hAnsi="Arial" w:cs="Arial"/>
          <w:color w:val="222222"/>
          <w:shd w:val="clear" w:color="auto" w:fill="FFFFFF"/>
        </w:rPr>
        <w:t>(4), pp.275-294.</w:t>
      </w:r>
    </w:p>
    <w:p w14:paraId="62607D72"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eastAsia="en-US"/>
          <w14:ligatures w14:val="none"/>
        </w:rPr>
      </w:pPr>
      <w:r w:rsidRPr="004B3F8F">
        <w:rPr>
          <w:rFonts w:ascii="Arial" w:eastAsiaTheme="minorHAnsi" w:hAnsi="Arial" w:cs="Arial"/>
          <w:kern w:val="0"/>
          <w:shd w:val="clear" w:color="auto" w:fill="FFFFFF"/>
          <w:lang w:eastAsia="en-US"/>
          <w14:ligatures w14:val="none"/>
        </w:rPr>
        <w:lastRenderedPageBreak/>
        <w:t>May, T. 2011</w:t>
      </w:r>
      <w:r w:rsidRPr="004B3F8F">
        <w:rPr>
          <w:rFonts w:ascii="Arial" w:eastAsiaTheme="minorHAnsi" w:hAnsi="Arial" w:cs="Arial"/>
          <w:i/>
          <w:iCs/>
          <w:kern w:val="0"/>
          <w:shd w:val="clear" w:color="auto" w:fill="FFFFFF"/>
          <w:lang w:eastAsia="en-US"/>
          <w14:ligatures w14:val="none"/>
        </w:rPr>
        <w:t>.</w:t>
      </w:r>
      <w:r w:rsidRPr="004B3F8F">
        <w:rPr>
          <w:rFonts w:ascii="Arial" w:eastAsiaTheme="minorHAnsi" w:hAnsi="Arial" w:cs="Arial"/>
          <w:kern w:val="0"/>
          <w:shd w:val="clear" w:color="auto" w:fill="FFFFFF"/>
          <w:lang w:eastAsia="en-US"/>
          <w14:ligatures w14:val="none"/>
        </w:rPr>
        <w:t xml:space="preserve"> Social </w:t>
      </w:r>
      <w:r w:rsidRPr="004B3F8F">
        <w:rPr>
          <w:rFonts w:ascii="Arial" w:eastAsiaTheme="minorHAnsi" w:hAnsi="Arial" w:cs="Arial"/>
          <w:i/>
          <w:iCs/>
          <w:kern w:val="0"/>
          <w:shd w:val="clear" w:color="auto" w:fill="FFFFFF"/>
          <w:lang w:eastAsia="en-US"/>
          <w14:ligatures w14:val="none"/>
        </w:rPr>
        <w:t>Research</w:t>
      </w:r>
      <w:r w:rsidRPr="004B3F8F">
        <w:rPr>
          <w:rFonts w:ascii="Arial" w:eastAsiaTheme="minorHAnsi" w:hAnsi="Arial" w:cs="Arial"/>
          <w:kern w:val="0"/>
          <w:shd w:val="clear" w:color="auto" w:fill="FFFFFF"/>
          <w:lang w:eastAsia="en-US"/>
          <w14:ligatures w14:val="none"/>
        </w:rPr>
        <w:t>: Issues, </w:t>
      </w:r>
      <w:r w:rsidRPr="004B3F8F">
        <w:rPr>
          <w:rFonts w:ascii="Arial" w:eastAsiaTheme="minorHAnsi" w:hAnsi="Arial" w:cs="Arial"/>
          <w:i/>
          <w:iCs/>
          <w:kern w:val="0"/>
          <w:shd w:val="clear" w:color="auto" w:fill="FFFFFF"/>
          <w:lang w:eastAsia="en-US"/>
          <w14:ligatures w14:val="none"/>
        </w:rPr>
        <w:t>Methods</w:t>
      </w:r>
      <w:r w:rsidRPr="004B3F8F">
        <w:rPr>
          <w:rFonts w:ascii="Arial" w:eastAsiaTheme="minorHAnsi" w:hAnsi="Arial" w:cs="Arial"/>
          <w:kern w:val="0"/>
          <w:shd w:val="clear" w:color="auto" w:fill="FFFFFF"/>
          <w:lang w:eastAsia="en-US"/>
          <w14:ligatures w14:val="none"/>
        </w:rPr>
        <w:t> and Process. 4th Edition. Maidenhead, Berks: Open University Press/Mc Graw-Hill</w:t>
      </w:r>
    </w:p>
    <w:p w14:paraId="2AB96CC9"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Mayer, D.M., Nurmohamed, S., Treviño, L.K., Shapiro, D.L., &amp; Schminke, M. 2013. "Encouraging employees to report unethical conduct internally: It takes a village." Organizational Behavior and Human Decision Processes, 121(1), 89-103. This research emphasizes the need for a supportive environment to foster internal reporting of unethical conduct.</w:t>
      </w:r>
    </w:p>
    <w:p w14:paraId="268F23DA"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de-DE" w:eastAsia="en-US"/>
          <w14:ligatures w14:val="none"/>
        </w:rPr>
        <w:t xml:space="preserve">Mayer-Schönberger, V., and Cukier, K. 2013. </w:t>
      </w:r>
      <w:r w:rsidRPr="004B3F8F">
        <w:rPr>
          <w:rFonts w:ascii="Arial" w:eastAsiaTheme="minorHAnsi" w:hAnsi="Arial" w:cs="Arial"/>
          <w:i/>
          <w:iCs/>
          <w:kern w:val="0"/>
          <w:lang w:val="en-US" w:eastAsia="en-US"/>
          <w14:ligatures w14:val="none"/>
        </w:rPr>
        <w:t>Big Data: A Revolution That Will Transform How We Live, Work, and Think</w:t>
      </w:r>
      <w:r w:rsidRPr="004B3F8F">
        <w:rPr>
          <w:rFonts w:ascii="Arial" w:eastAsiaTheme="minorHAnsi" w:hAnsi="Arial" w:cs="Arial"/>
          <w:kern w:val="0"/>
          <w:lang w:val="en-US" w:eastAsia="en-US"/>
          <w14:ligatures w14:val="none"/>
        </w:rPr>
        <w:t>. New York. MA: Eamon Dolan/Houghton Mifflin Harcourt.</w:t>
      </w:r>
    </w:p>
    <w:p w14:paraId="5C5F2AF3" w14:textId="77777777" w:rsidR="004B3F8F" w:rsidRPr="004B3F8F" w:rsidRDefault="004B3F8F" w:rsidP="004B3F8F">
      <w:pPr>
        <w:spacing w:after="0" w:line="480" w:lineRule="auto"/>
        <w:ind w:left="851" w:hanging="851"/>
        <w:contextualSpacing/>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McDaniel, M. A., &amp; Jones, J. W. 2020. The measurement of integrity in selection: An overview. </w:t>
      </w:r>
      <w:r w:rsidRPr="004B3F8F">
        <w:rPr>
          <w:rFonts w:asciiTheme="minorBidi" w:eastAsia="Times New Roman" w:hAnsiTheme="minorBidi"/>
          <w:i/>
          <w:iCs/>
          <w:kern w:val="0"/>
          <w14:ligatures w14:val="none"/>
        </w:rPr>
        <w:t>Public Personnel Management</w:t>
      </w:r>
      <w:r w:rsidRPr="004B3F8F">
        <w:rPr>
          <w:rFonts w:asciiTheme="minorBidi" w:eastAsia="Times New Roman" w:hAnsiTheme="minorBidi"/>
          <w:kern w:val="0"/>
          <w14:ligatures w14:val="none"/>
        </w:rPr>
        <w:t>, 49(1), 1-18.</w:t>
      </w:r>
    </w:p>
    <w:p w14:paraId="49FF946D"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70" w:name="_Hlk42378905"/>
      <w:r w:rsidRPr="004B3F8F">
        <w:rPr>
          <w:rFonts w:ascii="Arial" w:eastAsiaTheme="minorHAnsi" w:hAnsi="Arial" w:cs="Arial"/>
          <w:kern w:val="0"/>
          <w:lang w:val="en-US" w:eastAsia="en-US"/>
          <w14:ligatures w14:val="none"/>
        </w:rPr>
        <w:t>Mckee</w:t>
      </w:r>
      <w:bookmarkEnd w:id="970"/>
      <w:r w:rsidRPr="004B3F8F">
        <w:rPr>
          <w:rFonts w:ascii="Arial" w:eastAsiaTheme="minorHAnsi" w:hAnsi="Arial" w:cs="Arial"/>
          <w:kern w:val="0"/>
          <w:lang w:val="en-US" w:eastAsia="en-US"/>
          <w14:ligatures w14:val="none"/>
        </w:rPr>
        <w:t xml:space="preserve">, M., and R. </w:t>
      </w:r>
      <w:bookmarkStart w:id="971" w:name="_Hlk42378917"/>
      <w:r w:rsidRPr="004B3F8F">
        <w:rPr>
          <w:rFonts w:ascii="Arial" w:eastAsiaTheme="minorHAnsi" w:hAnsi="Arial" w:cs="Arial"/>
          <w:kern w:val="0"/>
          <w:lang w:val="en-US" w:eastAsia="en-US"/>
          <w14:ligatures w14:val="none"/>
        </w:rPr>
        <w:t>Santore</w:t>
      </w:r>
      <w:bookmarkEnd w:id="971"/>
      <w:r w:rsidRPr="004B3F8F">
        <w:rPr>
          <w:rFonts w:ascii="Arial" w:eastAsiaTheme="minorHAnsi" w:hAnsi="Arial" w:cs="Arial"/>
          <w:kern w:val="0"/>
          <w:lang w:val="en-US" w:eastAsia="en-US"/>
          <w14:ligatures w14:val="none"/>
        </w:rPr>
        <w:t xml:space="preserve">. 2008. “Hand in the Cookie Jar: An Experimental Investigation of Equity-Based Compensation and Managerial Fraud.” </w:t>
      </w:r>
      <w:r w:rsidRPr="004B3F8F">
        <w:rPr>
          <w:rFonts w:ascii="Arial" w:eastAsiaTheme="minorHAnsi" w:hAnsi="Arial" w:cs="Arial"/>
          <w:i/>
          <w:iCs/>
          <w:kern w:val="0"/>
          <w:lang w:val="en-US" w:eastAsia="en-US"/>
          <w14:ligatures w14:val="none"/>
        </w:rPr>
        <w:t>Southern Economic Journal</w:t>
      </w:r>
      <w:r w:rsidRPr="004B3F8F">
        <w:rPr>
          <w:rFonts w:ascii="Arial" w:eastAsiaTheme="minorHAnsi" w:hAnsi="Arial" w:cs="Arial"/>
          <w:kern w:val="0"/>
          <w:lang w:val="en-US" w:eastAsia="en-US"/>
          <w14:ligatures w14:val="none"/>
        </w:rPr>
        <w:t xml:space="preserve"> 75, no. 1, pp. 261-78.</w:t>
      </w:r>
    </w:p>
    <w:p w14:paraId="6CEE05DE"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bookmarkStart w:id="972" w:name="_Hlk42378929"/>
      <w:r w:rsidRPr="004B3F8F">
        <w:rPr>
          <w:rFonts w:ascii="Arial" w:eastAsiaTheme="minorHAnsi" w:hAnsi="Arial" w:cs="Arial"/>
          <w:kern w:val="0"/>
          <w:lang w:val="en-US" w:eastAsia="en-US"/>
          <w14:ligatures w14:val="none"/>
        </w:rPr>
        <w:t>McKinsey</w:t>
      </w:r>
      <w:bookmarkEnd w:id="972"/>
      <w:r w:rsidRPr="004B3F8F">
        <w:rPr>
          <w:rFonts w:ascii="Arial" w:eastAsiaTheme="minorHAnsi" w:hAnsi="Arial" w:cs="Arial"/>
          <w:kern w:val="0"/>
          <w:lang w:val="en-US" w:eastAsia="en-US"/>
          <w14:ligatures w14:val="none"/>
        </w:rPr>
        <w:t xml:space="preserve">. 2011. “Big Data, The Next Frontier for Innovation, Competition and Productivity.” http://www.mckinsey.com/businessfunctions/digital-mckinsey/our-insights/big-data-the-next-frontier-for-innovation, </w:t>
      </w:r>
      <w:r w:rsidRPr="004B3F8F">
        <w:rPr>
          <w:rFonts w:ascii="Arial" w:eastAsiaTheme="minorHAnsi" w:hAnsi="Arial" w:cs="Arial"/>
          <w:kern w:val="0"/>
          <w:shd w:val="clear" w:color="auto" w:fill="FFFFFF"/>
          <w:lang w:val="en-US" w:eastAsia="en-US"/>
          <w14:ligatures w14:val="none"/>
        </w:rPr>
        <w:t>(accessed April 27, 2018).</w:t>
      </w:r>
    </w:p>
    <w:p w14:paraId="0264018D" w14:textId="77777777" w:rsidR="004B3F8F" w:rsidRPr="004B3F8F" w:rsidRDefault="004B3F8F" w:rsidP="004B3F8F">
      <w:pPr>
        <w:spacing w:line="480" w:lineRule="auto"/>
        <w:ind w:left="851" w:hanging="851"/>
        <w:jc w:val="both"/>
        <w:rPr>
          <w:rFonts w:ascii="Arial" w:eastAsiaTheme="minorHAnsi" w:hAnsi="Arial" w:cs="Arial"/>
          <w:color w:val="222222"/>
          <w:kern w:val="0"/>
          <w:shd w:val="clear" w:color="auto" w:fill="FFFFFF"/>
          <w:lang w:eastAsia="en-US"/>
          <w14:ligatures w14:val="none"/>
        </w:rPr>
      </w:pPr>
      <w:r w:rsidRPr="004B3F8F">
        <w:rPr>
          <w:rFonts w:ascii="Arial" w:eastAsiaTheme="minorHAnsi" w:hAnsi="Arial" w:cs="Arial"/>
          <w:color w:val="222222"/>
          <w:kern w:val="0"/>
          <w:shd w:val="clear" w:color="auto" w:fill="FFFFFF"/>
          <w:lang w:eastAsia="en-US"/>
          <w14:ligatures w14:val="none"/>
        </w:rPr>
        <w:t>McMurray, C. T. 2023. </w:t>
      </w:r>
      <w:r w:rsidRPr="004B3F8F">
        <w:rPr>
          <w:rFonts w:ascii="Arial" w:eastAsiaTheme="minorHAnsi" w:hAnsi="Arial" w:cs="Arial"/>
          <w:i/>
          <w:iCs/>
          <w:color w:val="222222"/>
          <w:kern w:val="0"/>
          <w:shd w:val="clear" w:color="auto" w:fill="FFFFFF"/>
          <w:lang w:eastAsia="en-US"/>
          <w14:ligatures w14:val="none"/>
        </w:rPr>
        <w:t>Dark Side and Toxic Leadership in Corporate Fraud and Embezzlement</w:t>
      </w:r>
      <w:r w:rsidRPr="004B3F8F">
        <w:rPr>
          <w:rFonts w:ascii="Arial" w:eastAsiaTheme="minorHAnsi" w:hAnsi="Arial" w:cs="Arial"/>
          <w:color w:val="222222"/>
          <w:kern w:val="0"/>
          <w:shd w:val="clear" w:color="auto" w:fill="FFFFFF"/>
          <w:lang w:eastAsia="en-US"/>
          <w14:ligatures w14:val="none"/>
        </w:rPr>
        <w:t> (Doctoral dissertation, University of the Cumberlands).</w:t>
      </w:r>
    </w:p>
    <w:p w14:paraId="519C20EA"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73" w:name="_Hlk42378942"/>
      <w:r w:rsidRPr="004B3F8F">
        <w:rPr>
          <w:rFonts w:ascii="Arial" w:eastAsiaTheme="minorHAnsi" w:hAnsi="Arial" w:cs="Arial"/>
          <w:kern w:val="0"/>
          <w:lang w:val="en-US" w:eastAsia="en-US"/>
          <w14:ligatures w14:val="none"/>
        </w:rPr>
        <w:t>Mehta</w:t>
      </w:r>
      <w:bookmarkEnd w:id="973"/>
      <w:r w:rsidRPr="004B3F8F">
        <w:rPr>
          <w:rFonts w:ascii="Arial" w:eastAsiaTheme="minorHAnsi" w:hAnsi="Arial" w:cs="Arial"/>
          <w:kern w:val="0"/>
          <w:lang w:val="en-US" w:eastAsia="en-US"/>
          <w14:ligatures w14:val="none"/>
        </w:rPr>
        <w:t xml:space="preserve">, A. 2016. </w:t>
      </w:r>
      <w:r w:rsidRPr="004B3F8F">
        <w:rPr>
          <w:rFonts w:ascii="Arial" w:eastAsiaTheme="minorHAnsi" w:hAnsi="Arial" w:cs="Arial"/>
          <w:i/>
          <w:kern w:val="0"/>
          <w:lang w:val="en-US" w:eastAsia="en-US"/>
          <w14:ligatures w14:val="none"/>
        </w:rPr>
        <w:t>Toshiba: Accounting Fraud</w:t>
      </w:r>
      <w:r w:rsidRPr="004B3F8F">
        <w:rPr>
          <w:rFonts w:ascii="Arial" w:eastAsiaTheme="minorHAnsi" w:hAnsi="Arial" w:cs="Arial"/>
          <w:kern w:val="0"/>
          <w:lang w:val="en-US" w:eastAsia="en-US"/>
          <w14:ligatures w14:val="none"/>
        </w:rPr>
        <w:t>. Case Study. Brighton, MA: Harvard Business Review.</w:t>
      </w:r>
    </w:p>
    <w:p w14:paraId="6DA78EAB"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lastRenderedPageBreak/>
        <w:t>Melé, D., 2019. </w:t>
      </w:r>
      <w:r w:rsidRPr="004B3F8F">
        <w:rPr>
          <w:rFonts w:ascii="Arial" w:hAnsi="Arial" w:cs="Arial"/>
          <w:i/>
          <w:iCs/>
          <w:color w:val="222222"/>
          <w:shd w:val="clear" w:color="auto" w:fill="FFFFFF"/>
        </w:rPr>
        <w:t>Business ethics in action: Managing human excellence in organizations</w:t>
      </w:r>
      <w:r w:rsidRPr="004B3F8F">
        <w:rPr>
          <w:rFonts w:ascii="Arial" w:hAnsi="Arial" w:cs="Arial"/>
          <w:color w:val="222222"/>
          <w:shd w:val="clear" w:color="auto" w:fill="FFFFFF"/>
        </w:rPr>
        <w:t>. Bloomsbury Publishing.</w:t>
      </w:r>
    </w:p>
    <w:p w14:paraId="501928E9"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Meyer, R.E., &amp; Rowan, B. 2006. "Institutionalized Organizations: Formal Structure as Myth and Ceremony." American Journal of Sociology, 83(2), 340-363.</w:t>
      </w:r>
    </w:p>
    <w:p w14:paraId="704356F9"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Miceli, M.P., Near, J.P., &amp; Dworkin, T.M. 2008. "Whistle-Blowing in Organizations." This book discusses the importance of creating an environment where employees feel safe and supported to report unethical behavior, including fraud.</w:t>
      </w:r>
    </w:p>
    <w:p w14:paraId="626C709D" w14:textId="49F9B483" w:rsidR="004B3F8F" w:rsidRPr="004B3F8F" w:rsidRDefault="004B3F8F" w:rsidP="004B3F8F">
      <w:pPr>
        <w:spacing w:line="480" w:lineRule="auto"/>
        <w:ind w:left="851" w:hanging="851"/>
        <w:jc w:val="both"/>
        <w:rPr>
          <w:rFonts w:asciiTheme="minorBidi" w:hAnsiTheme="minorBidi"/>
          <w:color w:val="222222"/>
          <w:shd w:val="clear" w:color="auto" w:fill="FFFFFF"/>
        </w:rPr>
      </w:pPr>
      <w:r w:rsidRPr="004B3F8F">
        <w:rPr>
          <w:rFonts w:asciiTheme="minorBidi" w:eastAsiaTheme="minorHAnsi" w:hAnsiTheme="minorBidi"/>
          <w:kern w:val="0"/>
          <w:lang w:eastAsia="en-US"/>
          <w14:ligatures w14:val="none"/>
        </w:rPr>
        <w:t>Miles, M. B. &amp; Huberman, A. M., 1994. Qualitative Data Analysis: An Expanded Courseboo</w:t>
      </w:r>
      <w:r w:rsidR="005669C8">
        <w:rPr>
          <w:rFonts w:asciiTheme="minorBidi" w:eastAsiaTheme="minorHAnsi" w:hAnsiTheme="minorBidi"/>
          <w:kern w:val="0"/>
          <w:lang w:eastAsia="en-US"/>
          <w14:ligatures w14:val="none"/>
        </w:rPr>
        <w:t>k</w:t>
      </w:r>
      <w:r w:rsidRPr="004B3F8F">
        <w:rPr>
          <w:rFonts w:asciiTheme="minorBidi" w:eastAsiaTheme="minorHAnsi" w:hAnsiTheme="minorBidi"/>
          <w:kern w:val="0"/>
          <w:lang w:eastAsia="en-US"/>
          <w14:ligatures w14:val="none"/>
        </w:rPr>
        <w:t>. 2nd ed. London: Sage.</w:t>
      </w:r>
    </w:p>
    <w:p w14:paraId="75290F13" w14:textId="77777777" w:rsidR="004B3F8F" w:rsidRPr="004B3F8F" w:rsidRDefault="004B3F8F" w:rsidP="004B3F8F">
      <w:pPr>
        <w:spacing w:line="480" w:lineRule="auto"/>
        <w:ind w:left="851" w:hanging="851"/>
        <w:jc w:val="both"/>
        <w:rPr>
          <w:rFonts w:ascii="Arial" w:eastAsiaTheme="minorHAnsi" w:hAnsi="Arial" w:cs="Arial"/>
          <w:color w:val="222222"/>
          <w:kern w:val="0"/>
          <w:shd w:val="clear" w:color="auto" w:fill="FFFFFF"/>
          <w:lang w:eastAsia="en-US"/>
          <w14:ligatures w14:val="none"/>
        </w:rPr>
      </w:pPr>
      <w:r w:rsidRPr="004B3F8F">
        <w:rPr>
          <w:rFonts w:ascii="Arial" w:eastAsiaTheme="minorHAnsi" w:hAnsi="Arial" w:cs="Arial"/>
          <w:color w:val="222222"/>
          <w:kern w:val="0"/>
          <w:shd w:val="clear" w:color="auto" w:fill="FFFFFF"/>
          <w:lang w:eastAsia="en-US"/>
          <w14:ligatures w14:val="none"/>
        </w:rPr>
        <w:t>Miller, J. D., Back, M. D., Lynam, D. R., &amp; Wright, A. G. 2021. Narcissism today: What we know and what we need to learn. </w:t>
      </w:r>
      <w:r w:rsidRPr="004B3F8F">
        <w:rPr>
          <w:rFonts w:ascii="Arial" w:eastAsiaTheme="minorHAnsi" w:hAnsi="Arial" w:cs="Arial"/>
          <w:i/>
          <w:iCs/>
          <w:color w:val="222222"/>
          <w:kern w:val="0"/>
          <w:shd w:val="clear" w:color="auto" w:fill="FFFFFF"/>
          <w:lang w:eastAsia="en-US"/>
          <w14:ligatures w14:val="none"/>
        </w:rPr>
        <w:t>Current Directions in Psychological Science</w:t>
      </w:r>
      <w:r w:rsidRPr="004B3F8F">
        <w:rPr>
          <w:rFonts w:ascii="Arial" w:eastAsiaTheme="minorHAnsi" w:hAnsi="Arial" w:cs="Arial"/>
          <w:color w:val="222222"/>
          <w:kern w:val="0"/>
          <w:shd w:val="clear" w:color="auto" w:fill="FFFFFF"/>
          <w:lang w:eastAsia="en-US"/>
          <w14:ligatures w14:val="none"/>
        </w:rPr>
        <w:t>, </w:t>
      </w:r>
      <w:r w:rsidRPr="004B3F8F">
        <w:rPr>
          <w:rFonts w:ascii="Arial" w:eastAsiaTheme="minorHAnsi" w:hAnsi="Arial" w:cs="Arial"/>
          <w:i/>
          <w:iCs/>
          <w:color w:val="222222"/>
          <w:kern w:val="0"/>
          <w:shd w:val="clear" w:color="auto" w:fill="FFFFFF"/>
          <w:lang w:eastAsia="en-US"/>
          <w14:ligatures w14:val="none"/>
        </w:rPr>
        <w:t>30</w:t>
      </w:r>
      <w:r w:rsidRPr="004B3F8F">
        <w:rPr>
          <w:rFonts w:ascii="Arial" w:eastAsiaTheme="minorHAnsi" w:hAnsi="Arial" w:cs="Arial"/>
          <w:color w:val="222222"/>
          <w:kern w:val="0"/>
          <w:shd w:val="clear" w:color="auto" w:fill="FFFFFF"/>
          <w:lang w:eastAsia="en-US"/>
          <w14:ligatures w14:val="none"/>
        </w:rPr>
        <w:t>(6), 519-525.</w:t>
      </w:r>
    </w:p>
    <w:p w14:paraId="43343627"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Miller, J.D., Lynam, D.R., &amp; Campbell, W.K. 2016. "Examining the Dark Triad of Personality: A Review and Theoretical Integration." Personality and Social Psychology Review, 20(3), 254-269.</w:t>
      </w:r>
    </w:p>
    <w:p w14:paraId="450E3F86"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Milligan, K. 2017. "Wells Fargo: Setting the Stagecoach Thundering Again." </w:t>
      </w:r>
      <w:r w:rsidRPr="004B3F8F">
        <w:rPr>
          <w:rFonts w:asciiTheme="minorBidi" w:eastAsia="Times New Roman" w:hAnsiTheme="minorBidi"/>
          <w:i/>
          <w:iCs/>
          <w:kern w:val="0"/>
          <w14:ligatures w14:val="none"/>
        </w:rPr>
        <w:t>Business and Society Review</w:t>
      </w:r>
      <w:r w:rsidRPr="004B3F8F">
        <w:rPr>
          <w:rFonts w:asciiTheme="minorBidi" w:eastAsia="Times New Roman" w:hAnsiTheme="minorBidi"/>
          <w:kern w:val="0"/>
          <w14:ligatures w14:val="none"/>
        </w:rPr>
        <w:t>, 122(1), 21-52.</w:t>
      </w:r>
    </w:p>
    <w:p w14:paraId="4EA7CAD9" w14:textId="77777777" w:rsidR="004B3F8F" w:rsidRPr="004B3F8F" w:rsidRDefault="004B3F8F" w:rsidP="004B3F8F">
      <w:pPr>
        <w:spacing w:after="0" w:line="360" w:lineRule="auto"/>
        <w:ind w:left="851" w:hanging="851"/>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t xml:space="preserve">Mingers, J. 2001. </w:t>
      </w:r>
      <w:r w:rsidRPr="004B3F8F">
        <w:rPr>
          <w:rFonts w:ascii="Arial" w:eastAsiaTheme="minorHAnsi" w:hAnsi="Arial" w:cs="Arial"/>
          <w:i/>
          <w:iCs/>
          <w:kern w:val="0"/>
          <w:lang w:eastAsia="en-US"/>
          <w14:ligatures w14:val="none"/>
        </w:rPr>
        <w:t>‘’Combining IS research methods: towards a pluralist methodology. Information systems research’’</w:t>
      </w:r>
      <w:r w:rsidRPr="004B3F8F">
        <w:rPr>
          <w:rFonts w:ascii="Arial" w:eastAsiaTheme="minorHAnsi" w:hAnsi="Arial" w:cs="Arial"/>
          <w:kern w:val="0"/>
          <w:lang w:eastAsia="en-US"/>
          <w14:ligatures w14:val="none"/>
        </w:rPr>
        <w:t>, 12(3), Pp. 240-259.</w:t>
      </w:r>
    </w:p>
    <w:p w14:paraId="161DD880" w14:textId="77777777" w:rsidR="004B3F8F" w:rsidRPr="004B3F8F" w:rsidRDefault="004B3F8F" w:rsidP="004B3F8F">
      <w:pPr>
        <w:spacing w:after="0" w:line="360" w:lineRule="auto"/>
        <w:ind w:left="851" w:hanging="851"/>
        <w:jc w:val="both"/>
        <w:rPr>
          <w:rFonts w:ascii="Arial" w:eastAsiaTheme="minorHAnsi" w:hAnsi="Arial" w:cs="Arial"/>
          <w:kern w:val="0"/>
          <w:lang w:eastAsia="en-US"/>
          <w14:ligatures w14:val="none"/>
        </w:rPr>
      </w:pPr>
    </w:p>
    <w:p w14:paraId="12076F09"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Mintz, S. and Morris, R.E., 2022. </w:t>
      </w:r>
      <w:r w:rsidRPr="004B3F8F">
        <w:rPr>
          <w:rFonts w:ascii="Arial" w:hAnsi="Arial" w:cs="Arial"/>
          <w:i/>
          <w:iCs/>
          <w:color w:val="222222"/>
          <w:shd w:val="clear" w:color="auto" w:fill="FFFFFF"/>
        </w:rPr>
        <w:t>Ethical obligations and decision making in accounting</w:t>
      </w:r>
      <w:r w:rsidRPr="004B3F8F">
        <w:rPr>
          <w:rFonts w:ascii="Arial" w:hAnsi="Arial" w:cs="Arial"/>
          <w:color w:val="222222"/>
          <w:shd w:val="clear" w:color="auto" w:fill="FFFFFF"/>
        </w:rPr>
        <w:t>. McGraw-Hill US Higher Ed USE</w:t>
      </w:r>
    </w:p>
    <w:p w14:paraId="423B5927" w14:textId="77777777" w:rsidR="004B3F8F" w:rsidRPr="004B3F8F" w:rsidRDefault="004B3F8F" w:rsidP="004B3F8F">
      <w:pPr>
        <w:spacing w:after="0" w:line="360" w:lineRule="auto"/>
        <w:ind w:left="851" w:hanging="851"/>
        <w:jc w:val="both"/>
        <w:rPr>
          <w:rFonts w:ascii="Arial" w:eastAsiaTheme="minorHAnsi" w:hAnsi="Arial" w:cs="Arial"/>
          <w:i/>
          <w:iCs/>
          <w:kern w:val="0"/>
          <w:lang w:eastAsia="en-US"/>
          <w14:ligatures w14:val="none"/>
        </w:rPr>
      </w:pPr>
      <w:r w:rsidRPr="004B3F8F">
        <w:rPr>
          <w:rFonts w:ascii="Arial" w:eastAsiaTheme="minorHAnsi" w:hAnsi="Arial" w:cs="Arial"/>
          <w:kern w:val="0"/>
          <w:shd w:val="clear" w:color="auto" w:fill="FFFFFF"/>
          <w:lang w:eastAsia="en-US"/>
          <w14:ligatures w14:val="none"/>
        </w:rPr>
        <w:lastRenderedPageBreak/>
        <w:t xml:space="preserve">Moeini. S. 2014. </w:t>
      </w:r>
      <w:r w:rsidRPr="004B3F8F">
        <w:rPr>
          <w:rFonts w:ascii="Arial" w:eastAsiaTheme="minorHAnsi" w:hAnsi="Arial" w:cs="Arial"/>
          <w:i/>
          <w:iCs/>
          <w:kern w:val="0"/>
          <w:shd w:val="clear" w:color="auto" w:fill="FFFFFF"/>
          <w:lang w:eastAsia="en-US"/>
          <w14:ligatures w14:val="none"/>
        </w:rPr>
        <w:t>‘’Approaches to identify research gaps and generate research questions’</w:t>
      </w:r>
      <w:r w:rsidRPr="004B3F8F">
        <w:rPr>
          <w:rFonts w:ascii="Arial" w:eastAsiaTheme="minorHAnsi" w:hAnsi="Arial" w:cs="Arial"/>
          <w:kern w:val="0"/>
          <w:shd w:val="clear" w:color="auto" w:fill="FFFFFF"/>
          <w:lang w:eastAsia="en-US"/>
          <w14:ligatures w14:val="none"/>
        </w:rPr>
        <w:t xml:space="preserve">’. </w:t>
      </w:r>
      <w:hyperlink r:id="rId101" w:history="1">
        <w:r w:rsidRPr="004B3F8F">
          <w:rPr>
            <w:rFonts w:ascii="Arial" w:eastAsiaTheme="minorHAnsi" w:hAnsi="Arial" w:cs="Arial"/>
            <w:kern w:val="0"/>
            <w:shd w:val="clear" w:color="auto" w:fill="FFFFFF"/>
            <w:lang w:eastAsia="en-US"/>
            <w14:ligatures w14:val="none"/>
          </w:rPr>
          <w:t> https://www.linkedin.com/pulse/20140912150946-275561203-6-very-useful-approaches-to-identify-research-gaps-and-generate-research-questions</w:t>
        </w:r>
      </w:hyperlink>
      <w:r w:rsidRPr="004B3F8F">
        <w:rPr>
          <w:rFonts w:ascii="Arial" w:eastAsiaTheme="minorHAnsi" w:hAnsi="Arial" w:cs="Arial"/>
          <w:kern w:val="0"/>
          <w:shd w:val="clear" w:color="auto" w:fill="FFFFFF"/>
          <w:lang w:eastAsia="en-US"/>
          <w14:ligatures w14:val="none"/>
        </w:rPr>
        <w:t xml:space="preserve"> </w:t>
      </w:r>
      <w:r w:rsidRPr="004B3F8F">
        <w:rPr>
          <w:rFonts w:ascii="Arial" w:eastAsiaTheme="minorHAnsi" w:hAnsi="Arial" w:cs="Arial"/>
          <w:i/>
          <w:iCs/>
          <w:kern w:val="0"/>
          <w:lang w:eastAsia="en-US"/>
          <w14:ligatures w14:val="none"/>
        </w:rPr>
        <w:t>(accessed May 22, 2021)</w:t>
      </w:r>
    </w:p>
    <w:p w14:paraId="79D7FF70" w14:textId="77777777" w:rsidR="004B3F8F" w:rsidRPr="004B3F8F" w:rsidRDefault="004B3F8F" w:rsidP="004B3F8F">
      <w:pPr>
        <w:spacing w:after="0" w:line="360" w:lineRule="auto"/>
        <w:ind w:left="851" w:hanging="851"/>
        <w:jc w:val="both"/>
        <w:rPr>
          <w:rFonts w:ascii="Arial" w:eastAsiaTheme="minorHAnsi" w:hAnsi="Arial" w:cs="Arial"/>
          <w:i/>
          <w:iCs/>
          <w:kern w:val="0"/>
          <w:lang w:eastAsia="en-US"/>
          <w14:ligatures w14:val="none"/>
        </w:rPr>
      </w:pPr>
    </w:p>
    <w:p w14:paraId="6E6F5675" w14:textId="77777777" w:rsidR="004B3F8F" w:rsidRPr="004B3F8F" w:rsidRDefault="004B3F8F" w:rsidP="004B3F8F">
      <w:pPr>
        <w:spacing w:line="480" w:lineRule="auto"/>
        <w:ind w:left="851" w:hanging="851"/>
      </w:pPr>
      <w:r w:rsidRPr="004B3F8F">
        <w:rPr>
          <w:rFonts w:ascii="Arial" w:hAnsi="Arial" w:cs="Arial"/>
          <w:color w:val="222222"/>
          <w:shd w:val="clear" w:color="auto" w:fill="FFFFFF"/>
        </w:rPr>
        <w:t>Mohammed, A., Potdar, V. and Yang, L., 2020. Key factors affecting blockchain adoption in organizations. In </w:t>
      </w:r>
      <w:r w:rsidRPr="004B3F8F">
        <w:rPr>
          <w:rFonts w:ascii="Arial" w:hAnsi="Arial" w:cs="Arial"/>
          <w:i/>
          <w:iCs/>
          <w:color w:val="222222"/>
          <w:shd w:val="clear" w:color="auto" w:fill="FFFFFF"/>
        </w:rPr>
        <w:t>Big Data and Security: First International Conference, ICBDS 2019, Nanjing, China, December 20–22, 2019, Revised Selected Papers 1</w:t>
      </w:r>
      <w:r w:rsidRPr="004B3F8F">
        <w:rPr>
          <w:rFonts w:ascii="Arial" w:hAnsi="Arial" w:cs="Arial"/>
          <w:color w:val="222222"/>
          <w:shd w:val="clear" w:color="auto" w:fill="FFFFFF"/>
        </w:rPr>
        <w:t> (pp. 455-467). Springer Singapore.</w:t>
      </w:r>
    </w:p>
    <w:p w14:paraId="4054C090"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74" w:name="_Hlk42378953"/>
      <w:r w:rsidRPr="004B3F8F">
        <w:rPr>
          <w:rFonts w:ascii="Arial" w:eastAsiaTheme="minorHAnsi" w:hAnsi="Arial" w:cs="Arial"/>
          <w:kern w:val="0"/>
          <w:lang w:val="en-US" w:eastAsia="en-US"/>
          <w14:ligatures w14:val="none"/>
        </w:rPr>
        <w:t>Mokhiber</w:t>
      </w:r>
      <w:bookmarkEnd w:id="974"/>
      <w:r w:rsidRPr="004B3F8F">
        <w:rPr>
          <w:rFonts w:ascii="Arial" w:eastAsiaTheme="minorHAnsi" w:hAnsi="Arial" w:cs="Arial"/>
          <w:kern w:val="0"/>
          <w:lang w:val="en-US" w:eastAsia="en-US"/>
          <w14:ligatures w14:val="none"/>
        </w:rPr>
        <w:t xml:space="preserve">, R. 2007. Twenty Things You Should Know About Corporate Crime. </w:t>
      </w:r>
      <w:r w:rsidRPr="004B3F8F">
        <w:rPr>
          <w:rFonts w:ascii="Arial" w:eastAsiaTheme="minorHAnsi" w:hAnsi="Arial" w:cs="Arial"/>
          <w:i/>
          <w:kern w:val="0"/>
          <w:lang w:val="en-US" w:eastAsia="en-US"/>
          <w14:ligatures w14:val="none"/>
        </w:rPr>
        <w:t>Inc: Taming the Giant Corporation Conference</w:t>
      </w:r>
      <w:r w:rsidRPr="004B3F8F">
        <w:rPr>
          <w:rFonts w:ascii="Arial" w:eastAsiaTheme="minorHAnsi" w:hAnsi="Arial" w:cs="Arial"/>
          <w:kern w:val="0"/>
          <w:lang w:val="en-US" w:eastAsia="en-US"/>
          <w14:ligatures w14:val="none"/>
        </w:rPr>
        <w:t>, Washington, DC.</w:t>
      </w:r>
    </w:p>
    <w:p w14:paraId="0E6C2A1C"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75" w:name="_Hlk42378963"/>
      <w:r w:rsidRPr="004B3F8F">
        <w:rPr>
          <w:rFonts w:ascii="Arial" w:eastAsiaTheme="minorHAnsi" w:hAnsi="Arial" w:cs="Arial"/>
          <w:kern w:val="0"/>
          <w:lang w:val="en-US" w:eastAsia="en-US"/>
          <w14:ligatures w14:val="none"/>
        </w:rPr>
        <w:t>Mokhiber</w:t>
      </w:r>
      <w:bookmarkEnd w:id="975"/>
      <w:r w:rsidRPr="004B3F8F">
        <w:rPr>
          <w:rFonts w:ascii="Arial" w:eastAsiaTheme="minorHAnsi" w:hAnsi="Arial" w:cs="Arial"/>
          <w:kern w:val="0"/>
          <w:lang w:val="en-US" w:eastAsia="en-US"/>
          <w14:ligatures w14:val="none"/>
        </w:rPr>
        <w:t xml:space="preserve">, R., and R. </w:t>
      </w:r>
      <w:bookmarkStart w:id="976" w:name="_Hlk42378970"/>
      <w:r w:rsidRPr="004B3F8F">
        <w:rPr>
          <w:rFonts w:ascii="Arial" w:eastAsiaTheme="minorHAnsi" w:hAnsi="Arial" w:cs="Arial"/>
          <w:kern w:val="0"/>
          <w:lang w:val="en-US" w:eastAsia="en-US"/>
          <w14:ligatures w14:val="none"/>
        </w:rPr>
        <w:t>Weissman</w:t>
      </w:r>
      <w:bookmarkEnd w:id="976"/>
      <w:r w:rsidRPr="004B3F8F">
        <w:rPr>
          <w:rFonts w:ascii="Arial" w:eastAsiaTheme="minorHAnsi" w:hAnsi="Arial" w:cs="Arial"/>
          <w:kern w:val="0"/>
          <w:lang w:val="en-US" w:eastAsia="en-US"/>
          <w14:ligatures w14:val="none"/>
        </w:rPr>
        <w:t xml:space="preserve">. 2005. </w:t>
      </w:r>
      <w:r w:rsidRPr="004B3F8F">
        <w:rPr>
          <w:rFonts w:ascii="Arial" w:eastAsiaTheme="minorHAnsi" w:hAnsi="Arial" w:cs="Arial"/>
          <w:i/>
          <w:iCs/>
          <w:kern w:val="0"/>
          <w:lang w:val="en-US" w:eastAsia="en-US"/>
          <w14:ligatures w14:val="none"/>
        </w:rPr>
        <w:t>On the Rampage: Corporate Power and the Destruction of Democracy.</w:t>
      </w:r>
      <w:r w:rsidRPr="004B3F8F">
        <w:rPr>
          <w:rFonts w:ascii="Arial" w:eastAsiaTheme="minorHAnsi" w:hAnsi="Arial" w:cs="Arial"/>
          <w:kern w:val="0"/>
          <w:lang w:val="en-US" w:eastAsia="en-US"/>
          <w14:ligatures w14:val="none"/>
        </w:rPr>
        <w:t xml:space="preserve"> Corporate Focus Series. Common Courage Press. Monroe, Maine.</w:t>
      </w:r>
    </w:p>
    <w:p w14:paraId="669826D2"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Mokros, A., Osterheider, M., Hucker, S. J., &amp; Nitschke, J. 2011. "Psychopathy and sexual sadism: PCL-R vignettes of German male offenders." </w:t>
      </w:r>
      <w:r w:rsidRPr="004B3F8F">
        <w:rPr>
          <w:rFonts w:asciiTheme="minorBidi" w:eastAsia="Times New Roman" w:hAnsiTheme="minorBidi"/>
          <w:i/>
          <w:iCs/>
          <w:kern w:val="0"/>
          <w14:ligatures w14:val="none"/>
        </w:rPr>
        <w:t>Journal of Forensic Sciences</w:t>
      </w:r>
      <w:r w:rsidRPr="004B3F8F">
        <w:rPr>
          <w:rFonts w:asciiTheme="minorBidi" w:eastAsia="Times New Roman" w:hAnsiTheme="minorBidi"/>
          <w:kern w:val="0"/>
          <w14:ligatures w14:val="none"/>
        </w:rPr>
        <w:t>, 56(2), 351-358.</w:t>
      </w:r>
    </w:p>
    <w:p w14:paraId="76163E65"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eastAsia="en-US"/>
          <w14:ligatures w14:val="none"/>
        </w:rPr>
        <w:t xml:space="preserve">Morales, J., Y. Gendron, and H. Guénin-Paracini. </w:t>
      </w:r>
      <w:r w:rsidRPr="004B3F8F">
        <w:rPr>
          <w:rFonts w:ascii="Arial" w:eastAsiaTheme="minorHAnsi" w:hAnsi="Arial" w:cs="Arial"/>
          <w:kern w:val="0"/>
          <w:lang w:val="en-US" w:eastAsia="en-US"/>
          <w14:ligatures w14:val="none"/>
        </w:rPr>
        <w:t>2014. “The Construction of the Risky Individual and Vigilant Organization: A Genealogy of the Fraud Triangle.”</w:t>
      </w:r>
      <w:r w:rsidRPr="004B3F8F">
        <w:rPr>
          <w:rFonts w:ascii="Arial" w:eastAsiaTheme="minorHAnsi" w:hAnsi="Arial" w:cs="Arial"/>
          <w:i/>
          <w:iCs/>
          <w:kern w:val="0"/>
          <w:lang w:val="en-US" w:eastAsia="en-US"/>
          <w14:ligatures w14:val="none"/>
        </w:rPr>
        <w:t xml:space="preserve"> </w:t>
      </w:r>
      <w:hyperlink r:id="rId102" w:tooltip="Go to Accounting, Organizations and Society on ScienceDirect" w:history="1">
        <w:r w:rsidRPr="004B3F8F">
          <w:rPr>
            <w:rFonts w:ascii="Arial" w:eastAsiaTheme="minorHAnsi" w:hAnsi="Arial" w:cs="Arial"/>
            <w:i/>
            <w:kern w:val="0"/>
            <w:lang w:val="en-US" w:eastAsia="en-US"/>
            <w14:ligatures w14:val="none"/>
          </w:rPr>
          <w:t>Accounting, Organizations and Society</w:t>
        </w:r>
      </w:hyperlink>
      <w:r w:rsidRPr="004B3F8F">
        <w:rPr>
          <w:rFonts w:ascii="Arial" w:eastAsiaTheme="minorHAnsi" w:hAnsi="Arial" w:cs="Arial"/>
          <w:i/>
          <w:iCs/>
          <w:kern w:val="0"/>
          <w:lang w:val="en-US" w:eastAsia="en-US"/>
          <w14:ligatures w14:val="none"/>
        </w:rPr>
        <w:t xml:space="preserve"> </w:t>
      </w:r>
      <w:hyperlink r:id="rId103" w:tooltip="Go to table of contents for this volume/issue" w:history="1">
        <w:r w:rsidRPr="004B3F8F">
          <w:rPr>
            <w:rFonts w:ascii="Arial" w:eastAsiaTheme="minorHAnsi" w:hAnsi="Arial" w:cs="Arial"/>
            <w:kern w:val="0"/>
            <w:lang w:val="en-US" w:eastAsia="en-US"/>
            <w14:ligatures w14:val="none"/>
          </w:rPr>
          <w:t>39, no. 3</w:t>
        </w:r>
      </w:hyperlink>
      <w:r w:rsidRPr="004B3F8F">
        <w:rPr>
          <w:rFonts w:ascii="Arial" w:eastAsiaTheme="minorHAnsi" w:hAnsi="Arial" w:cs="Arial"/>
          <w:kern w:val="0"/>
          <w:lang w:val="en-US" w:eastAsia="en-US"/>
          <w14:ligatures w14:val="none"/>
        </w:rPr>
        <w:t>, pp. 170-94.</w:t>
      </w:r>
    </w:p>
    <w:p w14:paraId="4E64AF69"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77" w:name="_Hlk42378983"/>
      <w:r w:rsidRPr="004B3F8F">
        <w:rPr>
          <w:rFonts w:ascii="Arial" w:eastAsiaTheme="minorHAnsi" w:hAnsi="Arial" w:cs="Arial"/>
          <w:kern w:val="0"/>
          <w:lang w:val="en-US" w:eastAsia="en-US"/>
          <w14:ligatures w14:val="none"/>
        </w:rPr>
        <w:t>Mortensen</w:t>
      </w:r>
      <w:bookmarkEnd w:id="977"/>
      <w:r w:rsidRPr="004B3F8F">
        <w:rPr>
          <w:rFonts w:ascii="Arial" w:eastAsiaTheme="minorHAnsi" w:hAnsi="Arial" w:cs="Arial"/>
          <w:kern w:val="0"/>
          <w:lang w:val="en-US" w:eastAsia="en-US"/>
          <w14:ligatures w14:val="none"/>
        </w:rPr>
        <w:t xml:space="preserve">, T., R. Fisher, and G. Wines. 2012. “Students as Surrogates for Practicing Accountants: Further Evidence.” </w:t>
      </w:r>
      <w:r w:rsidRPr="004B3F8F">
        <w:rPr>
          <w:rFonts w:ascii="Arial" w:eastAsiaTheme="minorHAnsi" w:hAnsi="Arial" w:cs="Arial"/>
          <w:i/>
          <w:iCs/>
          <w:kern w:val="0"/>
          <w:lang w:val="en-US" w:eastAsia="en-US"/>
          <w14:ligatures w14:val="none"/>
        </w:rPr>
        <w:t>Accounting Forum</w:t>
      </w:r>
      <w:r w:rsidRPr="004B3F8F">
        <w:rPr>
          <w:rFonts w:ascii="Arial" w:eastAsiaTheme="minorHAnsi" w:hAnsi="Arial" w:cs="Arial"/>
          <w:kern w:val="0"/>
          <w:lang w:val="en-US" w:eastAsia="en-US"/>
          <w14:ligatures w14:val="none"/>
        </w:rPr>
        <w:t xml:space="preserve"> 36, no. </w:t>
      </w:r>
      <w:proofErr w:type="gramStart"/>
      <w:r w:rsidRPr="004B3F8F">
        <w:rPr>
          <w:rFonts w:ascii="Arial" w:eastAsiaTheme="minorHAnsi" w:hAnsi="Arial" w:cs="Arial"/>
          <w:kern w:val="0"/>
          <w:lang w:val="en-US" w:eastAsia="en-US"/>
          <w14:ligatures w14:val="none"/>
        </w:rPr>
        <w:t>4.pp</w:t>
      </w:r>
      <w:proofErr w:type="gramEnd"/>
      <w:r w:rsidRPr="004B3F8F">
        <w:rPr>
          <w:rFonts w:ascii="Arial" w:eastAsiaTheme="minorHAnsi" w:hAnsi="Arial" w:cs="Arial"/>
          <w:kern w:val="0"/>
          <w:lang w:val="en-US" w:eastAsia="en-US"/>
          <w14:ligatures w14:val="none"/>
        </w:rPr>
        <w:t xml:space="preserve"> 251-265</w:t>
      </w:r>
    </w:p>
    <w:p w14:paraId="07AA3FC4"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78" w:name="_Hlk42378995"/>
      <w:bookmarkStart w:id="979" w:name="_Hlk146635427"/>
      <w:r w:rsidRPr="004B3F8F">
        <w:rPr>
          <w:rFonts w:ascii="Arial" w:eastAsiaTheme="minorHAnsi" w:hAnsi="Arial" w:cs="Arial"/>
          <w:kern w:val="0"/>
          <w:lang w:val="en-US" w:eastAsia="en-US"/>
          <w14:ligatures w14:val="none"/>
        </w:rPr>
        <w:t>Moyes</w:t>
      </w:r>
      <w:bookmarkEnd w:id="978"/>
      <w:r w:rsidRPr="004B3F8F">
        <w:rPr>
          <w:rFonts w:ascii="Arial" w:eastAsiaTheme="minorHAnsi" w:hAnsi="Arial" w:cs="Arial"/>
          <w:kern w:val="0"/>
          <w:lang w:val="en-US" w:eastAsia="en-US"/>
          <w14:ligatures w14:val="none"/>
        </w:rPr>
        <w:t xml:space="preserve">, G.D., H.F. Mohd Din, and N. Omar. 2009. “The Effectiveness of the Auditing Standards to Detect Fraudulent Financial Reporting Activities in Financial </w:t>
      </w:r>
      <w:r w:rsidRPr="004B3F8F">
        <w:rPr>
          <w:rFonts w:ascii="Arial" w:eastAsiaTheme="minorHAnsi" w:hAnsi="Arial" w:cs="Arial"/>
          <w:kern w:val="0"/>
          <w:lang w:val="en-US" w:eastAsia="en-US"/>
          <w14:ligatures w14:val="none"/>
        </w:rPr>
        <w:lastRenderedPageBreak/>
        <w:t xml:space="preserve">Statement Audits in Malaysia.” </w:t>
      </w:r>
      <w:r w:rsidRPr="004B3F8F">
        <w:rPr>
          <w:rFonts w:ascii="Arial" w:eastAsiaTheme="minorHAnsi" w:hAnsi="Arial" w:cs="Arial"/>
          <w:i/>
          <w:iCs/>
          <w:kern w:val="0"/>
          <w:lang w:val="en-US" w:eastAsia="en-US"/>
          <w14:ligatures w14:val="none"/>
        </w:rPr>
        <w:t>International Business &amp; Economics Research Journals</w:t>
      </w:r>
      <w:r w:rsidRPr="004B3F8F">
        <w:rPr>
          <w:rFonts w:ascii="Arial" w:eastAsiaTheme="minorHAnsi" w:hAnsi="Arial" w:cs="Arial"/>
          <w:kern w:val="0"/>
          <w:lang w:val="en-US" w:eastAsia="en-US"/>
          <w14:ligatures w14:val="none"/>
        </w:rPr>
        <w:t xml:space="preserve"> 8, no. 9, pp. 1-21</w:t>
      </w:r>
    </w:p>
    <w:p w14:paraId="295CF5E8" w14:textId="77777777" w:rsidR="004B3F8F" w:rsidRPr="004B3F8F" w:rsidRDefault="004B3F8F" w:rsidP="004B3F8F">
      <w:pPr>
        <w:spacing w:after="200" w:line="480" w:lineRule="auto"/>
        <w:ind w:left="785" w:hangingChars="327" w:hanging="785"/>
        <w:jc w:val="both"/>
        <w:rPr>
          <w:rFonts w:ascii="Arial" w:eastAsiaTheme="minorHAnsi" w:hAnsi="Arial" w:cs="Arial"/>
          <w:color w:val="222222"/>
          <w:kern w:val="0"/>
          <w:shd w:val="clear" w:color="auto" w:fill="FFFFFF"/>
          <w:lang w:eastAsia="en-US"/>
          <w14:ligatures w14:val="none"/>
        </w:rPr>
      </w:pPr>
      <w:r w:rsidRPr="004B3F8F">
        <w:rPr>
          <w:rFonts w:ascii="Arial" w:eastAsiaTheme="minorHAnsi" w:hAnsi="Arial" w:cs="Arial"/>
          <w:kern w:val="0"/>
          <w:lang w:eastAsia="en-US"/>
          <w14:ligatures w14:val="none"/>
        </w:rPr>
        <w:t xml:space="preserve">Mullins-Sweatt, </w:t>
      </w:r>
      <w:r w:rsidRPr="004B3F8F">
        <w:rPr>
          <w:rFonts w:ascii="Arial" w:eastAsiaTheme="minorHAnsi" w:hAnsi="Arial" w:cs="Arial"/>
          <w:color w:val="222222"/>
          <w:kern w:val="0"/>
          <w:shd w:val="clear" w:color="auto" w:fill="FFFFFF"/>
          <w:lang w:eastAsia="en-US"/>
          <w14:ligatures w14:val="none"/>
        </w:rPr>
        <w:t>S. N., Glover, N. G., Derefinko, K. J., Miller, J. D., &amp; Widiger, T. A. 2010. The search for the successful psychopath. </w:t>
      </w:r>
      <w:r w:rsidRPr="004B3F8F">
        <w:rPr>
          <w:rFonts w:ascii="Arial" w:eastAsiaTheme="minorHAnsi" w:hAnsi="Arial" w:cs="Arial"/>
          <w:i/>
          <w:iCs/>
          <w:color w:val="222222"/>
          <w:kern w:val="0"/>
          <w:shd w:val="clear" w:color="auto" w:fill="FFFFFF"/>
          <w:lang w:eastAsia="en-US"/>
          <w14:ligatures w14:val="none"/>
        </w:rPr>
        <w:t>Journal of Research in Personality</w:t>
      </w:r>
      <w:r w:rsidRPr="004B3F8F">
        <w:rPr>
          <w:rFonts w:ascii="Arial" w:eastAsiaTheme="minorHAnsi" w:hAnsi="Arial" w:cs="Arial"/>
          <w:color w:val="222222"/>
          <w:kern w:val="0"/>
          <w:shd w:val="clear" w:color="auto" w:fill="FFFFFF"/>
          <w:lang w:eastAsia="en-US"/>
          <w14:ligatures w14:val="none"/>
        </w:rPr>
        <w:t>, </w:t>
      </w:r>
      <w:r w:rsidRPr="004B3F8F">
        <w:rPr>
          <w:rFonts w:ascii="Arial" w:eastAsiaTheme="minorHAnsi" w:hAnsi="Arial" w:cs="Arial"/>
          <w:i/>
          <w:iCs/>
          <w:color w:val="222222"/>
          <w:kern w:val="0"/>
          <w:shd w:val="clear" w:color="auto" w:fill="FFFFFF"/>
          <w:lang w:eastAsia="en-US"/>
          <w14:ligatures w14:val="none"/>
        </w:rPr>
        <w:t>44</w:t>
      </w:r>
      <w:r w:rsidRPr="004B3F8F">
        <w:rPr>
          <w:rFonts w:ascii="Arial" w:eastAsiaTheme="minorHAnsi" w:hAnsi="Arial" w:cs="Arial"/>
          <w:color w:val="222222"/>
          <w:kern w:val="0"/>
          <w:shd w:val="clear" w:color="auto" w:fill="FFFFFF"/>
          <w:lang w:eastAsia="en-US"/>
          <w14:ligatures w14:val="none"/>
        </w:rPr>
        <w:t>(4), 554-558.</w:t>
      </w:r>
    </w:p>
    <w:p w14:paraId="6E52857E"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Murphy, P. R., &amp; Free, C. 2022. A Framework for Fraud Risk Management. </w:t>
      </w:r>
      <w:r w:rsidRPr="004B3F8F">
        <w:rPr>
          <w:rFonts w:asciiTheme="minorBidi" w:eastAsia="Times New Roman" w:hAnsiTheme="minorBidi"/>
          <w:i/>
          <w:iCs/>
          <w:kern w:val="0"/>
          <w14:ligatures w14:val="none"/>
        </w:rPr>
        <w:t>Accounting, Organizations and Society</w:t>
      </w:r>
      <w:r w:rsidRPr="004B3F8F">
        <w:rPr>
          <w:rFonts w:asciiTheme="minorBidi" w:eastAsia="Times New Roman" w:hAnsiTheme="minorBidi"/>
          <w:kern w:val="0"/>
          <w14:ligatures w14:val="none"/>
        </w:rPr>
        <w:t>, 96, 101216.</w:t>
      </w:r>
    </w:p>
    <w:bookmarkEnd w:id="979"/>
    <w:p w14:paraId="6ED82629" w14:textId="77777777" w:rsidR="004B3F8F" w:rsidRPr="004B3F8F" w:rsidRDefault="004B3F8F" w:rsidP="004B3F8F">
      <w:pPr>
        <w:spacing w:after="200" w:line="480" w:lineRule="auto"/>
        <w:ind w:left="785" w:hangingChars="327" w:hanging="785"/>
        <w:jc w:val="both"/>
        <w:rPr>
          <w:rFonts w:asciiTheme="minorBidi" w:eastAsiaTheme="minorHAnsi" w:hAnsiTheme="minorBidi"/>
          <w:kern w:val="0"/>
          <w:lang w:eastAsia="en-US"/>
          <w14:ligatures w14:val="none"/>
        </w:rPr>
      </w:pPr>
      <w:r w:rsidRPr="004B3F8F">
        <w:rPr>
          <w:rFonts w:ascii="Arial" w:eastAsiaTheme="minorHAnsi" w:hAnsi="Arial" w:cs="Arial"/>
          <w:kern w:val="0"/>
          <w:lang w:val="en-US" w:eastAsia="en-US"/>
          <w14:ligatures w14:val="none"/>
        </w:rPr>
        <w:t xml:space="preserve">Murphy, </w:t>
      </w:r>
      <w:r w:rsidRPr="004B3F8F">
        <w:rPr>
          <w:rFonts w:asciiTheme="minorBidi" w:eastAsiaTheme="minorHAnsi" w:hAnsiTheme="minorBidi"/>
          <w:kern w:val="0"/>
          <w:lang w:eastAsia="en-US"/>
          <w14:ligatures w14:val="none"/>
        </w:rPr>
        <w:t xml:space="preserve">B. 2020. </w:t>
      </w:r>
      <w:hyperlink r:id="rId104" w:history="1">
        <w:r w:rsidRPr="004B3F8F">
          <w:rPr>
            <w:rFonts w:asciiTheme="minorBidi" w:eastAsiaTheme="minorHAnsi" w:hAnsiTheme="minorBidi"/>
            <w:kern w:val="0"/>
            <w:lang w:eastAsia="en-US"/>
            <w14:ligatures w14:val="none"/>
          </w:rPr>
          <w:t>Google Says It Still Uses the '20-Percent Rule,' and You Should Totally Copy It | Inc.com</w:t>
        </w:r>
      </w:hyperlink>
      <w:r w:rsidRPr="004B3F8F">
        <w:rPr>
          <w:rFonts w:asciiTheme="minorBidi" w:eastAsiaTheme="minorHAnsi" w:hAnsiTheme="minorBidi"/>
          <w:kern w:val="0"/>
          <w:lang w:eastAsia="en-US"/>
          <w14:ligatures w14:val="none"/>
        </w:rPr>
        <w:t xml:space="preserve"> </w:t>
      </w:r>
      <w:hyperlink r:id="rId105" w:history="1">
        <w:r w:rsidRPr="004B3F8F">
          <w:rPr>
            <w:rFonts w:asciiTheme="minorBidi" w:eastAsiaTheme="minorHAnsi" w:hAnsiTheme="minorBidi"/>
            <w:color w:val="0000FF"/>
            <w:kern w:val="0"/>
            <w:u w:val="single"/>
            <w:lang w:eastAsia="en-US"/>
            <w14:ligatures w14:val="none"/>
          </w:rPr>
          <w:t>www.inc.com/bill-murphy-jr/google-says-it-still-uses-20-percent-rule-you-should-totally-copy-it.html</w:t>
        </w:r>
      </w:hyperlink>
    </w:p>
    <w:p w14:paraId="753CE89B"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Murphy, P. R., &amp; Free, C. 2016. "Broadening the Fraud Triangle: Instrumental Climate and Fraud." </w:t>
      </w:r>
      <w:r w:rsidRPr="004B3F8F">
        <w:rPr>
          <w:rFonts w:asciiTheme="minorBidi" w:eastAsia="Times New Roman" w:hAnsiTheme="minorBidi"/>
          <w:i/>
          <w:iCs/>
          <w:kern w:val="0"/>
          <w14:ligatures w14:val="none"/>
        </w:rPr>
        <w:t>Behavioral Research in Accounting</w:t>
      </w:r>
      <w:r w:rsidRPr="004B3F8F">
        <w:rPr>
          <w:rFonts w:asciiTheme="minorBidi" w:eastAsia="Times New Roman" w:hAnsiTheme="minorBidi"/>
          <w:kern w:val="0"/>
          <w14:ligatures w14:val="none"/>
        </w:rPr>
        <w:t>, 28(1), 41-56.</w:t>
      </w:r>
    </w:p>
    <w:p w14:paraId="3CB469EF"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Murphy, P.R., and M.T. Dacin. 2011. “Psychological Pathways to Fraud: Understanding and Preventing Fraud in Organisations.” </w:t>
      </w:r>
      <w:r w:rsidRPr="004B3F8F">
        <w:rPr>
          <w:rFonts w:ascii="Arial" w:eastAsiaTheme="minorHAnsi" w:hAnsi="Arial" w:cs="Arial"/>
          <w:i/>
          <w:iCs/>
          <w:kern w:val="0"/>
          <w:lang w:val="en-US" w:eastAsia="en-US"/>
          <w14:ligatures w14:val="none"/>
        </w:rPr>
        <w:t>Journal of Business Ethics</w:t>
      </w:r>
      <w:r w:rsidRPr="004B3F8F">
        <w:rPr>
          <w:rFonts w:ascii="Arial" w:eastAsiaTheme="minorHAnsi" w:hAnsi="Arial" w:cs="Arial"/>
          <w:kern w:val="0"/>
          <w:lang w:val="en-US" w:eastAsia="en-US"/>
          <w14:ligatures w14:val="none"/>
        </w:rPr>
        <w:t xml:space="preserve"> 101(4). 601-18.</w:t>
      </w:r>
    </w:p>
    <w:p w14:paraId="7050D7C1" w14:textId="77777777" w:rsidR="004B3F8F" w:rsidRPr="004B3F8F" w:rsidRDefault="004B3F8F" w:rsidP="004B3F8F">
      <w:pPr>
        <w:spacing w:after="0" w:line="360" w:lineRule="auto"/>
        <w:ind w:left="851" w:hanging="851"/>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t>Myers, M. D. 2013. Qualitative Research in Business and Management: Sage. London</w:t>
      </w:r>
    </w:p>
    <w:p w14:paraId="6871F076" w14:textId="77777777" w:rsidR="004B3F8F" w:rsidRPr="004B3F8F" w:rsidRDefault="004B3F8F" w:rsidP="004B3F8F">
      <w:pPr>
        <w:spacing w:before="100" w:beforeAutospacing="1" w:after="100" w:afterAutospacing="1" w:line="480" w:lineRule="auto"/>
        <w:ind w:left="993" w:hanging="993"/>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Nair, R.D. 2012. "A Framework for Evaluating Business Models for Enterprise Systems." International Journal of Information Management, 32(5), 469-477.</w:t>
      </w:r>
    </w:p>
    <w:p w14:paraId="7622C7B0" w14:textId="1D88089D" w:rsidR="004B3F8F" w:rsidRPr="004B3F8F" w:rsidRDefault="004B3F8F" w:rsidP="004B3F8F">
      <w:pPr>
        <w:spacing w:after="0" w:line="360" w:lineRule="auto"/>
        <w:ind w:left="851" w:hanging="851"/>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t>Nakamoto, S. 2008</w:t>
      </w:r>
      <w:r w:rsidRPr="004B3F8F">
        <w:rPr>
          <w:rFonts w:ascii="Arial" w:eastAsiaTheme="minorHAnsi" w:hAnsi="Arial" w:cs="Arial"/>
          <w:i/>
          <w:iCs/>
          <w:kern w:val="0"/>
          <w:lang w:eastAsia="en-US"/>
          <w14:ligatures w14:val="none"/>
        </w:rPr>
        <w:t>. ‘’Bitcoin: A peer-to-peer electronic cash system’’</w:t>
      </w:r>
      <w:r w:rsidRPr="004B3F8F">
        <w:rPr>
          <w:rFonts w:ascii="Arial" w:eastAsiaTheme="minorHAnsi" w:hAnsi="Arial" w:cs="Arial"/>
          <w:kern w:val="0"/>
          <w:lang w:eastAsia="en-US"/>
          <w14:ligatures w14:val="none"/>
        </w:rPr>
        <w:t xml:space="preserve">. </w:t>
      </w:r>
      <w:hyperlink r:id="rId106" w:history="1">
        <w:r w:rsidRPr="004B3F8F">
          <w:rPr>
            <w:rFonts w:ascii="Arial" w:eastAsiaTheme="minorHAnsi" w:hAnsi="Arial" w:cs="Arial"/>
            <w:kern w:val="0"/>
            <w:lang w:val="en-US" w:eastAsia="en-US"/>
            <w14:ligatures w14:val="none"/>
          </w:rPr>
          <w:t>Bitcoin: A Peer-to-Peer Electronic Cash System (researchgate.net)</w:t>
        </w:r>
      </w:hyperlink>
      <w:r w:rsidRPr="004B3F8F">
        <w:rPr>
          <w:rFonts w:ascii="Arial" w:eastAsiaTheme="minorHAnsi" w:hAnsi="Arial" w:cs="Arial"/>
          <w:kern w:val="0"/>
          <w:lang w:val="en-US" w:eastAsia="en-US"/>
          <w14:ligatures w14:val="none"/>
        </w:rPr>
        <w:t xml:space="preserve"> (accessed </w:t>
      </w:r>
      <w:r w:rsidR="00C92663" w:rsidRPr="004B3F8F">
        <w:rPr>
          <w:rFonts w:ascii="Arial" w:eastAsiaTheme="minorHAnsi" w:hAnsi="Arial" w:cs="Arial"/>
          <w:kern w:val="0"/>
          <w:lang w:val="en-US" w:eastAsia="en-US"/>
          <w14:ligatures w14:val="none"/>
        </w:rPr>
        <w:t>July</w:t>
      </w:r>
      <w:r w:rsidRPr="004B3F8F">
        <w:rPr>
          <w:rFonts w:ascii="Arial" w:eastAsiaTheme="minorHAnsi" w:hAnsi="Arial" w:cs="Arial"/>
          <w:kern w:val="0"/>
          <w:lang w:val="en-US" w:eastAsia="en-US"/>
          <w14:ligatures w14:val="none"/>
        </w:rPr>
        <w:t xml:space="preserve"> 2021)</w:t>
      </w:r>
    </w:p>
    <w:p w14:paraId="2F53AF90" w14:textId="77777777" w:rsidR="004B3F8F" w:rsidRPr="004B3F8F" w:rsidRDefault="004B3F8F" w:rsidP="004B3F8F">
      <w:pPr>
        <w:spacing w:after="0" w:line="360" w:lineRule="auto"/>
        <w:ind w:left="851" w:hanging="851"/>
        <w:jc w:val="both"/>
        <w:rPr>
          <w:rFonts w:ascii="Arial" w:eastAsiaTheme="minorHAnsi" w:hAnsi="Arial" w:cs="Arial"/>
          <w:kern w:val="0"/>
          <w:lang w:eastAsia="en-US"/>
          <w14:ligatures w14:val="none"/>
        </w:rPr>
      </w:pPr>
    </w:p>
    <w:p w14:paraId="3882EE45"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80" w:name="_Hlk42379007"/>
      <w:r w:rsidRPr="004B3F8F">
        <w:rPr>
          <w:rFonts w:ascii="Arial" w:eastAsiaTheme="minorHAnsi" w:hAnsi="Arial" w:cs="Arial"/>
          <w:kern w:val="0"/>
          <w:lang w:val="en-US" w:eastAsia="en-US"/>
          <w14:ligatures w14:val="none"/>
        </w:rPr>
        <w:lastRenderedPageBreak/>
        <w:t>Neuman</w:t>
      </w:r>
      <w:bookmarkEnd w:id="980"/>
      <w:r w:rsidRPr="004B3F8F">
        <w:rPr>
          <w:rFonts w:ascii="Arial" w:eastAsiaTheme="minorHAnsi" w:hAnsi="Arial" w:cs="Arial"/>
          <w:kern w:val="0"/>
          <w:lang w:val="en-US" w:eastAsia="en-US"/>
          <w14:ligatures w14:val="none"/>
        </w:rPr>
        <w:t xml:space="preserve">, E. 2005. “The Impact of the Enron Accounting Scandal on Impressions of Managerial Control.” </w:t>
      </w:r>
      <w:r w:rsidRPr="004B3F8F">
        <w:rPr>
          <w:rFonts w:ascii="Arial" w:eastAsiaTheme="minorHAnsi" w:hAnsi="Arial" w:cs="Arial"/>
          <w:i/>
          <w:kern w:val="0"/>
          <w:lang w:val="en-US" w:eastAsia="en-US"/>
          <w14:ligatures w14:val="none"/>
        </w:rPr>
        <w:t>Academy of Management Best Conference Paper</w:t>
      </w:r>
      <w:r w:rsidRPr="004B3F8F">
        <w:rPr>
          <w:rFonts w:ascii="Arial" w:eastAsiaTheme="minorHAnsi" w:hAnsi="Arial" w:cs="Arial"/>
          <w:kern w:val="0"/>
          <w:lang w:val="en-US" w:eastAsia="en-US"/>
          <w14:ligatures w14:val="none"/>
        </w:rPr>
        <w:t>, pp. 1-6.</w:t>
      </w:r>
    </w:p>
    <w:p w14:paraId="11FBA76F"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Nicholls, J., Kuppa, A. and Le-Khac, N.A., 2021. Financial cybercrime: A comprehensive survey of deep learning approaches to tackle the evolving financial crime landscape. </w:t>
      </w:r>
      <w:r w:rsidRPr="004B3F8F">
        <w:rPr>
          <w:rFonts w:ascii="Arial" w:hAnsi="Arial" w:cs="Arial"/>
          <w:i/>
          <w:iCs/>
          <w:color w:val="222222"/>
          <w:shd w:val="clear" w:color="auto" w:fill="FFFFFF"/>
        </w:rPr>
        <w:t>Ieee Access</w:t>
      </w:r>
      <w:r w:rsidRPr="004B3F8F">
        <w:rPr>
          <w:rFonts w:ascii="Arial" w:hAnsi="Arial" w:cs="Arial"/>
          <w:color w:val="222222"/>
          <w:shd w:val="clear" w:color="auto" w:fill="FFFFFF"/>
        </w:rPr>
        <w:t>, </w:t>
      </w:r>
      <w:r w:rsidRPr="004B3F8F">
        <w:rPr>
          <w:rFonts w:ascii="Arial" w:hAnsi="Arial" w:cs="Arial"/>
          <w:i/>
          <w:iCs/>
          <w:color w:val="222222"/>
          <w:shd w:val="clear" w:color="auto" w:fill="FFFFFF"/>
        </w:rPr>
        <w:t>9</w:t>
      </w:r>
      <w:r w:rsidRPr="004B3F8F">
        <w:rPr>
          <w:rFonts w:ascii="Arial" w:hAnsi="Arial" w:cs="Arial"/>
          <w:color w:val="222222"/>
          <w:shd w:val="clear" w:color="auto" w:fill="FFFFFF"/>
        </w:rPr>
        <w:t>, pp.163965-163986.</w:t>
      </w:r>
    </w:p>
    <w:p w14:paraId="7E53030B"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Nijenhuis, R. 2016. </w:t>
      </w:r>
      <w:r w:rsidRPr="004B3F8F">
        <w:rPr>
          <w:rFonts w:ascii="Arial" w:eastAsiaTheme="minorHAnsi" w:hAnsi="Arial" w:cs="Arial"/>
          <w:i/>
          <w:iCs/>
          <w:kern w:val="0"/>
          <w:lang w:val="en-US" w:eastAsia="en-US"/>
          <w14:ligatures w14:val="none"/>
        </w:rPr>
        <w:t>Prevention of Fraud Cases.</w:t>
      </w:r>
      <w:r w:rsidRPr="004B3F8F">
        <w:rPr>
          <w:rFonts w:ascii="Arial" w:eastAsiaTheme="minorHAnsi" w:hAnsi="Arial" w:cs="Arial"/>
          <w:kern w:val="0"/>
          <w:lang w:val="en-US" w:eastAsia="en-US"/>
          <w14:ligatures w14:val="none"/>
        </w:rPr>
        <w:t xml:space="preserve"> MBA Thesis. University of Twente. </w:t>
      </w:r>
      <w:hyperlink r:id="rId107" w:history="1">
        <w:r w:rsidRPr="004B3F8F">
          <w:rPr>
            <w:rFonts w:ascii="Arial" w:eastAsiaTheme="minorHAnsi" w:hAnsi="Arial" w:cs="Arial"/>
            <w:kern w:val="0"/>
            <w:lang w:eastAsia="en-US"/>
            <w14:ligatures w14:val="none"/>
          </w:rPr>
          <w:t>https://essay.utwente.nl/69819/1/Nijenhuis_MA_BMS.pdf</w:t>
        </w:r>
      </w:hyperlink>
    </w:p>
    <w:p w14:paraId="51A8C644"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81" w:name="_Hlk42379018"/>
      <w:r w:rsidRPr="004B3F8F">
        <w:rPr>
          <w:rFonts w:ascii="Arial" w:eastAsiaTheme="minorHAnsi" w:hAnsi="Arial" w:cs="Arial"/>
          <w:kern w:val="0"/>
          <w:lang w:val="en-US" w:eastAsia="en-US"/>
          <w14:ligatures w14:val="none"/>
        </w:rPr>
        <w:t>O’Gara</w:t>
      </w:r>
      <w:bookmarkEnd w:id="981"/>
      <w:r w:rsidRPr="004B3F8F">
        <w:rPr>
          <w:rFonts w:ascii="Arial" w:eastAsiaTheme="minorHAnsi" w:hAnsi="Arial" w:cs="Arial"/>
          <w:kern w:val="0"/>
          <w:lang w:val="en-US" w:eastAsia="en-US"/>
          <w14:ligatures w14:val="none"/>
        </w:rPr>
        <w:t xml:space="preserve">, J.D. 2004. </w:t>
      </w:r>
      <w:r w:rsidRPr="004B3F8F">
        <w:rPr>
          <w:rFonts w:ascii="Arial" w:eastAsiaTheme="minorHAnsi" w:hAnsi="Arial" w:cs="Arial"/>
          <w:i/>
          <w:iCs/>
          <w:kern w:val="0"/>
          <w:lang w:val="en-US" w:eastAsia="en-US"/>
          <w14:ligatures w14:val="none"/>
        </w:rPr>
        <w:t>Corporate Fraud: Case studies in Detection and Prevention.</w:t>
      </w:r>
      <w:r w:rsidRPr="004B3F8F">
        <w:rPr>
          <w:rFonts w:ascii="Arial" w:eastAsiaTheme="minorHAnsi" w:hAnsi="Arial" w:cs="Arial"/>
          <w:kern w:val="0"/>
          <w:lang w:val="en-US" w:eastAsia="en-US"/>
          <w14:ligatures w14:val="none"/>
        </w:rPr>
        <w:t xml:space="preserve"> Hoboken, NJ: John Wiley and Sons.</w:t>
      </w:r>
    </w:p>
    <w:p w14:paraId="52CAEF8D"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Oguto, E.O. 2016. “Corporate Failure and the Role of Governance: The Parmalat Scandal.” </w:t>
      </w:r>
      <w:r w:rsidRPr="004B3F8F">
        <w:rPr>
          <w:rFonts w:ascii="Arial" w:eastAsiaTheme="minorHAnsi" w:hAnsi="Arial" w:cs="Arial"/>
          <w:i/>
          <w:iCs/>
          <w:kern w:val="0"/>
          <w:lang w:val="en-US" w:eastAsia="en-US"/>
          <w14:ligatures w14:val="none"/>
        </w:rPr>
        <w:t>International Journal of Management and Information Technology</w:t>
      </w:r>
      <w:r w:rsidRPr="004B3F8F">
        <w:rPr>
          <w:rFonts w:ascii="Arial" w:eastAsiaTheme="minorHAnsi" w:hAnsi="Arial" w:cs="Arial"/>
          <w:kern w:val="0"/>
          <w:lang w:val="en-US" w:eastAsia="en-US"/>
          <w14:ligatures w14:val="none"/>
        </w:rPr>
        <w:t xml:space="preserve"> 11, no. 3. Pp. 2747-2754</w:t>
      </w:r>
    </w:p>
    <w:p w14:paraId="4E54CDB0"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82" w:name="_Hlk42379028"/>
      <w:r w:rsidRPr="004B3F8F">
        <w:rPr>
          <w:rFonts w:ascii="Arial" w:eastAsiaTheme="minorHAnsi" w:hAnsi="Arial" w:cs="Arial"/>
          <w:kern w:val="0"/>
          <w:lang w:val="en-US" w:eastAsia="en-US"/>
          <w14:ligatures w14:val="none"/>
        </w:rPr>
        <w:t>Omar</w:t>
      </w:r>
      <w:bookmarkEnd w:id="982"/>
      <w:r w:rsidRPr="004B3F8F">
        <w:rPr>
          <w:rFonts w:ascii="Arial" w:eastAsiaTheme="minorHAnsi" w:hAnsi="Arial" w:cs="Arial"/>
          <w:kern w:val="0"/>
          <w:lang w:val="en-US" w:eastAsia="en-US"/>
          <w14:ligatures w14:val="none"/>
        </w:rPr>
        <w:t xml:space="preserve">, N.B., and H.F.M. </w:t>
      </w:r>
      <w:bookmarkStart w:id="983" w:name="_Hlk42379035"/>
      <w:r w:rsidRPr="004B3F8F">
        <w:rPr>
          <w:rFonts w:ascii="Arial" w:eastAsiaTheme="minorHAnsi" w:hAnsi="Arial" w:cs="Arial"/>
          <w:kern w:val="0"/>
          <w:lang w:val="en-US" w:eastAsia="en-US"/>
          <w14:ligatures w14:val="none"/>
        </w:rPr>
        <w:t>Din</w:t>
      </w:r>
      <w:bookmarkEnd w:id="983"/>
      <w:r w:rsidRPr="004B3F8F">
        <w:rPr>
          <w:rFonts w:ascii="Arial" w:eastAsiaTheme="minorHAnsi" w:hAnsi="Arial" w:cs="Arial"/>
          <w:kern w:val="0"/>
          <w:lang w:val="en-US" w:eastAsia="en-US"/>
          <w14:ligatures w14:val="none"/>
        </w:rPr>
        <w:t>. 2010. Fraud Diamond Risk Indicator: An Assessment of Its Importance and Usage. 2010 International Conference. Science and Social Research (CSSR).</w:t>
      </w:r>
    </w:p>
    <w:p w14:paraId="2663AE22" w14:textId="13A7B770" w:rsidR="004B3F8F" w:rsidRPr="004B3F8F" w:rsidRDefault="004B3F8F" w:rsidP="004B3F8F">
      <w:pPr>
        <w:spacing w:after="200" w:line="480" w:lineRule="auto"/>
        <w:ind w:left="785" w:hangingChars="327" w:hanging="785"/>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t>Onwuegbuzie, A.J., Teddlie, C. 2003. A framework f</w:t>
      </w:r>
      <w:r w:rsidR="00C92663">
        <w:rPr>
          <w:rFonts w:ascii="Arial" w:eastAsiaTheme="minorHAnsi" w:hAnsi="Arial" w:cs="Arial"/>
          <w:kern w:val="0"/>
          <w:lang w:eastAsia="en-US"/>
          <w14:ligatures w14:val="none"/>
        </w:rPr>
        <w:t>or</w:t>
      </w:r>
      <w:r w:rsidRPr="004B3F8F">
        <w:rPr>
          <w:rFonts w:ascii="Arial" w:eastAsiaTheme="minorHAnsi" w:hAnsi="Arial" w:cs="Arial"/>
          <w:kern w:val="0"/>
          <w:lang w:eastAsia="en-US"/>
          <w14:ligatures w14:val="none"/>
        </w:rPr>
        <w:t xml:space="preserve"> </w:t>
      </w:r>
      <w:r w:rsidR="00C92663" w:rsidRPr="004B3F8F">
        <w:rPr>
          <w:rFonts w:ascii="Arial" w:eastAsiaTheme="minorHAnsi" w:hAnsi="Arial" w:cs="Arial"/>
          <w:kern w:val="0"/>
          <w:lang w:eastAsia="en-US"/>
          <w14:ligatures w14:val="none"/>
        </w:rPr>
        <w:t>analy</w:t>
      </w:r>
      <w:r w:rsidR="00C92663">
        <w:rPr>
          <w:rFonts w:ascii="Arial" w:eastAsiaTheme="minorHAnsi" w:hAnsi="Arial" w:cs="Arial"/>
          <w:kern w:val="0"/>
          <w:lang w:eastAsia="en-US"/>
          <w14:ligatures w14:val="none"/>
        </w:rPr>
        <w:t>z</w:t>
      </w:r>
      <w:r w:rsidR="00C92663" w:rsidRPr="004B3F8F">
        <w:rPr>
          <w:rFonts w:ascii="Arial" w:eastAsiaTheme="minorHAnsi" w:hAnsi="Arial" w:cs="Arial"/>
          <w:kern w:val="0"/>
          <w:lang w:eastAsia="en-US"/>
          <w14:ligatures w14:val="none"/>
        </w:rPr>
        <w:t>ing</w:t>
      </w:r>
      <w:r w:rsidRPr="004B3F8F">
        <w:rPr>
          <w:rFonts w:ascii="Arial" w:eastAsiaTheme="minorHAnsi" w:hAnsi="Arial" w:cs="Arial"/>
          <w:kern w:val="0"/>
          <w:lang w:eastAsia="en-US"/>
          <w14:ligatures w14:val="none"/>
        </w:rPr>
        <w:t xml:space="preserve"> data in mixed methods research. In: Tashakkori, A., Teddlie, C. (eds.) Handbook of Mixed Methods in Social and Behavioral Research, pp. 351-383. Sage, Thousand Oaks, CA.</w:t>
      </w:r>
    </w:p>
    <w:p w14:paraId="591C15FB"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O'Reilly, C. A., &amp; Chatman, J. A. 2022. The psychology of the psychopath in the workplace: New insights and directions for future research. </w:t>
      </w:r>
      <w:r w:rsidRPr="004B3F8F">
        <w:rPr>
          <w:rFonts w:asciiTheme="minorBidi" w:eastAsia="Times New Roman" w:hAnsiTheme="minorBidi"/>
          <w:i/>
          <w:iCs/>
          <w:kern w:val="0"/>
          <w14:ligatures w14:val="none"/>
        </w:rPr>
        <w:t>Journal of Business Ethics</w:t>
      </w:r>
      <w:r w:rsidRPr="004B3F8F">
        <w:rPr>
          <w:rFonts w:asciiTheme="minorBidi" w:eastAsia="Times New Roman" w:hAnsiTheme="minorBidi"/>
          <w:kern w:val="0"/>
          <w14:ligatures w14:val="none"/>
        </w:rPr>
        <w:t>, 177(2), 231-248.</w:t>
      </w:r>
    </w:p>
    <w:p w14:paraId="258430E7"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84" w:name="_Hlk42379046"/>
      <w:r w:rsidRPr="004B3F8F">
        <w:rPr>
          <w:rFonts w:ascii="Arial" w:eastAsiaTheme="minorHAnsi" w:hAnsi="Arial" w:cs="Arial"/>
          <w:kern w:val="0"/>
          <w:lang w:val="en-US" w:eastAsia="en-US"/>
          <w14:ligatures w14:val="none"/>
        </w:rPr>
        <w:lastRenderedPageBreak/>
        <w:t>Owens-Jackson</w:t>
      </w:r>
      <w:bookmarkEnd w:id="984"/>
      <w:r w:rsidRPr="004B3F8F">
        <w:rPr>
          <w:rFonts w:ascii="Arial" w:eastAsiaTheme="minorHAnsi" w:hAnsi="Arial" w:cs="Arial"/>
          <w:kern w:val="0"/>
          <w:lang w:val="en-US" w:eastAsia="en-US"/>
          <w14:ligatures w14:val="none"/>
        </w:rPr>
        <w:t xml:space="preserve">, L.A., D. Robinson, and S.W. Shelton. 2009. “The Association between Audit Committee Characteristics, the Contracting Process and Fraudulent Financial Reporting.” </w:t>
      </w:r>
      <w:r w:rsidRPr="004B3F8F">
        <w:rPr>
          <w:rFonts w:ascii="Arial" w:eastAsiaTheme="minorHAnsi" w:hAnsi="Arial" w:cs="Arial"/>
          <w:i/>
          <w:iCs/>
          <w:kern w:val="0"/>
          <w:lang w:val="en-US" w:eastAsia="en-US"/>
          <w14:ligatures w14:val="none"/>
        </w:rPr>
        <w:t>American Journal of Business</w:t>
      </w:r>
      <w:r w:rsidRPr="004B3F8F">
        <w:rPr>
          <w:rFonts w:ascii="Arial" w:eastAsiaTheme="minorHAnsi" w:hAnsi="Arial" w:cs="Arial"/>
          <w:kern w:val="0"/>
          <w:lang w:val="en-US" w:eastAsia="en-US"/>
          <w14:ligatures w14:val="none"/>
        </w:rPr>
        <w:t xml:space="preserve"> 24, no. 1, pp. 57-63.</w:t>
      </w:r>
    </w:p>
    <w:p w14:paraId="5B54C4EA"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Theme="minorBidi" w:eastAsiaTheme="minorHAnsi" w:hAnsiTheme="minorBidi"/>
          <w:kern w:val="0"/>
          <w:lang w:eastAsia="en-US"/>
          <w14:ligatures w14:val="none"/>
        </w:rPr>
        <w:t>Pace, D.S., 2021. Probability and non-probability sampling-an entry point for undergraduate researchers. International Journal of Quantitative and Qualitative Research Methods, 9(2), pp.1-15</w:t>
      </w:r>
      <w:r w:rsidRPr="004B3F8F">
        <w:rPr>
          <w:rFonts w:eastAsiaTheme="minorHAnsi"/>
          <w:kern w:val="0"/>
          <w:sz w:val="22"/>
          <w:szCs w:val="22"/>
          <w:lang w:eastAsia="en-US"/>
          <w14:ligatures w14:val="none"/>
        </w:rPr>
        <w:t>.</w:t>
      </w:r>
    </w:p>
    <w:p w14:paraId="5E132B49"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t>Panter, A.T. and Sterba, S.K. 2011. Handbook of Ethics in Quantitative Methodology. New York, Routledge.</w:t>
      </w:r>
    </w:p>
    <w:p w14:paraId="2070670A" w14:textId="03E99663"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eastAsia="en-US"/>
          <w14:ligatures w14:val="none"/>
        </w:rPr>
      </w:pPr>
      <w:r w:rsidRPr="004B3F8F">
        <w:rPr>
          <w:rFonts w:ascii="Arial" w:eastAsiaTheme="minorHAnsi" w:hAnsi="Arial" w:cs="Arial"/>
          <w:kern w:val="0"/>
          <w:shd w:val="clear" w:color="auto" w:fill="FFFFFF"/>
          <w:lang w:eastAsia="en-US"/>
          <w14:ligatures w14:val="none"/>
        </w:rPr>
        <w:t xml:space="preserve">Patino CM &amp; Ferreira JC. 2018.  Inclusion and exclusion criteria in research studies: definitions and why they matter. J Bras Pneumol. Apr;44(2):84. </w:t>
      </w:r>
      <w:r w:rsidR="00C92663" w:rsidRPr="004B3F8F">
        <w:rPr>
          <w:rFonts w:ascii="Arial" w:eastAsiaTheme="minorHAnsi" w:hAnsi="Arial" w:cs="Arial"/>
          <w:kern w:val="0"/>
          <w:shd w:val="clear" w:color="auto" w:fill="FFFFFF"/>
          <w:lang w:eastAsia="en-US"/>
          <w14:ligatures w14:val="none"/>
        </w:rPr>
        <w:t>Doi</w:t>
      </w:r>
      <w:r w:rsidRPr="004B3F8F">
        <w:rPr>
          <w:rFonts w:ascii="Arial" w:eastAsiaTheme="minorHAnsi" w:hAnsi="Arial" w:cs="Arial"/>
          <w:kern w:val="0"/>
          <w:shd w:val="clear" w:color="auto" w:fill="FFFFFF"/>
          <w:lang w:eastAsia="en-US"/>
          <w14:ligatures w14:val="none"/>
        </w:rPr>
        <w:t>: 10.1590/s1806-37562018000000088. PMID: 29791550; PMCID: PMC6044655</w:t>
      </w:r>
    </w:p>
    <w:p w14:paraId="132DA41B" w14:textId="77777777" w:rsidR="004B3F8F" w:rsidRPr="004B3F8F" w:rsidRDefault="004B3F8F" w:rsidP="004B3F8F">
      <w:pPr>
        <w:spacing w:line="480" w:lineRule="auto"/>
        <w:ind w:left="851" w:hanging="851"/>
        <w:jc w:val="both"/>
        <w:rPr>
          <w:rFonts w:ascii="Arial" w:eastAsiaTheme="minorHAnsi" w:hAnsi="Arial" w:cs="Arial"/>
          <w:color w:val="222222"/>
          <w:kern w:val="0"/>
          <w:shd w:val="clear" w:color="auto" w:fill="FFFFFF"/>
          <w:lang w:eastAsia="en-US"/>
          <w14:ligatures w14:val="none"/>
        </w:rPr>
      </w:pPr>
      <w:r w:rsidRPr="004B3F8F">
        <w:rPr>
          <w:rFonts w:ascii="Arial" w:eastAsiaTheme="minorHAnsi" w:hAnsi="Arial" w:cs="Arial"/>
          <w:color w:val="222222"/>
          <w:kern w:val="0"/>
          <w:shd w:val="clear" w:color="auto" w:fill="FFFFFF"/>
          <w:lang w:eastAsia="en-US"/>
          <w14:ligatures w14:val="none"/>
        </w:rPr>
        <w:t>Patrick, C. J. 2022. Psychopathy: Current knowledge and future directions. </w:t>
      </w:r>
      <w:r w:rsidRPr="004B3F8F">
        <w:rPr>
          <w:rFonts w:ascii="Arial" w:eastAsiaTheme="minorHAnsi" w:hAnsi="Arial" w:cs="Arial"/>
          <w:i/>
          <w:iCs/>
          <w:color w:val="222222"/>
          <w:kern w:val="0"/>
          <w:shd w:val="clear" w:color="auto" w:fill="FFFFFF"/>
          <w:lang w:eastAsia="en-US"/>
          <w14:ligatures w14:val="none"/>
        </w:rPr>
        <w:t>Annual Review of Clinical Psychology</w:t>
      </w:r>
      <w:r w:rsidRPr="004B3F8F">
        <w:rPr>
          <w:rFonts w:ascii="Arial" w:eastAsiaTheme="minorHAnsi" w:hAnsi="Arial" w:cs="Arial"/>
          <w:color w:val="222222"/>
          <w:kern w:val="0"/>
          <w:shd w:val="clear" w:color="auto" w:fill="FFFFFF"/>
          <w:lang w:eastAsia="en-US"/>
          <w14:ligatures w14:val="none"/>
        </w:rPr>
        <w:t>, </w:t>
      </w:r>
      <w:r w:rsidRPr="004B3F8F">
        <w:rPr>
          <w:rFonts w:ascii="Arial" w:eastAsiaTheme="minorHAnsi" w:hAnsi="Arial" w:cs="Arial"/>
          <w:i/>
          <w:iCs/>
          <w:color w:val="222222"/>
          <w:kern w:val="0"/>
          <w:shd w:val="clear" w:color="auto" w:fill="FFFFFF"/>
          <w:lang w:eastAsia="en-US"/>
          <w14:ligatures w14:val="none"/>
        </w:rPr>
        <w:t>18</w:t>
      </w:r>
      <w:r w:rsidRPr="004B3F8F">
        <w:rPr>
          <w:rFonts w:ascii="Arial" w:eastAsiaTheme="minorHAnsi" w:hAnsi="Arial" w:cs="Arial"/>
          <w:color w:val="222222"/>
          <w:kern w:val="0"/>
          <w:shd w:val="clear" w:color="auto" w:fill="FFFFFF"/>
          <w:lang w:eastAsia="en-US"/>
          <w14:ligatures w14:val="none"/>
        </w:rPr>
        <w:t>, 387-415.</w:t>
      </w:r>
    </w:p>
    <w:p w14:paraId="58FD5F7F" w14:textId="77777777" w:rsidR="004B3F8F" w:rsidRPr="004B3F8F" w:rsidRDefault="004B3F8F" w:rsidP="004B3F8F">
      <w:pPr>
        <w:spacing w:line="480" w:lineRule="auto"/>
        <w:ind w:left="851" w:hanging="851"/>
        <w:jc w:val="both"/>
        <w:rPr>
          <w:rFonts w:asciiTheme="minorBidi" w:eastAsiaTheme="minorHAnsi" w:hAnsiTheme="minorBidi"/>
          <w:kern w:val="0"/>
          <w:lang w:eastAsia="en-US"/>
          <w14:ligatures w14:val="none"/>
        </w:rPr>
      </w:pPr>
      <w:r w:rsidRPr="004B3F8F">
        <w:rPr>
          <w:rFonts w:asciiTheme="minorBidi" w:eastAsiaTheme="minorHAnsi" w:hAnsiTheme="minorBidi"/>
          <w:kern w:val="0"/>
          <w:lang w:eastAsia="en-US"/>
          <w14:ligatures w14:val="none"/>
        </w:rPr>
        <w:t>Patton, M. Q., 2015. Qualitative Research and Evaluation Methods: Integrating Theory and Practice. 4th ed. California : Sage.</w:t>
      </w:r>
    </w:p>
    <w:p w14:paraId="0B45741D" w14:textId="77777777" w:rsidR="004B3F8F" w:rsidRPr="004B3F8F" w:rsidRDefault="004B3F8F" w:rsidP="004B3F8F">
      <w:pPr>
        <w:spacing w:line="480" w:lineRule="auto"/>
        <w:ind w:left="851" w:hanging="851"/>
        <w:jc w:val="both"/>
        <w:rPr>
          <w:rFonts w:asciiTheme="minorBidi" w:eastAsia="Times New Roman" w:hAnsiTheme="minorBidi"/>
          <w:kern w:val="0"/>
          <w:lang w:eastAsia="en-US"/>
          <w14:ligatures w14:val="none"/>
        </w:rPr>
      </w:pPr>
      <w:r w:rsidRPr="004B3F8F">
        <w:rPr>
          <w:rFonts w:asciiTheme="minorBidi" w:eastAsia="Times New Roman" w:hAnsiTheme="minorBidi"/>
          <w:kern w:val="0"/>
          <w:lang w:eastAsia="en-US"/>
          <w14:ligatures w14:val="none"/>
        </w:rPr>
        <w:t xml:space="preserve">Patton, M. Q. 1999. Enhancing the quality and credibility of qualitative analysis. </w:t>
      </w:r>
      <w:r w:rsidRPr="004B3F8F">
        <w:rPr>
          <w:rFonts w:asciiTheme="minorBidi" w:eastAsia="Times New Roman" w:hAnsiTheme="minorBidi"/>
          <w:i/>
          <w:iCs/>
          <w:kern w:val="0"/>
          <w:lang w:eastAsia="en-US"/>
          <w14:ligatures w14:val="none"/>
        </w:rPr>
        <w:t>Health Services Research, 34</w:t>
      </w:r>
      <w:r w:rsidRPr="004B3F8F">
        <w:rPr>
          <w:rFonts w:asciiTheme="minorBidi" w:eastAsia="Times New Roman" w:hAnsiTheme="minorBidi"/>
          <w:kern w:val="0"/>
          <w:lang w:eastAsia="en-US"/>
          <w14:ligatures w14:val="none"/>
        </w:rPr>
        <w:t>(5 Pt 2), 1189-1208. This article explores convergence</w:t>
      </w:r>
    </w:p>
    <w:p w14:paraId="0284425F"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Paulhus, D.L., and K.M. Williams. 2002. “The Dark Triad of Personality.” Journal of Research in Personality 36(6). 556-63.</w:t>
      </w:r>
    </w:p>
    <w:p w14:paraId="26F2F514" w14:textId="77777777" w:rsidR="004B3F8F" w:rsidRPr="004B3F8F" w:rsidRDefault="004B3F8F" w:rsidP="004B3F8F">
      <w:pPr>
        <w:spacing w:after="200" w:line="480" w:lineRule="auto"/>
        <w:ind w:left="785" w:hangingChars="327" w:hanging="785"/>
        <w:jc w:val="both"/>
        <w:rPr>
          <w:rFonts w:ascii="Arial" w:eastAsia="Times New Roman" w:hAnsi="Arial" w:cs="Arial"/>
          <w:kern w:val="0"/>
          <w:lang w:val="en-US" w:eastAsia="en-GB"/>
          <w14:ligatures w14:val="none"/>
        </w:rPr>
      </w:pPr>
      <w:bookmarkStart w:id="985" w:name="_Hlk42379065"/>
      <w:r w:rsidRPr="004B3F8F">
        <w:rPr>
          <w:rFonts w:ascii="Arial" w:eastAsia="Times New Roman" w:hAnsi="Arial" w:cs="Arial"/>
          <w:kern w:val="0"/>
          <w:bdr w:val="none" w:sz="0" w:space="0" w:color="auto" w:frame="1"/>
          <w:lang w:eastAsia="en-GB"/>
          <w14:ligatures w14:val="none"/>
        </w:rPr>
        <w:lastRenderedPageBreak/>
        <w:t>Pavlo</w:t>
      </w:r>
      <w:bookmarkEnd w:id="985"/>
      <w:r w:rsidRPr="004B3F8F">
        <w:rPr>
          <w:rFonts w:ascii="Arial" w:eastAsia="Times New Roman" w:hAnsi="Arial" w:cs="Arial"/>
          <w:kern w:val="0"/>
          <w:lang w:eastAsia="en-GB"/>
          <w14:ligatures w14:val="none"/>
        </w:rPr>
        <w:t xml:space="preserve">, W., and </w:t>
      </w:r>
      <w:r w:rsidRPr="004B3F8F">
        <w:rPr>
          <w:rFonts w:ascii="Arial" w:eastAsia="Times New Roman" w:hAnsi="Arial" w:cs="Arial"/>
          <w:kern w:val="0"/>
          <w:bdr w:val="none" w:sz="0" w:space="0" w:color="auto" w:frame="1"/>
          <w:lang w:eastAsia="en-GB"/>
          <w14:ligatures w14:val="none"/>
        </w:rPr>
        <w:t xml:space="preserve">N. </w:t>
      </w:r>
      <w:bookmarkStart w:id="986" w:name="_Hlk42379073"/>
      <w:r w:rsidRPr="004B3F8F">
        <w:rPr>
          <w:rFonts w:ascii="Arial" w:eastAsia="Times New Roman" w:hAnsi="Arial" w:cs="Arial"/>
          <w:kern w:val="0"/>
          <w:bdr w:val="none" w:sz="0" w:space="0" w:color="auto" w:frame="1"/>
          <w:lang w:eastAsia="en-GB"/>
          <w14:ligatures w14:val="none"/>
        </w:rPr>
        <w:t>Weinberg</w:t>
      </w:r>
      <w:bookmarkEnd w:id="986"/>
      <w:r w:rsidRPr="004B3F8F">
        <w:rPr>
          <w:rFonts w:ascii="Arial" w:eastAsia="Times New Roman" w:hAnsi="Arial" w:cs="Arial"/>
          <w:kern w:val="0"/>
          <w:bdr w:val="none" w:sz="0" w:space="0" w:color="auto" w:frame="1"/>
          <w:lang w:eastAsia="en-GB"/>
          <w14:ligatures w14:val="none"/>
        </w:rPr>
        <w:t xml:space="preserve">. </w:t>
      </w:r>
      <w:r w:rsidRPr="004B3F8F">
        <w:rPr>
          <w:rFonts w:ascii="Arial" w:eastAsia="Times New Roman" w:hAnsi="Arial" w:cs="Arial"/>
          <w:kern w:val="0"/>
          <w:bdr w:val="none" w:sz="0" w:space="0" w:color="auto" w:frame="1"/>
          <w:lang w:val="en-US" w:eastAsia="en-GB"/>
          <w14:ligatures w14:val="none"/>
        </w:rPr>
        <w:t xml:space="preserve">2007. </w:t>
      </w:r>
      <w:r w:rsidRPr="004B3F8F">
        <w:rPr>
          <w:rFonts w:ascii="Arial" w:eastAsia="Times New Roman" w:hAnsi="Arial" w:cs="Arial"/>
          <w:i/>
          <w:iCs/>
          <w:kern w:val="0"/>
          <w:lang w:val="en-US" w:eastAsia="en-GB"/>
          <w14:ligatures w14:val="none"/>
        </w:rPr>
        <w:t>Stolen Without a Gun: Confessions from Inside History’s Biggest Accounting Fraud: The Collapse of MCI WorldCom</w:t>
      </w:r>
      <w:r w:rsidRPr="004B3F8F">
        <w:rPr>
          <w:rFonts w:ascii="Arial" w:eastAsia="Times New Roman" w:hAnsi="Arial" w:cs="Arial"/>
          <w:kern w:val="0"/>
          <w:lang w:val="en-US" w:eastAsia="en-GB"/>
          <w14:ligatures w14:val="none"/>
        </w:rPr>
        <w:t>. Ekita Books LLC. Tampa, Florida.</w:t>
      </w:r>
    </w:p>
    <w:p w14:paraId="51B0CD71" w14:textId="7DE3B45D" w:rsidR="004B3F8F" w:rsidRPr="004B3F8F" w:rsidRDefault="004B3F8F" w:rsidP="004B3F8F">
      <w:pPr>
        <w:spacing w:after="200" w:line="480" w:lineRule="auto"/>
        <w:ind w:left="785" w:hangingChars="327" w:hanging="785"/>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t xml:space="preserve">Pearce, M. 2013. ‘’On Methodology; Philosophical Underpinning’’ Available at: </w:t>
      </w:r>
      <w:hyperlink r:id="rId108" w:history="1">
        <w:r w:rsidRPr="004B3F8F">
          <w:rPr>
            <w:rFonts w:ascii="Arial" w:eastAsiaTheme="minorHAnsi" w:hAnsi="Arial" w:cs="Arial"/>
            <w:kern w:val="0"/>
            <w:lang w:eastAsia="en-US"/>
            <w14:ligatures w14:val="none"/>
          </w:rPr>
          <w:t>https://www.youtube.com/watch?v=qsYynaQUmzw&amp;t=278s</w:t>
        </w:r>
      </w:hyperlink>
      <w:r w:rsidR="00C92663">
        <w:rPr>
          <w:rFonts w:ascii="Arial" w:eastAsiaTheme="minorHAnsi" w:hAnsi="Arial" w:cs="Arial"/>
          <w:kern w:val="0"/>
          <w:lang w:eastAsia="en-US"/>
          <w14:ligatures w14:val="none"/>
        </w:rPr>
        <w:t xml:space="preserve"> </w:t>
      </w:r>
      <w:r w:rsidRPr="004B3F8F">
        <w:rPr>
          <w:rFonts w:ascii="Arial" w:eastAsiaTheme="minorHAnsi" w:hAnsi="Arial" w:cs="Arial"/>
          <w:kern w:val="0"/>
          <w:lang w:eastAsia="en-US"/>
          <w14:ligatures w14:val="none"/>
        </w:rPr>
        <w:t>(</w:t>
      </w:r>
      <w:r w:rsidR="00C92663" w:rsidRPr="004B3F8F">
        <w:rPr>
          <w:rFonts w:ascii="Arial" w:eastAsiaTheme="minorHAnsi" w:hAnsi="Arial" w:cs="Arial"/>
          <w:kern w:val="0"/>
          <w:lang w:eastAsia="en-US"/>
          <w14:ligatures w14:val="none"/>
        </w:rPr>
        <w:t xml:space="preserve">accessed </w:t>
      </w:r>
      <w:r w:rsidR="000B1233" w:rsidRPr="004B3F8F">
        <w:rPr>
          <w:rFonts w:ascii="Arial" w:eastAsiaTheme="minorHAnsi" w:hAnsi="Arial" w:cs="Arial"/>
          <w:kern w:val="0"/>
          <w:lang w:eastAsia="en-US"/>
          <w14:ligatures w14:val="none"/>
        </w:rPr>
        <w:t>August</w:t>
      </w:r>
      <w:r w:rsidRPr="004B3F8F">
        <w:rPr>
          <w:rFonts w:ascii="Arial" w:eastAsiaTheme="minorHAnsi" w:hAnsi="Arial" w:cs="Arial"/>
          <w:kern w:val="0"/>
          <w:lang w:eastAsia="en-US"/>
          <w14:ligatures w14:val="none"/>
        </w:rPr>
        <w:t xml:space="preserve"> 2020).</w:t>
      </w:r>
    </w:p>
    <w:p w14:paraId="06C65C58" w14:textId="77777777" w:rsidR="004B3F8F" w:rsidRPr="004B3F8F" w:rsidRDefault="004B3F8F" w:rsidP="004B3F8F">
      <w:pPr>
        <w:spacing w:line="480" w:lineRule="auto"/>
        <w:ind w:left="851" w:hanging="851"/>
        <w:rPr>
          <w:rFonts w:ascii="Arial" w:hAnsi="Arial" w:cs="Arial"/>
          <w:color w:val="222222"/>
          <w:shd w:val="clear" w:color="auto" w:fill="FFFFFF"/>
        </w:rPr>
      </w:pPr>
      <w:r w:rsidRPr="004B3F8F">
        <w:rPr>
          <w:rFonts w:ascii="Arial" w:hAnsi="Arial" w:cs="Arial"/>
          <w:color w:val="222222"/>
          <w:shd w:val="clear" w:color="auto" w:fill="FFFFFF"/>
        </w:rPr>
        <w:t>Perri, F.S., 2022. Tyrannical Rex: Psychopathic Corporate Leadership and White-collar Crime. </w:t>
      </w:r>
      <w:r w:rsidRPr="004B3F8F">
        <w:rPr>
          <w:rFonts w:ascii="Arial" w:hAnsi="Arial" w:cs="Arial"/>
          <w:i/>
          <w:iCs/>
          <w:color w:val="222222"/>
          <w:shd w:val="clear" w:color="auto" w:fill="FFFFFF"/>
        </w:rPr>
        <w:t>Journal of Forensic and Investigative Accounting</w:t>
      </w:r>
      <w:r w:rsidRPr="004B3F8F">
        <w:rPr>
          <w:rFonts w:ascii="Arial" w:hAnsi="Arial" w:cs="Arial"/>
          <w:color w:val="222222"/>
          <w:shd w:val="clear" w:color="auto" w:fill="FFFFFF"/>
        </w:rPr>
        <w:t>, </w:t>
      </w:r>
      <w:r w:rsidRPr="004B3F8F">
        <w:rPr>
          <w:rFonts w:ascii="Arial" w:hAnsi="Arial" w:cs="Arial"/>
          <w:i/>
          <w:iCs/>
          <w:color w:val="222222"/>
          <w:shd w:val="clear" w:color="auto" w:fill="FFFFFF"/>
        </w:rPr>
        <w:t>14</w:t>
      </w:r>
      <w:r w:rsidRPr="004B3F8F">
        <w:rPr>
          <w:rFonts w:ascii="Arial" w:hAnsi="Arial" w:cs="Arial"/>
          <w:color w:val="222222"/>
          <w:shd w:val="clear" w:color="auto" w:fill="FFFFFF"/>
        </w:rPr>
        <w:t>(1).</w:t>
      </w:r>
    </w:p>
    <w:p w14:paraId="02D14BDA"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87" w:name="_Hlk42379082"/>
      <w:r w:rsidRPr="004B3F8F">
        <w:rPr>
          <w:rFonts w:ascii="Arial" w:eastAsiaTheme="minorHAnsi" w:hAnsi="Arial" w:cs="Arial"/>
          <w:kern w:val="0"/>
          <w:lang w:val="en-US" w:eastAsia="en-US"/>
          <w14:ligatures w14:val="none"/>
        </w:rPr>
        <w:t>Perols</w:t>
      </w:r>
      <w:bookmarkEnd w:id="987"/>
      <w:r w:rsidRPr="004B3F8F">
        <w:rPr>
          <w:rFonts w:ascii="Arial" w:eastAsiaTheme="minorHAnsi" w:hAnsi="Arial" w:cs="Arial"/>
          <w:kern w:val="0"/>
          <w:lang w:val="en-US" w:eastAsia="en-US"/>
          <w14:ligatures w14:val="none"/>
        </w:rPr>
        <w:t>, J. 2011. “Financial Statement Fraud Detection: An Analysis of Statistical and Machine Learning Algorithms</w:t>
      </w:r>
      <w:r w:rsidRPr="004B3F8F">
        <w:rPr>
          <w:rFonts w:ascii="Arial" w:eastAsiaTheme="minorHAnsi" w:hAnsi="Arial" w:cs="Arial"/>
          <w:i/>
          <w:iCs/>
          <w:kern w:val="0"/>
          <w:lang w:val="en-US" w:eastAsia="en-US"/>
          <w14:ligatures w14:val="none"/>
        </w:rPr>
        <w:t>.</w:t>
      </w:r>
      <w:r w:rsidRPr="004B3F8F">
        <w:rPr>
          <w:rFonts w:ascii="Arial" w:eastAsiaTheme="minorHAnsi" w:hAnsi="Arial" w:cs="Arial"/>
          <w:iCs/>
          <w:kern w:val="0"/>
          <w:lang w:val="en-US" w:eastAsia="en-US"/>
          <w14:ligatures w14:val="none"/>
        </w:rPr>
        <w:t>”</w:t>
      </w:r>
      <w:r w:rsidRPr="004B3F8F">
        <w:rPr>
          <w:rFonts w:ascii="Arial" w:eastAsiaTheme="minorHAnsi" w:hAnsi="Arial" w:cs="Arial"/>
          <w:i/>
          <w:iCs/>
          <w:kern w:val="0"/>
          <w:lang w:val="en-US" w:eastAsia="en-US"/>
          <w14:ligatures w14:val="none"/>
        </w:rPr>
        <w:t xml:space="preserve"> Auditing: A Journal of Practice &amp; Theory</w:t>
      </w:r>
      <w:r w:rsidRPr="004B3F8F">
        <w:rPr>
          <w:rFonts w:ascii="Arial" w:eastAsiaTheme="minorHAnsi" w:hAnsi="Arial" w:cs="Arial"/>
          <w:kern w:val="0"/>
          <w:lang w:val="en-US" w:eastAsia="en-US"/>
          <w14:ligatures w14:val="none"/>
        </w:rPr>
        <w:t xml:space="preserve"> 30, no. 2, pp. 19-50.</w:t>
      </w:r>
    </w:p>
    <w:p w14:paraId="3257A04B"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Perols, J.L., and B.A. Lougee. 2010. “The Relation between Earnings Management and Financial Statement Fraud,” </w:t>
      </w:r>
      <w:r w:rsidRPr="004B3F8F">
        <w:rPr>
          <w:rFonts w:ascii="Arial" w:eastAsiaTheme="minorHAnsi" w:hAnsi="Arial" w:cs="Arial"/>
          <w:i/>
          <w:iCs/>
          <w:kern w:val="0"/>
          <w:lang w:val="en-US" w:eastAsia="en-US"/>
          <w14:ligatures w14:val="none"/>
        </w:rPr>
        <w:t>Advances in Accounting, Incorporating Advances in International Accounting.</w:t>
      </w:r>
      <w:r w:rsidRPr="004B3F8F">
        <w:rPr>
          <w:rFonts w:ascii="Arial" w:eastAsiaTheme="minorHAnsi" w:hAnsi="Arial" w:cs="Arial"/>
          <w:kern w:val="0"/>
          <w:lang w:val="en-US" w:eastAsia="en-US"/>
          <w14:ligatures w14:val="none"/>
        </w:rPr>
        <w:t xml:space="preserve"> </w:t>
      </w:r>
      <w:hyperlink r:id="rId109" w:history="1">
        <w:r w:rsidRPr="004B3F8F">
          <w:rPr>
            <w:rFonts w:ascii="Arial" w:eastAsiaTheme="minorHAnsi" w:hAnsi="Arial" w:cs="Arial"/>
            <w:kern w:val="0"/>
            <w:lang w:val="en-US" w:eastAsia="en-US"/>
            <w14:ligatures w14:val="none"/>
          </w:rPr>
          <w:t>www.elsevier.com</w:t>
        </w:r>
      </w:hyperlink>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shd w:val="clear" w:color="auto" w:fill="FFFFFF"/>
          <w:lang w:val="en-US" w:eastAsia="en-US"/>
          <w14:ligatures w14:val="none"/>
        </w:rPr>
        <w:t>(accessed March 1, 2019).</w:t>
      </w:r>
    </w:p>
    <w:p w14:paraId="66AD3CA1"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88" w:name="_Hlk42379096"/>
      <w:r w:rsidRPr="004B3F8F">
        <w:rPr>
          <w:rFonts w:ascii="Arial" w:eastAsiaTheme="minorHAnsi" w:hAnsi="Arial" w:cs="Arial"/>
          <w:kern w:val="0"/>
          <w:lang w:val="en-US" w:eastAsia="en-US"/>
          <w14:ligatures w14:val="none"/>
        </w:rPr>
        <w:t>Persons</w:t>
      </w:r>
      <w:bookmarkEnd w:id="988"/>
      <w:r w:rsidRPr="004B3F8F">
        <w:rPr>
          <w:rFonts w:ascii="Arial" w:eastAsiaTheme="minorHAnsi" w:hAnsi="Arial" w:cs="Arial"/>
          <w:kern w:val="0"/>
          <w:lang w:val="en-US" w:eastAsia="en-US"/>
          <w14:ligatures w14:val="none"/>
        </w:rPr>
        <w:t xml:space="preserve">, O. 2012. “Stock Option and Cash Compensation of Independent Directors and Likelihood of Fraudulent Financial Reporting.” </w:t>
      </w:r>
      <w:r w:rsidRPr="004B3F8F">
        <w:rPr>
          <w:rFonts w:ascii="Arial" w:eastAsiaTheme="minorHAnsi" w:hAnsi="Arial" w:cs="Arial"/>
          <w:i/>
          <w:iCs/>
          <w:kern w:val="0"/>
          <w:lang w:val="en-US" w:eastAsia="en-US"/>
          <w14:ligatures w14:val="none"/>
        </w:rPr>
        <w:t>Journal of Business &amp; Economics Studies</w:t>
      </w:r>
      <w:r w:rsidRPr="004B3F8F">
        <w:rPr>
          <w:rFonts w:ascii="Arial" w:eastAsiaTheme="minorHAnsi" w:hAnsi="Arial" w:cs="Arial"/>
          <w:kern w:val="0"/>
          <w:lang w:val="en-US" w:eastAsia="en-US"/>
          <w14:ligatures w14:val="none"/>
        </w:rPr>
        <w:t xml:space="preserve"> 18, no. 1, pp. 54-74.</w:t>
      </w:r>
    </w:p>
    <w:p w14:paraId="1EFBE619"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89" w:name="_Hlk42379116"/>
      <w:r w:rsidRPr="004B3F8F">
        <w:rPr>
          <w:rFonts w:ascii="Arial" w:eastAsiaTheme="minorHAnsi" w:hAnsi="Arial" w:cs="Arial"/>
          <w:kern w:val="0"/>
          <w:lang w:val="en-US" w:eastAsia="en-US"/>
          <w14:ligatures w14:val="none"/>
        </w:rPr>
        <w:t>Peterson</w:t>
      </w:r>
      <w:bookmarkEnd w:id="989"/>
      <w:r w:rsidRPr="004B3F8F">
        <w:rPr>
          <w:rFonts w:ascii="Arial" w:eastAsiaTheme="minorHAnsi" w:hAnsi="Arial" w:cs="Arial"/>
          <w:kern w:val="0"/>
          <w:lang w:val="en-US" w:eastAsia="en-US"/>
          <w14:ligatures w14:val="none"/>
        </w:rPr>
        <w:t xml:space="preserve">, B.K., and P.E. </w:t>
      </w:r>
      <w:bookmarkStart w:id="990" w:name="_Hlk42379125"/>
      <w:r w:rsidRPr="004B3F8F">
        <w:rPr>
          <w:rFonts w:ascii="Arial" w:eastAsiaTheme="minorHAnsi" w:hAnsi="Arial" w:cs="Arial"/>
          <w:kern w:val="0"/>
          <w:lang w:val="en-US" w:eastAsia="en-US"/>
          <w14:ligatures w14:val="none"/>
        </w:rPr>
        <w:t>Zikmund</w:t>
      </w:r>
      <w:bookmarkEnd w:id="990"/>
      <w:r w:rsidRPr="004B3F8F">
        <w:rPr>
          <w:rFonts w:ascii="Arial" w:eastAsiaTheme="minorHAnsi" w:hAnsi="Arial" w:cs="Arial"/>
          <w:kern w:val="0"/>
          <w:lang w:val="en-US" w:eastAsia="en-US"/>
          <w14:ligatures w14:val="none"/>
        </w:rPr>
        <w:t xml:space="preserve">. May 2004. “10 Truths You Need to Know about Fraud.” </w:t>
      </w:r>
      <w:r w:rsidRPr="004B3F8F">
        <w:rPr>
          <w:rFonts w:ascii="Arial" w:eastAsiaTheme="minorHAnsi" w:hAnsi="Arial" w:cs="Arial"/>
          <w:i/>
          <w:iCs/>
          <w:kern w:val="0"/>
          <w:lang w:val="en-US" w:eastAsia="en-US"/>
          <w14:ligatures w14:val="none"/>
        </w:rPr>
        <w:t>Strategic Finance</w:t>
      </w:r>
      <w:r w:rsidRPr="004B3F8F">
        <w:rPr>
          <w:rFonts w:ascii="Arial" w:eastAsiaTheme="minorHAnsi" w:hAnsi="Arial" w:cs="Arial"/>
          <w:kern w:val="0"/>
          <w:lang w:val="en-US" w:eastAsia="en-US"/>
          <w14:ligatures w14:val="none"/>
        </w:rPr>
        <w:t>, pp. 29-35.</w:t>
      </w:r>
    </w:p>
    <w:p w14:paraId="40B71F5B"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Pimentel, J. R., Frisendahl, A. R., &amp; Mauerer, G. M. 2020. Dark Triad personality traits in organizational behavior: Implications for job performance and counterproductive work behavior. </w:t>
      </w:r>
      <w:r w:rsidRPr="004B3F8F">
        <w:rPr>
          <w:rFonts w:asciiTheme="minorBidi" w:eastAsia="Times New Roman" w:hAnsiTheme="minorBidi"/>
          <w:i/>
          <w:iCs/>
          <w:kern w:val="0"/>
          <w14:ligatures w14:val="none"/>
        </w:rPr>
        <w:t>Journal of Business Ethics</w:t>
      </w:r>
      <w:r w:rsidRPr="004B3F8F">
        <w:rPr>
          <w:rFonts w:asciiTheme="minorBidi" w:eastAsia="Times New Roman" w:hAnsiTheme="minorBidi"/>
          <w:kern w:val="0"/>
          <w14:ligatures w14:val="none"/>
        </w:rPr>
        <w:t>, 165(2), 295-311.</w:t>
      </w:r>
    </w:p>
    <w:p w14:paraId="4C3AAA78"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lastRenderedPageBreak/>
        <w:t xml:space="preserve">Pimentel, E., &amp; Boulianne, E. 2020. Blockchain in accounting research and practice: current trends and future opportunities. </w:t>
      </w:r>
      <w:r w:rsidRPr="004B3F8F">
        <w:rPr>
          <w:rFonts w:asciiTheme="minorBidi" w:eastAsia="Times New Roman" w:hAnsiTheme="minorBidi"/>
          <w:i/>
          <w:iCs/>
          <w:kern w:val="0"/>
          <w14:ligatures w14:val="none"/>
        </w:rPr>
        <w:t>Accounting Perspectives</w:t>
      </w:r>
      <w:r w:rsidRPr="004B3F8F">
        <w:rPr>
          <w:rFonts w:asciiTheme="minorBidi" w:eastAsia="Times New Roman" w:hAnsiTheme="minorBidi"/>
          <w:kern w:val="0"/>
          <w14:ligatures w14:val="none"/>
        </w:rPr>
        <w:t>.</w:t>
      </w:r>
    </w:p>
    <w:p w14:paraId="01AA9138"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Piquero, N.L., S.G. Tibbetts, and M.B. Blankenship. 2005. “Examining the Role of Differential Association and Techniques of Neutralization in Explaining Corporate Crime.” </w:t>
      </w:r>
      <w:r w:rsidRPr="004B3F8F">
        <w:rPr>
          <w:rFonts w:ascii="Arial" w:eastAsiaTheme="minorHAnsi" w:hAnsi="Arial" w:cs="Arial"/>
          <w:i/>
          <w:kern w:val="0"/>
          <w:lang w:val="en-US" w:eastAsia="en-US"/>
          <w14:ligatures w14:val="none"/>
        </w:rPr>
        <w:t xml:space="preserve">Deviant Behavior </w:t>
      </w:r>
      <w:r w:rsidRPr="004B3F8F">
        <w:rPr>
          <w:rFonts w:ascii="Arial" w:eastAsiaTheme="minorHAnsi" w:hAnsi="Arial" w:cs="Arial"/>
          <w:kern w:val="0"/>
          <w:lang w:val="en-US" w:eastAsia="en-US"/>
          <w14:ligatures w14:val="none"/>
        </w:rPr>
        <w:t>26, no. 2, pp. 159-88.</w:t>
      </w:r>
    </w:p>
    <w:p w14:paraId="0791B9BC" w14:textId="77777777" w:rsidR="004B3F8F" w:rsidRPr="004B3F8F" w:rsidRDefault="004B3F8F" w:rsidP="004B3F8F">
      <w:pPr>
        <w:spacing w:after="200" w:line="480" w:lineRule="auto"/>
        <w:ind w:left="785" w:hangingChars="327" w:hanging="785"/>
        <w:jc w:val="both"/>
        <w:rPr>
          <w:rFonts w:ascii="Arial" w:eastAsiaTheme="minorHAnsi" w:hAnsi="Arial" w:cs="Arial"/>
          <w:iCs/>
          <w:kern w:val="0"/>
          <w:lang w:val="en-US" w:eastAsia="en-US"/>
          <w14:ligatures w14:val="none"/>
        </w:rPr>
      </w:pPr>
      <w:bookmarkStart w:id="991" w:name="_Hlk42379137"/>
      <w:r w:rsidRPr="004B3F8F">
        <w:rPr>
          <w:rFonts w:ascii="Arial" w:eastAsiaTheme="minorHAnsi" w:hAnsi="Arial" w:cs="Arial"/>
          <w:iCs/>
          <w:kern w:val="0"/>
          <w:lang w:val="en-US" w:eastAsia="en-US"/>
          <w14:ligatures w14:val="none"/>
        </w:rPr>
        <w:t>Power</w:t>
      </w:r>
      <w:bookmarkEnd w:id="991"/>
      <w:r w:rsidRPr="004B3F8F">
        <w:rPr>
          <w:rFonts w:ascii="Arial" w:eastAsiaTheme="minorHAnsi" w:hAnsi="Arial" w:cs="Arial"/>
          <w:iCs/>
          <w:kern w:val="0"/>
          <w:lang w:val="en-US" w:eastAsia="en-US"/>
          <w14:ligatures w14:val="none"/>
        </w:rPr>
        <w:t xml:space="preserve">, M. 2013. “The Apparatus of Fraud Risk.” </w:t>
      </w:r>
      <w:r w:rsidRPr="004B3F8F">
        <w:rPr>
          <w:rFonts w:ascii="Arial" w:eastAsiaTheme="minorHAnsi" w:hAnsi="Arial" w:cs="Arial"/>
          <w:i/>
          <w:kern w:val="0"/>
          <w:lang w:val="en-US" w:eastAsia="en-US"/>
          <w14:ligatures w14:val="none"/>
        </w:rPr>
        <w:t>Accounting, Organizations and Society</w:t>
      </w:r>
      <w:r w:rsidRPr="004B3F8F">
        <w:rPr>
          <w:rFonts w:ascii="Arial" w:eastAsiaTheme="minorHAnsi" w:hAnsi="Arial" w:cs="Arial"/>
          <w:iCs/>
          <w:kern w:val="0"/>
          <w:lang w:val="en-US" w:eastAsia="en-US"/>
          <w14:ligatures w14:val="none"/>
        </w:rPr>
        <w:t xml:space="preserve"> 38, no. 6, pp. 525-43.</w:t>
      </w:r>
    </w:p>
    <w:p w14:paraId="7C8F111A"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Prentice, C., Wong, I.A. and Lin, Z.C., 2023. Artificial intelligence as a boundary-crossing object for employee engagement and performance. </w:t>
      </w:r>
      <w:r w:rsidRPr="004B3F8F">
        <w:rPr>
          <w:rFonts w:ascii="Arial" w:hAnsi="Arial" w:cs="Arial"/>
          <w:i/>
          <w:iCs/>
          <w:color w:val="222222"/>
          <w:shd w:val="clear" w:color="auto" w:fill="FFFFFF"/>
        </w:rPr>
        <w:t>Journal of Retailing and Consumer Services</w:t>
      </w:r>
      <w:r w:rsidRPr="004B3F8F">
        <w:rPr>
          <w:rFonts w:ascii="Arial" w:hAnsi="Arial" w:cs="Arial"/>
          <w:color w:val="222222"/>
          <w:shd w:val="clear" w:color="auto" w:fill="FFFFFF"/>
        </w:rPr>
        <w:t>, </w:t>
      </w:r>
      <w:r w:rsidRPr="004B3F8F">
        <w:rPr>
          <w:rFonts w:ascii="Arial" w:hAnsi="Arial" w:cs="Arial"/>
          <w:i/>
          <w:iCs/>
          <w:color w:val="222222"/>
          <w:shd w:val="clear" w:color="auto" w:fill="FFFFFF"/>
        </w:rPr>
        <w:t>73</w:t>
      </w:r>
      <w:r w:rsidRPr="004B3F8F">
        <w:rPr>
          <w:rFonts w:ascii="Arial" w:hAnsi="Arial" w:cs="Arial"/>
          <w:color w:val="222222"/>
          <w:shd w:val="clear" w:color="auto" w:fill="FFFFFF"/>
        </w:rPr>
        <w:t>, p.103376</w:t>
      </w:r>
    </w:p>
    <w:p w14:paraId="178FFEEF"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Public Company Accounting Oversight Board (</w:t>
      </w:r>
      <w:bookmarkStart w:id="992" w:name="_Hlk42379151"/>
      <w:r w:rsidRPr="004B3F8F">
        <w:rPr>
          <w:rFonts w:ascii="Arial" w:eastAsiaTheme="minorHAnsi" w:hAnsi="Arial" w:cs="Arial"/>
          <w:kern w:val="0"/>
          <w:lang w:val="en-US" w:eastAsia="en-US"/>
          <w14:ligatures w14:val="none"/>
        </w:rPr>
        <w:t>PCAOB</w:t>
      </w:r>
      <w:bookmarkEnd w:id="992"/>
      <w:r w:rsidRPr="004B3F8F">
        <w:rPr>
          <w:rFonts w:ascii="Arial" w:eastAsiaTheme="minorHAnsi" w:hAnsi="Arial" w:cs="Arial"/>
          <w:kern w:val="0"/>
          <w:lang w:val="en-US" w:eastAsia="en-US"/>
          <w14:ligatures w14:val="none"/>
        </w:rPr>
        <w:t>). 2005. Consideration of Fraud in a Financial Statement Audit. AU Section 31.</w:t>
      </w:r>
    </w:p>
    <w:p w14:paraId="0A33E221" w14:textId="77777777" w:rsidR="004B3F8F" w:rsidRPr="004B3F8F" w:rsidRDefault="004B3F8F" w:rsidP="004B3F8F">
      <w:pPr>
        <w:spacing w:before="100" w:beforeAutospacing="1" w:after="100" w:afterAutospacing="1" w:line="480" w:lineRule="auto"/>
        <w:ind w:left="567" w:hanging="567"/>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PwC). 2020. "PwC's Global Economic Crime and Fraud Survey 2020." This survey report supports the claim that anti-fraud strategies need to be customized to the organization's specific risks and culture.</w:t>
      </w:r>
    </w:p>
    <w:p w14:paraId="0376D486"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93" w:name="_Hlk42379161"/>
      <w:r w:rsidRPr="004B3F8F">
        <w:rPr>
          <w:rFonts w:ascii="Arial" w:eastAsiaTheme="minorHAnsi" w:hAnsi="Arial" w:cs="Arial"/>
          <w:kern w:val="0"/>
          <w:lang w:val="en-US" w:eastAsia="en-US"/>
          <w14:ligatures w14:val="none"/>
        </w:rPr>
        <w:t>PwC</w:t>
      </w:r>
      <w:bookmarkEnd w:id="993"/>
      <w:r w:rsidRPr="004B3F8F">
        <w:rPr>
          <w:rFonts w:ascii="Arial" w:eastAsiaTheme="minorHAnsi" w:hAnsi="Arial" w:cs="Arial"/>
          <w:kern w:val="0"/>
          <w:lang w:val="en-US" w:eastAsia="en-US"/>
          <w14:ligatures w14:val="none"/>
        </w:rPr>
        <w:t>. 2017. “Distributed Ledger Technology—The Genesis of a New Business Model for the Asset Management Industry.”</w:t>
      </w:r>
      <w:r w:rsidRPr="004B3F8F">
        <w:rPr>
          <w:rFonts w:ascii="Arial" w:eastAsiaTheme="minorHAnsi" w:hAnsi="Arial" w:cs="Arial"/>
          <w:i/>
          <w:iCs/>
          <w:kern w:val="0"/>
          <w:lang w:val="en-US" w:eastAsia="en-US"/>
          <w14:ligatures w14:val="none"/>
        </w:rPr>
        <w:t xml:space="preserve"> </w:t>
      </w:r>
      <w:hyperlink r:id="rId110" w:history="1">
        <w:r w:rsidRPr="004B3F8F">
          <w:rPr>
            <w:rFonts w:ascii="Arial" w:eastAsiaTheme="minorHAnsi" w:hAnsi="Arial" w:cs="Arial"/>
            <w:kern w:val="0"/>
            <w:lang w:val="en-US" w:eastAsia="en-US"/>
            <w14:ligatures w14:val="none"/>
          </w:rPr>
          <w:t>https://www.pwc.lu/en/fintech/docs/pwcfintech-distributed-ledger-technology.pdf</w:t>
        </w:r>
      </w:hyperlink>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shd w:val="clear" w:color="auto" w:fill="FFFFFF"/>
          <w:lang w:val="en-US" w:eastAsia="en-US"/>
          <w14:ligatures w14:val="none"/>
        </w:rPr>
        <w:t>(accessed April 27, 2018).</w:t>
      </w:r>
    </w:p>
    <w:p w14:paraId="00C3C591"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bookmarkStart w:id="994" w:name="_Hlk42379177"/>
      <w:r w:rsidRPr="004B3F8F">
        <w:rPr>
          <w:rFonts w:ascii="Arial" w:eastAsiaTheme="minorHAnsi" w:hAnsi="Arial" w:cs="Arial"/>
          <w:kern w:val="0"/>
          <w:shd w:val="clear" w:color="auto" w:fill="FFFFFF"/>
          <w:lang w:val="en-US" w:eastAsia="en-US"/>
          <w14:ligatures w14:val="none"/>
        </w:rPr>
        <w:t>Rae</w:t>
      </w:r>
      <w:bookmarkEnd w:id="994"/>
      <w:r w:rsidRPr="004B3F8F">
        <w:rPr>
          <w:rFonts w:ascii="Arial" w:eastAsiaTheme="minorHAnsi" w:hAnsi="Arial" w:cs="Arial"/>
          <w:kern w:val="0"/>
          <w:shd w:val="clear" w:color="auto" w:fill="FFFFFF"/>
          <w:lang w:val="en-US" w:eastAsia="en-US"/>
          <w14:ligatures w14:val="none"/>
        </w:rPr>
        <w:t>, D. 2016. “</w:t>
      </w:r>
      <w:r w:rsidRPr="004B3F8F">
        <w:rPr>
          <w:rFonts w:ascii="Arial" w:eastAsiaTheme="minorHAnsi" w:hAnsi="Arial" w:cs="Arial"/>
          <w:kern w:val="0"/>
          <w:lang w:val="en-US" w:eastAsia="en-US"/>
          <w14:ligatures w14:val="none"/>
        </w:rPr>
        <w:t>Beyond Bitcoin: Blockchain and the Distributed Ledger.”</w:t>
      </w:r>
      <w:r w:rsidRPr="004B3F8F">
        <w:rPr>
          <w:rFonts w:ascii="Arial" w:eastAsiaTheme="minorHAnsi" w:hAnsi="Arial" w:cs="Arial"/>
          <w:i/>
          <w:iCs/>
          <w:kern w:val="0"/>
          <w:lang w:val="en-US" w:eastAsia="en-US"/>
          <w14:ligatures w14:val="none"/>
        </w:rPr>
        <w:t xml:space="preserve"> </w:t>
      </w:r>
      <w:r w:rsidRPr="004B3F8F">
        <w:rPr>
          <w:rFonts w:ascii="Arial" w:eastAsiaTheme="minorHAnsi" w:hAnsi="Arial" w:cs="Arial"/>
          <w:kern w:val="0"/>
          <w:lang w:val="en-US" w:eastAsia="en-US"/>
          <w14:ligatures w14:val="none"/>
        </w:rPr>
        <w:t xml:space="preserve">http://www.accaglobal.com/uk/en/member/accountingbusiness/2016/04/practice/beyond-bitcoin.html, </w:t>
      </w:r>
      <w:r w:rsidRPr="004B3F8F">
        <w:rPr>
          <w:rFonts w:ascii="Arial" w:eastAsiaTheme="minorHAnsi" w:hAnsi="Arial" w:cs="Arial"/>
          <w:kern w:val="0"/>
          <w:shd w:val="clear" w:color="auto" w:fill="FFFFFF"/>
          <w:lang w:val="en-US" w:eastAsia="en-US"/>
          <w14:ligatures w14:val="none"/>
        </w:rPr>
        <w:t>(accessed April 27, 2018).</w:t>
      </w:r>
    </w:p>
    <w:p w14:paraId="717EF795"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95" w:name="_Hlk42379194"/>
      <w:r w:rsidRPr="004B3F8F">
        <w:rPr>
          <w:rFonts w:ascii="Arial" w:eastAsiaTheme="minorHAnsi" w:hAnsi="Arial" w:cs="Arial"/>
          <w:kern w:val="0"/>
          <w:lang w:val="en-US" w:eastAsia="en-US"/>
          <w14:ligatures w14:val="none"/>
        </w:rPr>
        <w:lastRenderedPageBreak/>
        <w:t>Rae</w:t>
      </w:r>
      <w:bookmarkEnd w:id="995"/>
      <w:r w:rsidRPr="004B3F8F">
        <w:rPr>
          <w:rFonts w:ascii="Arial" w:eastAsiaTheme="minorHAnsi" w:hAnsi="Arial" w:cs="Arial"/>
          <w:kern w:val="0"/>
          <w:lang w:val="en-US" w:eastAsia="en-US"/>
          <w14:ligatures w14:val="none"/>
        </w:rPr>
        <w:t xml:space="preserve">, K., and N. </w:t>
      </w:r>
      <w:bookmarkStart w:id="996" w:name="_Hlk42379202"/>
      <w:r w:rsidRPr="004B3F8F">
        <w:rPr>
          <w:rFonts w:ascii="Arial" w:eastAsiaTheme="minorHAnsi" w:hAnsi="Arial" w:cs="Arial"/>
          <w:kern w:val="0"/>
          <w:lang w:val="en-US" w:eastAsia="en-US"/>
          <w14:ligatures w14:val="none"/>
        </w:rPr>
        <w:t>Subramaniam</w:t>
      </w:r>
      <w:bookmarkEnd w:id="996"/>
      <w:r w:rsidRPr="004B3F8F">
        <w:rPr>
          <w:rFonts w:ascii="Arial" w:eastAsiaTheme="minorHAnsi" w:hAnsi="Arial" w:cs="Arial"/>
          <w:kern w:val="0"/>
          <w:lang w:val="en-US" w:eastAsia="en-US"/>
          <w14:ligatures w14:val="none"/>
        </w:rPr>
        <w:t xml:space="preserve">. 2008. “Quality of Internal Control Procedures: Antecedents and Moderating Effect on Organizational Justice and Employee Fraud.” </w:t>
      </w:r>
      <w:r w:rsidRPr="004B3F8F">
        <w:rPr>
          <w:rFonts w:ascii="Arial" w:eastAsiaTheme="minorHAnsi" w:hAnsi="Arial" w:cs="Arial"/>
          <w:i/>
          <w:iCs/>
          <w:kern w:val="0"/>
          <w:lang w:val="en-US" w:eastAsia="en-US"/>
          <w14:ligatures w14:val="none"/>
        </w:rPr>
        <w:t>Managerial Auditing Journal</w:t>
      </w:r>
      <w:r w:rsidRPr="004B3F8F">
        <w:rPr>
          <w:rFonts w:ascii="Arial" w:eastAsiaTheme="minorHAnsi" w:hAnsi="Arial" w:cs="Arial"/>
          <w:kern w:val="0"/>
          <w:lang w:val="en-US" w:eastAsia="en-US"/>
          <w14:ligatures w14:val="none"/>
        </w:rPr>
        <w:t xml:space="preserve"> 23, no. 2, pp. 104-24.</w:t>
      </w:r>
    </w:p>
    <w:p w14:paraId="2EECF9E7"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97" w:name="_Hlk42379215"/>
      <w:r w:rsidRPr="004B3F8F">
        <w:rPr>
          <w:rFonts w:ascii="Arial" w:eastAsiaTheme="minorHAnsi" w:hAnsi="Arial" w:cs="Arial"/>
          <w:kern w:val="0"/>
          <w:lang w:val="en-US" w:eastAsia="en-US"/>
          <w14:ligatures w14:val="none"/>
        </w:rPr>
        <w:t>Rahman</w:t>
      </w:r>
      <w:bookmarkEnd w:id="997"/>
      <w:r w:rsidRPr="004B3F8F">
        <w:rPr>
          <w:rFonts w:ascii="Arial" w:eastAsiaTheme="minorHAnsi" w:hAnsi="Arial" w:cs="Arial"/>
          <w:kern w:val="0"/>
          <w:lang w:val="en-US" w:eastAsia="en-US"/>
          <w14:ligatures w14:val="none"/>
        </w:rPr>
        <w:t xml:space="preserve">, K.M., and B. </w:t>
      </w:r>
      <w:bookmarkStart w:id="998" w:name="_Hlk42379222"/>
      <w:r w:rsidRPr="004B3F8F">
        <w:rPr>
          <w:rFonts w:ascii="Arial" w:eastAsiaTheme="minorHAnsi" w:hAnsi="Arial" w:cs="Arial"/>
          <w:kern w:val="0"/>
          <w:lang w:val="en-US" w:eastAsia="en-US"/>
          <w14:ligatures w14:val="none"/>
        </w:rPr>
        <w:t>Marc. 2016</w:t>
      </w:r>
      <w:bookmarkEnd w:id="998"/>
      <w:r w:rsidRPr="004B3F8F">
        <w:rPr>
          <w:rFonts w:ascii="Arial" w:eastAsiaTheme="minorHAnsi" w:hAnsi="Arial" w:cs="Arial"/>
          <w:kern w:val="0"/>
          <w:lang w:val="en-US" w:eastAsia="en-US"/>
          <w14:ligatures w14:val="none"/>
        </w:rPr>
        <w:t xml:space="preserve">. “Effective Corporate Governance and Financial Reporting in Japan.” </w:t>
      </w:r>
      <w:hyperlink r:id="rId111" w:tgtFrame="_blank" w:history="1">
        <w:r w:rsidRPr="004B3F8F">
          <w:rPr>
            <w:rFonts w:ascii="Arial" w:eastAsiaTheme="minorHAnsi" w:hAnsi="Arial" w:cs="Arial"/>
            <w:i/>
            <w:iCs/>
            <w:kern w:val="0"/>
            <w:bdr w:val="none" w:sz="0" w:space="0" w:color="auto" w:frame="1"/>
            <w:lang w:val="en-US" w:eastAsia="en-US"/>
            <w14:ligatures w14:val="none"/>
          </w:rPr>
          <w:t>Asian Academy of Management Journal of Accounting and Finance</w:t>
        </w:r>
      </w:hyperlink>
      <w:r w:rsidRPr="004B3F8F">
        <w:rPr>
          <w:rFonts w:ascii="Arial" w:eastAsiaTheme="minorHAnsi" w:hAnsi="Arial" w:cs="Arial"/>
          <w:kern w:val="0"/>
          <w:lang w:val="en-US" w:eastAsia="en-US"/>
          <w14:ligatures w14:val="none"/>
        </w:rPr>
        <w:t xml:space="preserve"> 12, no. 1, pp. 89-118.</w:t>
      </w:r>
    </w:p>
    <w:p w14:paraId="543BF227"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Raji, I.D., Smart, A., White, R.N., Mitchell, M., Gebru, T., Hutchinson, B., Smith-Loud, J., Theron, D. and Barnes, P., 2020, January. Closing the AI accountability gap: Defining an end-to-end framework for internal algorithmic auditing. In </w:t>
      </w:r>
      <w:r w:rsidRPr="004B3F8F">
        <w:rPr>
          <w:rFonts w:ascii="Arial" w:hAnsi="Arial" w:cs="Arial"/>
          <w:i/>
          <w:iCs/>
          <w:color w:val="222222"/>
          <w:shd w:val="clear" w:color="auto" w:fill="FFFFFF"/>
        </w:rPr>
        <w:t>Proceedings of the 2020 conference on fairness, accountability, and transparency</w:t>
      </w:r>
      <w:r w:rsidRPr="004B3F8F">
        <w:rPr>
          <w:rFonts w:ascii="Arial" w:hAnsi="Arial" w:cs="Arial"/>
          <w:color w:val="222222"/>
          <w:shd w:val="clear" w:color="auto" w:fill="FFFFFF"/>
        </w:rPr>
        <w:t> (pp. 33-44).</w:t>
      </w:r>
    </w:p>
    <w:p w14:paraId="1AC596D7"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999" w:name="_Hlk42379236"/>
      <w:r w:rsidRPr="004B3F8F">
        <w:rPr>
          <w:rFonts w:ascii="Arial" w:eastAsiaTheme="minorHAnsi" w:hAnsi="Arial" w:cs="Arial"/>
          <w:kern w:val="0"/>
          <w:lang w:val="en-US" w:eastAsia="en-US"/>
          <w14:ligatures w14:val="none"/>
        </w:rPr>
        <w:t>Ramamoorti</w:t>
      </w:r>
      <w:bookmarkEnd w:id="999"/>
      <w:r w:rsidRPr="004B3F8F">
        <w:rPr>
          <w:rFonts w:ascii="Arial" w:eastAsiaTheme="minorHAnsi" w:hAnsi="Arial" w:cs="Arial"/>
          <w:kern w:val="0"/>
          <w:lang w:val="en-US" w:eastAsia="en-US"/>
          <w14:ligatures w14:val="none"/>
        </w:rPr>
        <w:t xml:space="preserve">, S. 2008. “The Psychology and Sociology of Fraud: Integrating the Behavioural Sciences Component into Fraud and Forensic Accounting Curricula.” </w:t>
      </w:r>
      <w:r w:rsidRPr="004B3F8F">
        <w:rPr>
          <w:rFonts w:ascii="Arial" w:eastAsiaTheme="minorHAnsi" w:hAnsi="Arial" w:cs="Arial"/>
          <w:i/>
          <w:iCs/>
          <w:kern w:val="0"/>
          <w:lang w:val="en-US" w:eastAsia="en-US"/>
          <w14:ligatures w14:val="none"/>
        </w:rPr>
        <w:t>Issues in Accounting Education</w:t>
      </w:r>
      <w:r w:rsidRPr="004B3F8F">
        <w:rPr>
          <w:rFonts w:ascii="Arial" w:eastAsiaTheme="minorHAnsi" w:hAnsi="Arial" w:cs="Arial"/>
          <w:kern w:val="0"/>
          <w:lang w:val="en-US" w:eastAsia="en-US"/>
          <w14:ligatures w14:val="none"/>
        </w:rPr>
        <w:t xml:space="preserve"> 23, no. 4, pp. 521-33.</w:t>
      </w:r>
    </w:p>
    <w:p w14:paraId="29387353"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Ramamoorti, S., D. Morrison, and J.W. Koletar. December 2009. “Bringing Freud to Fraud: Understanding the State of Mind of the C-level Suite/White Collar Offender through A-B-C Analysis.” </w:t>
      </w:r>
      <w:r w:rsidRPr="004B3F8F">
        <w:rPr>
          <w:rFonts w:ascii="Arial" w:eastAsiaTheme="minorHAnsi" w:hAnsi="Arial" w:cs="Arial"/>
          <w:i/>
          <w:iCs/>
          <w:kern w:val="0"/>
          <w:lang w:val="en-US" w:eastAsia="en-US"/>
          <w14:ligatures w14:val="none"/>
        </w:rPr>
        <w:t>The Institute for Fraud Prevention (IFP)</w:t>
      </w:r>
      <w:r w:rsidRPr="004B3F8F">
        <w:rPr>
          <w:rFonts w:ascii="Arial" w:eastAsiaTheme="minorHAnsi" w:hAnsi="Arial" w:cs="Arial"/>
          <w:kern w:val="0"/>
          <w:lang w:val="en-US" w:eastAsia="en-US"/>
          <w14:ligatures w14:val="none"/>
        </w:rPr>
        <w:t>, pp. 1-35.</w:t>
      </w:r>
    </w:p>
    <w:p w14:paraId="75ACF9FC"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Ramus, F., S. Rosen, C.S. Dakin, B.L. Day, M.J. Castellote, S. White, and U. Frith. 2003. “Theories of Developmental Dyslexia: Insights from a Multiple Case Study of Dyslexic Adults.” </w:t>
      </w:r>
      <w:r w:rsidRPr="004B3F8F">
        <w:rPr>
          <w:rFonts w:ascii="Arial" w:eastAsiaTheme="minorHAnsi" w:hAnsi="Arial" w:cs="Arial"/>
          <w:i/>
          <w:iCs/>
          <w:kern w:val="0"/>
          <w:lang w:val="en-US" w:eastAsia="en-US"/>
          <w14:ligatures w14:val="none"/>
        </w:rPr>
        <w:t>Brain</w:t>
      </w:r>
      <w:r w:rsidRPr="004B3F8F">
        <w:rPr>
          <w:rFonts w:ascii="Arial" w:eastAsiaTheme="minorHAnsi" w:hAnsi="Arial" w:cs="Arial"/>
          <w:kern w:val="0"/>
          <w:lang w:val="en-US" w:eastAsia="en-US"/>
          <w14:ligatures w14:val="none"/>
        </w:rPr>
        <w:t xml:space="preserve"> 126, no. 4, pp. 841-65.</w:t>
      </w:r>
    </w:p>
    <w:p w14:paraId="07FF39A7" w14:textId="77777777" w:rsidR="004B3F8F" w:rsidRPr="004B3F8F" w:rsidRDefault="004B3F8F" w:rsidP="004B3F8F">
      <w:pPr>
        <w:spacing w:line="480" w:lineRule="auto"/>
        <w:ind w:left="851" w:hanging="851"/>
        <w:rPr>
          <w:rFonts w:ascii="Arial" w:hAnsi="Arial" w:cs="Arial"/>
          <w:color w:val="222222"/>
          <w:shd w:val="clear" w:color="auto" w:fill="FFFFFF"/>
        </w:rPr>
      </w:pPr>
      <w:r w:rsidRPr="004B3F8F">
        <w:rPr>
          <w:rFonts w:ascii="Arial" w:hAnsi="Arial" w:cs="Arial"/>
          <w:color w:val="222222"/>
          <w:shd w:val="clear" w:color="auto" w:fill="FFFFFF"/>
        </w:rPr>
        <w:lastRenderedPageBreak/>
        <w:t>Rashid, M.A., Al-Mamun, A., Roudaki, H. and Yasser, Q.R., 2022. An overview of corporate fraud and its prevention approach. </w:t>
      </w:r>
      <w:r w:rsidRPr="004B3F8F">
        <w:rPr>
          <w:rFonts w:ascii="Arial" w:hAnsi="Arial" w:cs="Arial"/>
          <w:i/>
          <w:iCs/>
          <w:color w:val="222222"/>
          <w:shd w:val="clear" w:color="auto" w:fill="FFFFFF"/>
        </w:rPr>
        <w:t>Australasian Accounting, Business and Finance Journal</w:t>
      </w:r>
      <w:r w:rsidRPr="004B3F8F">
        <w:rPr>
          <w:rFonts w:ascii="Arial" w:hAnsi="Arial" w:cs="Arial"/>
          <w:color w:val="222222"/>
          <w:shd w:val="clear" w:color="auto" w:fill="FFFFFF"/>
        </w:rPr>
        <w:t>, </w:t>
      </w:r>
      <w:r w:rsidRPr="004B3F8F">
        <w:rPr>
          <w:rFonts w:ascii="Arial" w:hAnsi="Arial" w:cs="Arial"/>
          <w:i/>
          <w:iCs/>
          <w:color w:val="222222"/>
          <w:shd w:val="clear" w:color="auto" w:fill="FFFFFF"/>
        </w:rPr>
        <w:t>16</w:t>
      </w:r>
      <w:r w:rsidRPr="004B3F8F">
        <w:rPr>
          <w:rFonts w:ascii="Arial" w:hAnsi="Arial" w:cs="Arial"/>
          <w:color w:val="222222"/>
          <w:shd w:val="clear" w:color="auto" w:fill="FFFFFF"/>
        </w:rPr>
        <w:t>(1), pp.101-118.</w:t>
      </w:r>
    </w:p>
    <w:p w14:paraId="65536DF1" w14:textId="77777777" w:rsidR="004B3F8F" w:rsidRPr="004B3F8F" w:rsidRDefault="004B3F8F" w:rsidP="004B3F8F">
      <w:pPr>
        <w:spacing w:after="200" w:line="480" w:lineRule="auto"/>
        <w:ind w:left="785" w:hangingChars="327" w:hanging="785"/>
        <w:jc w:val="both"/>
        <w:rPr>
          <w:rFonts w:asciiTheme="minorBidi" w:eastAsiaTheme="minorHAnsi" w:hAnsiTheme="minorBidi"/>
          <w:kern w:val="0"/>
          <w:lang w:eastAsia="en-US"/>
          <w14:ligatures w14:val="none"/>
        </w:rPr>
      </w:pPr>
      <w:r w:rsidRPr="004B3F8F">
        <w:rPr>
          <w:rFonts w:asciiTheme="minorBidi" w:eastAsiaTheme="minorHAnsi" w:hAnsiTheme="minorBidi"/>
          <w:kern w:val="0"/>
          <w:lang w:eastAsia="en-US"/>
          <w14:ligatures w14:val="none"/>
        </w:rPr>
        <w:t>Razzetti</w:t>
      </w:r>
      <w:r w:rsidRPr="004B3F8F">
        <w:rPr>
          <w:rFonts w:ascii="Arial" w:eastAsiaTheme="minorHAnsi" w:hAnsi="Arial" w:cs="Arial"/>
          <w:kern w:val="0"/>
          <w:lang w:val="en-US" w:eastAsia="en-US"/>
          <w14:ligatures w14:val="none"/>
        </w:rPr>
        <w:t xml:space="preserve">, </w:t>
      </w:r>
      <w:r w:rsidRPr="004B3F8F">
        <w:rPr>
          <w:rFonts w:asciiTheme="minorBidi" w:eastAsiaTheme="minorHAnsi" w:hAnsiTheme="minorBidi"/>
          <w:kern w:val="0"/>
          <w:lang w:eastAsia="en-US"/>
          <w14:ligatures w14:val="none"/>
        </w:rPr>
        <w:t xml:space="preserve">G. 2021. </w:t>
      </w:r>
      <w:hyperlink r:id="rId112" w:history="1">
        <w:r w:rsidRPr="004B3F8F">
          <w:rPr>
            <w:rFonts w:asciiTheme="minorBidi" w:eastAsiaTheme="minorHAnsi" w:hAnsiTheme="minorBidi"/>
            <w:kern w:val="0"/>
            <w:lang w:eastAsia="en-US"/>
            <w14:ligatures w14:val="none"/>
          </w:rPr>
          <w:t>How Amazon Built a Culture of Innovation by Working Backwards | By Gustavo Razzetti (fearlessculture.design)</w:t>
        </w:r>
      </w:hyperlink>
      <w:r w:rsidRPr="004B3F8F">
        <w:rPr>
          <w:rFonts w:asciiTheme="minorBidi" w:eastAsiaTheme="minorHAnsi" w:hAnsiTheme="minorBidi"/>
          <w:kern w:val="0"/>
          <w:lang w:eastAsia="en-US"/>
          <w14:ligatures w14:val="none"/>
        </w:rPr>
        <w:t xml:space="preserve"> /blog-posts/how-amazon-built-a-culture-of-innovation-by-working-backwards Accessed June 2023</w:t>
      </w:r>
    </w:p>
    <w:p w14:paraId="4CADB22F"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Rehman, R., &amp; Hashim, M. 2022. Early Detection and Prevention of Fraud: Best Practices and Strategies. </w:t>
      </w:r>
      <w:r w:rsidRPr="004B3F8F">
        <w:rPr>
          <w:rFonts w:asciiTheme="minorBidi" w:eastAsia="Times New Roman" w:hAnsiTheme="minorBidi"/>
          <w:i/>
          <w:iCs/>
          <w:kern w:val="0"/>
          <w14:ligatures w14:val="none"/>
        </w:rPr>
        <w:t>International Journal of Accounting and Financial Reporting</w:t>
      </w:r>
      <w:r w:rsidRPr="004B3F8F">
        <w:rPr>
          <w:rFonts w:asciiTheme="minorBidi" w:eastAsia="Times New Roman" w:hAnsiTheme="minorBidi"/>
          <w:kern w:val="0"/>
          <w14:ligatures w14:val="none"/>
        </w:rPr>
        <w:t>.</w:t>
      </w:r>
    </w:p>
    <w:p w14:paraId="3E9983AD"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Rehman, A. and Hashim, F., 2022. Forensic Accounting Is a Necessity in Today's Corporate World and Not an Extra Option: A Conceptual Framework. In </w:t>
      </w:r>
      <w:r w:rsidRPr="004B3F8F">
        <w:rPr>
          <w:rFonts w:ascii="Arial" w:hAnsi="Arial" w:cs="Arial"/>
          <w:i/>
          <w:iCs/>
          <w:color w:val="222222"/>
          <w:shd w:val="clear" w:color="auto" w:fill="FFFFFF"/>
        </w:rPr>
        <w:t>Handbook of Research on the Significance of Forensic Accounting Techniques in Corporate Governance</w:t>
      </w:r>
      <w:r w:rsidRPr="004B3F8F">
        <w:rPr>
          <w:rFonts w:ascii="Arial" w:hAnsi="Arial" w:cs="Arial"/>
          <w:color w:val="222222"/>
          <w:shd w:val="clear" w:color="auto" w:fill="FFFFFF"/>
        </w:rPr>
        <w:t> (pp. 276-293). IGI Global.</w:t>
      </w:r>
    </w:p>
    <w:p w14:paraId="225D4C15"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Resnik, D. B. 2018. </w:t>
      </w:r>
      <w:r w:rsidRPr="004B3F8F">
        <w:rPr>
          <w:rFonts w:asciiTheme="minorBidi" w:eastAsia="Times New Roman" w:hAnsiTheme="minorBidi"/>
          <w:i/>
          <w:iCs/>
          <w:kern w:val="0"/>
          <w14:ligatures w14:val="none"/>
        </w:rPr>
        <w:t>The Ethics of Research with Human Subjects: Protecting People, Advancing Science, Promoting Trust</w:t>
      </w:r>
      <w:r w:rsidRPr="004B3F8F">
        <w:rPr>
          <w:rFonts w:asciiTheme="minorBidi" w:eastAsia="Times New Roman" w:hAnsiTheme="minorBidi"/>
          <w:kern w:val="0"/>
          <w14:ligatures w14:val="none"/>
        </w:rPr>
        <w:t>. Springer.</w:t>
      </w:r>
    </w:p>
    <w:p w14:paraId="703C7900" w14:textId="77777777" w:rsidR="004B3F8F" w:rsidRPr="004B3F8F" w:rsidRDefault="004B3F8F" w:rsidP="004B3F8F">
      <w:pPr>
        <w:spacing w:after="0" w:line="480" w:lineRule="auto"/>
        <w:ind w:left="709" w:hanging="709"/>
        <w:contextualSpacing/>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Rae, K., &amp; Subramaniam, N. 2008. Quality of internal control procedures: Antecedents and moderating effect on organizational justice and employee fraud. </w:t>
      </w:r>
      <w:r w:rsidRPr="004B3F8F">
        <w:rPr>
          <w:rFonts w:asciiTheme="minorBidi" w:eastAsia="Times New Roman" w:hAnsiTheme="minorBidi"/>
          <w:i/>
          <w:iCs/>
          <w:kern w:val="0"/>
          <w14:ligatures w14:val="none"/>
        </w:rPr>
        <w:t>Managerial Auditing Journal</w:t>
      </w:r>
      <w:r w:rsidRPr="004B3F8F">
        <w:rPr>
          <w:rFonts w:asciiTheme="minorBidi" w:eastAsia="Times New Roman" w:hAnsiTheme="minorBidi"/>
          <w:kern w:val="0"/>
          <w14:ligatures w14:val="none"/>
        </w:rPr>
        <w:t>, 23(2), 104-124.</w:t>
      </w:r>
    </w:p>
    <w:p w14:paraId="5AFAD7C1" w14:textId="77777777" w:rsidR="004B3F8F" w:rsidRPr="004B3F8F" w:rsidRDefault="004B3F8F" w:rsidP="004B3F8F">
      <w:pPr>
        <w:spacing w:after="0" w:line="480" w:lineRule="auto"/>
        <w:contextualSpacing/>
        <w:jc w:val="both"/>
        <w:rPr>
          <w:rFonts w:asciiTheme="minorBidi" w:eastAsia="Times New Roman" w:hAnsiTheme="minorBidi"/>
          <w:kern w:val="0"/>
          <w14:ligatures w14:val="none"/>
        </w:rPr>
      </w:pPr>
    </w:p>
    <w:p w14:paraId="6433F089"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1000" w:name="_Hlk42379247"/>
      <w:r w:rsidRPr="004B3F8F">
        <w:rPr>
          <w:rFonts w:ascii="Arial" w:eastAsiaTheme="minorHAnsi" w:hAnsi="Arial" w:cs="Arial"/>
          <w:kern w:val="0"/>
          <w:lang w:val="en-US" w:eastAsia="en-US"/>
          <w14:ligatures w14:val="none"/>
        </w:rPr>
        <w:t>Rezaee</w:t>
      </w:r>
      <w:bookmarkEnd w:id="1000"/>
      <w:r w:rsidRPr="004B3F8F">
        <w:rPr>
          <w:rFonts w:ascii="Arial" w:eastAsiaTheme="minorHAnsi" w:hAnsi="Arial" w:cs="Arial"/>
          <w:kern w:val="0"/>
          <w:lang w:val="en-US" w:eastAsia="en-US"/>
          <w14:ligatures w14:val="none"/>
        </w:rPr>
        <w:t xml:space="preserve">, Z. 2003. </w:t>
      </w:r>
      <w:r w:rsidRPr="004B3F8F">
        <w:rPr>
          <w:rFonts w:ascii="Arial" w:eastAsiaTheme="minorHAnsi" w:hAnsi="Arial" w:cs="Arial"/>
          <w:i/>
          <w:iCs/>
          <w:kern w:val="0"/>
          <w:lang w:val="en-US" w:eastAsia="en-US"/>
          <w14:ligatures w14:val="none"/>
        </w:rPr>
        <w:t>Financial Statement Fraud: Prevention and Detection</w:t>
      </w:r>
      <w:r w:rsidRPr="004B3F8F">
        <w:rPr>
          <w:rFonts w:ascii="Arial" w:eastAsiaTheme="minorHAnsi" w:hAnsi="Arial" w:cs="Arial"/>
          <w:kern w:val="0"/>
          <w:lang w:val="en-US" w:eastAsia="en-US"/>
          <w14:ligatures w14:val="none"/>
        </w:rPr>
        <w:t>. New York: Wiley.</w:t>
      </w:r>
    </w:p>
    <w:p w14:paraId="379FA76A"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Rezaee, Z. 2005. “Causes, Consequences, and Deterrence of Financial Statement Fraud.” </w:t>
      </w:r>
      <w:r w:rsidRPr="004B3F8F">
        <w:rPr>
          <w:rFonts w:ascii="Arial" w:eastAsiaTheme="minorHAnsi" w:hAnsi="Arial" w:cs="Arial"/>
          <w:i/>
          <w:iCs/>
          <w:kern w:val="0"/>
          <w:lang w:val="en-US" w:eastAsia="en-US"/>
          <w14:ligatures w14:val="none"/>
        </w:rPr>
        <w:t xml:space="preserve">Critical Perspectives on Accounting </w:t>
      </w:r>
      <w:r w:rsidRPr="004B3F8F">
        <w:rPr>
          <w:rFonts w:ascii="Arial" w:eastAsiaTheme="minorHAnsi" w:hAnsi="Arial" w:cs="Arial"/>
          <w:kern w:val="0"/>
          <w:lang w:val="en-US" w:eastAsia="en-US"/>
          <w14:ligatures w14:val="none"/>
        </w:rPr>
        <w:t>16, pp. 227-98.</w:t>
      </w:r>
    </w:p>
    <w:p w14:paraId="02E659B7"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lastRenderedPageBreak/>
        <w:t xml:space="preserve">Rezaee, Z., and R. Riley. 2010. </w:t>
      </w:r>
      <w:r w:rsidRPr="004B3F8F">
        <w:rPr>
          <w:rFonts w:ascii="Arial" w:eastAsiaTheme="minorHAnsi" w:hAnsi="Arial" w:cs="Arial"/>
          <w:i/>
          <w:iCs/>
          <w:kern w:val="0"/>
          <w:lang w:val="en-US" w:eastAsia="en-US"/>
          <w14:ligatures w14:val="none"/>
        </w:rPr>
        <w:t>Financial Statement Fraud: Prevention and Detection</w:t>
      </w:r>
      <w:r w:rsidRPr="004B3F8F">
        <w:rPr>
          <w:rFonts w:ascii="Arial" w:eastAsiaTheme="minorHAnsi" w:hAnsi="Arial" w:cs="Arial"/>
          <w:kern w:val="0"/>
          <w:lang w:val="en-US" w:eastAsia="en-US"/>
          <w14:ligatures w14:val="none"/>
        </w:rPr>
        <w:t>. 2nd ed. Hoboken, NJ: John Wiley &amp; Sons, Inc.</w:t>
      </w:r>
    </w:p>
    <w:p w14:paraId="5A0C6A8A"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bookmarkStart w:id="1001" w:name="_Hlk42379260"/>
      <w:r w:rsidRPr="004B3F8F">
        <w:rPr>
          <w:rFonts w:ascii="Arial" w:eastAsia="Times New Roman" w:hAnsi="Arial" w:cs="Arial"/>
          <w:kern w:val="0"/>
          <w:lang w:val="en-US" w:eastAsia="en-GB"/>
          <w14:ligatures w14:val="none"/>
        </w:rPr>
        <w:t>Riemer</w:t>
      </w:r>
      <w:bookmarkEnd w:id="1001"/>
      <w:r w:rsidRPr="004B3F8F">
        <w:rPr>
          <w:rFonts w:ascii="Arial" w:eastAsia="Times New Roman" w:hAnsi="Arial" w:cs="Arial"/>
          <w:kern w:val="0"/>
          <w:lang w:val="en-US" w:eastAsia="en-GB"/>
          <w14:ligatures w14:val="none"/>
        </w:rPr>
        <w:t>, K., E. Hafermalz, A. Roosen, N. Boussand, H. El Aoufi, D. Mo, and A. Kosheliev. 2017. “</w:t>
      </w:r>
      <w:r w:rsidRPr="004B3F8F">
        <w:rPr>
          <w:rFonts w:ascii="Arial" w:eastAsiaTheme="minorHAnsi" w:hAnsi="Arial" w:cs="Arial"/>
          <w:iCs/>
          <w:kern w:val="0"/>
          <w:lang w:val="en-US" w:eastAsia="en-US"/>
          <w14:ligatures w14:val="none"/>
        </w:rPr>
        <w:t>The Fintech Advantage: Harnessing Digital Technology, Keeping the Customer in Focus,”</w:t>
      </w:r>
      <w:r w:rsidRPr="004B3F8F">
        <w:rPr>
          <w:rFonts w:ascii="Arial" w:eastAsiaTheme="minorHAnsi" w:hAnsi="Arial" w:cs="Arial"/>
          <w:i/>
          <w:kern w:val="0"/>
          <w:lang w:val="en-US" w:eastAsia="en-US"/>
          <w14:ligatures w14:val="none"/>
        </w:rPr>
        <w:t xml:space="preserve"> </w:t>
      </w:r>
      <w:r w:rsidRPr="004B3F8F">
        <w:rPr>
          <w:rFonts w:ascii="Arial" w:eastAsiaTheme="minorHAnsi" w:hAnsi="Arial" w:cs="Arial"/>
          <w:i/>
          <w:iCs/>
          <w:kern w:val="0"/>
          <w:lang w:val="en-US" w:eastAsia="en-US"/>
          <w14:ligatures w14:val="none"/>
        </w:rPr>
        <w:t>The Sydney eScholarship Repository</w:t>
      </w:r>
      <w:r w:rsidRPr="004B3F8F">
        <w:rPr>
          <w:rFonts w:ascii="Arial" w:eastAsiaTheme="minorHAnsi" w:hAnsi="Arial" w:cs="Arial"/>
          <w:kern w:val="0"/>
          <w:lang w:val="en-US" w:eastAsia="en-US"/>
          <w14:ligatures w14:val="none"/>
        </w:rPr>
        <w:t>.</w:t>
      </w:r>
      <w:r w:rsidRPr="004B3F8F">
        <w:rPr>
          <w:rFonts w:ascii="Arial" w:eastAsia="Times New Roman" w:hAnsi="Arial" w:cs="Arial"/>
          <w:kern w:val="0"/>
          <w:lang w:val="en-US" w:eastAsia="en-GB"/>
          <w14:ligatures w14:val="none"/>
        </w:rPr>
        <w:t xml:space="preserve"> </w:t>
      </w:r>
      <w:hyperlink r:id="rId113" w:history="1">
        <w:r w:rsidRPr="004B3F8F">
          <w:rPr>
            <w:rFonts w:ascii="Arial" w:eastAsia="Times New Roman" w:hAnsi="Arial" w:cs="Arial"/>
            <w:kern w:val="0"/>
            <w:lang w:val="en-US" w:eastAsia="en-GB"/>
            <w14:ligatures w14:val="none"/>
          </w:rPr>
          <w:t>https://ses.library.usyd.edu.au/handle/2123/16259</w:t>
        </w:r>
      </w:hyperlink>
      <w:r w:rsidRPr="004B3F8F">
        <w:rPr>
          <w:rFonts w:ascii="Arial" w:eastAsia="Times New Roman" w:hAnsi="Arial" w:cs="Arial"/>
          <w:kern w:val="0"/>
          <w:lang w:val="en-US" w:eastAsia="en-GB"/>
          <w14:ligatures w14:val="none"/>
        </w:rPr>
        <w:t xml:space="preserve">, </w:t>
      </w:r>
      <w:r w:rsidRPr="004B3F8F">
        <w:rPr>
          <w:rFonts w:ascii="Arial" w:eastAsiaTheme="minorHAnsi" w:hAnsi="Arial" w:cs="Arial"/>
          <w:kern w:val="0"/>
          <w:shd w:val="clear" w:color="auto" w:fill="FFFFFF"/>
          <w:lang w:val="en-US" w:eastAsia="en-US"/>
          <w14:ligatures w14:val="none"/>
        </w:rPr>
        <w:t>(accessed April 27, 2018).</w:t>
      </w:r>
    </w:p>
    <w:p w14:paraId="29601EA8" w14:textId="23E890D1" w:rsidR="004B3F8F" w:rsidRPr="004B3F8F" w:rsidRDefault="004B3F8F" w:rsidP="004B3F8F">
      <w:pPr>
        <w:spacing w:after="200" w:line="480" w:lineRule="auto"/>
        <w:ind w:left="785" w:hangingChars="327" w:hanging="785"/>
        <w:jc w:val="both"/>
        <w:rPr>
          <w:rFonts w:asciiTheme="minorBidi" w:eastAsiaTheme="minorHAnsi" w:hAnsiTheme="minorBidi"/>
          <w:kern w:val="0"/>
          <w:shd w:val="clear" w:color="auto" w:fill="FFFFFF"/>
          <w:lang w:val="en-US" w:eastAsia="en-US"/>
          <w14:ligatures w14:val="none"/>
        </w:rPr>
      </w:pPr>
      <w:r w:rsidRPr="004B3F8F">
        <w:rPr>
          <w:rFonts w:asciiTheme="minorBidi" w:eastAsiaTheme="minorHAnsi" w:hAnsiTheme="minorBidi"/>
          <w:kern w:val="0"/>
          <w:lang w:eastAsia="en-US"/>
          <w14:ligatures w14:val="none"/>
        </w:rPr>
        <w:t xml:space="preserve">Ritchie, J., Lewis, J., Nicholls, C. M. &amp; Ormston, R., 2014. </w:t>
      </w:r>
      <w:r w:rsidR="00D90278" w:rsidRPr="004B3F8F">
        <w:rPr>
          <w:rFonts w:asciiTheme="minorBidi" w:eastAsiaTheme="minorHAnsi" w:hAnsiTheme="minorBidi"/>
          <w:kern w:val="0"/>
          <w:lang w:eastAsia="en-US"/>
          <w14:ligatures w14:val="none"/>
        </w:rPr>
        <w:t>Qualitative</w:t>
      </w:r>
      <w:r w:rsidRPr="004B3F8F">
        <w:rPr>
          <w:rFonts w:asciiTheme="minorBidi" w:eastAsiaTheme="minorHAnsi" w:hAnsiTheme="minorBidi"/>
          <w:kern w:val="0"/>
          <w:lang w:eastAsia="en-US"/>
          <w14:ligatures w14:val="none"/>
        </w:rPr>
        <w:t xml:space="preserve"> Research Practice. 2nd ed. London: Sage Publication Inc.</w:t>
      </w:r>
    </w:p>
    <w:p w14:paraId="6784DA70"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Robertson, P.W., 2022. </w:t>
      </w:r>
      <w:r w:rsidRPr="004B3F8F">
        <w:rPr>
          <w:rFonts w:ascii="Arial" w:hAnsi="Arial" w:cs="Arial"/>
          <w:i/>
          <w:iCs/>
          <w:color w:val="222222"/>
          <w:shd w:val="clear" w:color="auto" w:fill="FFFFFF"/>
        </w:rPr>
        <w:t>Supply chain leadership: developing a people-centric approach to effective supply chain management</w:t>
      </w:r>
      <w:r w:rsidRPr="004B3F8F">
        <w:rPr>
          <w:rFonts w:ascii="Arial" w:hAnsi="Arial" w:cs="Arial"/>
          <w:color w:val="222222"/>
          <w:shd w:val="clear" w:color="auto" w:fill="FFFFFF"/>
        </w:rPr>
        <w:t>. Routledge.</w:t>
      </w:r>
    </w:p>
    <w:p w14:paraId="6EBCD87F"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1002" w:name="_Hlk42379274"/>
      <w:r w:rsidRPr="004B3F8F">
        <w:rPr>
          <w:rFonts w:ascii="Arial" w:eastAsiaTheme="minorHAnsi" w:hAnsi="Arial" w:cs="Arial"/>
          <w:kern w:val="0"/>
          <w:lang w:val="en-US" w:eastAsia="en-US"/>
          <w14:ligatures w14:val="none"/>
        </w:rPr>
        <w:t>Robins</w:t>
      </w:r>
      <w:bookmarkEnd w:id="1002"/>
      <w:r w:rsidRPr="004B3F8F">
        <w:rPr>
          <w:rFonts w:ascii="Arial" w:eastAsiaTheme="minorHAnsi" w:hAnsi="Arial" w:cs="Arial"/>
          <w:kern w:val="0"/>
          <w:lang w:val="en-US" w:eastAsia="en-US"/>
          <w14:ligatures w14:val="none"/>
        </w:rPr>
        <w:t xml:space="preserve">, N. 2007. “This Imperious Company: The English East India Company and Its Legacy for Corporate Accountability.” </w:t>
      </w:r>
      <w:r w:rsidRPr="004B3F8F">
        <w:rPr>
          <w:rFonts w:ascii="Arial" w:eastAsiaTheme="minorHAnsi" w:hAnsi="Arial" w:cs="Arial"/>
          <w:i/>
          <w:iCs/>
          <w:kern w:val="0"/>
          <w:lang w:val="en-US" w:eastAsia="en-US"/>
          <w14:ligatures w14:val="none"/>
        </w:rPr>
        <w:t>Journal of Corporate Citizenship</w:t>
      </w:r>
      <w:r w:rsidRPr="004B3F8F">
        <w:rPr>
          <w:rFonts w:ascii="Arial" w:eastAsiaTheme="minorHAnsi" w:hAnsi="Arial" w:cs="Arial"/>
          <w:kern w:val="0"/>
          <w:lang w:val="en-US" w:eastAsia="en-US"/>
          <w14:ligatures w14:val="none"/>
        </w:rPr>
        <w:t>.</w:t>
      </w:r>
    </w:p>
    <w:p w14:paraId="5DCA69DC"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t>Rocco, T., Bliss, L., Gallagher, S., Perez-Prado, A., Alacaci, C., Dwyer, W., Fine, J., Pappamihiel, E.2003. The pragmatic and dialectical lenses: Two views of mixed methods use in education. In: Tashakkori, A., Teddlie, C. (eds.) Handbook of mixed methods in social &amp; behavioral research, pp. 595-615. Sage, Thousand Oaks, CA.</w:t>
      </w:r>
    </w:p>
    <w:p w14:paraId="394C0227"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1003" w:name="_Hlk42379284"/>
      <w:r w:rsidRPr="004B3F8F">
        <w:rPr>
          <w:rFonts w:ascii="Arial" w:eastAsiaTheme="minorHAnsi" w:hAnsi="Arial" w:cs="Arial"/>
          <w:kern w:val="0"/>
          <w:lang w:val="en-US" w:eastAsia="en-US"/>
          <w14:ligatures w14:val="none"/>
        </w:rPr>
        <w:t>Ronson</w:t>
      </w:r>
      <w:bookmarkEnd w:id="1003"/>
      <w:r w:rsidRPr="004B3F8F">
        <w:rPr>
          <w:rFonts w:ascii="Arial" w:eastAsiaTheme="minorHAnsi" w:hAnsi="Arial" w:cs="Arial"/>
          <w:kern w:val="0"/>
          <w:lang w:val="en-US" w:eastAsia="en-US"/>
          <w14:ligatures w14:val="none"/>
        </w:rPr>
        <w:t xml:space="preserve">, J. 2011. </w:t>
      </w:r>
      <w:r w:rsidRPr="004B3F8F">
        <w:rPr>
          <w:rFonts w:ascii="Arial" w:eastAsiaTheme="minorHAnsi" w:hAnsi="Arial" w:cs="Arial"/>
          <w:i/>
          <w:iCs/>
          <w:kern w:val="0"/>
          <w:lang w:val="en-US" w:eastAsia="en-US"/>
          <w14:ligatures w14:val="none"/>
        </w:rPr>
        <w:t>The Psychopath Test: A Journey through the Madness Industry.</w:t>
      </w:r>
      <w:r w:rsidRPr="004B3F8F">
        <w:rPr>
          <w:rFonts w:ascii="Arial" w:eastAsiaTheme="minorHAnsi" w:hAnsi="Arial" w:cs="Arial"/>
          <w:kern w:val="0"/>
          <w:lang w:val="en-US" w:eastAsia="en-US"/>
          <w14:ligatures w14:val="none"/>
        </w:rPr>
        <w:t xml:space="preserve"> Penguin Group. New York</w:t>
      </w:r>
    </w:p>
    <w:p w14:paraId="33FB54DB"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1004" w:name="_Hlk42379294"/>
      <w:r w:rsidRPr="004B3F8F">
        <w:rPr>
          <w:rFonts w:ascii="Arial" w:eastAsiaTheme="minorHAnsi" w:hAnsi="Arial" w:cs="Arial"/>
          <w:kern w:val="0"/>
          <w:lang w:val="en-US" w:eastAsia="en-US"/>
          <w14:ligatures w14:val="none"/>
        </w:rPr>
        <w:t>Rosner</w:t>
      </w:r>
      <w:bookmarkEnd w:id="1004"/>
      <w:r w:rsidRPr="004B3F8F">
        <w:rPr>
          <w:rFonts w:ascii="Arial" w:eastAsiaTheme="minorHAnsi" w:hAnsi="Arial" w:cs="Arial"/>
          <w:kern w:val="0"/>
          <w:lang w:val="en-US" w:eastAsia="en-US"/>
          <w14:ligatures w14:val="none"/>
        </w:rPr>
        <w:t xml:space="preserve">, R.L. 2003. “Earnings Manipulation in Failing Firms.” </w:t>
      </w:r>
      <w:r w:rsidRPr="004B3F8F">
        <w:rPr>
          <w:rFonts w:ascii="Arial" w:eastAsiaTheme="minorHAnsi" w:hAnsi="Arial" w:cs="Arial"/>
          <w:i/>
          <w:iCs/>
          <w:kern w:val="0"/>
          <w:lang w:val="en-US" w:eastAsia="en-US"/>
          <w14:ligatures w14:val="none"/>
        </w:rPr>
        <w:t xml:space="preserve">Contemporary Accounting Research </w:t>
      </w:r>
      <w:r w:rsidRPr="004B3F8F">
        <w:rPr>
          <w:rFonts w:ascii="Arial" w:eastAsiaTheme="minorHAnsi" w:hAnsi="Arial" w:cs="Arial"/>
          <w:kern w:val="0"/>
          <w:lang w:val="en-US" w:eastAsia="en-US"/>
          <w14:ligatures w14:val="none"/>
        </w:rPr>
        <w:t>20, no. 2, p. 367.</w:t>
      </w:r>
    </w:p>
    <w:p w14:paraId="4BF3225C" w14:textId="21D468E0" w:rsidR="004B3F8F" w:rsidRPr="004B3F8F" w:rsidRDefault="004B3F8F" w:rsidP="004B3F8F">
      <w:pPr>
        <w:spacing w:after="200" w:line="480" w:lineRule="auto"/>
        <w:ind w:left="785" w:hangingChars="327" w:hanging="785"/>
        <w:jc w:val="both"/>
        <w:rPr>
          <w:rFonts w:ascii="Arial" w:eastAsiaTheme="minorHAnsi" w:hAnsi="Arial" w:cs="Arial"/>
          <w:kern w:val="0"/>
          <w:lang w:eastAsia="en-US"/>
          <w14:ligatures w14:val="none"/>
        </w:rPr>
      </w:pPr>
      <w:r w:rsidRPr="000C7113">
        <w:rPr>
          <w:rFonts w:ascii="Arial" w:eastAsiaTheme="minorHAnsi" w:hAnsi="Arial" w:cs="Arial"/>
          <w:kern w:val="0"/>
          <w:lang w:eastAsia="en-US"/>
          <w14:ligatures w14:val="none"/>
        </w:rPr>
        <w:lastRenderedPageBreak/>
        <w:t xml:space="preserve">Rozario, A. M., &amp; </w:t>
      </w:r>
      <w:r w:rsidR="00D90278" w:rsidRPr="000C7113">
        <w:rPr>
          <w:rFonts w:ascii="Arial" w:eastAsiaTheme="minorHAnsi" w:hAnsi="Arial" w:cs="Arial"/>
          <w:kern w:val="0"/>
          <w:lang w:eastAsia="en-US"/>
          <w14:ligatures w14:val="none"/>
        </w:rPr>
        <w:t>Vaserhelyi</w:t>
      </w:r>
      <w:r w:rsidRPr="000C7113">
        <w:rPr>
          <w:rFonts w:ascii="Arial" w:eastAsiaTheme="minorHAnsi" w:hAnsi="Arial" w:cs="Arial"/>
          <w:kern w:val="0"/>
          <w:lang w:eastAsia="en-US"/>
          <w14:ligatures w14:val="none"/>
        </w:rPr>
        <w:t xml:space="preserve">, M. A. 2018. </w:t>
      </w:r>
      <w:r w:rsidRPr="004B3F8F">
        <w:rPr>
          <w:rFonts w:ascii="Arial" w:eastAsiaTheme="minorHAnsi" w:hAnsi="Arial" w:cs="Arial"/>
          <w:i/>
          <w:iCs/>
          <w:kern w:val="0"/>
          <w:lang w:eastAsia="en-US"/>
          <w14:ligatures w14:val="none"/>
        </w:rPr>
        <w:t>‘’Auditing with smart contracts. The International Journal of Digital Accounting Research’’</w:t>
      </w:r>
      <w:r w:rsidRPr="004B3F8F">
        <w:rPr>
          <w:rFonts w:ascii="Arial" w:eastAsiaTheme="minorHAnsi" w:hAnsi="Arial" w:cs="Arial"/>
          <w:kern w:val="0"/>
          <w:lang w:eastAsia="en-US"/>
          <w14:ligatures w14:val="none"/>
        </w:rPr>
        <w:t xml:space="preserve">, Vol </w:t>
      </w:r>
      <w:proofErr w:type="gramStart"/>
      <w:r w:rsidRPr="004B3F8F">
        <w:rPr>
          <w:rFonts w:ascii="Arial" w:eastAsiaTheme="minorHAnsi" w:hAnsi="Arial" w:cs="Arial"/>
          <w:kern w:val="0"/>
          <w:lang w:eastAsia="en-US"/>
          <w14:ligatures w14:val="none"/>
        </w:rPr>
        <w:t>18,Pp</w:t>
      </w:r>
      <w:proofErr w:type="gramEnd"/>
      <w:r w:rsidRPr="004B3F8F">
        <w:rPr>
          <w:rFonts w:ascii="Arial" w:eastAsiaTheme="minorHAnsi" w:hAnsi="Arial" w:cs="Arial"/>
          <w:kern w:val="0"/>
          <w:lang w:eastAsia="en-US"/>
          <w14:ligatures w14:val="none"/>
        </w:rPr>
        <w:t xml:space="preserve"> 1-27.</w:t>
      </w:r>
    </w:p>
    <w:p w14:paraId="497A043B" w14:textId="238B3EB6" w:rsidR="004B3F8F" w:rsidRPr="004B3F8F" w:rsidRDefault="004B3F8F" w:rsidP="004B3F8F">
      <w:pPr>
        <w:spacing w:after="200" w:line="480" w:lineRule="auto"/>
        <w:ind w:left="785" w:hangingChars="327" w:hanging="785"/>
        <w:jc w:val="both"/>
        <w:rPr>
          <w:rFonts w:ascii="Arial" w:eastAsiaTheme="minorHAnsi" w:hAnsi="Arial" w:cs="Arial"/>
          <w:kern w:val="0"/>
          <w:lang w:val="de-DE" w:eastAsia="en-US"/>
          <w14:ligatures w14:val="none"/>
        </w:rPr>
      </w:pPr>
      <w:r w:rsidRPr="004B3F8F">
        <w:rPr>
          <w:rFonts w:ascii="Arial" w:eastAsiaTheme="minorHAnsi" w:hAnsi="Arial" w:cs="Arial"/>
          <w:kern w:val="0"/>
          <w:lang w:eastAsia="en-US"/>
          <w14:ligatures w14:val="none"/>
        </w:rPr>
        <w:t>Rückeshäuser, N. 2017. Do we really want blockchain-based accounting? decentralized consensus as enabler of management override of internal controls, in Leimeister, J.M.; Brenner, W.</w:t>
      </w:r>
      <w:r w:rsidR="006D3B59">
        <w:rPr>
          <w:rFonts w:ascii="Arial" w:eastAsiaTheme="minorHAnsi" w:hAnsi="Arial" w:cs="Arial"/>
          <w:kern w:val="0"/>
          <w:lang w:eastAsia="en-US"/>
          <w14:ligatures w14:val="none"/>
        </w:rPr>
        <w:t xml:space="preserve"> </w:t>
      </w:r>
      <w:r w:rsidRPr="004B3F8F">
        <w:rPr>
          <w:rFonts w:ascii="Arial" w:eastAsiaTheme="minorHAnsi" w:hAnsi="Arial" w:cs="Arial"/>
          <w:kern w:val="0"/>
          <w:lang w:eastAsia="en-US"/>
          <w14:ligatures w14:val="none"/>
        </w:rPr>
        <w:t>Hrsg</w:t>
      </w:r>
      <w:r w:rsidR="00D90278" w:rsidRPr="004B3F8F">
        <w:rPr>
          <w:rFonts w:ascii="Arial" w:eastAsiaTheme="minorHAnsi" w:hAnsi="Arial" w:cs="Arial"/>
          <w:kern w:val="0"/>
          <w:lang w:eastAsia="en-US"/>
          <w14:ligatures w14:val="none"/>
        </w:rPr>
        <w:t>.</w:t>
      </w:r>
      <w:r w:rsidR="000B1233">
        <w:rPr>
          <w:rFonts w:ascii="Arial" w:eastAsiaTheme="minorHAnsi" w:hAnsi="Arial" w:cs="Arial"/>
          <w:kern w:val="0"/>
          <w:lang w:eastAsia="en-US"/>
          <w14:ligatures w14:val="none"/>
        </w:rPr>
        <w:t xml:space="preserve"> </w:t>
      </w:r>
      <w:r w:rsidR="00D90278">
        <w:rPr>
          <w:rFonts w:ascii="Arial" w:eastAsiaTheme="minorHAnsi" w:hAnsi="Arial" w:cs="Arial"/>
          <w:kern w:val="0"/>
          <w:lang w:eastAsia="en-US"/>
          <w14:ligatures w14:val="none"/>
        </w:rPr>
        <w:t>:</w:t>
      </w:r>
      <w:r w:rsidRPr="004B3F8F">
        <w:rPr>
          <w:rFonts w:ascii="Arial" w:eastAsiaTheme="minorHAnsi" w:hAnsi="Arial" w:cs="Arial"/>
          <w:kern w:val="0"/>
          <w:lang w:eastAsia="en-US"/>
          <w14:ligatures w14:val="none"/>
        </w:rPr>
        <w:t xml:space="preserve"> Proceedings der 13. </w:t>
      </w:r>
      <w:r w:rsidRPr="004B3F8F">
        <w:rPr>
          <w:rFonts w:ascii="Arial" w:eastAsiaTheme="minorHAnsi" w:hAnsi="Arial" w:cs="Arial"/>
          <w:kern w:val="0"/>
          <w:lang w:val="de-DE" w:eastAsia="en-US"/>
          <w14:ligatures w14:val="none"/>
        </w:rPr>
        <w:t xml:space="preserve">Internationalen Tagung Wirtschaftsinformatik (WI 2017), St. Gallen, S. 16-30 </w:t>
      </w:r>
    </w:p>
    <w:p w14:paraId="690118FB"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1005" w:name="_Hlk42379304"/>
      <w:r w:rsidRPr="004B3F8F">
        <w:rPr>
          <w:rFonts w:ascii="Arial" w:eastAsiaTheme="minorHAnsi" w:hAnsi="Arial" w:cs="Arial"/>
          <w:kern w:val="0"/>
          <w:lang w:val="de-DE" w:eastAsia="en-US"/>
          <w14:ligatures w14:val="none"/>
        </w:rPr>
        <w:t>Ryan</w:t>
      </w:r>
      <w:bookmarkEnd w:id="1005"/>
      <w:r w:rsidRPr="004B3F8F">
        <w:rPr>
          <w:rFonts w:ascii="Arial" w:eastAsiaTheme="minorHAnsi" w:hAnsi="Arial" w:cs="Arial"/>
          <w:kern w:val="0"/>
          <w:lang w:val="de-DE" w:eastAsia="en-US"/>
          <w14:ligatures w14:val="none"/>
        </w:rPr>
        <w:t xml:space="preserve">, H., and R. </w:t>
      </w:r>
      <w:bookmarkStart w:id="1006" w:name="_Hlk42379311"/>
      <w:r w:rsidRPr="004B3F8F">
        <w:rPr>
          <w:rFonts w:ascii="Arial" w:eastAsiaTheme="minorHAnsi" w:hAnsi="Arial" w:cs="Arial"/>
          <w:kern w:val="0"/>
          <w:lang w:val="de-DE" w:eastAsia="en-US"/>
          <w14:ligatures w14:val="none"/>
        </w:rPr>
        <w:t>Wiggins</w:t>
      </w:r>
      <w:bookmarkEnd w:id="1006"/>
      <w:r w:rsidRPr="004B3F8F">
        <w:rPr>
          <w:rFonts w:ascii="Arial" w:eastAsiaTheme="minorHAnsi" w:hAnsi="Arial" w:cs="Arial"/>
          <w:kern w:val="0"/>
          <w:lang w:val="de-DE" w:eastAsia="en-US"/>
          <w14:ligatures w14:val="none"/>
        </w:rPr>
        <w:t xml:space="preserve">. </w:t>
      </w:r>
      <w:r w:rsidRPr="004B3F8F">
        <w:rPr>
          <w:rFonts w:ascii="Arial" w:eastAsiaTheme="minorHAnsi" w:hAnsi="Arial" w:cs="Arial"/>
          <w:kern w:val="0"/>
          <w:lang w:val="en-US" w:eastAsia="en-US"/>
          <w14:ligatures w14:val="none"/>
        </w:rPr>
        <w:t xml:space="preserve">2004. “Who is in Whose Pocket? Director Compensation, Board Independence, and Barriers to Effective Monitoring.” </w:t>
      </w:r>
      <w:r w:rsidRPr="004B3F8F">
        <w:rPr>
          <w:rFonts w:ascii="Arial" w:eastAsiaTheme="minorHAnsi" w:hAnsi="Arial" w:cs="Arial"/>
          <w:i/>
          <w:iCs/>
          <w:kern w:val="0"/>
          <w:lang w:val="en-US" w:eastAsia="en-US"/>
          <w14:ligatures w14:val="none"/>
        </w:rPr>
        <w:t>Journal of Financial Economics</w:t>
      </w:r>
      <w:r w:rsidRPr="004B3F8F">
        <w:rPr>
          <w:rFonts w:ascii="Arial" w:eastAsiaTheme="minorHAnsi" w:hAnsi="Arial" w:cs="Arial"/>
          <w:kern w:val="0"/>
          <w:lang w:val="en-US" w:eastAsia="en-US"/>
          <w14:ligatures w14:val="none"/>
        </w:rPr>
        <w:t xml:space="preserve"> 73, no. 3, pp. 497-525.</w:t>
      </w:r>
    </w:p>
    <w:p w14:paraId="6A28554F"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Saunders, M., Lewis, P., &amp; Thornhill, A. 2019. </w:t>
      </w:r>
      <w:r w:rsidRPr="004B3F8F">
        <w:rPr>
          <w:rFonts w:asciiTheme="minorBidi" w:eastAsia="Times New Roman" w:hAnsiTheme="minorBidi"/>
          <w:i/>
          <w:iCs/>
          <w:kern w:val="0"/>
          <w14:ligatures w14:val="none"/>
        </w:rPr>
        <w:t>Research Methods for Business Students</w:t>
      </w:r>
      <w:r w:rsidRPr="004B3F8F">
        <w:rPr>
          <w:rFonts w:asciiTheme="minorBidi" w:eastAsia="Times New Roman" w:hAnsiTheme="minorBidi"/>
          <w:kern w:val="0"/>
          <w14:ligatures w14:val="none"/>
        </w:rPr>
        <w:t xml:space="preserve"> (8th ed.). Pearson</w:t>
      </w:r>
    </w:p>
    <w:p w14:paraId="285DA8C5" w14:textId="77777777" w:rsidR="004B3F8F" w:rsidRPr="004B3F8F" w:rsidRDefault="004B3F8F" w:rsidP="004B3F8F">
      <w:pPr>
        <w:spacing w:after="200" w:line="480" w:lineRule="auto"/>
        <w:ind w:left="785" w:hangingChars="327" w:hanging="785"/>
        <w:jc w:val="both"/>
        <w:rPr>
          <w:rFonts w:asciiTheme="minorBidi" w:eastAsiaTheme="minorHAnsi" w:hAnsiTheme="minorBidi"/>
          <w:kern w:val="0"/>
          <w:lang w:eastAsia="en-US"/>
          <w14:ligatures w14:val="none"/>
        </w:rPr>
      </w:pPr>
      <w:r w:rsidRPr="004B3F8F">
        <w:rPr>
          <w:rFonts w:asciiTheme="minorBidi" w:eastAsiaTheme="minorHAnsi" w:hAnsiTheme="minorBidi"/>
          <w:kern w:val="0"/>
          <w:lang w:eastAsia="en-US"/>
          <w14:ligatures w14:val="none"/>
        </w:rPr>
        <w:t xml:space="preserve">Saunders, M., Lewis, P. &amp; Thornhill, A., 2015. Research Methods for Business Students. Seventh ed. Essex: Pearson Education Limited. </w:t>
      </w:r>
    </w:p>
    <w:p w14:paraId="2C2044B7" w14:textId="77777777" w:rsidR="004B3F8F" w:rsidRPr="004B3F8F" w:rsidRDefault="004B3F8F" w:rsidP="004B3F8F">
      <w:pPr>
        <w:spacing w:after="200" w:line="480" w:lineRule="auto"/>
        <w:ind w:left="785" w:hangingChars="327" w:hanging="785"/>
        <w:jc w:val="both"/>
        <w:rPr>
          <w:rFonts w:asciiTheme="minorBidi" w:eastAsiaTheme="minorHAnsi" w:hAnsiTheme="minorBidi"/>
          <w:kern w:val="0"/>
          <w:lang w:val="en-US" w:eastAsia="en-US"/>
          <w14:ligatures w14:val="none"/>
        </w:rPr>
      </w:pPr>
      <w:r w:rsidRPr="004B3F8F">
        <w:rPr>
          <w:rFonts w:asciiTheme="minorBidi" w:eastAsiaTheme="minorHAnsi" w:hAnsiTheme="minorBidi"/>
          <w:kern w:val="0"/>
          <w:lang w:eastAsia="en-US"/>
          <w14:ligatures w14:val="none"/>
        </w:rPr>
        <w:t>Saunders, M. &amp; Townsend, K., 2016. Reporting and Justifying the Number of Interview Participants in Organization and Workplace Research. British Journal of Management, Volume 00, pp. 1-17</w:t>
      </w:r>
    </w:p>
    <w:p w14:paraId="6CF8EE54"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eastAsia="en-US"/>
          <w14:ligatures w14:val="none"/>
        </w:rPr>
        <w:t>Saunders, M., Lewis, P. and Thornhill, A. 2012. Research Methods for Business Students. Sixth Edition, Harlow: Pearson Education</w:t>
      </w:r>
    </w:p>
    <w:p w14:paraId="24DC0228" w14:textId="77777777" w:rsidR="004B3F8F" w:rsidRPr="004B3F8F" w:rsidRDefault="004B3F8F" w:rsidP="004B3F8F">
      <w:pPr>
        <w:spacing w:after="0" w:line="360" w:lineRule="auto"/>
        <w:ind w:left="851" w:hanging="851"/>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t>Saunders, B., Sim, J., Kingstone, T., Baker, S., Waterfield, J., Bartlam, B., Jinks, C. 2018. ‘</w:t>
      </w:r>
      <w:r w:rsidRPr="004B3F8F">
        <w:rPr>
          <w:rFonts w:ascii="Arial" w:eastAsiaTheme="minorHAnsi" w:hAnsi="Arial" w:cs="Arial"/>
          <w:i/>
          <w:iCs/>
          <w:kern w:val="0"/>
          <w:lang w:eastAsia="en-US"/>
          <w14:ligatures w14:val="none"/>
        </w:rPr>
        <w:t>’Saturation in qualitative research: Exploring its conceptualization and operationalization. Quality &amp; Quantity’’</w:t>
      </w:r>
      <w:r w:rsidRPr="004B3F8F">
        <w:rPr>
          <w:rFonts w:ascii="Arial" w:eastAsiaTheme="minorHAnsi" w:hAnsi="Arial" w:cs="Arial"/>
          <w:kern w:val="0"/>
          <w:lang w:eastAsia="en-US"/>
          <w14:ligatures w14:val="none"/>
        </w:rPr>
        <w:t>, 52(4), Pp. 1893-1907. doi:10.1007/s11135- 017-0574-8</w:t>
      </w:r>
    </w:p>
    <w:p w14:paraId="274B72E7" w14:textId="77777777" w:rsidR="004B3F8F" w:rsidRPr="004B3F8F" w:rsidRDefault="004B3F8F" w:rsidP="004B3F8F">
      <w:pPr>
        <w:spacing w:after="0" w:line="360" w:lineRule="auto"/>
        <w:jc w:val="both"/>
        <w:rPr>
          <w:rFonts w:ascii="Arial" w:eastAsiaTheme="minorHAnsi" w:hAnsi="Arial" w:cs="Arial"/>
          <w:kern w:val="0"/>
          <w:lang w:eastAsia="en-US"/>
          <w14:ligatures w14:val="none"/>
        </w:rPr>
      </w:pPr>
    </w:p>
    <w:p w14:paraId="1483CE81"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lastRenderedPageBreak/>
        <w:t xml:space="preserve">Scapens, R.W. 2004. </w:t>
      </w:r>
      <w:r w:rsidRPr="004B3F8F">
        <w:rPr>
          <w:rFonts w:ascii="Arial" w:eastAsiaTheme="minorHAnsi" w:hAnsi="Arial" w:cs="Arial"/>
          <w:i/>
          <w:kern w:val="0"/>
          <w:lang w:val="en-US" w:eastAsia="en-US"/>
          <w14:ligatures w14:val="none"/>
        </w:rPr>
        <w:t xml:space="preserve">Doing Case Study Research. The Real-Life Guide to Accounting Research. </w:t>
      </w:r>
      <w:r w:rsidRPr="004B3F8F">
        <w:rPr>
          <w:rFonts w:ascii="Arial" w:eastAsiaTheme="minorHAnsi" w:hAnsi="Arial" w:cs="Arial"/>
          <w:kern w:val="0"/>
          <w:lang w:val="en-US" w:eastAsia="en-US"/>
          <w14:ligatures w14:val="none"/>
        </w:rPr>
        <w:t>Oxford: Elsevier.</w:t>
      </w:r>
    </w:p>
    <w:p w14:paraId="1F95E263"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Schmitz, J., &amp; Leoni, G. 2019. "Accounting and Auditing at the Time of Blockchain Technology: A Research Agenda." </w:t>
      </w:r>
      <w:r w:rsidRPr="004B3F8F">
        <w:rPr>
          <w:rFonts w:asciiTheme="minorBidi" w:eastAsia="Times New Roman" w:hAnsiTheme="minorBidi"/>
          <w:i/>
          <w:iCs/>
          <w:kern w:val="0"/>
          <w14:ligatures w14:val="none"/>
        </w:rPr>
        <w:t>Australian Accounting Review</w:t>
      </w:r>
      <w:r w:rsidRPr="004B3F8F">
        <w:rPr>
          <w:rFonts w:asciiTheme="minorBidi" w:eastAsia="Times New Roman" w:hAnsiTheme="minorBidi"/>
          <w:kern w:val="0"/>
          <w14:ligatures w14:val="none"/>
        </w:rPr>
        <w:t>, 29(2), 331-342.</w:t>
      </w:r>
    </w:p>
    <w:p w14:paraId="541ABA4B" w14:textId="77777777" w:rsidR="004B3F8F" w:rsidRPr="004B3F8F" w:rsidRDefault="004B3F8F" w:rsidP="004B3F8F">
      <w:pPr>
        <w:spacing w:after="200" w:line="480" w:lineRule="auto"/>
        <w:ind w:left="785" w:hangingChars="327" w:hanging="785"/>
        <w:jc w:val="both"/>
        <w:rPr>
          <w:rFonts w:ascii="Arial" w:eastAsiaTheme="minorHAnsi" w:hAnsi="Arial" w:cs="Arial"/>
          <w:spacing w:val="5"/>
          <w:kern w:val="0"/>
          <w:lang w:val="en-US" w:eastAsia="en-US"/>
          <w14:ligatures w14:val="none"/>
        </w:rPr>
      </w:pPr>
      <w:bookmarkStart w:id="1007" w:name="_Hlk42379327"/>
      <w:r w:rsidRPr="004B3F8F">
        <w:rPr>
          <w:rFonts w:ascii="Arial" w:eastAsiaTheme="minorHAnsi" w:hAnsi="Arial" w:cs="Arial"/>
          <w:kern w:val="0"/>
          <w:lang w:eastAsia="en-US"/>
          <w14:ligatures w14:val="none"/>
        </w:rPr>
        <w:t>Schimmenti</w:t>
      </w:r>
      <w:bookmarkEnd w:id="1007"/>
      <w:r w:rsidRPr="004B3F8F">
        <w:rPr>
          <w:rFonts w:ascii="Arial" w:eastAsiaTheme="minorHAnsi" w:hAnsi="Arial" w:cs="Arial"/>
          <w:kern w:val="0"/>
          <w:lang w:eastAsia="en-US"/>
          <w14:ligatures w14:val="none"/>
        </w:rPr>
        <w:t xml:space="preserve">, A., P.J. Jonason, A. Passanisi, L. La Marca, N. Di Dio, and A.M. Gervasi. </w:t>
      </w:r>
      <w:r w:rsidRPr="004B3F8F">
        <w:rPr>
          <w:rFonts w:ascii="Arial" w:eastAsiaTheme="minorHAnsi" w:hAnsi="Arial" w:cs="Arial"/>
          <w:kern w:val="0"/>
          <w:lang w:val="en-US" w:eastAsia="en-US"/>
          <w14:ligatures w14:val="none"/>
        </w:rPr>
        <w:t>2017. “</w:t>
      </w:r>
      <w:r w:rsidRPr="004B3F8F">
        <w:rPr>
          <w:rFonts w:ascii="Arial" w:eastAsiaTheme="minorHAnsi" w:hAnsi="Arial" w:cs="Arial"/>
          <w:spacing w:val="2"/>
          <w:kern w:val="0"/>
          <w:lang w:val="en-US" w:eastAsia="en-US"/>
          <w14:ligatures w14:val="none"/>
        </w:rPr>
        <w:t xml:space="preserve">Exploring the Dark Side of Personality: Emotional Awareness, Empathy, and the Dark Triad Traits in an Italian Sample.” </w:t>
      </w:r>
      <w:r w:rsidRPr="004B3F8F">
        <w:rPr>
          <w:rFonts w:ascii="Arial" w:eastAsiaTheme="minorHAnsi" w:hAnsi="Arial" w:cs="Arial"/>
          <w:i/>
          <w:iCs/>
          <w:spacing w:val="5"/>
          <w:kern w:val="0"/>
          <w:lang w:val="en-US" w:eastAsia="en-US"/>
          <w14:ligatures w14:val="none"/>
        </w:rPr>
        <w:t>Current Psychology</w:t>
      </w:r>
      <w:r w:rsidRPr="004B3F8F">
        <w:rPr>
          <w:rFonts w:ascii="Arial" w:eastAsiaTheme="minorHAnsi" w:hAnsi="Arial" w:cs="Arial"/>
          <w:spacing w:val="5"/>
          <w:kern w:val="0"/>
          <w:lang w:val="en-US" w:eastAsia="en-US"/>
          <w14:ligatures w14:val="none"/>
        </w:rPr>
        <w:t xml:space="preserve">. </w:t>
      </w:r>
      <w:r w:rsidRPr="004B3F8F">
        <w:rPr>
          <w:rFonts w:ascii="Arial" w:eastAsiaTheme="minorHAnsi" w:hAnsi="Arial" w:cs="Arial"/>
          <w:kern w:val="0"/>
          <w:shd w:val="clear" w:color="auto" w:fill="FCFCFC"/>
          <w:lang w:eastAsia="en-US"/>
          <w14:ligatures w14:val="none"/>
        </w:rPr>
        <w:t>(38), pp100–109 </w:t>
      </w:r>
    </w:p>
    <w:p w14:paraId="2069B048"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Scholz, P., &amp; Stein, D. 2020. "The Wirecard Scandal and Its Implications for Corporate Governance." </w:t>
      </w:r>
      <w:r w:rsidRPr="004B3F8F">
        <w:rPr>
          <w:rFonts w:asciiTheme="minorBidi" w:eastAsia="Times New Roman" w:hAnsiTheme="minorBidi"/>
          <w:i/>
          <w:iCs/>
          <w:kern w:val="0"/>
          <w14:ligatures w14:val="none"/>
        </w:rPr>
        <w:t>European Corporate Governance Institute (ECGI) - Finance Working Paper No. 726/2020</w:t>
      </w:r>
      <w:r w:rsidRPr="004B3F8F">
        <w:rPr>
          <w:rFonts w:asciiTheme="minorBidi" w:eastAsia="Times New Roman" w:hAnsiTheme="minorBidi"/>
          <w:kern w:val="0"/>
          <w14:ligatures w14:val="none"/>
        </w:rPr>
        <w:t>.</w:t>
      </w:r>
    </w:p>
    <w:p w14:paraId="119C7640"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Schnatterly, K. 2010. “</w:t>
      </w:r>
      <w:r w:rsidRPr="004B3F8F">
        <w:rPr>
          <w:rFonts w:ascii="Arial" w:eastAsiaTheme="minorHAnsi" w:hAnsi="Arial" w:cs="Arial"/>
          <w:iCs/>
          <w:kern w:val="0"/>
          <w:lang w:val="en-US" w:eastAsia="en-US"/>
          <w14:ligatures w14:val="none"/>
        </w:rPr>
        <w:t>Increasing Firm Value Through Detection and Prevention of White-collar Crime</w:t>
      </w:r>
      <w:r w:rsidRPr="004B3F8F">
        <w:rPr>
          <w:rFonts w:ascii="Arial" w:eastAsiaTheme="minorHAnsi" w:hAnsi="Arial" w:cs="Arial"/>
          <w:kern w:val="0"/>
          <w:lang w:val="en-US" w:eastAsia="en-US"/>
          <w14:ligatures w14:val="none"/>
        </w:rPr>
        <w:t xml:space="preserve">.” In </w:t>
      </w:r>
      <w:r w:rsidRPr="004B3F8F">
        <w:rPr>
          <w:rFonts w:ascii="Arial" w:eastAsiaTheme="minorHAnsi" w:hAnsi="Arial" w:cs="Arial"/>
          <w:i/>
          <w:kern w:val="0"/>
          <w:lang w:val="en-US" w:eastAsia="en-US"/>
          <w14:ligatures w14:val="none"/>
        </w:rPr>
        <w:t>Handbook of Top Management Teams</w:t>
      </w:r>
      <w:r w:rsidRPr="004B3F8F">
        <w:rPr>
          <w:rFonts w:ascii="Arial" w:eastAsiaTheme="minorHAnsi" w:hAnsi="Arial" w:cs="Arial"/>
          <w:kern w:val="0"/>
          <w:lang w:val="en-US" w:eastAsia="en-US"/>
          <w14:ligatures w14:val="none"/>
        </w:rPr>
        <w:t xml:space="preserve">. pp. 674–81. </w:t>
      </w:r>
      <w:r w:rsidRPr="004B3F8F">
        <w:rPr>
          <w:rFonts w:ascii="Arial" w:eastAsiaTheme="minorHAnsi" w:hAnsi="Arial" w:cs="Arial"/>
          <w:spacing w:val="4"/>
          <w:kern w:val="0"/>
          <w:shd w:val="clear" w:color="auto" w:fill="FCFCFC"/>
          <w:lang w:eastAsia="en-US"/>
          <w14:ligatures w14:val="none"/>
        </w:rPr>
        <w:t xml:space="preserve">Bournois F., Duval-Hamel J., Roussillon S., Scaringella JL. (eds) </w:t>
      </w:r>
      <w:r w:rsidRPr="004B3F8F">
        <w:rPr>
          <w:rFonts w:ascii="Arial" w:eastAsiaTheme="minorHAnsi" w:hAnsi="Arial" w:cs="Arial"/>
          <w:kern w:val="0"/>
          <w:lang w:val="en-US" w:eastAsia="en-US"/>
          <w14:ligatures w14:val="none"/>
        </w:rPr>
        <w:t>UK: Palgrave Macmillan., London</w:t>
      </w:r>
    </w:p>
    <w:p w14:paraId="3A7142A7"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eastAsia="en-US"/>
          <w14:ligatures w14:val="none"/>
        </w:rPr>
      </w:pPr>
      <w:bookmarkStart w:id="1008" w:name="_Hlk42379342"/>
      <w:r w:rsidRPr="004B3F8F">
        <w:rPr>
          <w:rFonts w:ascii="Arial" w:eastAsiaTheme="minorHAnsi" w:hAnsi="Arial" w:cs="Arial"/>
          <w:kern w:val="0"/>
          <w:lang w:val="en-US" w:eastAsia="en-US"/>
          <w14:ligatures w14:val="none"/>
        </w:rPr>
        <w:t>Schouten</w:t>
      </w:r>
      <w:bookmarkEnd w:id="1008"/>
      <w:r w:rsidRPr="004B3F8F">
        <w:rPr>
          <w:rFonts w:ascii="Arial" w:eastAsiaTheme="minorHAnsi" w:hAnsi="Arial" w:cs="Arial"/>
          <w:kern w:val="0"/>
          <w:lang w:val="en-US" w:eastAsia="en-US"/>
          <w14:ligatures w14:val="none"/>
        </w:rPr>
        <w:t>, R. March 2012. “Psychopaths on Wall Street</w:t>
      </w:r>
      <w:r w:rsidRPr="004B3F8F">
        <w:rPr>
          <w:rFonts w:ascii="Arial" w:eastAsiaTheme="minorHAnsi" w:hAnsi="Arial" w:cs="Arial"/>
          <w:i/>
          <w:iCs/>
          <w:kern w:val="0"/>
          <w:lang w:val="en-US" w:eastAsia="en-US"/>
          <w14:ligatures w14:val="none"/>
        </w:rPr>
        <w:t>.</w:t>
      </w:r>
      <w:r w:rsidRPr="004B3F8F">
        <w:rPr>
          <w:rFonts w:ascii="Arial" w:eastAsiaTheme="minorHAnsi" w:hAnsi="Arial" w:cs="Arial"/>
          <w:iCs/>
          <w:kern w:val="0"/>
          <w:lang w:val="en-US" w:eastAsia="en-US"/>
          <w14:ligatures w14:val="none"/>
        </w:rPr>
        <w:t>”</w:t>
      </w:r>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i/>
          <w:kern w:val="0"/>
          <w:lang w:val="en-US" w:eastAsia="en-US"/>
          <w14:ligatures w14:val="none"/>
        </w:rPr>
        <w:t>Harvard Business Review</w:t>
      </w:r>
      <w:r w:rsidRPr="004B3F8F">
        <w:rPr>
          <w:rFonts w:ascii="Arial" w:eastAsiaTheme="minorHAnsi" w:hAnsi="Arial" w:cs="Arial"/>
          <w:kern w:val="0"/>
          <w:lang w:val="en-US" w:eastAsia="en-US"/>
          <w14:ligatures w14:val="none"/>
        </w:rPr>
        <w:t>.</w:t>
      </w:r>
      <w:r w:rsidRPr="004B3F8F">
        <w:rPr>
          <w:rFonts w:ascii="Arial" w:eastAsiaTheme="minorHAnsi" w:hAnsi="Arial" w:cs="Arial"/>
          <w:kern w:val="0"/>
          <w:lang w:eastAsia="en-US"/>
          <w14:ligatures w14:val="none"/>
        </w:rPr>
        <w:t xml:space="preserve"> </w:t>
      </w:r>
      <w:hyperlink r:id="rId114" w:history="1">
        <w:r w:rsidRPr="004B3F8F">
          <w:rPr>
            <w:rFonts w:ascii="Arial" w:eastAsiaTheme="minorHAnsi" w:hAnsi="Arial" w:cs="Arial"/>
            <w:kern w:val="0"/>
            <w:lang w:eastAsia="en-US"/>
            <w14:ligatures w14:val="none"/>
          </w:rPr>
          <w:t>https://hbr.org/2012/03/psychopaths-on-wall-street</w:t>
        </w:r>
      </w:hyperlink>
      <w:r w:rsidRPr="004B3F8F">
        <w:rPr>
          <w:rFonts w:ascii="Arial" w:eastAsiaTheme="minorHAnsi" w:hAnsi="Arial" w:cs="Arial"/>
          <w:kern w:val="0"/>
          <w:lang w:eastAsia="en-US"/>
          <w14:ligatures w14:val="none"/>
        </w:rPr>
        <w:t>.</w:t>
      </w:r>
    </w:p>
    <w:p w14:paraId="2616CC7F" w14:textId="77777777" w:rsidR="004B3F8F" w:rsidRPr="004B3F8F" w:rsidRDefault="004B3F8F" w:rsidP="004B3F8F">
      <w:pPr>
        <w:spacing w:before="100" w:beforeAutospacing="1" w:after="100" w:afterAutospacing="1" w:line="480" w:lineRule="auto"/>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Schoenberg, R. 2016. "Toshiba’s accounting scandal: How corporate governance failed." </w:t>
      </w:r>
      <w:r w:rsidRPr="004B3F8F">
        <w:rPr>
          <w:rFonts w:asciiTheme="minorBidi" w:eastAsia="Times New Roman" w:hAnsiTheme="minorBidi"/>
          <w:i/>
          <w:iCs/>
          <w:kern w:val="0"/>
          <w14:ligatures w14:val="none"/>
        </w:rPr>
        <w:t>International Journal of Disclosure and Governance</w:t>
      </w:r>
      <w:r w:rsidRPr="004B3F8F">
        <w:rPr>
          <w:rFonts w:asciiTheme="minorBidi" w:eastAsia="Times New Roman" w:hAnsiTheme="minorBidi"/>
          <w:kern w:val="0"/>
          <w14:ligatures w14:val="none"/>
        </w:rPr>
        <w:t>, 13(2), 102-109.</w:t>
      </w:r>
    </w:p>
    <w:p w14:paraId="53AFF715"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lastRenderedPageBreak/>
        <w:t xml:space="preserve">Schrand, C.M., and S.L. Zechman. 2012. “Executive Overconfidence and the Slippery Slope to Financial Misreporting.” </w:t>
      </w:r>
      <w:r w:rsidRPr="004B3F8F">
        <w:rPr>
          <w:rFonts w:ascii="Arial" w:eastAsiaTheme="minorHAnsi" w:hAnsi="Arial" w:cs="Arial"/>
          <w:i/>
          <w:iCs/>
          <w:kern w:val="0"/>
          <w:lang w:val="en-US" w:eastAsia="en-US"/>
          <w14:ligatures w14:val="none"/>
        </w:rPr>
        <w:t>Journal of Accounting and Economics</w:t>
      </w:r>
      <w:r w:rsidRPr="004B3F8F">
        <w:rPr>
          <w:rFonts w:ascii="Arial" w:eastAsiaTheme="minorHAnsi" w:hAnsi="Arial" w:cs="Arial"/>
          <w:kern w:val="0"/>
          <w:lang w:val="en-US" w:eastAsia="en-US"/>
          <w14:ligatures w14:val="none"/>
        </w:rPr>
        <w:t xml:space="preserve"> 53, no. 1, pp. 311-29.</w:t>
      </w:r>
    </w:p>
    <w:p w14:paraId="20A6BD64" w14:textId="77777777" w:rsidR="004B3F8F" w:rsidRPr="004B3F8F" w:rsidRDefault="004B3F8F" w:rsidP="004B3F8F">
      <w:pPr>
        <w:spacing w:line="480" w:lineRule="auto"/>
        <w:ind w:left="851" w:hanging="851"/>
        <w:jc w:val="both"/>
        <w:rPr>
          <w:rFonts w:ascii="Arial" w:eastAsiaTheme="minorHAnsi" w:hAnsi="Arial" w:cs="Arial"/>
          <w:color w:val="222222"/>
          <w:kern w:val="0"/>
          <w:shd w:val="clear" w:color="auto" w:fill="FFFFFF"/>
          <w:lang w:eastAsia="en-US"/>
          <w14:ligatures w14:val="none"/>
        </w:rPr>
      </w:pPr>
      <w:r w:rsidRPr="004B3F8F">
        <w:rPr>
          <w:rFonts w:ascii="Arial" w:eastAsiaTheme="minorHAnsi" w:hAnsi="Arial" w:cs="Arial"/>
          <w:color w:val="222222"/>
          <w:kern w:val="0"/>
          <w:shd w:val="clear" w:color="auto" w:fill="FFFFFF"/>
          <w:lang w:eastAsia="en-US"/>
          <w14:ligatures w14:val="none"/>
        </w:rPr>
        <w:t>Schreiber, A., &amp; Marcus, B. 2020. The place of the “Dark Triad” in general models of personality: Some meta-analytic clarification. </w:t>
      </w:r>
      <w:r w:rsidRPr="004B3F8F">
        <w:rPr>
          <w:rFonts w:ascii="Arial" w:eastAsiaTheme="minorHAnsi" w:hAnsi="Arial" w:cs="Arial"/>
          <w:i/>
          <w:iCs/>
          <w:color w:val="222222"/>
          <w:kern w:val="0"/>
          <w:shd w:val="clear" w:color="auto" w:fill="FFFFFF"/>
          <w:lang w:eastAsia="en-US"/>
          <w14:ligatures w14:val="none"/>
        </w:rPr>
        <w:t>Psychological Bulletin</w:t>
      </w:r>
      <w:r w:rsidRPr="004B3F8F">
        <w:rPr>
          <w:rFonts w:ascii="Arial" w:eastAsiaTheme="minorHAnsi" w:hAnsi="Arial" w:cs="Arial"/>
          <w:color w:val="222222"/>
          <w:kern w:val="0"/>
          <w:shd w:val="clear" w:color="auto" w:fill="FFFFFF"/>
          <w:lang w:eastAsia="en-US"/>
          <w14:ligatures w14:val="none"/>
        </w:rPr>
        <w:t>, </w:t>
      </w:r>
      <w:r w:rsidRPr="004B3F8F">
        <w:rPr>
          <w:rFonts w:ascii="Arial" w:eastAsiaTheme="minorHAnsi" w:hAnsi="Arial" w:cs="Arial"/>
          <w:i/>
          <w:iCs/>
          <w:color w:val="222222"/>
          <w:kern w:val="0"/>
          <w:shd w:val="clear" w:color="auto" w:fill="FFFFFF"/>
          <w:lang w:eastAsia="en-US"/>
          <w14:ligatures w14:val="none"/>
        </w:rPr>
        <w:t>146</w:t>
      </w:r>
      <w:r w:rsidRPr="004B3F8F">
        <w:rPr>
          <w:rFonts w:ascii="Arial" w:eastAsiaTheme="minorHAnsi" w:hAnsi="Arial" w:cs="Arial"/>
          <w:color w:val="222222"/>
          <w:kern w:val="0"/>
          <w:shd w:val="clear" w:color="auto" w:fill="FFFFFF"/>
          <w:lang w:eastAsia="en-US"/>
          <w14:ligatures w14:val="none"/>
        </w:rPr>
        <w:t>(11), 1021.</w:t>
      </w:r>
    </w:p>
    <w:p w14:paraId="37BC7A39"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r w:rsidRPr="004B3F8F">
        <w:rPr>
          <w:rFonts w:ascii="Arial" w:eastAsia="Times New Roman" w:hAnsi="Arial" w:cs="Arial"/>
          <w:iCs/>
          <w:kern w:val="0"/>
          <w:lang w:val="en-US" w:eastAsia="en-GB"/>
          <w14:ligatures w14:val="none"/>
        </w:rPr>
        <w:t xml:space="preserve">SEC. 2003. “Report of Investigation by The Special Investigative Committee of the Board of Directors of Worldcom, Inc.” </w:t>
      </w:r>
      <w:r w:rsidRPr="004B3F8F">
        <w:rPr>
          <w:rFonts w:ascii="Arial" w:eastAsiaTheme="minorHAnsi" w:hAnsi="Arial" w:cs="Arial"/>
          <w:kern w:val="0"/>
          <w:lang w:val="en-US" w:eastAsia="en-US"/>
          <w14:ligatures w14:val="none"/>
        </w:rPr>
        <w:t>https://www.sec.gov/Archives/edgar/data/723527/000093176303001862/dex991.htm, (</w:t>
      </w:r>
      <w:r w:rsidRPr="004B3F8F">
        <w:rPr>
          <w:rFonts w:ascii="Arial" w:eastAsiaTheme="minorHAnsi" w:hAnsi="Arial" w:cs="Arial"/>
          <w:kern w:val="0"/>
          <w:shd w:val="clear" w:color="auto" w:fill="FFFFFF"/>
          <w:lang w:val="en-US" w:eastAsia="en-US"/>
          <w14:ligatures w14:val="none"/>
        </w:rPr>
        <w:t>accessed November 16, 2018).</w:t>
      </w:r>
    </w:p>
    <w:p w14:paraId="54A9AED4"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Seifert, D.L., Sweeney, J.T., Joireman, J., &amp; Thornton, J.M. 2010. "The influence of organizational justice on accountant whistleblowing." Accounting, Organizations and Society, 35(7), 707-717. This paper highlights the role of organizational justice and support in encouraging whistleblowing behavior.</w:t>
      </w:r>
    </w:p>
    <w:p w14:paraId="0CA4D7DB"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1009" w:name="_Hlk42379354"/>
      <w:r w:rsidRPr="004B3F8F">
        <w:rPr>
          <w:rFonts w:ascii="Arial" w:eastAsiaTheme="minorHAnsi" w:hAnsi="Arial" w:cs="Arial"/>
          <w:kern w:val="0"/>
          <w:lang w:val="en-US" w:eastAsia="en-US"/>
          <w14:ligatures w14:val="none"/>
        </w:rPr>
        <w:t>Segato</w:t>
      </w:r>
      <w:bookmarkEnd w:id="1009"/>
      <w:r w:rsidRPr="004B3F8F">
        <w:rPr>
          <w:rFonts w:ascii="Arial" w:eastAsiaTheme="minorHAnsi" w:hAnsi="Arial" w:cs="Arial"/>
          <w:kern w:val="0"/>
          <w:lang w:val="en-US" w:eastAsia="en-US"/>
          <w14:ligatures w14:val="none"/>
        </w:rPr>
        <w:t>, L. 2006. “A Comparative Analysis of Shareholder protections in Italy and the United States: Parmalat as a Case Study</w:t>
      </w:r>
      <w:r w:rsidRPr="004B3F8F">
        <w:rPr>
          <w:rFonts w:ascii="Arial" w:eastAsiaTheme="minorHAnsi" w:hAnsi="Arial" w:cs="Arial"/>
          <w:i/>
          <w:iCs/>
          <w:kern w:val="0"/>
          <w:lang w:val="en-US" w:eastAsia="en-US"/>
          <w14:ligatures w14:val="none"/>
        </w:rPr>
        <w:t>.</w:t>
      </w:r>
      <w:r w:rsidRPr="004B3F8F">
        <w:rPr>
          <w:rFonts w:ascii="Arial" w:eastAsiaTheme="minorHAnsi" w:hAnsi="Arial" w:cs="Arial"/>
          <w:iCs/>
          <w:kern w:val="0"/>
          <w:lang w:val="en-US" w:eastAsia="en-US"/>
          <w14:ligatures w14:val="none"/>
        </w:rPr>
        <w:t>”</w:t>
      </w:r>
      <w:r w:rsidRPr="004B3F8F">
        <w:rPr>
          <w:rFonts w:ascii="Arial" w:eastAsiaTheme="minorHAnsi" w:hAnsi="Arial" w:cs="Arial"/>
          <w:i/>
          <w:iCs/>
          <w:kern w:val="0"/>
          <w:lang w:val="en-US" w:eastAsia="en-US"/>
          <w14:ligatures w14:val="none"/>
        </w:rPr>
        <w:t xml:space="preserve"> Northwestern Journal of International Law &amp; Business </w:t>
      </w:r>
      <w:r w:rsidRPr="004B3F8F">
        <w:rPr>
          <w:rFonts w:ascii="Arial" w:eastAsiaTheme="minorHAnsi" w:hAnsi="Arial" w:cs="Arial"/>
          <w:kern w:val="0"/>
          <w:lang w:val="en-US" w:eastAsia="en-US"/>
          <w14:ligatures w14:val="none"/>
        </w:rPr>
        <w:t>26, no. 2, pp. 373-446.</w:t>
      </w:r>
    </w:p>
    <w:p w14:paraId="2AF9A20F"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1010" w:name="_Hlk42379365"/>
      <w:r w:rsidRPr="004B3F8F">
        <w:rPr>
          <w:rFonts w:ascii="Arial" w:eastAsiaTheme="minorHAnsi" w:hAnsi="Arial" w:cs="Arial"/>
          <w:kern w:val="0"/>
          <w:lang w:val="en-US" w:eastAsia="en-US"/>
          <w14:ligatures w14:val="none"/>
        </w:rPr>
        <w:t>Sen</w:t>
      </w:r>
      <w:bookmarkEnd w:id="1010"/>
      <w:r w:rsidRPr="004B3F8F">
        <w:rPr>
          <w:rFonts w:ascii="Arial" w:eastAsiaTheme="minorHAnsi" w:hAnsi="Arial" w:cs="Arial"/>
          <w:kern w:val="0"/>
          <w:lang w:val="en-US" w:eastAsia="en-US"/>
          <w14:ligatures w14:val="none"/>
        </w:rPr>
        <w:t xml:space="preserve">, P. 2007. “Ownership Incentives and Management Fraud.” </w:t>
      </w:r>
      <w:r w:rsidRPr="004B3F8F">
        <w:rPr>
          <w:rFonts w:ascii="Arial" w:eastAsiaTheme="minorHAnsi" w:hAnsi="Arial" w:cs="Arial"/>
          <w:i/>
          <w:iCs/>
          <w:kern w:val="0"/>
          <w:lang w:val="en-US" w:eastAsia="en-US"/>
          <w14:ligatures w14:val="none"/>
        </w:rPr>
        <w:t>Journal of Business Finance &amp; Accounting</w:t>
      </w:r>
      <w:r w:rsidRPr="004B3F8F">
        <w:rPr>
          <w:rFonts w:ascii="Arial" w:eastAsiaTheme="minorHAnsi" w:hAnsi="Arial" w:cs="Arial"/>
          <w:kern w:val="0"/>
          <w:lang w:val="en-US" w:eastAsia="en-US"/>
          <w14:ligatures w14:val="none"/>
        </w:rPr>
        <w:t xml:space="preserve"> 34, no. 7, pp. 1123-40.</w:t>
      </w:r>
    </w:p>
    <w:p w14:paraId="45CAE773"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Sepasi, S., 2019. Accounting Ethics. </w:t>
      </w:r>
      <w:r w:rsidRPr="004B3F8F">
        <w:rPr>
          <w:rFonts w:ascii="Arial" w:hAnsi="Arial" w:cs="Arial"/>
          <w:i/>
          <w:iCs/>
          <w:color w:val="222222"/>
          <w:shd w:val="clear" w:color="auto" w:fill="FFFFFF"/>
        </w:rPr>
        <w:t>International Journal of Ethics and Society</w:t>
      </w:r>
      <w:r w:rsidRPr="004B3F8F">
        <w:rPr>
          <w:rFonts w:ascii="Arial" w:hAnsi="Arial" w:cs="Arial"/>
          <w:color w:val="222222"/>
          <w:shd w:val="clear" w:color="auto" w:fill="FFFFFF"/>
        </w:rPr>
        <w:t>, </w:t>
      </w:r>
      <w:r w:rsidRPr="004B3F8F">
        <w:rPr>
          <w:rFonts w:ascii="Arial" w:hAnsi="Arial" w:cs="Arial"/>
          <w:i/>
          <w:iCs/>
          <w:color w:val="222222"/>
          <w:shd w:val="clear" w:color="auto" w:fill="FFFFFF"/>
        </w:rPr>
        <w:t>1</w:t>
      </w:r>
      <w:r w:rsidRPr="004B3F8F">
        <w:rPr>
          <w:rFonts w:ascii="Arial" w:hAnsi="Arial" w:cs="Arial"/>
          <w:color w:val="222222"/>
          <w:shd w:val="clear" w:color="auto" w:fill="FFFFFF"/>
        </w:rPr>
        <w:t>(2), pp.23-29.</w:t>
      </w:r>
    </w:p>
    <w:p w14:paraId="141E03FE"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lastRenderedPageBreak/>
        <w:t xml:space="preserve">Setyaningsih, P.R., 2020. Internal Control, Organizational Culture, and Quality of Information Accounting to Prevent Fraud: Case Study </w:t>
      </w:r>
      <w:proofErr w:type="spellStart"/>
      <w:r w:rsidRPr="004B3F8F">
        <w:rPr>
          <w:rFonts w:ascii="Arial" w:hAnsi="Arial" w:cs="Arial"/>
          <w:color w:val="222222"/>
          <w:shd w:val="clear" w:color="auto" w:fill="FFFFFF"/>
        </w:rPr>
        <w:t>Fro</w:t>
      </w:r>
      <w:proofErr w:type="spellEnd"/>
      <w:r w:rsidRPr="004B3F8F">
        <w:rPr>
          <w:rFonts w:ascii="Arial" w:hAnsi="Arial" w:cs="Arial"/>
          <w:color w:val="222222"/>
          <w:shd w:val="clear" w:color="auto" w:fill="FFFFFF"/>
        </w:rPr>
        <w:t>.. </w:t>
      </w:r>
      <w:r w:rsidRPr="004B3F8F">
        <w:rPr>
          <w:rFonts w:ascii="Arial" w:hAnsi="Arial" w:cs="Arial"/>
          <w:i/>
          <w:iCs/>
          <w:color w:val="222222"/>
          <w:shd w:val="clear" w:color="auto" w:fill="FFFFFF"/>
        </w:rPr>
        <w:t>International Journal of Financial Research</w:t>
      </w:r>
      <w:r w:rsidRPr="004B3F8F">
        <w:rPr>
          <w:rFonts w:ascii="Arial" w:hAnsi="Arial" w:cs="Arial"/>
          <w:color w:val="222222"/>
          <w:shd w:val="clear" w:color="auto" w:fill="FFFFFF"/>
        </w:rPr>
        <w:t>, </w:t>
      </w:r>
      <w:r w:rsidRPr="004B3F8F">
        <w:rPr>
          <w:rFonts w:ascii="Arial" w:hAnsi="Arial" w:cs="Arial"/>
          <w:i/>
          <w:iCs/>
          <w:color w:val="222222"/>
          <w:shd w:val="clear" w:color="auto" w:fill="FFFFFF"/>
        </w:rPr>
        <w:t>11</w:t>
      </w:r>
      <w:r w:rsidRPr="004B3F8F">
        <w:rPr>
          <w:rFonts w:ascii="Arial" w:hAnsi="Arial" w:cs="Arial"/>
          <w:color w:val="222222"/>
          <w:shd w:val="clear" w:color="auto" w:fill="FFFFFF"/>
        </w:rPr>
        <w:t>(4).</w:t>
      </w:r>
    </w:p>
    <w:p w14:paraId="5E8BD940"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1011" w:name="_Hlk42379378"/>
      <w:r w:rsidRPr="004B3F8F">
        <w:rPr>
          <w:rFonts w:ascii="Arial" w:eastAsiaTheme="minorHAnsi" w:hAnsi="Arial" w:cs="Arial"/>
          <w:kern w:val="0"/>
          <w:lang w:val="en-US" w:eastAsia="en-US"/>
          <w14:ligatures w14:val="none"/>
        </w:rPr>
        <w:t>Shanmugam</w:t>
      </w:r>
      <w:bookmarkEnd w:id="1011"/>
      <w:r w:rsidRPr="004B3F8F">
        <w:rPr>
          <w:rFonts w:ascii="Arial" w:eastAsiaTheme="minorHAnsi" w:hAnsi="Arial" w:cs="Arial"/>
          <w:kern w:val="0"/>
          <w:lang w:val="en-US" w:eastAsia="en-US"/>
          <w14:ligatures w14:val="none"/>
        </w:rPr>
        <w:t xml:space="preserve">, J.K., M.H.C. Haat, and A. Ali. 2012. “An Exploratory Study of Internal Control and Fraud Prevention Measures in SMEs.” </w:t>
      </w:r>
      <w:r w:rsidRPr="004B3F8F">
        <w:rPr>
          <w:rFonts w:ascii="Arial" w:eastAsiaTheme="minorHAnsi" w:hAnsi="Arial" w:cs="Arial"/>
          <w:i/>
          <w:iCs/>
          <w:kern w:val="0"/>
          <w:lang w:val="en-US" w:eastAsia="en-US"/>
          <w14:ligatures w14:val="none"/>
        </w:rPr>
        <w:t>Small</w:t>
      </w:r>
      <w:r w:rsidRPr="004B3F8F">
        <w:rPr>
          <w:rFonts w:ascii="Arial" w:eastAsiaTheme="minorHAnsi" w:hAnsi="Arial" w:cs="Arial"/>
          <w:kern w:val="0"/>
          <w:lang w:val="en-US" w:eastAsia="en-US"/>
          <w14:ligatures w14:val="none"/>
        </w:rPr>
        <w:t xml:space="preserve"> 100, no. 18, pp. 90-99.</w:t>
      </w:r>
    </w:p>
    <w:p w14:paraId="361A4C02"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Sharma, M., Gupta, R. and Acharya, P., 2020. Analysing the adoption of cloud computing service: A systematic literature review. </w:t>
      </w:r>
      <w:r w:rsidRPr="004B3F8F">
        <w:rPr>
          <w:rFonts w:ascii="Arial" w:hAnsi="Arial" w:cs="Arial"/>
          <w:i/>
          <w:iCs/>
          <w:color w:val="222222"/>
          <w:shd w:val="clear" w:color="auto" w:fill="FFFFFF"/>
        </w:rPr>
        <w:t>Global Knowledge, Memory and Communication</w:t>
      </w:r>
      <w:r w:rsidRPr="004B3F8F">
        <w:rPr>
          <w:rFonts w:ascii="Arial" w:hAnsi="Arial" w:cs="Arial"/>
          <w:color w:val="222222"/>
          <w:shd w:val="clear" w:color="auto" w:fill="FFFFFF"/>
        </w:rPr>
        <w:t>, </w:t>
      </w:r>
      <w:r w:rsidRPr="004B3F8F">
        <w:rPr>
          <w:rFonts w:ascii="Arial" w:hAnsi="Arial" w:cs="Arial"/>
          <w:i/>
          <w:iCs/>
          <w:color w:val="222222"/>
          <w:shd w:val="clear" w:color="auto" w:fill="FFFFFF"/>
        </w:rPr>
        <w:t>70</w:t>
      </w:r>
      <w:r w:rsidRPr="004B3F8F">
        <w:rPr>
          <w:rFonts w:ascii="Arial" w:hAnsi="Arial" w:cs="Arial"/>
          <w:color w:val="222222"/>
          <w:shd w:val="clear" w:color="auto" w:fill="FFFFFF"/>
        </w:rPr>
        <w:t>(1/2), pp.114-153.</w:t>
      </w:r>
    </w:p>
    <w:p w14:paraId="29E2C7D0" w14:textId="77777777" w:rsidR="004B3F8F" w:rsidRPr="004B3F8F" w:rsidRDefault="004B3F8F" w:rsidP="004B3F8F">
      <w:pPr>
        <w:spacing w:line="480" w:lineRule="auto"/>
        <w:ind w:left="851" w:hanging="851"/>
        <w:jc w:val="both"/>
        <w:rPr>
          <w:rFonts w:ascii="Arial" w:eastAsiaTheme="minorHAnsi" w:hAnsi="Arial" w:cs="Arial"/>
          <w:color w:val="222222"/>
          <w:kern w:val="0"/>
          <w:shd w:val="clear" w:color="auto" w:fill="FFFFFF"/>
          <w:lang w:eastAsia="en-US"/>
          <w14:ligatures w14:val="none"/>
        </w:rPr>
      </w:pPr>
      <w:r w:rsidRPr="004B3F8F">
        <w:rPr>
          <w:rFonts w:ascii="Arial" w:eastAsiaTheme="minorHAnsi" w:hAnsi="Arial" w:cs="Arial"/>
          <w:color w:val="222222"/>
          <w:kern w:val="0"/>
          <w:shd w:val="clear" w:color="auto" w:fill="FFFFFF"/>
          <w:lang w:eastAsia="en-US"/>
          <w14:ligatures w14:val="none"/>
        </w:rPr>
        <w:t>Sheehy, B., Boddy, C., &amp; Murphy, B. 2021. Corporate law and corporate psychopaths. </w:t>
      </w:r>
      <w:r w:rsidRPr="004B3F8F">
        <w:rPr>
          <w:rFonts w:ascii="Arial" w:eastAsiaTheme="minorHAnsi" w:hAnsi="Arial" w:cs="Arial"/>
          <w:i/>
          <w:iCs/>
          <w:color w:val="222222"/>
          <w:kern w:val="0"/>
          <w:shd w:val="clear" w:color="auto" w:fill="FFFFFF"/>
          <w:lang w:eastAsia="en-US"/>
          <w14:ligatures w14:val="none"/>
        </w:rPr>
        <w:t>Psychiatry, Psychology and Law</w:t>
      </w:r>
      <w:r w:rsidRPr="004B3F8F">
        <w:rPr>
          <w:rFonts w:ascii="Arial" w:eastAsiaTheme="minorHAnsi" w:hAnsi="Arial" w:cs="Arial"/>
          <w:color w:val="222222"/>
          <w:kern w:val="0"/>
          <w:shd w:val="clear" w:color="auto" w:fill="FFFFFF"/>
          <w:lang w:eastAsia="en-US"/>
          <w14:ligatures w14:val="none"/>
        </w:rPr>
        <w:t>, </w:t>
      </w:r>
      <w:r w:rsidRPr="004B3F8F">
        <w:rPr>
          <w:rFonts w:ascii="Arial" w:eastAsiaTheme="minorHAnsi" w:hAnsi="Arial" w:cs="Arial"/>
          <w:i/>
          <w:iCs/>
          <w:color w:val="222222"/>
          <w:kern w:val="0"/>
          <w:shd w:val="clear" w:color="auto" w:fill="FFFFFF"/>
          <w:lang w:eastAsia="en-US"/>
          <w14:ligatures w14:val="none"/>
        </w:rPr>
        <w:t>28</w:t>
      </w:r>
      <w:r w:rsidRPr="004B3F8F">
        <w:rPr>
          <w:rFonts w:ascii="Arial" w:eastAsiaTheme="minorHAnsi" w:hAnsi="Arial" w:cs="Arial"/>
          <w:color w:val="222222"/>
          <w:kern w:val="0"/>
          <w:shd w:val="clear" w:color="auto" w:fill="FFFFFF"/>
          <w:lang w:eastAsia="en-US"/>
          <w14:ligatures w14:val="none"/>
        </w:rPr>
        <w:t>(4), 479-507.</w:t>
      </w:r>
    </w:p>
    <w:p w14:paraId="7C183D4B"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Sheikh, F.M. 2017. </w:t>
      </w:r>
      <w:r w:rsidRPr="004B3F8F">
        <w:rPr>
          <w:rFonts w:ascii="Arial" w:eastAsiaTheme="minorHAnsi" w:hAnsi="Arial" w:cs="Arial"/>
          <w:i/>
          <w:iCs/>
          <w:kern w:val="0"/>
          <w:lang w:val="en-US" w:eastAsia="en-US"/>
          <w14:ligatures w14:val="none"/>
        </w:rPr>
        <w:t>The Corporate Governance Cosmos</w:t>
      </w:r>
      <w:r w:rsidRPr="004B3F8F">
        <w:rPr>
          <w:rFonts w:ascii="Arial" w:eastAsiaTheme="minorHAnsi" w:hAnsi="Arial" w:cs="Arial"/>
          <w:kern w:val="0"/>
          <w:lang w:val="en-US" w:eastAsia="en-US"/>
          <w14:ligatures w14:val="none"/>
        </w:rPr>
        <w:t>. Presentation. 3rd Annual MBA Symposium. Salford Business School. Salford. England.</w:t>
      </w:r>
    </w:p>
    <w:p w14:paraId="48F45211"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Sheikh, F.M. 2020. </w:t>
      </w:r>
      <w:r w:rsidRPr="004B3F8F">
        <w:rPr>
          <w:rFonts w:ascii="Arial" w:eastAsiaTheme="minorHAnsi" w:hAnsi="Arial" w:cs="Arial"/>
          <w:i/>
          <w:iCs/>
          <w:kern w:val="0"/>
          <w:lang w:val="en-US" w:eastAsia="en-US"/>
          <w14:ligatures w14:val="none"/>
        </w:rPr>
        <w:t xml:space="preserve">IFAC Ethical Triangle. </w:t>
      </w:r>
      <w:r w:rsidRPr="004B3F8F">
        <w:rPr>
          <w:rFonts w:ascii="Arial" w:eastAsiaTheme="minorHAnsi" w:hAnsi="Arial" w:cs="Arial"/>
          <w:kern w:val="0"/>
          <w:lang w:val="en-US" w:eastAsia="en-US"/>
          <w14:ligatures w14:val="none"/>
        </w:rPr>
        <w:t>Salford Business School. Salford. England.</w:t>
      </w:r>
    </w:p>
    <w:p w14:paraId="5FFD3EB3"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1012" w:name="_Hlk42379409"/>
      <w:r w:rsidRPr="004B3F8F">
        <w:rPr>
          <w:rFonts w:ascii="Arial" w:eastAsiaTheme="minorHAnsi" w:hAnsi="Arial" w:cs="Arial"/>
          <w:kern w:val="0"/>
          <w:lang w:val="en-US" w:eastAsia="en-US"/>
          <w14:ligatures w14:val="none"/>
        </w:rPr>
        <w:t>Shilit</w:t>
      </w:r>
      <w:bookmarkEnd w:id="1012"/>
      <w:r w:rsidRPr="004B3F8F">
        <w:rPr>
          <w:rFonts w:ascii="Arial" w:eastAsiaTheme="minorHAnsi" w:hAnsi="Arial" w:cs="Arial"/>
          <w:kern w:val="0"/>
          <w:lang w:val="en-US" w:eastAsia="en-US"/>
          <w14:ligatures w14:val="none"/>
        </w:rPr>
        <w:t xml:space="preserve">, H.M., and J. </w:t>
      </w:r>
      <w:bookmarkStart w:id="1013" w:name="_Hlk42379416"/>
      <w:r w:rsidRPr="004B3F8F">
        <w:rPr>
          <w:rFonts w:ascii="Arial" w:eastAsiaTheme="minorHAnsi" w:hAnsi="Arial" w:cs="Arial"/>
          <w:kern w:val="0"/>
          <w:lang w:val="en-US" w:eastAsia="en-US"/>
          <w14:ligatures w14:val="none"/>
        </w:rPr>
        <w:t>Perler</w:t>
      </w:r>
      <w:bookmarkEnd w:id="1013"/>
      <w:r w:rsidRPr="004B3F8F">
        <w:rPr>
          <w:rFonts w:ascii="Arial" w:eastAsiaTheme="minorHAnsi" w:hAnsi="Arial" w:cs="Arial"/>
          <w:kern w:val="0"/>
          <w:lang w:val="en-US" w:eastAsia="en-US"/>
          <w14:ligatures w14:val="none"/>
        </w:rPr>
        <w:t xml:space="preserve">. 2018 </w:t>
      </w:r>
      <w:r w:rsidRPr="004B3F8F">
        <w:rPr>
          <w:rFonts w:ascii="Arial" w:eastAsiaTheme="minorHAnsi" w:hAnsi="Arial" w:cs="Arial"/>
          <w:i/>
          <w:iCs/>
          <w:kern w:val="0"/>
          <w:lang w:val="en-US" w:eastAsia="en-US"/>
          <w14:ligatures w14:val="none"/>
        </w:rPr>
        <w:t>Financial Shenanigans</w:t>
      </w:r>
      <w:r w:rsidRPr="004B3F8F">
        <w:rPr>
          <w:rFonts w:ascii="Arial" w:eastAsiaTheme="minorHAnsi" w:hAnsi="Arial" w:cs="Arial"/>
          <w:kern w:val="0"/>
          <w:lang w:val="en-US" w:eastAsia="en-US"/>
          <w14:ligatures w14:val="none"/>
        </w:rPr>
        <w:t>. McGraw Hill.</w:t>
      </w:r>
    </w:p>
    <w:p w14:paraId="115B41C8" w14:textId="77777777" w:rsidR="004B3F8F" w:rsidRPr="004B3F8F" w:rsidRDefault="004B3F8F" w:rsidP="004B3F8F">
      <w:pPr>
        <w:spacing w:after="200" w:line="480" w:lineRule="auto"/>
        <w:ind w:left="785" w:hangingChars="327" w:hanging="785"/>
        <w:jc w:val="both"/>
        <w:rPr>
          <w:rFonts w:asciiTheme="minorBidi" w:eastAsiaTheme="minorHAnsi" w:hAnsiTheme="minorBidi"/>
          <w:kern w:val="0"/>
          <w:lang w:val="en-US" w:eastAsia="en-US"/>
          <w14:ligatures w14:val="none"/>
        </w:rPr>
      </w:pPr>
      <w:r w:rsidRPr="004B3F8F">
        <w:rPr>
          <w:rFonts w:asciiTheme="minorBidi" w:eastAsiaTheme="minorHAnsi" w:hAnsiTheme="minorBidi"/>
          <w:kern w:val="0"/>
          <w:lang w:eastAsia="en-US"/>
          <w14:ligatures w14:val="none"/>
        </w:rPr>
        <w:t>Silverman, D., 2014. Interpreting qualitative Data. 5th ed. London: Sage.</w:t>
      </w:r>
    </w:p>
    <w:p w14:paraId="74F74695"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1014" w:name="_Hlk42379425"/>
      <w:r w:rsidRPr="004B3F8F">
        <w:rPr>
          <w:rFonts w:ascii="Arial" w:eastAsiaTheme="minorHAnsi" w:hAnsi="Arial" w:cs="Arial"/>
          <w:kern w:val="0"/>
          <w:lang w:val="en-US" w:eastAsia="en-US"/>
          <w14:ligatures w14:val="none"/>
        </w:rPr>
        <w:t>Simpson</w:t>
      </w:r>
      <w:bookmarkEnd w:id="1014"/>
      <w:r w:rsidRPr="004B3F8F">
        <w:rPr>
          <w:rFonts w:ascii="Arial" w:eastAsiaTheme="minorHAnsi" w:hAnsi="Arial" w:cs="Arial"/>
          <w:kern w:val="0"/>
          <w:lang w:val="en-US" w:eastAsia="en-US"/>
          <w14:ligatures w14:val="none"/>
        </w:rPr>
        <w:t xml:space="preserve">, S.S. 2002. </w:t>
      </w:r>
      <w:r w:rsidRPr="004B3F8F">
        <w:rPr>
          <w:rFonts w:ascii="Arial" w:eastAsiaTheme="minorHAnsi" w:hAnsi="Arial" w:cs="Arial"/>
          <w:i/>
          <w:iCs/>
          <w:kern w:val="0"/>
          <w:lang w:val="en-US" w:eastAsia="en-US"/>
          <w14:ligatures w14:val="none"/>
        </w:rPr>
        <w:t xml:space="preserve">Corporate Crime, Law, and Social Control. </w:t>
      </w:r>
      <w:r w:rsidRPr="004B3F8F">
        <w:rPr>
          <w:rFonts w:ascii="Arial" w:eastAsiaTheme="minorHAnsi" w:hAnsi="Arial" w:cs="Arial"/>
          <w:iCs/>
          <w:kern w:val="0"/>
          <w:lang w:val="en-US" w:eastAsia="en-US"/>
          <w14:ligatures w14:val="none"/>
        </w:rPr>
        <w:t>Cambridge Studies in Criminology</w:t>
      </w:r>
      <w:r w:rsidRPr="004B3F8F">
        <w:rPr>
          <w:rFonts w:ascii="Arial" w:eastAsiaTheme="minorHAnsi" w:hAnsi="Arial" w:cs="Arial"/>
          <w:kern w:val="0"/>
          <w:lang w:val="en-US" w:eastAsia="en-US"/>
          <w14:ligatures w14:val="none"/>
        </w:rPr>
        <w:t>. Cambridge: Cambridge University Press.</w:t>
      </w:r>
    </w:p>
    <w:p w14:paraId="4D5BB36C"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1015" w:name="_Hlk42379435"/>
      <w:r w:rsidRPr="004B3F8F">
        <w:rPr>
          <w:rFonts w:ascii="Arial" w:eastAsiaTheme="minorHAnsi" w:hAnsi="Arial" w:cs="Arial"/>
          <w:kern w:val="0"/>
          <w:lang w:val="en-US" w:eastAsia="en-US"/>
          <w14:ligatures w14:val="none"/>
        </w:rPr>
        <w:t>Skousen</w:t>
      </w:r>
      <w:bookmarkEnd w:id="1015"/>
      <w:r w:rsidRPr="004B3F8F">
        <w:rPr>
          <w:rFonts w:ascii="Arial" w:eastAsiaTheme="minorHAnsi" w:hAnsi="Arial" w:cs="Arial"/>
          <w:kern w:val="0"/>
          <w:lang w:val="en-US" w:eastAsia="en-US"/>
          <w14:ligatures w14:val="none"/>
        </w:rPr>
        <w:t xml:space="preserve">, C.J., and C.J. </w:t>
      </w:r>
      <w:bookmarkStart w:id="1016" w:name="_Hlk42379442"/>
      <w:r w:rsidRPr="004B3F8F">
        <w:rPr>
          <w:rFonts w:ascii="Arial" w:eastAsiaTheme="minorHAnsi" w:hAnsi="Arial" w:cs="Arial"/>
          <w:kern w:val="0"/>
          <w:lang w:val="en-US" w:eastAsia="en-US"/>
          <w14:ligatures w14:val="none"/>
        </w:rPr>
        <w:t>Wright</w:t>
      </w:r>
      <w:bookmarkEnd w:id="1016"/>
      <w:r w:rsidRPr="004B3F8F">
        <w:rPr>
          <w:rFonts w:ascii="Arial" w:eastAsiaTheme="minorHAnsi" w:hAnsi="Arial" w:cs="Arial"/>
          <w:kern w:val="0"/>
          <w:lang w:val="en-US" w:eastAsia="en-US"/>
          <w14:ligatures w14:val="none"/>
        </w:rPr>
        <w:t>. 2006. “Contemporaneous Risk Factors and the Prediction of Financial Statement Fraud</w:t>
      </w:r>
      <w:r w:rsidRPr="004B3F8F">
        <w:rPr>
          <w:rFonts w:ascii="Arial" w:eastAsiaTheme="minorHAnsi" w:hAnsi="Arial" w:cs="Arial"/>
          <w:i/>
          <w:iCs/>
          <w:kern w:val="0"/>
          <w:lang w:val="en-US" w:eastAsia="en-US"/>
          <w14:ligatures w14:val="none"/>
        </w:rPr>
        <w:t>.</w:t>
      </w:r>
      <w:r w:rsidRPr="004B3F8F">
        <w:rPr>
          <w:rFonts w:ascii="Arial" w:eastAsiaTheme="minorHAnsi" w:hAnsi="Arial" w:cs="Arial"/>
          <w:kern w:val="0"/>
          <w:lang w:val="en-US" w:eastAsia="en-US"/>
          <w14:ligatures w14:val="none"/>
        </w:rPr>
        <w:t xml:space="preserve">” </w:t>
      </w:r>
      <w:hyperlink r:id="rId115" w:history="1">
        <w:r w:rsidRPr="004B3F8F">
          <w:rPr>
            <w:rFonts w:ascii="Arial" w:eastAsiaTheme="minorHAnsi" w:hAnsi="Arial" w:cs="Arial"/>
            <w:kern w:val="0"/>
            <w:lang w:val="en-US" w:eastAsia="en-US"/>
            <w14:ligatures w14:val="none"/>
          </w:rPr>
          <w:t>www.ssrn.com</w:t>
        </w:r>
      </w:hyperlink>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shd w:val="clear" w:color="auto" w:fill="FFFFFF"/>
          <w:lang w:val="en-US" w:eastAsia="en-US"/>
          <w14:ligatures w14:val="none"/>
        </w:rPr>
        <w:t>(accessed July 31, 2018).</w:t>
      </w:r>
    </w:p>
    <w:p w14:paraId="51FF0249"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1017" w:name="_Hlk42379452"/>
      <w:r w:rsidRPr="004B3F8F">
        <w:rPr>
          <w:rFonts w:ascii="Arial" w:eastAsiaTheme="minorHAnsi" w:hAnsi="Arial" w:cs="Arial"/>
          <w:kern w:val="0"/>
          <w:lang w:val="en-US" w:eastAsia="en-US"/>
          <w14:ligatures w14:val="none"/>
        </w:rPr>
        <w:lastRenderedPageBreak/>
        <w:t>Skousen</w:t>
      </w:r>
      <w:bookmarkEnd w:id="1017"/>
      <w:r w:rsidRPr="004B3F8F">
        <w:rPr>
          <w:rFonts w:ascii="Arial" w:eastAsiaTheme="minorHAnsi" w:hAnsi="Arial" w:cs="Arial"/>
          <w:kern w:val="0"/>
          <w:lang w:val="en-US" w:eastAsia="en-US"/>
          <w14:ligatures w14:val="none"/>
        </w:rPr>
        <w:t xml:space="preserve">, C.J., </w:t>
      </w:r>
      <w:bookmarkStart w:id="1018" w:name="_Hlk42379465"/>
      <w:r w:rsidRPr="004B3F8F">
        <w:rPr>
          <w:rFonts w:ascii="Arial" w:eastAsiaTheme="minorHAnsi" w:hAnsi="Arial" w:cs="Arial"/>
          <w:kern w:val="0"/>
          <w:lang w:val="en-US" w:eastAsia="en-US"/>
          <w14:ligatures w14:val="none"/>
        </w:rPr>
        <w:t>and Twedt</w:t>
      </w:r>
      <w:bookmarkEnd w:id="1018"/>
      <w:r w:rsidRPr="004B3F8F">
        <w:rPr>
          <w:rFonts w:ascii="Arial" w:eastAsiaTheme="minorHAnsi" w:hAnsi="Arial" w:cs="Arial"/>
          <w:kern w:val="0"/>
          <w:lang w:val="en-US" w:eastAsia="en-US"/>
          <w14:ligatures w14:val="none"/>
        </w:rPr>
        <w:t xml:space="preserve">, B.J. 2010. “Fraud Score Analysis in Emerging Markets.” </w:t>
      </w:r>
      <w:r w:rsidRPr="004B3F8F">
        <w:rPr>
          <w:rFonts w:ascii="Arial" w:eastAsiaTheme="minorHAnsi" w:hAnsi="Arial" w:cs="Arial"/>
          <w:i/>
          <w:iCs/>
          <w:kern w:val="0"/>
          <w:lang w:val="en-US" w:eastAsia="en-US"/>
          <w14:ligatures w14:val="none"/>
        </w:rPr>
        <w:t>Cross Cultural Management</w:t>
      </w:r>
      <w:r w:rsidRPr="004B3F8F">
        <w:rPr>
          <w:rFonts w:ascii="Arial" w:eastAsiaTheme="minorHAnsi" w:hAnsi="Arial" w:cs="Arial"/>
          <w:kern w:val="0"/>
          <w:lang w:val="en-US" w:eastAsia="en-US"/>
          <w14:ligatures w14:val="none"/>
        </w:rPr>
        <w:t xml:space="preserve"> 16, no. 3, pp. 301-16.</w:t>
      </w:r>
    </w:p>
    <w:p w14:paraId="3F07925F"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Skousen, C.J., K.R. Smith, and C.J. Wright. 2009. “Detecting and Predicting Financial Statement Fraud: The Effectiveness of the Fraud Triangle and SAS No. 99.” </w:t>
      </w:r>
      <w:r w:rsidRPr="004B3F8F">
        <w:rPr>
          <w:rFonts w:ascii="Arial" w:eastAsiaTheme="minorHAnsi" w:hAnsi="Arial" w:cs="Arial"/>
          <w:i/>
          <w:iCs/>
          <w:kern w:val="0"/>
          <w:lang w:val="en-US" w:eastAsia="en-US"/>
          <w14:ligatures w14:val="none"/>
        </w:rPr>
        <w:t>Advances in Financial Economics</w:t>
      </w:r>
      <w:r w:rsidRPr="004B3F8F">
        <w:rPr>
          <w:rFonts w:ascii="Arial" w:eastAsiaTheme="minorHAnsi" w:hAnsi="Arial" w:cs="Arial"/>
          <w:kern w:val="0"/>
          <w:lang w:val="en-US" w:eastAsia="en-US"/>
          <w14:ligatures w14:val="none"/>
        </w:rPr>
        <w:t xml:space="preserve"> 13, no. 1, pp. 53-81.</w:t>
      </w:r>
    </w:p>
    <w:p w14:paraId="208716E9"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Smith, A., &amp; Jones, B. 2022. Blockchain Technology and Financial Reporting. </w:t>
      </w:r>
      <w:r w:rsidRPr="004B3F8F">
        <w:rPr>
          <w:rFonts w:asciiTheme="minorBidi" w:eastAsia="Times New Roman" w:hAnsiTheme="minorBidi"/>
          <w:i/>
          <w:iCs/>
          <w:kern w:val="0"/>
          <w14:ligatures w14:val="none"/>
        </w:rPr>
        <w:t>Journal of Accounting Research</w:t>
      </w:r>
      <w:r w:rsidRPr="004B3F8F">
        <w:rPr>
          <w:rFonts w:asciiTheme="minorBidi" w:eastAsia="Times New Roman" w:hAnsiTheme="minorBidi"/>
          <w:kern w:val="0"/>
          <w14:ligatures w14:val="none"/>
        </w:rPr>
        <w:t>, 60(2), 345-372.</w:t>
      </w:r>
    </w:p>
    <w:p w14:paraId="7986BEA9"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Theme="minorBidi" w:eastAsia="Times New Roman" w:hAnsiTheme="minorBidi"/>
          <w:kern w:val="0"/>
          <w:lang w:eastAsia="en-US"/>
          <w14:ligatures w14:val="none"/>
        </w:rPr>
        <w:t xml:space="preserve">Smith, M. B., &amp; Lilienfeld, S. O. 2021. "The Corporate Psychopath’s Theory of the Global Financial Crisis." </w:t>
      </w:r>
      <w:r w:rsidRPr="004B3F8F">
        <w:rPr>
          <w:rFonts w:asciiTheme="minorBidi" w:eastAsia="Times New Roman" w:hAnsiTheme="minorBidi"/>
          <w:i/>
          <w:iCs/>
          <w:kern w:val="0"/>
          <w:lang w:eastAsia="en-US"/>
          <w14:ligatures w14:val="none"/>
        </w:rPr>
        <w:t>Personality and Social Psychology Bulletin</w:t>
      </w:r>
      <w:r w:rsidRPr="004B3F8F">
        <w:rPr>
          <w:rFonts w:asciiTheme="minorBidi" w:eastAsia="Times New Roman" w:hAnsiTheme="minorBidi"/>
          <w:kern w:val="0"/>
          <w:lang w:eastAsia="en-US"/>
          <w14:ligatures w14:val="none"/>
        </w:rPr>
        <w:t>.</w:t>
      </w:r>
    </w:p>
    <w:p w14:paraId="414D4751" w14:textId="77777777" w:rsidR="004B3F8F" w:rsidRPr="004B3F8F" w:rsidRDefault="004B3F8F" w:rsidP="004B3F8F">
      <w:pPr>
        <w:spacing w:before="100" w:beforeAutospacing="1" w:after="100" w:afterAutospacing="1" w:line="480" w:lineRule="auto"/>
        <w:ind w:left="709" w:hanging="709"/>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Smith, S. F., &amp; Lilienfeld, S. O. 2013. "The Mask of Sanity Revisited: Psychopathic Traits and Their Implications for Psychological and Social Functioning." </w:t>
      </w:r>
      <w:r w:rsidRPr="004B3F8F">
        <w:rPr>
          <w:rFonts w:asciiTheme="minorBidi" w:eastAsia="Times New Roman" w:hAnsiTheme="minorBidi"/>
          <w:i/>
          <w:iCs/>
          <w:kern w:val="0"/>
          <w14:ligatures w14:val="none"/>
        </w:rPr>
        <w:t>Personality Disorders: Theory, Research, and Treatment</w:t>
      </w:r>
      <w:r w:rsidRPr="004B3F8F">
        <w:rPr>
          <w:rFonts w:asciiTheme="minorBidi" w:eastAsia="Times New Roman" w:hAnsiTheme="minorBidi"/>
          <w:kern w:val="0"/>
          <w14:ligatures w14:val="none"/>
        </w:rPr>
        <w:t>, 4(1), 15-24.</w:t>
      </w:r>
    </w:p>
    <w:p w14:paraId="4CB5B3E2"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1019" w:name="_Hlk42379485"/>
      <w:r w:rsidRPr="004B3F8F">
        <w:rPr>
          <w:rFonts w:ascii="Arial" w:eastAsiaTheme="minorHAnsi" w:hAnsi="Arial" w:cs="Arial"/>
          <w:kern w:val="0"/>
          <w:lang w:val="en-US" w:eastAsia="en-US"/>
          <w14:ligatures w14:val="none"/>
        </w:rPr>
        <w:t>Smith,</w:t>
      </w:r>
      <w:bookmarkEnd w:id="1019"/>
      <w:r w:rsidRPr="004B3F8F">
        <w:rPr>
          <w:rFonts w:ascii="Arial" w:eastAsiaTheme="minorHAnsi" w:hAnsi="Arial" w:cs="Arial"/>
          <w:kern w:val="0"/>
          <w:lang w:val="en-US" w:eastAsia="en-US"/>
          <w14:ligatures w14:val="none"/>
        </w:rPr>
        <w:t xml:space="preserve"> J.L. May 2010. “HealthSouth Co-Founder Knows How Greed Grows on You.” </w:t>
      </w:r>
      <w:r w:rsidRPr="004B3F8F">
        <w:rPr>
          <w:rFonts w:ascii="Arial" w:eastAsiaTheme="minorHAnsi" w:hAnsi="Arial" w:cs="Arial"/>
          <w:i/>
          <w:iCs/>
          <w:kern w:val="0"/>
          <w:lang w:val="en-US" w:eastAsia="en-US"/>
          <w14:ligatures w14:val="none"/>
        </w:rPr>
        <w:t>Las Vegas Review-Journal</w:t>
      </w:r>
      <w:r w:rsidRPr="004B3F8F">
        <w:rPr>
          <w:rFonts w:ascii="Arial" w:eastAsiaTheme="minorHAnsi" w:hAnsi="Arial" w:cs="Arial"/>
          <w:kern w:val="0"/>
          <w:lang w:val="en-US" w:eastAsia="en-US"/>
          <w14:ligatures w14:val="none"/>
        </w:rPr>
        <w:t>.</w:t>
      </w:r>
    </w:p>
    <w:p w14:paraId="71C2CD8D"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1020" w:name="_Hlk42379494"/>
      <w:r w:rsidRPr="004B3F8F">
        <w:rPr>
          <w:rFonts w:ascii="Arial" w:eastAsiaTheme="minorHAnsi" w:hAnsi="Arial" w:cs="Arial"/>
          <w:kern w:val="0"/>
          <w:lang w:val="en-US" w:eastAsia="en-US"/>
          <w14:ligatures w14:val="none"/>
        </w:rPr>
        <w:t>Soltani</w:t>
      </w:r>
      <w:bookmarkEnd w:id="1020"/>
      <w:r w:rsidRPr="004B3F8F">
        <w:rPr>
          <w:rFonts w:ascii="Arial" w:eastAsiaTheme="minorHAnsi" w:hAnsi="Arial" w:cs="Arial"/>
          <w:kern w:val="0"/>
          <w:lang w:val="en-US" w:eastAsia="en-US"/>
          <w14:ligatures w14:val="none"/>
        </w:rPr>
        <w:t xml:space="preserve">, B. 2007. </w:t>
      </w:r>
      <w:r w:rsidRPr="004B3F8F">
        <w:rPr>
          <w:rFonts w:ascii="Arial" w:eastAsiaTheme="minorHAnsi" w:hAnsi="Arial" w:cs="Arial"/>
          <w:i/>
          <w:iCs/>
          <w:kern w:val="0"/>
          <w:lang w:val="en-US" w:eastAsia="en-US"/>
          <w14:ligatures w14:val="none"/>
        </w:rPr>
        <w:t>Corporate Fraud, Corporate Scandals, and External Auditing. Auditing: An International Approach</w:t>
      </w:r>
      <w:r w:rsidRPr="004B3F8F">
        <w:rPr>
          <w:rFonts w:ascii="Arial" w:eastAsiaTheme="minorHAnsi" w:hAnsi="Arial" w:cs="Arial"/>
          <w:kern w:val="0"/>
          <w:lang w:val="en-US" w:eastAsia="en-US"/>
          <w14:ligatures w14:val="none"/>
        </w:rPr>
        <w:t>. Edinburgh: Pearson Education Limited.</w:t>
      </w:r>
    </w:p>
    <w:p w14:paraId="59547C01" w14:textId="77777777" w:rsidR="004B3F8F" w:rsidRPr="004B3F8F" w:rsidRDefault="004B3F8F" w:rsidP="004B3F8F">
      <w:pPr>
        <w:spacing w:after="200" w:line="480" w:lineRule="auto"/>
        <w:ind w:left="785" w:hangingChars="327" w:hanging="785"/>
        <w:jc w:val="both"/>
        <w:rPr>
          <w:rFonts w:ascii="Arial" w:eastAsiaTheme="minorHAnsi" w:hAnsi="Arial" w:cs="Arial"/>
          <w:iCs/>
          <w:kern w:val="0"/>
          <w:lang w:val="en-US" w:eastAsia="en-US"/>
          <w14:ligatures w14:val="none"/>
        </w:rPr>
      </w:pPr>
      <w:bookmarkStart w:id="1021" w:name="_Hlk42379505"/>
      <w:r w:rsidRPr="004B3F8F">
        <w:rPr>
          <w:rFonts w:ascii="Arial" w:eastAsiaTheme="minorHAnsi" w:hAnsi="Arial" w:cs="Arial"/>
          <w:kern w:val="0"/>
          <w:lang w:val="en-US" w:eastAsia="en-US"/>
          <w14:ligatures w14:val="none"/>
        </w:rPr>
        <w:t>Sorensen</w:t>
      </w:r>
      <w:bookmarkEnd w:id="1021"/>
      <w:r w:rsidRPr="004B3F8F">
        <w:rPr>
          <w:rFonts w:ascii="Arial" w:eastAsiaTheme="minorHAnsi" w:hAnsi="Arial" w:cs="Arial"/>
          <w:kern w:val="0"/>
          <w:lang w:val="en-US" w:eastAsia="en-US"/>
          <w14:ligatures w14:val="none"/>
        </w:rPr>
        <w:t xml:space="preserve">, J.E., and T.L. Sorensen. 1980. “Detecting Management Fraud: Some Organisational Strategy for the Independent Auditor.” In </w:t>
      </w:r>
      <w:r w:rsidRPr="004B3F8F">
        <w:rPr>
          <w:rFonts w:ascii="Arial" w:eastAsiaTheme="minorHAnsi" w:hAnsi="Arial" w:cs="Arial"/>
          <w:i/>
          <w:kern w:val="0"/>
          <w:lang w:val="en-US" w:eastAsia="en-US"/>
          <w14:ligatures w14:val="none"/>
        </w:rPr>
        <w:t>Management Fraud: Detection and Deterrence</w:t>
      </w:r>
      <w:r w:rsidRPr="004B3F8F">
        <w:rPr>
          <w:rFonts w:ascii="Arial" w:eastAsiaTheme="minorHAnsi" w:hAnsi="Arial" w:cs="Arial"/>
          <w:kern w:val="0"/>
          <w:lang w:val="en-US" w:eastAsia="en-US"/>
          <w14:ligatures w14:val="none"/>
        </w:rPr>
        <w:t>, ed. R.K. Elliott and J.J. Willingham.</w:t>
      </w:r>
      <w:r w:rsidRPr="004B3F8F">
        <w:rPr>
          <w:rFonts w:ascii="Arial" w:eastAsiaTheme="minorHAnsi" w:hAnsi="Arial" w:cs="Arial"/>
          <w:i/>
          <w:kern w:val="0"/>
          <w:lang w:val="en-US" w:eastAsia="en-US"/>
          <w14:ligatures w14:val="none"/>
        </w:rPr>
        <w:t xml:space="preserve"> </w:t>
      </w:r>
      <w:r w:rsidRPr="004B3F8F">
        <w:rPr>
          <w:rFonts w:ascii="Arial" w:eastAsiaTheme="minorHAnsi" w:hAnsi="Arial" w:cs="Arial"/>
          <w:kern w:val="0"/>
          <w:lang w:val="en-US" w:eastAsia="en-US"/>
          <w14:ligatures w14:val="none"/>
        </w:rPr>
        <w:t>Princeton: Petrocelli Books.</w:t>
      </w:r>
    </w:p>
    <w:p w14:paraId="19260DDA"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bookmarkStart w:id="1022" w:name="_Hlk42379526"/>
      <w:r w:rsidRPr="004B3F8F">
        <w:rPr>
          <w:rFonts w:ascii="Arial" w:eastAsiaTheme="minorHAnsi" w:hAnsi="Arial" w:cs="Arial"/>
          <w:iCs/>
          <w:kern w:val="0"/>
          <w:lang w:val="en-US" w:eastAsia="en-US"/>
          <w14:ligatures w14:val="none"/>
        </w:rPr>
        <w:t>South Coast Today</w:t>
      </w:r>
      <w:bookmarkEnd w:id="1022"/>
      <w:r w:rsidRPr="004B3F8F">
        <w:rPr>
          <w:rFonts w:ascii="Arial" w:eastAsiaTheme="minorHAnsi" w:hAnsi="Arial" w:cs="Arial"/>
          <w:iCs/>
          <w:kern w:val="0"/>
          <w:lang w:val="en-US" w:eastAsia="en-US"/>
          <w14:ligatures w14:val="none"/>
        </w:rPr>
        <w:t xml:space="preserve">. </w:t>
      </w:r>
      <w:r w:rsidRPr="004B3F8F">
        <w:rPr>
          <w:rFonts w:ascii="Arial" w:eastAsiaTheme="minorHAnsi" w:hAnsi="Arial" w:cs="Arial"/>
          <w:kern w:val="0"/>
          <w:lang w:val="en-US" w:eastAsia="en-US"/>
          <w14:ligatures w14:val="none"/>
        </w:rPr>
        <w:t>2015</w:t>
      </w:r>
      <w:r w:rsidRPr="004B3F8F">
        <w:rPr>
          <w:rFonts w:ascii="Arial" w:eastAsiaTheme="minorHAnsi" w:hAnsi="Arial" w:cs="Arial"/>
          <w:iCs/>
          <w:kern w:val="0"/>
          <w:lang w:val="en-US" w:eastAsia="en-US"/>
          <w14:ligatures w14:val="none"/>
        </w:rPr>
        <w:t>. “Editorial Roundup: The Yomiuri Shimbun – Improper Accounting, Tardy Disclosure Sparked Toshiba Share Price Plunge.”</w:t>
      </w:r>
      <w:r w:rsidRPr="004B3F8F">
        <w:rPr>
          <w:rFonts w:ascii="Arial" w:eastAsiaTheme="minorHAnsi" w:hAnsi="Arial" w:cs="Arial"/>
          <w:i/>
          <w:iCs/>
          <w:kern w:val="0"/>
          <w:lang w:val="en-US" w:eastAsia="en-US"/>
          <w14:ligatures w14:val="none"/>
        </w:rPr>
        <w:t xml:space="preserve"> </w:t>
      </w:r>
      <w:hyperlink r:id="rId116" w:history="1">
        <w:r w:rsidRPr="004B3F8F">
          <w:rPr>
            <w:rFonts w:ascii="Arial" w:eastAsiaTheme="minorHAnsi" w:hAnsi="Arial" w:cs="Arial"/>
            <w:kern w:val="0"/>
            <w:lang w:val="en-US" w:eastAsia="en-US"/>
            <w14:ligatures w14:val="none"/>
          </w:rPr>
          <w:t>http://www.southcoasttoday.com/article/20150526/OPINION/</w:t>
        </w:r>
      </w:hyperlink>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shd w:val="clear" w:color="auto" w:fill="FFFFFF"/>
          <w:lang w:val="en-US" w:eastAsia="en-US"/>
          <w14:ligatures w14:val="none"/>
        </w:rPr>
        <w:t>(accessed November 22, 2018).</w:t>
      </w:r>
    </w:p>
    <w:p w14:paraId="63EE35B7"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D21E0B">
        <w:rPr>
          <w:rFonts w:asciiTheme="minorBidi" w:eastAsia="Times New Roman" w:hAnsiTheme="minorBidi"/>
          <w:kern w:val="0"/>
          <w:lang w:eastAsia="en-US"/>
          <w14:ligatures w14:val="none"/>
        </w:rPr>
        <w:t xml:space="preserve">Spurk, D., Hirschi, A., &amp; Dries, N. 2020. </w:t>
      </w:r>
      <w:r w:rsidRPr="004B3F8F">
        <w:rPr>
          <w:rFonts w:asciiTheme="minorBidi" w:eastAsia="Times New Roman" w:hAnsiTheme="minorBidi"/>
          <w:kern w:val="0"/>
          <w:lang w:eastAsia="en-US"/>
          <w14:ligatures w14:val="none"/>
        </w:rPr>
        <w:t xml:space="preserve">"Psychopathic Leadership and Career Success." </w:t>
      </w:r>
      <w:r w:rsidRPr="004B3F8F">
        <w:rPr>
          <w:rFonts w:asciiTheme="minorBidi" w:eastAsia="Times New Roman" w:hAnsiTheme="minorBidi"/>
          <w:i/>
          <w:iCs/>
          <w:kern w:val="0"/>
          <w:lang w:eastAsia="en-US"/>
          <w14:ligatures w14:val="none"/>
        </w:rPr>
        <w:t>Journal of Organizational Behavior</w:t>
      </w:r>
      <w:r w:rsidRPr="004B3F8F">
        <w:rPr>
          <w:rFonts w:asciiTheme="minorBidi" w:eastAsia="Times New Roman" w:hAnsiTheme="minorBidi"/>
          <w:kern w:val="0"/>
          <w:lang w:eastAsia="en-US"/>
          <w14:ligatures w14:val="none"/>
        </w:rPr>
        <w:t>.</w:t>
      </w:r>
    </w:p>
    <w:p w14:paraId="448F9F4C"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1023" w:name="_Hlk42379535"/>
      <w:r w:rsidRPr="004B3F8F">
        <w:rPr>
          <w:rFonts w:ascii="Arial" w:eastAsiaTheme="minorHAnsi" w:hAnsi="Arial" w:cs="Arial"/>
          <w:kern w:val="0"/>
          <w:lang w:val="en-US" w:eastAsia="en-US"/>
          <w14:ligatures w14:val="none"/>
        </w:rPr>
        <w:t>Sterling</w:t>
      </w:r>
      <w:bookmarkEnd w:id="1023"/>
      <w:r w:rsidRPr="004B3F8F">
        <w:rPr>
          <w:rFonts w:ascii="Arial" w:eastAsiaTheme="minorHAnsi" w:hAnsi="Arial" w:cs="Arial"/>
          <w:kern w:val="0"/>
          <w:lang w:val="en-US" w:eastAsia="en-US"/>
          <w14:ligatures w14:val="none"/>
        </w:rPr>
        <w:t xml:space="preserve">, T.F. 2002. </w:t>
      </w:r>
      <w:r w:rsidRPr="004B3F8F">
        <w:rPr>
          <w:rFonts w:ascii="Arial" w:eastAsiaTheme="minorHAnsi" w:hAnsi="Arial" w:cs="Arial"/>
          <w:i/>
          <w:iCs/>
          <w:kern w:val="0"/>
          <w:lang w:val="en-US" w:eastAsia="en-US"/>
          <w14:ligatures w14:val="none"/>
        </w:rPr>
        <w:t>The Enron Scandal</w:t>
      </w:r>
      <w:r w:rsidRPr="004B3F8F">
        <w:rPr>
          <w:rFonts w:ascii="Arial" w:eastAsiaTheme="minorHAnsi" w:hAnsi="Arial" w:cs="Arial"/>
          <w:kern w:val="0"/>
          <w:lang w:val="en-US" w:eastAsia="en-US"/>
          <w14:ligatures w14:val="none"/>
        </w:rPr>
        <w:t>. New York: Nova Science Publishers, Inc.</w:t>
      </w:r>
    </w:p>
    <w:p w14:paraId="54DEFD13"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1024" w:name="_Hlk42379547"/>
      <w:r w:rsidRPr="004B3F8F">
        <w:rPr>
          <w:rFonts w:ascii="Arial" w:eastAsiaTheme="minorHAnsi" w:hAnsi="Arial" w:cs="Arial"/>
          <w:kern w:val="0"/>
          <w:lang w:val="en-US" w:eastAsia="en-US"/>
          <w14:ligatures w14:val="none"/>
        </w:rPr>
        <w:t>Stevens</w:t>
      </w:r>
      <w:bookmarkEnd w:id="1024"/>
      <w:r w:rsidRPr="004B3F8F">
        <w:rPr>
          <w:rFonts w:ascii="Arial" w:eastAsiaTheme="minorHAnsi" w:hAnsi="Arial" w:cs="Arial"/>
          <w:kern w:val="0"/>
          <w:lang w:val="en-US" w:eastAsia="en-US"/>
          <w14:ligatures w14:val="none"/>
        </w:rPr>
        <w:t xml:space="preserve">, G.W., J.K. Deuling, and A.A. Armenakis. 2012. “Successful Psychopaths: Are They Unethical Decision-Makers and Why?” </w:t>
      </w:r>
      <w:r w:rsidRPr="004B3F8F">
        <w:rPr>
          <w:rFonts w:ascii="Arial" w:eastAsiaTheme="minorHAnsi" w:hAnsi="Arial" w:cs="Arial"/>
          <w:i/>
          <w:iCs/>
          <w:kern w:val="0"/>
          <w:lang w:val="en-US" w:eastAsia="en-US"/>
          <w14:ligatures w14:val="none"/>
        </w:rPr>
        <w:t>Journal of Business Ethics</w:t>
      </w:r>
      <w:r w:rsidRPr="004B3F8F">
        <w:rPr>
          <w:rFonts w:ascii="Arial" w:eastAsiaTheme="minorHAnsi" w:hAnsi="Arial" w:cs="Arial"/>
          <w:kern w:val="0"/>
          <w:lang w:val="en-US" w:eastAsia="en-US"/>
          <w14:ligatures w14:val="none"/>
        </w:rPr>
        <w:t xml:space="preserve"> 105, pp. 139-49.</w:t>
      </w:r>
    </w:p>
    <w:p w14:paraId="099FB346" w14:textId="77777777" w:rsidR="004B3F8F" w:rsidRPr="004B3F8F" w:rsidRDefault="004B3F8F" w:rsidP="004B3F8F">
      <w:pPr>
        <w:spacing w:before="100" w:beforeAutospacing="1" w:after="100" w:afterAutospacing="1" w:line="480" w:lineRule="auto"/>
        <w:ind w:left="709" w:hanging="709"/>
        <w:jc w:val="both"/>
        <w:rPr>
          <w:rFonts w:asciiTheme="minorBidi" w:eastAsia="Times New Roman" w:hAnsiTheme="minorBidi"/>
          <w:kern w:val="0"/>
          <w14:ligatures w14:val="none"/>
        </w:rPr>
      </w:pPr>
      <w:r w:rsidRPr="00D21E0B">
        <w:rPr>
          <w:rFonts w:asciiTheme="minorBidi" w:eastAsia="Times New Roman" w:hAnsiTheme="minorBidi"/>
          <w:kern w:val="0"/>
          <w14:ligatures w14:val="none"/>
        </w:rPr>
        <w:t xml:space="preserve">Su, K., Li, Y., &amp; Qian, C. 2021. </w:t>
      </w:r>
      <w:r w:rsidRPr="004B3F8F">
        <w:rPr>
          <w:rFonts w:asciiTheme="minorBidi" w:eastAsia="Times New Roman" w:hAnsiTheme="minorBidi"/>
          <w:kern w:val="0"/>
          <w14:ligatures w14:val="none"/>
        </w:rPr>
        <w:t xml:space="preserve">"Luckin Coffee’s Accounting Scandal: A Case Study." </w:t>
      </w:r>
      <w:r w:rsidRPr="004B3F8F">
        <w:rPr>
          <w:rFonts w:asciiTheme="minorBidi" w:eastAsia="Times New Roman" w:hAnsiTheme="minorBidi"/>
          <w:i/>
          <w:iCs/>
          <w:kern w:val="0"/>
          <w14:ligatures w14:val="none"/>
        </w:rPr>
        <w:t>Journal of Applied Corporate Finance</w:t>
      </w:r>
      <w:r w:rsidRPr="004B3F8F">
        <w:rPr>
          <w:rFonts w:asciiTheme="minorBidi" w:eastAsia="Times New Roman" w:hAnsiTheme="minorBidi"/>
          <w:kern w:val="0"/>
          <w14:ligatures w14:val="none"/>
        </w:rPr>
        <w:t>, 33(1), 80-87.</w:t>
      </w:r>
    </w:p>
    <w:p w14:paraId="4EAD3116"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Sun, T., 2019. Applying deep learning to audit procedures: An illustrative framework. </w:t>
      </w:r>
      <w:r w:rsidRPr="004B3F8F">
        <w:rPr>
          <w:rFonts w:ascii="Arial" w:hAnsi="Arial" w:cs="Arial"/>
          <w:i/>
          <w:iCs/>
          <w:color w:val="222222"/>
          <w:shd w:val="clear" w:color="auto" w:fill="FFFFFF"/>
        </w:rPr>
        <w:t>Accounting Horizons</w:t>
      </w:r>
      <w:r w:rsidRPr="004B3F8F">
        <w:rPr>
          <w:rFonts w:ascii="Arial" w:hAnsi="Arial" w:cs="Arial"/>
          <w:color w:val="222222"/>
          <w:shd w:val="clear" w:color="auto" w:fill="FFFFFF"/>
        </w:rPr>
        <w:t>, </w:t>
      </w:r>
      <w:r w:rsidRPr="004B3F8F">
        <w:rPr>
          <w:rFonts w:ascii="Arial" w:hAnsi="Arial" w:cs="Arial"/>
          <w:i/>
          <w:iCs/>
          <w:color w:val="222222"/>
          <w:shd w:val="clear" w:color="auto" w:fill="FFFFFF"/>
        </w:rPr>
        <w:t>33</w:t>
      </w:r>
      <w:r w:rsidRPr="004B3F8F">
        <w:rPr>
          <w:rFonts w:ascii="Arial" w:hAnsi="Arial" w:cs="Arial"/>
          <w:color w:val="222222"/>
          <w:shd w:val="clear" w:color="auto" w:fill="FFFFFF"/>
        </w:rPr>
        <w:t>(3), pp.89-109.</w:t>
      </w:r>
    </w:p>
    <w:p w14:paraId="6540FCB8"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Sutherland, E.H. 1937. </w:t>
      </w:r>
      <w:r w:rsidRPr="004B3F8F">
        <w:rPr>
          <w:rFonts w:ascii="Arial" w:eastAsiaTheme="minorHAnsi" w:hAnsi="Arial" w:cs="Arial"/>
          <w:i/>
          <w:iCs/>
          <w:kern w:val="0"/>
          <w:lang w:val="en-US" w:eastAsia="en-US"/>
          <w14:ligatures w14:val="none"/>
        </w:rPr>
        <w:t>The Professional Thief</w:t>
      </w:r>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lang w:eastAsia="en-US"/>
          <w14:ligatures w14:val="none"/>
        </w:rPr>
        <w:t>The university of Chicago Press</w:t>
      </w:r>
      <w:r w:rsidRPr="004B3F8F">
        <w:rPr>
          <w:rFonts w:ascii="Arial" w:eastAsiaTheme="minorHAnsi" w:hAnsi="Arial" w:cs="Arial"/>
          <w:kern w:val="0"/>
          <w:lang w:val="en-US" w:eastAsia="en-US"/>
          <w14:ligatures w14:val="none"/>
        </w:rPr>
        <w:t>. Chicago.</w:t>
      </w:r>
    </w:p>
    <w:p w14:paraId="092C15FC"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1025" w:name="_Hlk42379558"/>
      <w:r w:rsidRPr="004B3F8F">
        <w:rPr>
          <w:rFonts w:ascii="Arial" w:eastAsiaTheme="minorHAnsi" w:hAnsi="Arial" w:cs="Arial"/>
          <w:kern w:val="0"/>
          <w:lang w:val="en-US" w:eastAsia="en-US"/>
          <w14:ligatures w14:val="none"/>
        </w:rPr>
        <w:t>Sutherland</w:t>
      </w:r>
      <w:bookmarkEnd w:id="1025"/>
      <w:r w:rsidRPr="004B3F8F">
        <w:rPr>
          <w:rFonts w:ascii="Arial" w:eastAsiaTheme="minorHAnsi" w:hAnsi="Arial" w:cs="Arial"/>
          <w:kern w:val="0"/>
          <w:lang w:val="en-US" w:eastAsia="en-US"/>
          <w14:ligatures w14:val="none"/>
        </w:rPr>
        <w:t xml:space="preserve">, E.H., and W.C. Crime. 1949. </w:t>
      </w:r>
      <w:r w:rsidRPr="004B3F8F">
        <w:rPr>
          <w:rFonts w:ascii="Arial" w:eastAsiaTheme="minorHAnsi" w:hAnsi="Arial" w:cs="Arial"/>
          <w:i/>
          <w:iCs/>
          <w:kern w:val="0"/>
          <w:lang w:val="en-US" w:eastAsia="en-US"/>
          <w14:ligatures w14:val="none"/>
        </w:rPr>
        <w:t>White Collar Crimes.</w:t>
      </w:r>
      <w:r w:rsidRPr="004B3F8F">
        <w:rPr>
          <w:rFonts w:ascii="Arial" w:eastAsiaTheme="minorHAnsi" w:hAnsi="Arial" w:cs="Arial"/>
          <w:kern w:val="0"/>
          <w:lang w:val="en-US" w:eastAsia="en-US"/>
          <w14:ligatures w14:val="none"/>
        </w:rPr>
        <w:t xml:space="preserve"> 1st ed. New York: Holt.</w:t>
      </w:r>
    </w:p>
    <w:p w14:paraId="7B5410AD"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Sutherland, E.H., and D.R. Cressey. 1960. </w:t>
      </w:r>
      <w:r w:rsidRPr="004B3F8F">
        <w:rPr>
          <w:rFonts w:ascii="Arial" w:eastAsiaTheme="minorHAnsi" w:hAnsi="Arial" w:cs="Arial"/>
          <w:i/>
          <w:iCs/>
          <w:kern w:val="0"/>
          <w:lang w:val="en-US" w:eastAsia="en-US"/>
          <w14:ligatures w14:val="none"/>
        </w:rPr>
        <w:t>Principles of Criminology</w:t>
      </w:r>
      <w:r w:rsidRPr="004B3F8F">
        <w:rPr>
          <w:rFonts w:ascii="Arial" w:eastAsiaTheme="minorHAnsi" w:hAnsi="Arial" w:cs="Arial"/>
          <w:kern w:val="0"/>
          <w:lang w:val="en-US" w:eastAsia="en-US"/>
          <w14:ligatures w14:val="none"/>
        </w:rPr>
        <w:t>. Lippincott. 6th ed. Chicago.</w:t>
      </w:r>
    </w:p>
    <w:p w14:paraId="6310BC86"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D21E0B">
        <w:rPr>
          <w:rFonts w:asciiTheme="minorBidi" w:eastAsia="Times New Roman" w:hAnsiTheme="minorBidi"/>
          <w:kern w:val="0"/>
          <w14:ligatures w14:val="none"/>
        </w:rPr>
        <w:t xml:space="preserve">Sutton, R.I., &amp; Callahan, D. 1987. </w:t>
      </w:r>
      <w:r w:rsidRPr="004B3F8F">
        <w:rPr>
          <w:rFonts w:asciiTheme="minorBidi" w:eastAsia="Times New Roman" w:hAnsiTheme="minorBidi"/>
          <w:kern w:val="0"/>
          <w14:ligatures w14:val="none"/>
        </w:rPr>
        <w:t>"The Case for a Fraud Prevention Program." Harvard Business Review.</w:t>
      </w:r>
    </w:p>
    <w:p w14:paraId="141D4E4E"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Swartz, M. 2003. </w:t>
      </w:r>
      <w:r w:rsidRPr="004B3F8F">
        <w:rPr>
          <w:rFonts w:ascii="Arial" w:eastAsiaTheme="minorHAnsi" w:hAnsi="Arial" w:cs="Arial"/>
          <w:i/>
          <w:iCs/>
          <w:kern w:val="0"/>
          <w:lang w:val="en-US" w:eastAsia="en-US"/>
          <w14:ligatures w14:val="none"/>
        </w:rPr>
        <w:t>Power Failure: The Inside Story of the Collapse of Enron</w:t>
      </w:r>
      <w:r w:rsidRPr="004B3F8F">
        <w:rPr>
          <w:rFonts w:ascii="Arial" w:eastAsiaTheme="minorHAnsi" w:hAnsi="Arial" w:cs="Arial"/>
          <w:kern w:val="0"/>
          <w:lang w:val="en-US" w:eastAsia="en-US"/>
          <w14:ligatures w14:val="none"/>
        </w:rPr>
        <w:t>. New York: Doubleday.</w:t>
      </w:r>
    </w:p>
    <w:p w14:paraId="4351AFD9"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lastRenderedPageBreak/>
        <w:t>Sweeney, P.D., &amp; Roberts, R.W. 1996. "Determinants of Internal Whistle-Blowing: A Comparison of the Theories of Reasoned Action and Planned Behavior." Journal of Business Ethics, 15(1), 103-118.</w:t>
      </w:r>
    </w:p>
    <w:p w14:paraId="2FD3E370" w14:textId="77777777" w:rsidR="004B3F8F" w:rsidRPr="004B3F8F" w:rsidRDefault="004B3F8F" w:rsidP="004B3F8F">
      <w:pPr>
        <w:spacing w:before="100" w:beforeAutospacing="1" w:after="100" w:afterAutospacing="1" w:line="480" w:lineRule="auto"/>
        <w:ind w:left="993" w:hanging="993"/>
        <w:jc w:val="both"/>
        <w:rPr>
          <w:rFonts w:ascii="Arial" w:eastAsia="Times New Roman" w:hAnsi="Arial" w:cs="Arial"/>
          <w:kern w:val="0"/>
          <w14:ligatures w14:val="none"/>
        </w:rPr>
      </w:pPr>
      <w:bookmarkStart w:id="1026" w:name="_Hlk171836879"/>
      <w:r w:rsidRPr="004B3F8F">
        <w:rPr>
          <w:rFonts w:ascii="Arial" w:eastAsia="Times New Roman" w:hAnsi="Arial" w:cs="Arial"/>
          <w:kern w:val="0"/>
          <w14:ligatures w14:val="none"/>
        </w:rPr>
        <w:t>Sweeney, P. D. 1995. The role of perceived control in task performance and task attractiveness. Motivation and Emotion, 19(2), 105-120.</w:t>
      </w:r>
    </w:p>
    <w:bookmarkEnd w:id="1026"/>
    <w:p w14:paraId="6EC8FDBA" w14:textId="096E709F" w:rsidR="004B3F8F" w:rsidRPr="004B3F8F" w:rsidRDefault="004B3F8F" w:rsidP="004B3F8F">
      <w:pPr>
        <w:spacing w:after="200" w:line="480" w:lineRule="auto"/>
        <w:ind w:left="785" w:hangingChars="327" w:hanging="785"/>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t xml:space="preserve">Szabo, N.1994. Smart contracts. http://www.fon.hum.uva.nl/rob/Courses/InformationInSpeech/CDROM/Literature/ LOTwinterschool2006/szabo.best.vwh.net/smart.contracts.html (accessed </w:t>
      </w:r>
      <w:r w:rsidR="00334E24" w:rsidRPr="004B3F8F">
        <w:rPr>
          <w:rFonts w:ascii="Arial" w:eastAsiaTheme="minorHAnsi" w:hAnsi="Arial" w:cs="Arial"/>
          <w:kern w:val="0"/>
          <w:lang w:eastAsia="en-US"/>
          <w14:ligatures w14:val="none"/>
        </w:rPr>
        <w:t>October</w:t>
      </w:r>
      <w:r w:rsidRPr="004B3F8F">
        <w:rPr>
          <w:rFonts w:ascii="Arial" w:eastAsiaTheme="minorHAnsi" w:hAnsi="Arial" w:cs="Arial"/>
          <w:kern w:val="0"/>
          <w:lang w:eastAsia="en-US"/>
          <w14:ligatures w14:val="none"/>
        </w:rPr>
        <w:t xml:space="preserve"> 2020)</w:t>
      </w:r>
    </w:p>
    <w:p w14:paraId="2FBAB1B2"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Taha, A.A., Ramo, W. and Alkhaffaf, H.H.K., 2021. Impact of external auditor–cloud specialist engagement on cloud auditing challenges. </w:t>
      </w:r>
      <w:r w:rsidRPr="004B3F8F">
        <w:rPr>
          <w:rFonts w:ascii="Arial" w:hAnsi="Arial" w:cs="Arial"/>
          <w:i/>
          <w:iCs/>
          <w:color w:val="222222"/>
          <w:shd w:val="clear" w:color="auto" w:fill="FFFFFF"/>
        </w:rPr>
        <w:t>Journal of Accounting &amp; Organizational Change</w:t>
      </w:r>
      <w:r w:rsidRPr="004B3F8F">
        <w:rPr>
          <w:rFonts w:ascii="Arial" w:hAnsi="Arial" w:cs="Arial"/>
          <w:color w:val="222222"/>
          <w:shd w:val="clear" w:color="auto" w:fill="FFFFFF"/>
        </w:rPr>
        <w:t>, </w:t>
      </w:r>
      <w:r w:rsidRPr="004B3F8F">
        <w:rPr>
          <w:rFonts w:ascii="Arial" w:hAnsi="Arial" w:cs="Arial"/>
          <w:i/>
          <w:iCs/>
          <w:color w:val="222222"/>
          <w:shd w:val="clear" w:color="auto" w:fill="FFFFFF"/>
        </w:rPr>
        <w:t>17</w:t>
      </w:r>
      <w:r w:rsidRPr="004B3F8F">
        <w:rPr>
          <w:rFonts w:ascii="Arial" w:hAnsi="Arial" w:cs="Arial"/>
          <w:color w:val="222222"/>
          <w:shd w:val="clear" w:color="auto" w:fill="FFFFFF"/>
        </w:rPr>
        <w:t>(3), pp.309-331.</w:t>
      </w:r>
    </w:p>
    <w:p w14:paraId="283FCD83"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1027" w:name="_Hlk146636485"/>
      <w:r w:rsidRPr="004B3F8F">
        <w:rPr>
          <w:rFonts w:ascii="Arial" w:eastAsiaTheme="minorHAnsi" w:hAnsi="Arial" w:cs="Arial"/>
          <w:kern w:val="0"/>
          <w:lang w:val="en-US" w:eastAsia="en-US"/>
          <w14:ligatures w14:val="none"/>
        </w:rPr>
        <w:t>Tapscott, D., and A. Tapscott. 2016. “</w:t>
      </w:r>
      <w:r w:rsidRPr="004B3F8F">
        <w:rPr>
          <w:rFonts w:ascii="Arial" w:eastAsiaTheme="minorHAnsi" w:hAnsi="Arial" w:cs="Arial"/>
          <w:iCs/>
          <w:kern w:val="0"/>
          <w:lang w:val="en-US" w:eastAsia="en-US"/>
          <w14:ligatures w14:val="none"/>
        </w:rPr>
        <w:t>The Impact of the Blockchain Goes Beyond Financial Services</w:t>
      </w:r>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i/>
          <w:kern w:val="0"/>
          <w:lang w:val="en-US" w:eastAsia="en-US"/>
          <w14:ligatures w14:val="none"/>
        </w:rPr>
        <w:t>Harvard Business Review Digital Articles</w:t>
      </w:r>
      <w:r w:rsidRPr="004B3F8F">
        <w:rPr>
          <w:rFonts w:ascii="Arial" w:eastAsiaTheme="minorHAnsi" w:hAnsi="Arial" w:cs="Arial"/>
          <w:kern w:val="0"/>
          <w:lang w:val="en-US" w:eastAsia="en-US"/>
          <w14:ligatures w14:val="none"/>
        </w:rPr>
        <w:t xml:space="preserve">. </w:t>
      </w:r>
      <w:hyperlink r:id="rId117" w:history="1">
        <w:r w:rsidRPr="004B3F8F">
          <w:rPr>
            <w:rFonts w:ascii="Arial" w:eastAsiaTheme="minorHAnsi" w:hAnsi="Arial" w:cs="Arial"/>
            <w:kern w:val="0"/>
            <w:lang w:eastAsia="en-US"/>
            <w14:ligatures w14:val="none"/>
          </w:rPr>
          <w:t>https://hbr.org/2016/05/the-impact-of-the-blockchain-goes-beyond-financial-services</w:t>
        </w:r>
      </w:hyperlink>
      <w:r w:rsidRPr="004B3F8F">
        <w:rPr>
          <w:rFonts w:ascii="Arial" w:eastAsiaTheme="minorHAnsi" w:hAnsi="Arial" w:cs="Arial"/>
          <w:kern w:val="0"/>
          <w:lang w:val="en-US" w:eastAsia="en-US"/>
          <w14:ligatures w14:val="none"/>
        </w:rPr>
        <w:t xml:space="preserve"> </w:t>
      </w:r>
    </w:p>
    <w:bookmarkEnd w:id="1027"/>
    <w:p w14:paraId="32BBD7E2"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Tarver, </w:t>
      </w:r>
      <w:r w:rsidRPr="004B3F8F">
        <w:rPr>
          <w:rFonts w:asciiTheme="minorBidi" w:eastAsiaTheme="minorHAnsi" w:hAnsiTheme="minorBidi"/>
          <w:kern w:val="0"/>
          <w:lang w:eastAsia="en-US"/>
          <w14:ligatures w14:val="none"/>
        </w:rPr>
        <w:t xml:space="preserve">E. 2023. </w:t>
      </w:r>
      <w:hyperlink r:id="rId118" w:history="1">
        <w:r w:rsidRPr="004B3F8F">
          <w:rPr>
            <w:rFonts w:asciiTheme="minorBidi" w:eastAsiaTheme="minorHAnsi" w:hAnsiTheme="minorBidi"/>
            <w:kern w:val="0"/>
            <w:lang w:eastAsia="en-US"/>
            <w14:ligatures w14:val="none"/>
          </w:rPr>
          <w:t>Corporate Culture Definition, Characteristics, and Importance (investopedia.com)</w:t>
        </w:r>
      </w:hyperlink>
      <w:r w:rsidRPr="004B3F8F">
        <w:rPr>
          <w:rFonts w:asciiTheme="minorBidi" w:eastAsiaTheme="minorHAnsi" w:hAnsiTheme="minorBidi"/>
          <w:kern w:val="0"/>
          <w:lang w:eastAsia="en-US"/>
          <w14:ligatures w14:val="none"/>
        </w:rPr>
        <w:t>/terms/c/corporate-culture.asp Accessed July 2023</w:t>
      </w:r>
    </w:p>
    <w:p w14:paraId="6B55C2E7" w14:textId="77777777" w:rsidR="004B3F8F" w:rsidRPr="004B3F8F" w:rsidRDefault="004B3F8F" w:rsidP="004B3F8F">
      <w:pPr>
        <w:spacing w:after="0" w:line="360" w:lineRule="auto"/>
        <w:ind w:left="851" w:hanging="851"/>
        <w:jc w:val="both"/>
        <w:rPr>
          <w:rFonts w:ascii="Arial" w:eastAsiaTheme="minorHAnsi" w:hAnsi="Arial" w:cs="Arial"/>
          <w:kern w:val="0"/>
          <w:lang w:eastAsia="en-US"/>
          <w14:ligatures w14:val="none"/>
        </w:rPr>
      </w:pPr>
      <w:r w:rsidRPr="004B3F8F">
        <w:rPr>
          <w:rFonts w:ascii="Arial" w:eastAsiaTheme="minorHAnsi" w:hAnsi="Arial" w:cs="Arial"/>
          <w:kern w:val="0"/>
          <w:lang w:val="it-IT" w:eastAsia="en-US"/>
          <w14:ligatures w14:val="none"/>
        </w:rPr>
        <w:t xml:space="preserve">Tashakkori, A., &amp; Teddlie, C.B .2010. </w:t>
      </w:r>
      <w:r w:rsidRPr="004B3F8F">
        <w:rPr>
          <w:rFonts w:ascii="Arial" w:eastAsiaTheme="minorHAnsi" w:hAnsi="Arial" w:cs="Arial"/>
          <w:kern w:val="0"/>
          <w:lang w:eastAsia="en-US"/>
          <w14:ligatures w14:val="none"/>
        </w:rPr>
        <w:t>SAGE handbook of mixed methods in social &amp; behavioural research (2nd ed.). Thousand Oaks, CA: Sage</w:t>
      </w:r>
    </w:p>
    <w:p w14:paraId="542314E6" w14:textId="77777777" w:rsidR="004B3F8F" w:rsidRPr="004B3F8F" w:rsidRDefault="004B3F8F" w:rsidP="004B3F8F">
      <w:pPr>
        <w:spacing w:after="0" w:line="360" w:lineRule="auto"/>
        <w:ind w:left="851" w:hanging="851"/>
        <w:jc w:val="both"/>
        <w:rPr>
          <w:rFonts w:ascii="Arial" w:eastAsiaTheme="minorHAnsi" w:hAnsi="Arial" w:cs="Arial"/>
          <w:kern w:val="0"/>
          <w:lang w:eastAsia="en-US"/>
          <w14:ligatures w14:val="none"/>
        </w:rPr>
      </w:pPr>
    </w:p>
    <w:p w14:paraId="60E5947E" w14:textId="77777777" w:rsidR="004B3F8F" w:rsidRPr="004B3F8F" w:rsidRDefault="004B3F8F" w:rsidP="004B3F8F">
      <w:pPr>
        <w:spacing w:after="0" w:line="360" w:lineRule="auto"/>
        <w:ind w:left="851" w:hanging="851"/>
        <w:jc w:val="both"/>
        <w:rPr>
          <w:rFonts w:ascii="Arial" w:eastAsiaTheme="majorEastAsia" w:hAnsi="Arial" w:cs="Arial"/>
          <w:i/>
          <w:iCs/>
          <w:kern w:val="0"/>
          <w:lang w:eastAsia="en-US"/>
          <w14:ligatures w14:val="none"/>
        </w:rPr>
      </w:pPr>
      <w:r w:rsidRPr="004B3F8F">
        <w:rPr>
          <w:rFonts w:ascii="Arial" w:eastAsiaTheme="minorHAnsi" w:hAnsi="Arial" w:cs="Arial"/>
          <w:kern w:val="0"/>
          <w:lang w:eastAsia="en-US"/>
          <w14:ligatures w14:val="none"/>
        </w:rPr>
        <w:t xml:space="preserve">Taylor, C., &amp; Walton, J. 2020. "The Dark Triad and Fraudulent Financial Reporting." </w:t>
      </w:r>
      <w:r w:rsidRPr="004B3F8F">
        <w:rPr>
          <w:rFonts w:ascii="Arial" w:eastAsiaTheme="majorEastAsia" w:hAnsi="Arial" w:cs="Arial"/>
          <w:i/>
          <w:iCs/>
          <w:kern w:val="0"/>
          <w:lang w:eastAsia="en-US"/>
          <w14:ligatures w14:val="none"/>
        </w:rPr>
        <w:t>Accounting and Finance</w:t>
      </w:r>
    </w:p>
    <w:p w14:paraId="627E96EA" w14:textId="77777777" w:rsidR="004B3F8F" w:rsidRPr="004B3F8F" w:rsidRDefault="004B3F8F" w:rsidP="004B3F8F">
      <w:pPr>
        <w:spacing w:after="0" w:line="360" w:lineRule="auto"/>
        <w:ind w:left="851" w:hanging="851"/>
        <w:jc w:val="both"/>
        <w:rPr>
          <w:rFonts w:ascii="Arial" w:eastAsiaTheme="majorEastAsia" w:hAnsi="Arial" w:cs="Arial"/>
          <w:i/>
          <w:iCs/>
          <w:kern w:val="0"/>
          <w:lang w:eastAsia="en-US"/>
          <w14:ligatures w14:val="none"/>
        </w:rPr>
      </w:pPr>
    </w:p>
    <w:p w14:paraId="2D70737D" w14:textId="77777777" w:rsidR="004B3F8F" w:rsidRPr="004B3F8F" w:rsidRDefault="004B3F8F" w:rsidP="004B3F8F">
      <w:pPr>
        <w:spacing w:line="480" w:lineRule="auto"/>
        <w:ind w:left="851" w:hanging="851"/>
        <w:jc w:val="both"/>
        <w:rPr>
          <w:rFonts w:asciiTheme="minorBidi" w:hAnsiTheme="minorBidi"/>
        </w:rPr>
      </w:pPr>
      <w:r w:rsidRPr="004B3F8F">
        <w:rPr>
          <w:rFonts w:asciiTheme="minorBidi" w:eastAsia="Times New Roman" w:hAnsiTheme="minorBidi"/>
          <w:kern w:val="0"/>
          <w14:ligatures w14:val="none"/>
        </w:rPr>
        <w:lastRenderedPageBreak/>
        <w:t xml:space="preserve">Tenbrunsel, A. E., &amp; Smith-Crowe, K. 2022. The impact of ethics training on the behavior of accounting professionals: A meta-analysis. </w:t>
      </w:r>
      <w:r w:rsidRPr="004B3F8F">
        <w:rPr>
          <w:rFonts w:asciiTheme="minorBidi" w:eastAsia="Times New Roman" w:hAnsiTheme="minorBidi"/>
          <w:i/>
          <w:iCs/>
          <w:kern w:val="0"/>
          <w14:ligatures w14:val="none"/>
        </w:rPr>
        <w:t>Journal of Business Ethics</w:t>
      </w:r>
      <w:r w:rsidRPr="004B3F8F">
        <w:rPr>
          <w:rFonts w:asciiTheme="minorBidi" w:eastAsia="Times New Roman" w:hAnsiTheme="minorBidi"/>
          <w:kern w:val="0"/>
          <w14:ligatures w14:val="none"/>
        </w:rPr>
        <w:t>, 177(3), 507-528.</w:t>
      </w:r>
    </w:p>
    <w:p w14:paraId="4E0B4C24" w14:textId="77777777" w:rsidR="004B3F8F" w:rsidRPr="004B3F8F" w:rsidRDefault="004B3F8F" w:rsidP="004B3F8F">
      <w:pPr>
        <w:spacing w:after="0" w:line="360" w:lineRule="auto"/>
        <w:jc w:val="both"/>
        <w:rPr>
          <w:rFonts w:ascii="Arial" w:eastAsiaTheme="minorHAnsi" w:hAnsi="Arial" w:cs="Arial"/>
          <w:kern w:val="0"/>
          <w:lang w:eastAsia="en-US"/>
          <w14:ligatures w14:val="none"/>
        </w:rPr>
      </w:pPr>
    </w:p>
    <w:p w14:paraId="2274D0BB" w14:textId="77777777" w:rsidR="004B3F8F" w:rsidRPr="004B3F8F" w:rsidRDefault="004B3F8F" w:rsidP="004B3F8F">
      <w:pPr>
        <w:spacing w:after="0" w:line="360" w:lineRule="auto"/>
        <w:ind w:left="851" w:hanging="851"/>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t>Tilooby, Al. 2018. ‘The Impact of Blockchain Technology on Financial Transactions.’ Dissertation, Georgia State University, 2018.</w:t>
      </w:r>
    </w:p>
    <w:p w14:paraId="76784CA1" w14:textId="77777777" w:rsidR="004B3F8F" w:rsidRPr="004B3F8F" w:rsidRDefault="004B3F8F" w:rsidP="004B3F8F">
      <w:pPr>
        <w:spacing w:after="0" w:line="360" w:lineRule="auto"/>
        <w:jc w:val="both"/>
        <w:rPr>
          <w:rFonts w:ascii="Arial" w:eastAsiaTheme="minorHAnsi" w:hAnsi="Arial" w:cs="Arial"/>
          <w:kern w:val="0"/>
          <w:lang w:eastAsia="en-US"/>
          <w14:ligatures w14:val="none"/>
        </w:rPr>
      </w:pPr>
    </w:p>
    <w:p w14:paraId="0020AD42" w14:textId="77777777" w:rsidR="004B3F8F" w:rsidRPr="004B3F8F" w:rsidRDefault="004B3F8F" w:rsidP="004B3F8F">
      <w:pPr>
        <w:spacing w:after="0" w:line="360" w:lineRule="auto"/>
        <w:ind w:left="851" w:hanging="851"/>
        <w:jc w:val="both"/>
        <w:rPr>
          <w:rFonts w:asciiTheme="minorBidi" w:eastAsiaTheme="minorHAnsi" w:hAnsiTheme="minorBidi"/>
          <w:kern w:val="0"/>
          <w:lang w:eastAsia="en-US"/>
          <w14:ligatures w14:val="none"/>
        </w:rPr>
      </w:pPr>
      <w:r w:rsidRPr="004B3F8F">
        <w:rPr>
          <w:rFonts w:asciiTheme="minorBidi" w:eastAsiaTheme="minorHAnsi" w:hAnsiTheme="minorBidi"/>
          <w:kern w:val="0"/>
          <w:lang w:eastAsia="en-US"/>
          <w14:ligatures w14:val="none"/>
        </w:rPr>
        <w:t>Thanh, N.C. and Thanh, T.T., 2015. The interconnection between interpretivist paradigm and qualitative methods in education. American journal of educational science, 1(2), pp.24- 27.</w:t>
      </w:r>
    </w:p>
    <w:p w14:paraId="00A37EB1" w14:textId="77777777" w:rsidR="004B3F8F" w:rsidRPr="004B3F8F" w:rsidRDefault="004B3F8F" w:rsidP="004B3F8F">
      <w:pPr>
        <w:spacing w:before="100" w:beforeAutospacing="1" w:after="100" w:afterAutospacing="1" w:line="480" w:lineRule="auto"/>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The CPA Journal 2022. An introduction to blockchain.</w:t>
      </w:r>
    </w:p>
    <w:p w14:paraId="1B400B3F" w14:textId="77777777" w:rsidR="004B3F8F" w:rsidRPr="004B3F8F" w:rsidRDefault="004B3F8F" w:rsidP="004B3F8F">
      <w:pPr>
        <w:spacing w:after="200" w:line="480" w:lineRule="auto"/>
        <w:ind w:left="785" w:hangingChars="327" w:hanging="785"/>
        <w:jc w:val="both"/>
        <w:rPr>
          <w:rFonts w:ascii="Arial" w:eastAsia="Times New Roman" w:hAnsi="Arial" w:cs="Arial"/>
          <w:iCs/>
          <w:kern w:val="0"/>
          <w:lang w:val="en-US" w:eastAsia="en-GB"/>
          <w14:ligatures w14:val="none"/>
        </w:rPr>
      </w:pPr>
      <w:r w:rsidRPr="004B3F8F">
        <w:rPr>
          <w:rFonts w:ascii="Arial" w:eastAsiaTheme="minorHAnsi" w:hAnsi="Arial" w:cs="Arial"/>
          <w:kern w:val="0"/>
          <w:lang w:val="en-US" w:eastAsia="en-US"/>
          <w14:ligatures w14:val="none"/>
        </w:rPr>
        <w:t>The Financial Reporting Council. 2016. “The UK Code of Corporate Governance</w:t>
      </w:r>
      <w:r w:rsidRPr="004B3F8F">
        <w:rPr>
          <w:rFonts w:ascii="Arial" w:eastAsiaTheme="minorHAnsi" w:hAnsi="Arial" w:cs="Arial"/>
          <w:i/>
          <w:iCs/>
          <w:kern w:val="0"/>
          <w:lang w:val="en-US" w:eastAsia="en-US"/>
          <w14:ligatures w14:val="none"/>
        </w:rPr>
        <w:t>.</w:t>
      </w:r>
      <w:r w:rsidRPr="004B3F8F">
        <w:rPr>
          <w:rFonts w:ascii="Arial" w:eastAsiaTheme="minorHAnsi" w:hAnsi="Arial" w:cs="Arial"/>
          <w:iCs/>
          <w:kern w:val="0"/>
          <w:lang w:val="en-US" w:eastAsia="en-US"/>
          <w14:ligatures w14:val="none"/>
        </w:rPr>
        <w:t>”</w:t>
      </w:r>
      <w:r w:rsidRPr="004B3F8F">
        <w:rPr>
          <w:rFonts w:ascii="Arial" w:eastAsiaTheme="minorHAnsi" w:hAnsi="Arial" w:cs="Arial"/>
          <w:i/>
          <w:iCs/>
          <w:kern w:val="0"/>
          <w:lang w:val="en-US" w:eastAsia="en-US"/>
          <w14:ligatures w14:val="none"/>
        </w:rPr>
        <w:t xml:space="preserve"> </w:t>
      </w:r>
      <w:hyperlink r:id="rId119" w:history="1">
        <w:r w:rsidRPr="004B3F8F">
          <w:rPr>
            <w:rFonts w:ascii="Arial" w:eastAsiaTheme="minorHAnsi" w:hAnsi="Arial" w:cs="Arial"/>
            <w:kern w:val="0"/>
            <w:lang w:val="en-US" w:eastAsia="en-US"/>
            <w14:ligatures w14:val="none"/>
          </w:rPr>
          <w:t>http://www.frc.gov.uk</w:t>
        </w:r>
      </w:hyperlink>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shd w:val="clear" w:color="auto" w:fill="FFFFFF"/>
          <w:lang w:val="en-US" w:eastAsia="en-US"/>
          <w14:ligatures w14:val="none"/>
        </w:rPr>
        <w:t xml:space="preserve">(accessed January 1, 2019). </w:t>
      </w:r>
      <w:hyperlink r:id="rId120" w:history="1">
        <w:r w:rsidRPr="004B3F8F">
          <w:rPr>
            <w:rFonts w:ascii="Arial" w:eastAsiaTheme="minorHAnsi" w:hAnsi="Arial" w:cs="Arial"/>
            <w:kern w:val="0"/>
            <w:lang w:eastAsia="en-US"/>
            <w14:ligatures w14:val="none"/>
          </w:rPr>
          <w:t>https://www.frc.org.uk/getattachment/ca7e94c4-b9a9-49e2-a824-ad76a322873c/UK-Corporate-Governance-Code-April-2016.pdf</w:t>
        </w:r>
      </w:hyperlink>
    </w:p>
    <w:p w14:paraId="02FC218E"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The Guardian. 2017. </w:t>
      </w:r>
      <w:hyperlink r:id="rId121" w:history="1">
        <w:r w:rsidRPr="004B3F8F">
          <w:rPr>
            <w:rFonts w:ascii="Arial" w:eastAsiaTheme="minorHAnsi" w:hAnsi="Arial" w:cs="Arial"/>
            <w:kern w:val="0"/>
            <w:lang w:val="en-US" w:eastAsia="en-US"/>
            <w14:ligatures w14:val="none"/>
          </w:rPr>
          <w:t>https://www.theguardian.com/business/2017/mar/28/tesco-agrees-fine-serious-fraud-office-accounting-scandal</w:t>
        </w:r>
      </w:hyperlink>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shd w:val="clear" w:color="auto" w:fill="FFFFFF"/>
          <w:lang w:val="en-US" w:eastAsia="en-US"/>
          <w14:ligatures w14:val="none"/>
        </w:rPr>
        <w:t>(accessed September 1, 2019).</w:t>
      </w:r>
    </w:p>
    <w:p w14:paraId="1D9FFD16" w14:textId="77777777" w:rsidR="004B3F8F" w:rsidRPr="004B3F8F" w:rsidRDefault="004B3F8F" w:rsidP="004B3F8F">
      <w:pPr>
        <w:spacing w:after="200" w:line="480" w:lineRule="auto"/>
        <w:ind w:left="851" w:hanging="851"/>
        <w:jc w:val="both"/>
        <w:rPr>
          <w:rFonts w:ascii="Arial" w:eastAsiaTheme="minorHAnsi" w:hAnsi="Arial" w:cs="Arial"/>
          <w:kern w:val="0"/>
          <w:lang w:val="en-US" w:eastAsia="en-US"/>
          <w14:ligatures w14:val="none"/>
        </w:rPr>
      </w:pPr>
      <w:bookmarkStart w:id="1028" w:name="_Hlk42379736"/>
      <w:r w:rsidRPr="004B3F8F">
        <w:rPr>
          <w:rFonts w:ascii="Arial" w:eastAsiaTheme="minorHAnsi" w:hAnsi="Arial" w:cs="Arial"/>
          <w:iCs/>
          <w:kern w:val="0"/>
          <w:lang w:val="en-US" w:eastAsia="en-US"/>
          <w14:ligatures w14:val="none"/>
        </w:rPr>
        <w:t>The Japan News</w:t>
      </w:r>
      <w:bookmarkEnd w:id="1028"/>
      <w:r w:rsidRPr="004B3F8F">
        <w:rPr>
          <w:rFonts w:ascii="Arial" w:eastAsiaTheme="minorHAnsi" w:hAnsi="Arial" w:cs="Arial"/>
          <w:iCs/>
          <w:kern w:val="0"/>
          <w:lang w:val="en-US" w:eastAsia="en-US"/>
          <w14:ligatures w14:val="none"/>
        </w:rPr>
        <w:t xml:space="preserve">. </w:t>
      </w:r>
      <w:r w:rsidRPr="004B3F8F">
        <w:rPr>
          <w:rFonts w:ascii="Arial" w:eastAsiaTheme="minorHAnsi" w:hAnsi="Arial" w:cs="Arial"/>
          <w:kern w:val="0"/>
          <w:lang w:val="en-US" w:eastAsia="en-US"/>
          <w14:ligatures w14:val="none"/>
        </w:rPr>
        <w:t xml:space="preserve">2015. </w:t>
      </w:r>
      <w:r w:rsidRPr="004B3F8F">
        <w:rPr>
          <w:rFonts w:ascii="Arial" w:eastAsiaTheme="minorHAnsi" w:hAnsi="Arial" w:cs="Arial"/>
          <w:i/>
          <w:kern w:val="0"/>
          <w:lang w:val="en-US" w:eastAsia="en-US"/>
          <w14:ligatures w14:val="none"/>
        </w:rPr>
        <w:t>¥7.3 Billion Fine Sought for Toshiba Over Accounting Fraud</w:t>
      </w:r>
      <w:r w:rsidRPr="004B3F8F">
        <w:rPr>
          <w:rFonts w:ascii="Arial" w:eastAsiaTheme="minorHAnsi" w:hAnsi="Arial" w:cs="Arial"/>
          <w:kern w:val="0"/>
          <w:lang w:val="en-US" w:eastAsia="en-US"/>
          <w14:ligatures w14:val="none"/>
        </w:rPr>
        <w:t xml:space="preserve">. December 8. </w:t>
      </w:r>
      <w:hyperlink r:id="rId122" w:history="1">
        <w:r w:rsidRPr="004B3F8F">
          <w:rPr>
            <w:rFonts w:ascii="Arial" w:eastAsiaTheme="minorHAnsi" w:hAnsi="Arial" w:cs="Arial"/>
            <w:kern w:val="0"/>
            <w:lang w:val="en-US" w:eastAsia="en-US"/>
            <w14:ligatures w14:val="none"/>
          </w:rPr>
          <w:t>https://www.japantimes.co.jp/news/2015/12/25/business/corporate-business/toshiba-fined-record-%C2%A57-3-billion-over-accounting-scandal/</w:t>
        </w:r>
      </w:hyperlink>
    </w:p>
    <w:p w14:paraId="1DBCE6D3" w14:textId="77777777" w:rsidR="004B3F8F" w:rsidRPr="004B3F8F" w:rsidRDefault="004B3F8F" w:rsidP="004B3F8F">
      <w:pPr>
        <w:spacing w:line="480" w:lineRule="auto"/>
        <w:ind w:left="851" w:hanging="851"/>
        <w:jc w:val="both"/>
        <w:rPr>
          <w:rFonts w:ascii="Arial" w:hAnsi="Arial" w:cs="Arial"/>
          <w:color w:val="222222"/>
          <w:shd w:val="clear" w:color="auto" w:fill="FFFFFF"/>
        </w:rPr>
      </w:pPr>
    </w:p>
    <w:p w14:paraId="72EFEF1C"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lastRenderedPageBreak/>
        <w:t>Tømmervåg, A.S., Bach, T. and Jæger, B., 2022, January. Leveraging the competition: Robotic Process Automation (RPA) enabling competitive Small and Medium sized Auditing Firms. In </w:t>
      </w:r>
      <w:r w:rsidRPr="004B3F8F">
        <w:rPr>
          <w:rFonts w:ascii="Arial" w:hAnsi="Arial" w:cs="Arial"/>
          <w:i/>
          <w:iCs/>
          <w:color w:val="222222"/>
          <w:shd w:val="clear" w:color="auto" w:fill="FFFFFF"/>
        </w:rPr>
        <w:t>2022 IEEE/SICE International Symposium on System Integration (SII)</w:t>
      </w:r>
      <w:r w:rsidRPr="004B3F8F">
        <w:rPr>
          <w:rFonts w:ascii="Arial" w:hAnsi="Arial" w:cs="Arial"/>
          <w:color w:val="222222"/>
          <w:shd w:val="clear" w:color="auto" w:fill="FFFFFF"/>
        </w:rPr>
        <w:t> (pp. 833-837). IEEE.</w:t>
      </w:r>
    </w:p>
    <w:p w14:paraId="79B509CB" w14:textId="77777777" w:rsidR="004B3F8F" w:rsidRPr="004B3F8F" w:rsidRDefault="004B3F8F" w:rsidP="004B3F8F">
      <w:pPr>
        <w:spacing w:line="480" w:lineRule="auto"/>
        <w:ind w:left="851" w:hanging="851"/>
        <w:jc w:val="both"/>
        <w:rPr>
          <w:rFonts w:asciiTheme="minorBidi" w:hAnsiTheme="minorBidi"/>
          <w:color w:val="222222"/>
          <w:shd w:val="clear" w:color="auto" w:fill="FFFFFF"/>
        </w:rPr>
      </w:pPr>
      <w:r w:rsidRPr="004B3F8F">
        <w:rPr>
          <w:rFonts w:asciiTheme="minorBidi" w:eastAsiaTheme="minorHAnsi" w:hAnsiTheme="minorBidi"/>
          <w:kern w:val="0"/>
          <w:lang w:eastAsia="en-US"/>
          <w14:ligatures w14:val="none"/>
        </w:rPr>
        <w:t>Thomas, D. R., 2006. A general inductive approach for qualitative data analysis. American Journal of Evaluation, 27(2), pp. 237-246</w:t>
      </w:r>
    </w:p>
    <w:p w14:paraId="31459E11" w14:textId="77777777" w:rsidR="004B3F8F" w:rsidRPr="004B3F8F" w:rsidRDefault="004B3F8F" w:rsidP="004B3F8F">
      <w:pPr>
        <w:spacing w:after="200" w:line="480" w:lineRule="auto"/>
        <w:ind w:left="785" w:hangingChars="327" w:hanging="785"/>
        <w:jc w:val="both"/>
        <w:rPr>
          <w:rFonts w:ascii="Arial" w:eastAsiaTheme="minorHAnsi" w:hAnsi="Arial" w:cs="Arial"/>
          <w:kern w:val="0"/>
          <w:shd w:val="clear" w:color="auto" w:fill="FFFFFF"/>
          <w:lang w:val="en-US" w:eastAsia="en-US"/>
          <w14:ligatures w14:val="none"/>
        </w:rPr>
      </w:pPr>
      <w:r w:rsidRPr="004B3F8F">
        <w:rPr>
          <w:rFonts w:ascii="Arial" w:eastAsiaTheme="minorHAnsi" w:hAnsi="Arial" w:cs="Arial"/>
          <w:kern w:val="0"/>
          <w:lang w:val="en-US" w:eastAsia="en-US"/>
          <w14:ligatures w14:val="none"/>
        </w:rPr>
        <w:t>Toshiba Corporation. 2015. “</w:t>
      </w:r>
      <w:r w:rsidRPr="004B3F8F">
        <w:rPr>
          <w:rFonts w:ascii="Arial" w:eastAsiaTheme="minorHAnsi" w:hAnsi="Arial" w:cs="Arial"/>
          <w:iCs/>
          <w:kern w:val="0"/>
          <w:lang w:val="en-US" w:eastAsia="en-US"/>
          <w14:ligatures w14:val="none"/>
        </w:rPr>
        <w:t>Investigation Report – Summary.”</w:t>
      </w:r>
      <w:r w:rsidRPr="004B3F8F">
        <w:rPr>
          <w:rFonts w:ascii="Arial" w:eastAsiaTheme="minorHAnsi" w:hAnsi="Arial" w:cs="Arial"/>
          <w:i/>
          <w:iCs/>
          <w:kern w:val="0"/>
          <w:lang w:val="en-US" w:eastAsia="en-US"/>
          <w14:ligatures w14:val="none"/>
        </w:rPr>
        <w:t xml:space="preserve"> </w:t>
      </w:r>
      <w:r w:rsidRPr="004B3F8F">
        <w:rPr>
          <w:rFonts w:ascii="Arial" w:eastAsiaTheme="minorHAnsi" w:hAnsi="Arial" w:cs="Arial"/>
          <w:kern w:val="0"/>
          <w:lang w:val="en-US" w:eastAsia="en-US"/>
          <w14:ligatures w14:val="none"/>
        </w:rPr>
        <w:t>http://www.toshiba.co.jp/about/ir/en/news/20150725_1.pdf, (</w:t>
      </w:r>
      <w:r w:rsidRPr="004B3F8F">
        <w:rPr>
          <w:rFonts w:ascii="Arial" w:eastAsiaTheme="minorHAnsi" w:hAnsi="Arial" w:cs="Arial"/>
          <w:kern w:val="0"/>
          <w:shd w:val="clear" w:color="auto" w:fill="FFFFFF"/>
          <w:lang w:val="en-US" w:eastAsia="en-US"/>
          <w14:ligatures w14:val="none"/>
        </w:rPr>
        <w:t>accessed November 23, 2018).</w:t>
      </w:r>
    </w:p>
    <w:p w14:paraId="56CDCC9D"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Treadwell, G.W., 2021. Preventing employee frauds in small businesses with low-cost methods. </w:t>
      </w:r>
      <w:r w:rsidRPr="004B3F8F">
        <w:rPr>
          <w:rFonts w:ascii="Arial" w:hAnsi="Arial" w:cs="Arial"/>
          <w:i/>
          <w:iCs/>
          <w:color w:val="222222"/>
          <w:shd w:val="clear" w:color="auto" w:fill="FFFFFF"/>
        </w:rPr>
        <w:t>Journal of Business and Accounting</w:t>
      </w:r>
      <w:r w:rsidRPr="004B3F8F">
        <w:rPr>
          <w:rFonts w:ascii="Arial" w:hAnsi="Arial" w:cs="Arial"/>
          <w:color w:val="222222"/>
          <w:shd w:val="clear" w:color="auto" w:fill="FFFFFF"/>
        </w:rPr>
        <w:t>, </w:t>
      </w:r>
      <w:r w:rsidRPr="004B3F8F">
        <w:rPr>
          <w:rFonts w:ascii="Arial" w:hAnsi="Arial" w:cs="Arial"/>
          <w:i/>
          <w:iCs/>
          <w:color w:val="222222"/>
          <w:shd w:val="clear" w:color="auto" w:fill="FFFFFF"/>
        </w:rPr>
        <w:t>14</w:t>
      </w:r>
      <w:r w:rsidRPr="004B3F8F">
        <w:rPr>
          <w:rFonts w:ascii="Arial" w:hAnsi="Arial" w:cs="Arial"/>
          <w:color w:val="222222"/>
          <w:shd w:val="clear" w:color="auto" w:fill="FFFFFF"/>
        </w:rPr>
        <w:t>(1), pp.3-15.</w:t>
      </w:r>
      <w:bookmarkStart w:id="1029" w:name="_Hlk42379751"/>
    </w:p>
    <w:p w14:paraId="302F8617"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proofErr w:type="spellStart"/>
      <w:r w:rsidRPr="004B3F8F">
        <w:rPr>
          <w:rFonts w:asciiTheme="minorBidi" w:eastAsia="Times New Roman" w:hAnsiTheme="minorBidi"/>
          <w:kern w:val="0"/>
          <w14:ligatures w14:val="none"/>
        </w:rPr>
        <w:t>Treiblmaier</w:t>
      </w:r>
      <w:proofErr w:type="spellEnd"/>
      <w:r w:rsidRPr="004B3F8F">
        <w:rPr>
          <w:rFonts w:asciiTheme="minorBidi" w:eastAsia="Times New Roman" w:hAnsiTheme="minorBidi"/>
          <w:kern w:val="0"/>
          <w14:ligatures w14:val="none"/>
        </w:rPr>
        <w:t xml:space="preserve">, H. 2019. "Toward More Rigorous Blockchain Research: Recommendations for Writing Blockchain Case Studies." </w:t>
      </w:r>
      <w:r w:rsidRPr="004B3F8F">
        <w:rPr>
          <w:rFonts w:asciiTheme="minorBidi" w:eastAsia="Times New Roman" w:hAnsiTheme="minorBidi"/>
          <w:i/>
          <w:iCs/>
          <w:kern w:val="0"/>
          <w14:ligatures w14:val="none"/>
        </w:rPr>
        <w:t>Frontiers in Blockchain</w:t>
      </w:r>
      <w:r w:rsidRPr="004B3F8F">
        <w:rPr>
          <w:rFonts w:asciiTheme="minorBidi" w:eastAsia="Times New Roman" w:hAnsiTheme="minorBidi"/>
          <w:kern w:val="0"/>
          <w14:ligatures w14:val="none"/>
        </w:rPr>
        <w:t>, 2, 3.</w:t>
      </w:r>
    </w:p>
    <w:p w14:paraId="2A37FF24"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Arial" w:eastAsia="Times New Roman" w:hAnsi="Arial" w:cs="Arial"/>
          <w:kern w:val="0"/>
          <w:lang w:eastAsia="en-US"/>
          <w14:ligatures w14:val="none"/>
        </w:rPr>
        <w:t>Treviño, L. K., Weaver, G. R., &amp; Reynolds, S. J. 2006. Behavioral ethics in organizations: A review. Journal of Management, 32(6), 951-990</w:t>
      </w:r>
    </w:p>
    <w:p w14:paraId="4143D94D"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Trompeter</w:t>
      </w:r>
      <w:bookmarkEnd w:id="1029"/>
      <w:r w:rsidRPr="004B3F8F">
        <w:rPr>
          <w:rFonts w:ascii="Arial" w:eastAsiaTheme="minorHAnsi" w:hAnsi="Arial" w:cs="Arial"/>
          <w:kern w:val="0"/>
          <w:lang w:val="en-US" w:eastAsia="en-US"/>
          <w14:ligatures w14:val="none"/>
        </w:rPr>
        <w:t xml:space="preserve">, G.M., T.D. Carpenter, N. Desai, K.L. Jones, and R.A. Riley Jr. 2013. “A Synthesis of Fraud-Related Research.” </w:t>
      </w:r>
      <w:r w:rsidRPr="004B3F8F">
        <w:rPr>
          <w:rFonts w:ascii="Arial" w:eastAsiaTheme="minorHAnsi" w:hAnsi="Arial" w:cs="Arial"/>
          <w:i/>
          <w:iCs/>
          <w:kern w:val="0"/>
          <w:lang w:val="en-US" w:eastAsia="en-US"/>
          <w14:ligatures w14:val="none"/>
        </w:rPr>
        <w:t>Auditing: A Journal of Practice &amp; Theory</w:t>
      </w:r>
      <w:r w:rsidRPr="004B3F8F">
        <w:rPr>
          <w:rFonts w:ascii="Arial" w:eastAsiaTheme="minorHAnsi" w:hAnsi="Arial" w:cs="Arial"/>
          <w:kern w:val="0"/>
          <w:lang w:val="en-US" w:eastAsia="en-US"/>
          <w14:ligatures w14:val="none"/>
        </w:rPr>
        <w:t xml:space="preserve"> 32, no. 1, pp. 287-321.</w:t>
      </w:r>
    </w:p>
    <w:p w14:paraId="62F434EA"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1030" w:name="_Hlk42379764"/>
      <w:r w:rsidRPr="004B3F8F">
        <w:rPr>
          <w:rFonts w:ascii="Arial" w:eastAsiaTheme="minorHAnsi" w:hAnsi="Arial" w:cs="Arial"/>
          <w:kern w:val="0"/>
          <w:lang w:val="en-US" w:eastAsia="en-US"/>
          <w14:ligatures w14:val="none"/>
        </w:rPr>
        <w:t>Troy</w:t>
      </w:r>
      <w:bookmarkEnd w:id="1030"/>
      <w:r w:rsidRPr="004B3F8F">
        <w:rPr>
          <w:rFonts w:ascii="Arial" w:eastAsiaTheme="minorHAnsi" w:hAnsi="Arial" w:cs="Arial"/>
          <w:kern w:val="0"/>
          <w:lang w:val="en-US" w:eastAsia="en-US"/>
          <w14:ligatures w14:val="none"/>
        </w:rPr>
        <w:t>, C., K. Smith, and M. Domino. 2011. “CEO Demographics and Accounting Fraud: Who Is More Likely to Rationalize Illegal Acts</w:t>
      </w:r>
      <w:r w:rsidRPr="004B3F8F">
        <w:rPr>
          <w:rFonts w:ascii="Arial" w:eastAsiaTheme="minorHAnsi" w:hAnsi="Arial" w:cs="Arial"/>
          <w:iCs/>
          <w:kern w:val="0"/>
          <w:lang w:val="en-US" w:eastAsia="en-US"/>
          <w14:ligatures w14:val="none"/>
        </w:rPr>
        <w:t>?”</w:t>
      </w:r>
      <w:r w:rsidRPr="004B3F8F">
        <w:rPr>
          <w:rFonts w:ascii="Arial" w:eastAsiaTheme="minorHAnsi" w:hAnsi="Arial" w:cs="Arial"/>
          <w:i/>
          <w:iCs/>
          <w:kern w:val="0"/>
          <w:lang w:val="en-US" w:eastAsia="en-US"/>
          <w14:ligatures w14:val="none"/>
        </w:rPr>
        <w:t xml:space="preserve"> Strategic Organization</w:t>
      </w:r>
      <w:r w:rsidRPr="004B3F8F">
        <w:rPr>
          <w:rFonts w:ascii="Arial" w:eastAsiaTheme="minorHAnsi" w:hAnsi="Arial" w:cs="Arial"/>
          <w:kern w:val="0"/>
          <w:lang w:val="en-US" w:eastAsia="en-US"/>
          <w14:ligatures w14:val="none"/>
        </w:rPr>
        <w:t xml:space="preserve"> 9, no. 4, pp. 259-82.</w:t>
      </w:r>
    </w:p>
    <w:p w14:paraId="4D9EDBF5"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1031" w:name="_Hlk42379780"/>
      <w:r w:rsidRPr="004B3F8F">
        <w:rPr>
          <w:rFonts w:ascii="Arial" w:eastAsiaTheme="minorHAnsi" w:hAnsi="Arial" w:cs="Arial"/>
          <w:kern w:val="0"/>
          <w:lang w:val="en-US" w:eastAsia="en-US"/>
          <w14:ligatures w14:val="none"/>
        </w:rPr>
        <w:lastRenderedPageBreak/>
        <w:t>Tugas</w:t>
      </w:r>
      <w:bookmarkEnd w:id="1031"/>
      <w:r w:rsidRPr="004B3F8F">
        <w:rPr>
          <w:rFonts w:ascii="Arial" w:eastAsiaTheme="minorHAnsi" w:hAnsi="Arial" w:cs="Arial"/>
          <w:kern w:val="0"/>
          <w:lang w:val="en-US" w:eastAsia="en-US"/>
          <w14:ligatures w14:val="none"/>
        </w:rPr>
        <w:t xml:space="preserve">, F.C. 2012. “Exploring a New Element of Fraud: A Study on Selected Financial accounting Fraud Cases in the World.” </w:t>
      </w:r>
      <w:r w:rsidRPr="004B3F8F">
        <w:rPr>
          <w:rFonts w:ascii="Arial" w:eastAsiaTheme="minorHAnsi" w:hAnsi="Arial" w:cs="Arial"/>
          <w:i/>
          <w:iCs/>
          <w:kern w:val="0"/>
          <w:lang w:val="en-US" w:eastAsia="en-US"/>
          <w14:ligatures w14:val="none"/>
        </w:rPr>
        <w:t>American International Journal of Contemporary Research</w:t>
      </w:r>
      <w:r w:rsidRPr="004B3F8F">
        <w:rPr>
          <w:rFonts w:ascii="Arial" w:eastAsiaTheme="minorHAnsi" w:hAnsi="Arial" w:cs="Arial"/>
          <w:kern w:val="0"/>
          <w:lang w:val="en-US" w:eastAsia="en-US"/>
          <w14:ligatures w14:val="none"/>
        </w:rPr>
        <w:t xml:space="preserve"> 2, no. 6, 112-12.</w:t>
      </w:r>
    </w:p>
    <w:p w14:paraId="626935DF"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1032" w:name="_Hlk42379790"/>
      <w:r w:rsidRPr="004B3F8F">
        <w:rPr>
          <w:rFonts w:ascii="Arial" w:eastAsiaTheme="minorHAnsi" w:hAnsi="Arial" w:cs="Arial"/>
          <w:kern w:val="0"/>
          <w:lang w:val="en-US" w:eastAsia="en-US"/>
          <w14:ligatures w14:val="none"/>
        </w:rPr>
        <w:t>Uddin</w:t>
      </w:r>
      <w:bookmarkEnd w:id="1032"/>
      <w:r w:rsidRPr="004B3F8F">
        <w:rPr>
          <w:rFonts w:ascii="Arial" w:eastAsiaTheme="minorHAnsi" w:hAnsi="Arial" w:cs="Arial"/>
          <w:kern w:val="0"/>
          <w:lang w:val="en-US" w:eastAsia="en-US"/>
          <w14:ligatures w14:val="none"/>
        </w:rPr>
        <w:t xml:space="preserve">, N. 2000. </w:t>
      </w:r>
      <w:r w:rsidRPr="004B3F8F">
        <w:rPr>
          <w:rFonts w:ascii="Arial" w:eastAsiaTheme="minorHAnsi" w:hAnsi="Arial" w:cs="Arial"/>
          <w:i/>
          <w:iCs/>
          <w:kern w:val="0"/>
          <w:lang w:val="en-US" w:eastAsia="en-US"/>
          <w14:ligatures w14:val="none"/>
        </w:rPr>
        <w:t>CFO Intentions to Report Fraudulently on Financial Statements</w:t>
      </w:r>
      <w:r w:rsidRPr="004B3F8F">
        <w:rPr>
          <w:rFonts w:ascii="Arial" w:eastAsiaTheme="minorHAnsi" w:hAnsi="Arial" w:cs="Arial"/>
          <w:kern w:val="0"/>
          <w:lang w:val="en-US" w:eastAsia="en-US"/>
          <w14:ligatures w14:val="none"/>
        </w:rPr>
        <w:t>. PhD in Management Program, Rutgers, The State University of New Jersey.</w:t>
      </w:r>
    </w:p>
    <w:p w14:paraId="79448D1E"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bookmarkStart w:id="1033" w:name="_Hlk42379801"/>
      <w:r w:rsidRPr="004B3F8F">
        <w:rPr>
          <w:rFonts w:ascii="Arial" w:eastAsiaTheme="minorHAnsi" w:hAnsi="Arial" w:cs="Arial"/>
          <w:kern w:val="0"/>
          <w:lang w:val="en-US" w:eastAsia="en-US"/>
          <w14:ligatures w14:val="none"/>
        </w:rPr>
        <w:t>Uddin</w:t>
      </w:r>
      <w:bookmarkEnd w:id="1033"/>
      <w:r w:rsidRPr="004B3F8F">
        <w:rPr>
          <w:rFonts w:ascii="Arial" w:eastAsiaTheme="minorHAnsi" w:hAnsi="Arial" w:cs="Arial"/>
          <w:kern w:val="0"/>
          <w:lang w:val="en-US" w:eastAsia="en-US"/>
          <w14:ligatures w14:val="none"/>
        </w:rPr>
        <w:t xml:space="preserve">, N., and P.R. </w:t>
      </w:r>
      <w:bookmarkStart w:id="1034" w:name="_Hlk42379806"/>
      <w:r w:rsidRPr="004B3F8F">
        <w:rPr>
          <w:rFonts w:ascii="Arial" w:eastAsiaTheme="minorHAnsi" w:hAnsi="Arial" w:cs="Arial"/>
          <w:kern w:val="0"/>
          <w:lang w:val="en-US" w:eastAsia="en-US"/>
          <w14:ligatures w14:val="none"/>
        </w:rPr>
        <w:t>Gillett. 2002</w:t>
      </w:r>
      <w:bookmarkEnd w:id="1034"/>
      <w:r w:rsidRPr="004B3F8F">
        <w:rPr>
          <w:rFonts w:ascii="Arial" w:eastAsiaTheme="minorHAnsi" w:hAnsi="Arial" w:cs="Arial"/>
          <w:kern w:val="0"/>
          <w:lang w:val="en-US" w:eastAsia="en-US"/>
          <w14:ligatures w14:val="none"/>
        </w:rPr>
        <w:t xml:space="preserve">. “The Effects of Moral Reasoning and Self-Monitoring on CFO Intentions to Report Fraudulently on Financial Statements.” </w:t>
      </w:r>
      <w:r w:rsidRPr="004B3F8F">
        <w:rPr>
          <w:rFonts w:ascii="Arial" w:eastAsiaTheme="minorHAnsi" w:hAnsi="Arial" w:cs="Arial"/>
          <w:i/>
          <w:iCs/>
          <w:kern w:val="0"/>
          <w:lang w:val="en-US" w:eastAsia="en-US"/>
          <w14:ligatures w14:val="none"/>
        </w:rPr>
        <w:t>Journal of Business Ethics</w:t>
      </w:r>
      <w:r w:rsidRPr="004B3F8F">
        <w:rPr>
          <w:rFonts w:ascii="Arial" w:eastAsiaTheme="minorHAnsi" w:hAnsi="Arial" w:cs="Arial"/>
          <w:kern w:val="0"/>
          <w:lang w:val="en-US" w:eastAsia="en-US"/>
          <w14:ligatures w14:val="none"/>
        </w:rPr>
        <w:t xml:space="preserve"> 40, pp. 15-32.</w:t>
      </w:r>
    </w:p>
    <w:p w14:paraId="55E6A152"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Van Echtelt, F.E., F. Wynstra, A.J. Van Weele, and G. </w:t>
      </w:r>
      <w:proofErr w:type="spellStart"/>
      <w:r w:rsidRPr="004B3F8F">
        <w:rPr>
          <w:rFonts w:ascii="Arial" w:eastAsiaTheme="minorHAnsi" w:hAnsi="Arial" w:cs="Arial"/>
          <w:kern w:val="0"/>
          <w:lang w:val="en-US" w:eastAsia="en-US"/>
          <w14:ligatures w14:val="none"/>
        </w:rPr>
        <w:t>Duysters</w:t>
      </w:r>
      <w:proofErr w:type="spellEnd"/>
      <w:r w:rsidRPr="004B3F8F">
        <w:rPr>
          <w:rFonts w:ascii="Arial" w:eastAsiaTheme="minorHAnsi" w:hAnsi="Arial" w:cs="Arial"/>
          <w:kern w:val="0"/>
          <w:lang w:val="en-US" w:eastAsia="en-US"/>
          <w14:ligatures w14:val="none"/>
        </w:rPr>
        <w:t>. 2008. “Managing Supplier Involvement in New Product Development: A Multiple</w:t>
      </w:r>
      <w:r w:rsidRPr="004B3F8F">
        <w:rPr>
          <w:rFonts w:ascii="Cambria Math" w:eastAsiaTheme="minorHAnsi" w:hAnsi="Cambria Math" w:cs="Cambria Math"/>
          <w:kern w:val="0"/>
          <w:lang w:val="en-US" w:eastAsia="en-US"/>
          <w14:ligatures w14:val="none"/>
        </w:rPr>
        <w:t>‐</w:t>
      </w:r>
      <w:r w:rsidRPr="004B3F8F">
        <w:rPr>
          <w:rFonts w:ascii="Arial" w:eastAsiaTheme="minorHAnsi" w:hAnsi="Arial" w:cs="Arial"/>
          <w:kern w:val="0"/>
          <w:lang w:val="en-US" w:eastAsia="en-US"/>
          <w14:ligatures w14:val="none"/>
        </w:rPr>
        <w:t xml:space="preserve">Case Study*.” </w:t>
      </w:r>
      <w:r w:rsidRPr="004B3F8F">
        <w:rPr>
          <w:rFonts w:ascii="Arial" w:eastAsiaTheme="minorHAnsi" w:hAnsi="Arial" w:cs="Arial"/>
          <w:i/>
          <w:kern w:val="0"/>
          <w:lang w:val="en-US" w:eastAsia="en-US"/>
          <w14:ligatures w14:val="none"/>
        </w:rPr>
        <w:t>Journal of Product Innovation Management</w:t>
      </w:r>
      <w:r w:rsidRPr="004B3F8F">
        <w:rPr>
          <w:rFonts w:ascii="Arial" w:eastAsiaTheme="minorHAnsi" w:hAnsi="Arial" w:cs="Arial"/>
          <w:kern w:val="0"/>
          <w:lang w:val="en-US" w:eastAsia="en-US"/>
          <w14:ligatures w14:val="none"/>
        </w:rPr>
        <w:t xml:space="preserve"> 25, no. 2, pp. 180-20.</w:t>
      </w:r>
    </w:p>
    <w:p w14:paraId="0BC7B683"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Van Vlasselaer, V., T. </w:t>
      </w:r>
      <w:proofErr w:type="spellStart"/>
      <w:r w:rsidRPr="004B3F8F">
        <w:rPr>
          <w:rFonts w:ascii="Arial" w:eastAsiaTheme="minorHAnsi" w:hAnsi="Arial" w:cs="Arial"/>
          <w:kern w:val="0"/>
          <w:lang w:val="en-US" w:eastAsia="en-US"/>
          <w14:ligatures w14:val="none"/>
        </w:rPr>
        <w:t>Eliassi</w:t>
      </w:r>
      <w:proofErr w:type="spellEnd"/>
      <w:r w:rsidRPr="004B3F8F">
        <w:rPr>
          <w:rFonts w:ascii="Arial" w:eastAsiaTheme="minorHAnsi" w:hAnsi="Arial" w:cs="Arial"/>
          <w:kern w:val="0"/>
          <w:lang w:val="en-US" w:eastAsia="en-US"/>
          <w14:ligatures w14:val="none"/>
        </w:rPr>
        <w:t xml:space="preserve">-Rad, L. </w:t>
      </w:r>
      <w:proofErr w:type="spellStart"/>
      <w:r w:rsidRPr="004B3F8F">
        <w:rPr>
          <w:rFonts w:ascii="Arial" w:eastAsiaTheme="minorHAnsi" w:hAnsi="Arial" w:cs="Arial"/>
          <w:kern w:val="0"/>
          <w:lang w:val="en-US" w:eastAsia="en-US"/>
          <w14:ligatures w14:val="none"/>
        </w:rPr>
        <w:t>Akoglu</w:t>
      </w:r>
      <w:proofErr w:type="spellEnd"/>
      <w:r w:rsidRPr="004B3F8F">
        <w:rPr>
          <w:rFonts w:ascii="Arial" w:eastAsiaTheme="minorHAnsi" w:hAnsi="Arial" w:cs="Arial"/>
          <w:kern w:val="0"/>
          <w:lang w:val="en-US" w:eastAsia="en-US"/>
          <w14:ligatures w14:val="none"/>
        </w:rPr>
        <w:t xml:space="preserve">, M. </w:t>
      </w:r>
      <w:proofErr w:type="spellStart"/>
      <w:r w:rsidRPr="004B3F8F">
        <w:rPr>
          <w:rFonts w:ascii="Arial" w:eastAsiaTheme="minorHAnsi" w:hAnsi="Arial" w:cs="Arial"/>
          <w:kern w:val="0"/>
          <w:lang w:val="en-US" w:eastAsia="en-US"/>
          <w14:ligatures w14:val="none"/>
        </w:rPr>
        <w:t>Snoeck</w:t>
      </w:r>
      <w:proofErr w:type="spellEnd"/>
      <w:r w:rsidRPr="004B3F8F">
        <w:rPr>
          <w:rFonts w:ascii="Arial" w:eastAsiaTheme="minorHAnsi" w:hAnsi="Arial" w:cs="Arial"/>
          <w:kern w:val="0"/>
          <w:lang w:val="en-US" w:eastAsia="en-US"/>
          <w14:ligatures w14:val="none"/>
        </w:rPr>
        <w:t xml:space="preserve">, and B. Baesens. 2016. “Gotcha! Network-based Fraud Detection for Social Security Fraud.” </w:t>
      </w:r>
      <w:r w:rsidRPr="004B3F8F">
        <w:rPr>
          <w:rFonts w:ascii="Arial" w:eastAsiaTheme="minorHAnsi" w:hAnsi="Arial" w:cs="Arial"/>
          <w:i/>
          <w:iCs/>
          <w:kern w:val="0"/>
          <w:lang w:val="en-US" w:eastAsia="en-US"/>
          <w14:ligatures w14:val="none"/>
        </w:rPr>
        <w:t xml:space="preserve">Management Science </w:t>
      </w:r>
      <w:r w:rsidRPr="004B3F8F">
        <w:rPr>
          <w:rFonts w:ascii="Arial" w:eastAsiaTheme="minorHAnsi" w:hAnsi="Arial" w:cs="Arial"/>
          <w:kern w:val="0"/>
          <w:lang w:val="en-US" w:eastAsia="en-US"/>
          <w14:ligatures w14:val="none"/>
        </w:rPr>
        <w:t>63, no. 9. Pp. 2773-3145</w:t>
      </w:r>
    </w:p>
    <w:p w14:paraId="07B16C67"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Vaughn, D. 1983. </w:t>
      </w:r>
      <w:r w:rsidRPr="004B3F8F">
        <w:rPr>
          <w:rFonts w:ascii="Arial" w:eastAsiaTheme="minorHAnsi" w:hAnsi="Arial" w:cs="Arial"/>
          <w:i/>
          <w:iCs/>
          <w:kern w:val="0"/>
          <w:lang w:val="en-US" w:eastAsia="en-US"/>
          <w14:ligatures w14:val="none"/>
        </w:rPr>
        <w:t>Controlling Unlawful Organizational Behaviour</w:t>
      </w:r>
      <w:r w:rsidRPr="004B3F8F">
        <w:rPr>
          <w:rFonts w:ascii="Arial" w:eastAsiaTheme="minorHAnsi" w:hAnsi="Arial" w:cs="Arial"/>
          <w:kern w:val="0"/>
          <w:lang w:val="en-US" w:eastAsia="en-US"/>
          <w14:ligatures w14:val="none"/>
        </w:rPr>
        <w:t>. Chicago, IL: University of Chicago Press.</w:t>
      </w:r>
    </w:p>
    <w:p w14:paraId="3C98505C"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Verschoor, C.C. 1998. “A Study of the Link between a Corporation’s Financial Performance and Its Commitment to Ethics.” </w:t>
      </w:r>
      <w:r w:rsidRPr="004B3F8F">
        <w:rPr>
          <w:rFonts w:ascii="Arial" w:eastAsiaTheme="minorHAnsi" w:hAnsi="Arial" w:cs="Arial"/>
          <w:i/>
          <w:iCs/>
          <w:kern w:val="0"/>
          <w:lang w:val="en-US" w:eastAsia="en-US"/>
          <w14:ligatures w14:val="none"/>
        </w:rPr>
        <w:t>Journal of Business Ethics</w:t>
      </w:r>
      <w:r w:rsidRPr="004B3F8F">
        <w:rPr>
          <w:rFonts w:ascii="Arial" w:eastAsiaTheme="minorHAnsi" w:hAnsi="Arial" w:cs="Arial"/>
          <w:kern w:val="0"/>
          <w:lang w:val="en-US" w:eastAsia="en-US"/>
          <w14:ligatures w14:val="none"/>
        </w:rPr>
        <w:t xml:space="preserve"> 17, no. 13, pp. 1509-16.</w:t>
      </w:r>
    </w:p>
    <w:p w14:paraId="3A4FA1F4"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Vona, L.W. 2008. </w:t>
      </w:r>
      <w:r w:rsidRPr="004B3F8F">
        <w:rPr>
          <w:rFonts w:ascii="Arial" w:eastAsiaTheme="minorHAnsi" w:hAnsi="Arial" w:cs="Arial"/>
          <w:i/>
          <w:iCs/>
          <w:kern w:val="0"/>
          <w:lang w:val="en-US" w:eastAsia="en-US"/>
          <w14:ligatures w14:val="none"/>
        </w:rPr>
        <w:t>Fraud Risk Assessment: Building a Fraud Audit Program</w:t>
      </w:r>
      <w:r w:rsidRPr="004B3F8F">
        <w:rPr>
          <w:rFonts w:ascii="Arial" w:eastAsiaTheme="minorHAnsi" w:hAnsi="Arial" w:cs="Arial"/>
          <w:kern w:val="0"/>
          <w:lang w:val="en-US" w:eastAsia="en-US"/>
          <w14:ligatures w14:val="none"/>
        </w:rPr>
        <w:t>. Hoboken, NJ: John Wiley and Sons.</w:t>
      </w:r>
    </w:p>
    <w:p w14:paraId="1C04E0E3"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lastRenderedPageBreak/>
        <w:t>Wahidahwati, W. and Asyik, N.F., 2022. Determinants of auditors ability in fraud detection. </w:t>
      </w:r>
      <w:r w:rsidRPr="004B3F8F">
        <w:rPr>
          <w:rFonts w:ascii="Arial" w:hAnsi="Arial" w:cs="Arial"/>
          <w:i/>
          <w:iCs/>
          <w:color w:val="222222"/>
          <w:shd w:val="clear" w:color="auto" w:fill="FFFFFF"/>
        </w:rPr>
        <w:t>Cogent Business &amp; Management</w:t>
      </w:r>
      <w:r w:rsidRPr="004B3F8F">
        <w:rPr>
          <w:rFonts w:ascii="Arial" w:hAnsi="Arial" w:cs="Arial"/>
          <w:color w:val="222222"/>
          <w:shd w:val="clear" w:color="auto" w:fill="FFFFFF"/>
        </w:rPr>
        <w:t>, </w:t>
      </w:r>
      <w:r w:rsidRPr="004B3F8F">
        <w:rPr>
          <w:rFonts w:ascii="Arial" w:hAnsi="Arial" w:cs="Arial"/>
          <w:i/>
          <w:iCs/>
          <w:color w:val="222222"/>
          <w:shd w:val="clear" w:color="auto" w:fill="FFFFFF"/>
        </w:rPr>
        <w:t>9</w:t>
      </w:r>
      <w:r w:rsidRPr="004B3F8F">
        <w:rPr>
          <w:rFonts w:ascii="Arial" w:hAnsi="Arial" w:cs="Arial"/>
          <w:color w:val="222222"/>
          <w:shd w:val="clear" w:color="auto" w:fill="FFFFFF"/>
        </w:rPr>
        <w:t>(1), p.2130165.</w:t>
      </w:r>
    </w:p>
    <w:p w14:paraId="023436BD" w14:textId="77777777" w:rsidR="004B3F8F" w:rsidRPr="004B3F8F" w:rsidRDefault="004B3F8F" w:rsidP="004B3F8F">
      <w:pPr>
        <w:spacing w:after="200" w:line="480" w:lineRule="auto"/>
        <w:ind w:left="785" w:hangingChars="327" w:hanging="785"/>
        <w:jc w:val="both"/>
        <w:rPr>
          <w:rFonts w:ascii="Arial" w:eastAsia="Times New Roman" w:hAnsi="Arial" w:cs="Arial"/>
          <w:iCs/>
          <w:kern w:val="0"/>
          <w:lang w:val="en-US" w:eastAsia="en-GB"/>
          <w14:ligatures w14:val="none"/>
        </w:rPr>
      </w:pPr>
      <w:r w:rsidRPr="004B3F8F">
        <w:rPr>
          <w:rFonts w:ascii="Arial" w:eastAsiaTheme="minorHAnsi" w:hAnsi="Arial" w:cs="Arial"/>
          <w:kern w:val="0"/>
          <w:lang w:val="en-US" w:eastAsia="en-US"/>
          <w14:ligatures w14:val="none"/>
        </w:rPr>
        <w:t xml:space="preserve">Wall Street Journal. 2012. “Psychos on Wall Street.” http://on.wsj.com/1mxrhIY, </w:t>
      </w:r>
      <w:r w:rsidRPr="004B3F8F">
        <w:rPr>
          <w:rFonts w:ascii="Arial" w:eastAsiaTheme="minorHAnsi" w:hAnsi="Arial" w:cs="Arial"/>
          <w:kern w:val="0"/>
          <w:shd w:val="clear" w:color="auto" w:fill="FFFFFF"/>
          <w:lang w:val="en-US" w:eastAsia="en-US"/>
          <w14:ligatures w14:val="none"/>
        </w:rPr>
        <w:t>(accessed December 24, 2017).</w:t>
      </w:r>
    </w:p>
    <w:p w14:paraId="2824B512"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Wall, J., and T.J. Fogarty. 2016. “Foxes in the Henhouse: An Exploratory Inquiry into Financial Markets Fraud.” </w:t>
      </w:r>
      <w:r w:rsidRPr="004B3F8F">
        <w:rPr>
          <w:rFonts w:ascii="Arial" w:eastAsiaTheme="minorHAnsi" w:hAnsi="Arial" w:cs="Arial"/>
          <w:i/>
          <w:iCs/>
          <w:kern w:val="0"/>
          <w:lang w:val="en-US" w:eastAsia="en-US"/>
          <w14:ligatures w14:val="none"/>
        </w:rPr>
        <w:t>Journal of Forensic and Investigative Accounting</w:t>
      </w:r>
      <w:r w:rsidRPr="004B3F8F">
        <w:rPr>
          <w:rFonts w:ascii="Arial" w:eastAsiaTheme="minorHAnsi" w:hAnsi="Arial" w:cs="Arial"/>
          <w:kern w:val="0"/>
          <w:lang w:val="en-US" w:eastAsia="en-US"/>
          <w14:ligatures w14:val="none"/>
        </w:rPr>
        <w:t xml:space="preserve"> 8, no. 1, pp. 120-39.</w:t>
      </w:r>
    </w:p>
    <w:p w14:paraId="2343472A"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eastAsia="en-US"/>
          <w14:ligatures w14:val="none"/>
        </w:rPr>
      </w:pPr>
      <w:r w:rsidRPr="004B3F8F">
        <w:rPr>
          <w:rFonts w:ascii="Arial" w:eastAsiaTheme="minorHAnsi" w:hAnsi="Arial" w:cs="Arial"/>
          <w:kern w:val="0"/>
          <w:lang w:eastAsia="en-US"/>
          <w14:ligatures w14:val="none"/>
        </w:rPr>
        <w:t>Walle, A. H. 2015. Qualitative research in business: A practical overview. GB: Cambridge Scholars Publishing</w:t>
      </w:r>
    </w:p>
    <w:p w14:paraId="670DD5A5" w14:textId="77777777" w:rsidR="004B3F8F" w:rsidRPr="004B3F8F" w:rsidRDefault="004B3F8F" w:rsidP="004B3F8F">
      <w:pPr>
        <w:spacing w:line="480" w:lineRule="auto"/>
        <w:ind w:left="709" w:hanging="709"/>
        <w:jc w:val="both"/>
        <w:rPr>
          <w:rFonts w:asciiTheme="minorBidi" w:eastAsia="Times New Roman" w:hAnsiTheme="minorBidi"/>
          <w:kern w:val="0"/>
          <w14:ligatures w14:val="none"/>
        </w:rPr>
      </w:pPr>
      <w:bookmarkStart w:id="1035" w:name="_Hlk172254375"/>
      <w:r w:rsidRPr="004B3F8F">
        <w:rPr>
          <w:rFonts w:asciiTheme="minorBidi" w:eastAsia="Times New Roman" w:hAnsiTheme="minorBidi"/>
          <w:kern w:val="0"/>
          <w14:ligatures w14:val="none"/>
        </w:rPr>
        <w:t xml:space="preserve">Warren, J. D., &amp; Rajgopal, S. 2021. </w:t>
      </w:r>
      <w:bookmarkEnd w:id="1035"/>
      <w:r w:rsidRPr="004B3F8F">
        <w:rPr>
          <w:rFonts w:asciiTheme="minorBidi" w:eastAsia="Times New Roman" w:hAnsiTheme="minorBidi"/>
          <w:kern w:val="0"/>
          <w14:ligatures w14:val="none"/>
        </w:rPr>
        <w:t xml:space="preserve">Preparing future accountants for blockchain: Curriculum development insights. </w:t>
      </w:r>
      <w:r w:rsidRPr="004B3F8F">
        <w:rPr>
          <w:rFonts w:asciiTheme="minorBidi" w:eastAsia="Times New Roman" w:hAnsiTheme="minorBidi"/>
          <w:i/>
          <w:iCs/>
          <w:kern w:val="0"/>
          <w14:ligatures w14:val="none"/>
        </w:rPr>
        <w:t>Issues in Accounting Education</w:t>
      </w:r>
      <w:r w:rsidRPr="004B3F8F">
        <w:rPr>
          <w:rFonts w:asciiTheme="minorBidi" w:eastAsia="Times New Roman" w:hAnsiTheme="minorBidi"/>
          <w:kern w:val="0"/>
          <w14:ligatures w14:val="none"/>
        </w:rPr>
        <w:t>, 36(3), 45-65.</w:t>
      </w:r>
    </w:p>
    <w:p w14:paraId="18CA0E69"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Weld, L., P. Bergevin, and L. Magrath. 2004. “Anatomy of a Financial Fraud.” </w:t>
      </w:r>
      <w:r w:rsidRPr="004B3F8F">
        <w:rPr>
          <w:rFonts w:ascii="Arial" w:eastAsiaTheme="minorHAnsi" w:hAnsi="Arial" w:cs="Arial"/>
          <w:i/>
          <w:iCs/>
          <w:kern w:val="0"/>
          <w:lang w:val="en-US" w:eastAsia="en-US"/>
          <w14:ligatures w14:val="none"/>
        </w:rPr>
        <w:t>The CPA Journal</w:t>
      </w:r>
      <w:r w:rsidRPr="004B3F8F">
        <w:rPr>
          <w:rFonts w:ascii="Arial" w:eastAsiaTheme="minorHAnsi" w:hAnsi="Arial" w:cs="Arial"/>
          <w:kern w:val="0"/>
          <w:lang w:val="en-US" w:eastAsia="en-US"/>
          <w14:ligatures w14:val="none"/>
        </w:rPr>
        <w:t>.</w:t>
      </w:r>
      <w:r w:rsidRPr="004B3F8F">
        <w:rPr>
          <w:rFonts w:ascii="Arial" w:eastAsiaTheme="minorHAnsi" w:hAnsi="Arial" w:cs="Arial"/>
          <w:kern w:val="0"/>
          <w:shd w:val="clear" w:color="auto" w:fill="FFFFFF"/>
          <w:lang w:eastAsia="en-US"/>
          <w14:ligatures w14:val="none"/>
        </w:rPr>
        <w:t xml:space="preserve"> ; New York</w:t>
      </w:r>
      <w:hyperlink r:id="rId123" w:tooltip="Click to search for more items from this issue" w:history="1">
        <w:r w:rsidRPr="004B3F8F">
          <w:rPr>
            <w:rFonts w:ascii="Arial" w:eastAsiaTheme="minorHAnsi" w:hAnsi="Arial" w:cs="Arial"/>
            <w:kern w:val="0"/>
            <w:shd w:val="clear" w:color="auto" w:fill="FFFFFF"/>
            <w:lang w:eastAsia="en-US"/>
            <w14:ligatures w14:val="none"/>
          </w:rPr>
          <w:t> Vol. 74, </w:t>
        </w:r>
        <w:proofErr w:type="spellStart"/>
        <w:r w:rsidRPr="004B3F8F">
          <w:rPr>
            <w:rFonts w:ascii="Arial" w:eastAsiaTheme="minorHAnsi" w:hAnsi="Arial" w:cs="Arial"/>
            <w:kern w:val="0"/>
            <w:shd w:val="clear" w:color="auto" w:fill="FFFFFF"/>
            <w:lang w:eastAsia="en-US"/>
            <w14:ligatures w14:val="none"/>
          </w:rPr>
          <w:t>Iss</w:t>
        </w:r>
        <w:proofErr w:type="spellEnd"/>
        <w:r w:rsidRPr="004B3F8F">
          <w:rPr>
            <w:rFonts w:ascii="Arial" w:eastAsiaTheme="minorHAnsi" w:hAnsi="Arial" w:cs="Arial"/>
            <w:kern w:val="0"/>
            <w:shd w:val="clear" w:color="auto" w:fill="FFFFFF"/>
            <w:lang w:eastAsia="en-US"/>
            <w14:ligatures w14:val="none"/>
          </w:rPr>
          <w:t>. 10, </w:t>
        </w:r>
      </w:hyperlink>
      <w:r w:rsidRPr="004B3F8F">
        <w:rPr>
          <w:rFonts w:ascii="Arial" w:eastAsiaTheme="minorHAnsi" w:hAnsi="Arial" w:cs="Arial"/>
          <w:kern w:val="0"/>
          <w:shd w:val="clear" w:color="auto" w:fill="FFFFFF"/>
          <w:lang w:eastAsia="en-US"/>
          <w14:ligatures w14:val="none"/>
        </w:rPr>
        <w:t>pp 44-49.</w:t>
      </w:r>
    </w:p>
    <w:p w14:paraId="1A97821A" w14:textId="77777777" w:rsidR="004B3F8F" w:rsidRPr="004B3F8F" w:rsidRDefault="004B3F8F" w:rsidP="004B3F8F">
      <w:pPr>
        <w:spacing w:after="200" w:line="480" w:lineRule="auto"/>
        <w:ind w:left="785" w:hangingChars="327" w:hanging="785"/>
        <w:jc w:val="both"/>
        <w:rPr>
          <w:rFonts w:ascii="Arial" w:eastAsiaTheme="minorHAnsi" w:hAnsi="Arial" w:cs="Arial"/>
          <w:iCs/>
          <w:kern w:val="0"/>
          <w:lang w:val="en-US" w:eastAsia="en-US"/>
          <w14:ligatures w14:val="none"/>
        </w:rPr>
      </w:pPr>
      <w:r w:rsidRPr="004B3F8F">
        <w:rPr>
          <w:rFonts w:ascii="Arial" w:eastAsiaTheme="minorHAnsi" w:hAnsi="Arial" w:cs="Arial"/>
          <w:kern w:val="0"/>
          <w:lang w:val="en-US" w:eastAsia="en-US"/>
          <w14:ligatures w14:val="none"/>
        </w:rPr>
        <w:t>Well, A.D. 1971. “The Influence of Irrelevant Information on Speeded Classification Tasks.”</w:t>
      </w:r>
      <w:r w:rsidRPr="004B3F8F">
        <w:rPr>
          <w:rFonts w:ascii="Arial" w:eastAsiaTheme="minorHAnsi" w:hAnsi="Arial" w:cs="Arial"/>
          <w:i/>
          <w:iCs/>
          <w:kern w:val="0"/>
          <w:lang w:val="en-US" w:eastAsia="en-US"/>
          <w14:ligatures w14:val="none"/>
        </w:rPr>
        <w:t xml:space="preserve"> </w:t>
      </w:r>
      <w:r w:rsidRPr="004B3F8F">
        <w:rPr>
          <w:rFonts w:ascii="Arial" w:eastAsiaTheme="minorHAnsi" w:hAnsi="Arial" w:cs="Arial"/>
          <w:i/>
          <w:kern w:val="0"/>
          <w:lang w:val="en-US" w:eastAsia="en-US"/>
          <w14:ligatures w14:val="none"/>
        </w:rPr>
        <w:t>Perception and Psychophysics</w:t>
      </w:r>
      <w:r w:rsidRPr="004B3F8F">
        <w:rPr>
          <w:rFonts w:ascii="Arial" w:eastAsiaTheme="minorHAnsi" w:hAnsi="Arial" w:cs="Arial"/>
          <w:kern w:val="0"/>
          <w:lang w:val="en-US" w:eastAsia="en-US"/>
          <w14:ligatures w14:val="none"/>
        </w:rPr>
        <w:t xml:space="preserve"> 10, no. 2, pp. 79-84.</w:t>
      </w:r>
    </w:p>
    <w:p w14:paraId="4166DC83"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Wells, J.T. 2004. “New Approaches for Fraud Deterrence.” </w:t>
      </w:r>
      <w:r w:rsidRPr="004B3F8F">
        <w:rPr>
          <w:rFonts w:ascii="Arial" w:eastAsiaTheme="minorHAnsi" w:hAnsi="Arial" w:cs="Arial"/>
          <w:i/>
          <w:iCs/>
          <w:kern w:val="0"/>
          <w:lang w:val="en-US" w:eastAsia="en-US"/>
          <w14:ligatures w14:val="none"/>
        </w:rPr>
        <w:t>Journal of Accountancy</w:t>
      </w:r>
      <w:r w:rsidRPr="004B3F8F">
        <w:rPr>
          <w:rFonts w:ascii="Arial" w:eastAsiaTheme="minorHAnsi" w:hAnsi="Arial" w:cs="Arial"/>
          <w:kern w:val="0"/>
          <w:lang w:val="en-US" w:eastAsia="en-US"/>
          <w14:ligatures w14:val="none"/>
        </w:rPr>
        <w:t>, February.</w:t>
      </w:r>
      <w:r w:rsidRPr="004B3F8F">
        <w:rPr>
          <w:rFonts w:ascii="Arial" w:eastAsiaTheme="minorHAnsi" w:hAnsi="Arial" w:cs="Arial"/>
          <w:kern w:val="0"/>
          <w:lang w:eastAsia="en-US"/>
          <w14:ligatures w14:val="none"/>
        </w:rPr>
        <w:t xml:space="preserve"> </w:t>
      </w:r>
      <w:hyperlink r:id="rId124" w:history="1">
        <w:r w:rsidRPr="004B3F8F">
          <w:rPr>
            <w:rFonts w:ascii="Arial" w:eastAsiaTheme="minorHAnsi" w:hAnsi="Arial" w:cs="Arial"/>
            <w:kern w:val="0"/>
            <w:lang w:eastAsia="en-US"/>
            <w14:ligatures w14:val="none"/>
          </w:rPr>
          <w:t>https://www.journalofaccountancy.com/issues/2004/feb/newapproachestofrauddeterrence.html</w:t>
        </w:r>
      </w:hyperlink>
    </w:p>
    <w:p w14:paraId="222668DB"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Wells, J.T. 2005. “New Approaches to Fraud Deterrence.” </w:t>
      </w:r>
      <w:r w:rsidRPr="004B3F8F">
        <w:rPr>
          <w:rFonts w:ascii="Arial" w:eastAsiaTheme="minorHAnsi" w:hAnsi="Arial" w:cs="Arial"/>
          <w:i/>
          <w:kern w:val="0"/>
          <w:lang w:val="en-US" w:eastAsia="en-US"/>
          <w14:ligatures w14:val="none"/>
        </w:rPr>
        <w:t>Business Credit</w:t>
      </w:r>
      <w:r w:rsidRPr="004B3F8F">
        <w:rPr>
          <w:rFonts w:ascii="Arial" w:eastAsiaTheme="minorHAnsi" w:hAnsi="Arial" w:cs="Arial"/>
          <w:kern w:val="0"/>
          <w:lang w:val="en-US" w:eastAsia="en-US"/>
          <w14:ligatures w14:val="none"/>
        </w:rPr>
        <w:t xml:space="preserve"> 107, no. 2, pp. 33-36.</w:t>
      </w:r>
    </w:p>
    <w:p w14:paraId="3691562D"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lastRenderedPageBreak/>
        <w:t xml:space="preserve">Wells, J.T. 2005. </w:t>
      </w:r>
      <w:r w:rsidRPr="004B3F8F">
        <w:rPr>
          <w:rFonts w:ascii="Arial" w:eastAsiaTheme="minorHAnsi" w:hAnsi="Arial" w:cs="Arial"/>
          <w:i/>
          <w:iCs/>
          <w:kern w:val="0"/>
          <w:lang w:val="en-US" w:eastAsia="en-US"/>
          <w14:ligatures w14:val="none"/>
        </w:rPr>
        <w:t>Principles of Fraud Examination</w:t>
      </w:r>
      <w:r w:rsidRPr="004B3F8F">
        <w:rPr>
          <w:rFonts w:ascii="Arial" w:eastAsiaTheme="minorHAnsi" w:hAnsi="Arial" w:cs="Arial"/>
          <w:kern w:val="0"/>
          <w:lang w:val="en-US" w:eastAsia="en-US"/>
          <w14:ligatures w14:val="none"/>
        </w:rPr>
        <w:t>. Hoboken, NY: John Wiley and Sons.</w:t>
      </w:r>
    </w:p>
    <w:p w14:paraId="00A3D42B" w14:textId="77777777" w:rsidR="004B3F8F" w:rsidRPr="004B3F8F" w:rsidRDefault="004B3F8F" w:rsidP="004B3F8F">
      <w:pPr>
        <w:spacing w:after="200" w:line="480" w:lineRule="auto"/>
        <w:ind w:left="785" w:hangingChars="327" w:hanging="785"/>
        <w:jc w:val="both"/>
        <w:rPr>
          <w:rFonts w:ascii="Arial" w:eastAsia="Times New Roman" w:hAnsi="Arial" w:cs="Arial"/>
          <w:kern w:val="36"/>
          <w:lang w:val="en-US" w:eastAsia="en-GB"/>
          <w14:ligatures w14:val="none"/>
        </w:rPr>
      </w:pPr>
      <w:r w:rsidRPr="004B3F8F">
        <w:rPr>
          <w:rFonts w:ascii="Arial" w:eastAsia="Times New Roman" w:hAnsi="Arial" w:cs="Arial"/>
          <w:kern w:val="36"/>
          <w:lang w:val="en-US" w:eastAsia="en-GB"/>
          <w14:ligatures w14:val="none"/>
        </w:rPr>
        <w:t xml:space="preserve">Wells, J.T. 2011. </w:t>
      </w:r>
      <w:r w:rsidRPr="004B3F8F">
        <w:rPr>
          <w:rFonts w:ascii="Arial" w:eastAsia="Times New Roman" w:hAnsi="Arial" w:cs="Arial"/>
          <w:i/>
          <w:kern w:val="36"/>
          <w:lang w:val="en-US" w:eastAsia="en-GB"/>
          <w14:ligatures w14:val="none"/>
        </w:rPr>
        <w:t>Financial Statement Fraud Casebook: Baking the Ledgers and Cooking the Books.</w:t>
      </w:r>
      <w:r w:rsidRPr="004B3F8F">
        <w:rPr>
          <w:rFonts w:ascii="Arial" w:eastAsia="Times New Roman" w:hAnsi="Arial" w:cs="Arial"/>
          <w:kern w:val="36"/>
          <w:lang w:val="en-US" w:eastAsia="en-GB"/>
          <w14:ligatures w14:val="none"/>
        </w:rPr>
        <w:t xml:space="preserve"> </w:t>
      </w:r>
      <w:r w:rsidRPr="004B3F8F">
        <w:rPr>
          <w:rFonts w:ascii="Arial" w:eastAsiaTheme="minorHAnsi" w:hAnsi="Arial" w:cs="Arial"/>
          <w:kern w:val="0"/>
          <w:lang w:val="en-US" w:eastAsia="en-US"/>
          <w14:ligatures w14:val="none"/>
        </w:rPr>
        <w:t xml:space="preserve">Hoboken, NY: </w:t>
      </w:r>
      <w:r w:rsidRPr="004B3F8F">
        <w:rPr>
          <w:rFonts w:ascii="Arial" w:eastAsia="Times New Roman" w:hAnsi="Arial" w:cs="Arial"/>
          <w:kern w:val="36"/>
          <w:lang w:val="en-US" w:eastAsia="en-GB"/>
          <w14:ligatures w14:val="none"/>
        </w:rPr>
        <w:t>John Wiley &amp; Sons.</w:t>
      </w:r>
    </w:p>
    <w:p w14:paraId="280F249A" w14:textId="77777777" w:rsidR="004B3F8F" w:rsidRPr="004B3F8F" w:rsidRDefault="004B3F8F" w:rsidP="004B3F8F">
      <w:pPr>
        <w:spacing w:before="100" w:beforeAutospacing="1" w:after="100" w:afterAutospacing="1" w:line="480" w:lineRule="auto"/>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Wells, J. T. 2020. Principles of Fraud Examination (5th ed.). Wiley.</w:t>
      </w:r>
    </w:p>
    <w:p w14:paraId="67FBFD83" w14:textId="77777777" w:rsidR="004B3F8F" w:rsidRPr="004B3F8F" w:rsidRDefault="004B3F8F" w:rsidP="004B3F8F">
      <w:pPr>
        <w:spacing w:after="200" w:line="480" w:lineRule="auto"/>
        <w:ind w:left="785" w:hangingChars="327" w:hanging="785"/>
        <w:jc w:val="both"/>
        <w:rPr>
          <w:rFonts w:ascii="Arial" w:eastAsia="Times New Roman" w:hAnsi="Arial" w:cs="Arial"/>
          <w:kern w:val="36"/>
          <w:lang w:val="en-US" w:eastAsia="en-GB"/>
          <w14:ligatures w14:val="none"/>
        </w:rPr>
      </w:pPr>
      <w:r w:rsidRPr="004B3F8F">
        <w:rPr>
          <w:rFonts w:asciiTheme="minorBidi" w:eastAsiaTheme="minorHAnsi" w:hAnsiTheme="minorBidi"/>
          <w:kern w:val="0"/>
          <w:lang w:eastAsia="en-US"/>
          <w14:ligatures w14:val="none"/>
        </w:rPr>
        <w:t>Wilmot, A., 2005. Designing sampling strategies for qualitative social research: With particular reference to the Office for National Statistics. Qualitative Respondent Register, pp. 1-13</w:t>
      </w:r>
      <w:r w:rsidRPr="004B3F8F">
        <w:rPr>
          <w:rFonts w:eastAsiaTheme="minorHAnsi"/>
          <w:kern w:val="0"/>
          <w:sz w:val="22"/>
          <w:szCs w:val="22"/>
          <w:lang w:eastAsia="en-US"/>
          <w14:ligatures w14:val="none"/>
        </w:rPr>
        <w:t>.</w:t>
      </w:r>
    </w:p>
    <w:p w14:paraId="49398090"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Whittington, R., and K. Pany. 2012. </w:t>
      </w:r>
      <w:r w:rsidRPr="004B3F8F">
        <w:rPr>
          <w:rFonts w:ascii="Arial" w:eastAsiaTheme="minorHAnsi" w:hAnsi="Arial" w:cs="Arial"/>
          <w:i/>
          <w:kern w:val="0"/>
          <w:lang w:val="en-US" w:eastAsia="en-US"/>
          <w14:ligatures w14:val="none"/>
        </w:rPr>
        <w:t>Principles of Auditing and Other Assurance Services.</w:t>
      </w:r>
      <w:r w:rsidRPr="004B3F8F">
        <w:rPr>
          <w:rFonts w:ascii="Arial" w:eastAsiaTheme="minorHAnsi" w:hAnsi="Arial" w:cs="Arial"/>
          <w:kern w:val="0"/>
          <w:lang w:val="en-US" w:eastAsia="en-US"/>
          <w14:ligatures w14:val="none"/>
        </w:rPr>
        <w:t xml:space="preserve"> </w:t>
      </w:r>
      <w:r w:rsidRPr="004B3F8F">
        <w:rPr>
          <w:rFonts w:ascii="Arial" w:eastAsiaTheme="minorHAnsi" w:hAnsi="Arial" w:cs="Arial"/>
          <w:kern w:val="0"/>
          <w:lang w:eastAsia="en-US"/>
          <w14:ligatures w14:val="none"/>
        </w:rPr>
        <w:t>17</w:t>
      </w:r>
      <w:r w:rsidRPr="004B3F8F">
        <w:rPr>
          <w:rFonts w:ascii="Arial" w:eastAsiaTheme="minorHAnsi" w:hAnsi="Arial" w:cs="Arial"/>
          <w:kern w:val="0"/>
          <w:vertAlign w:val="superscript"/>
          <w:lang w:eastAsia="en-US"/>
          <w14:ligatures w14:val="none"/>
        </w:rPr>
        <w:t>th</w:t>
      </w:r>
      <w:r w:rsidRPr="004B3F8F">
        <w:rPr>
          <w:rFonts w:ascii="Arial" w:eastAsiaTheme="minorHAnsi" w:hAnsi="Arial" w:cs="Arial"/>
          <w:kern w:val="0"/>
          <w:lang w:eastAsia="en-US"/>
          <w14:ligatures w14:val="none"/>
        </w:rPr>
        <w:t xml:space="preserve"> </w:t>
      </w:r>
      <w:proofErr w:type="spellStart"/>
      <w:r w:rsidRPr="004B3F8F">
        <w:rPr>
          <w:rFonts w:ascii="Arial" w:eastAsiaTheme="minorHAnsi" w:hAnsi="Arial" w:cs="Arial"/>
          <w:kern w:val="0"/>
          <w:lang w:eastAsia="en-US"/>
          <w14:ligatures w14:val="none"/>
        </w:rPr>
        <w:t>Edn</w:t>
      </w:r>
      <w:proofErr w:type="spellEnd"/>
      <w:r w:rsidRPr="004B3F8F">
        <w:rPr>
          <w:rFonts w:ascii="Arial" w:eastAsiaTheme="minorHAnsi" w:hAnsi="Arial" w:cs="Arial"/>
          <w:kern w:val="0"/>
          <w:lang w:eastAsia="en-US"/>
          <w14:ligatures w14:val="none"/>
        </w:rPr>
        <w:t>. New York</w:t>
      </w:r>
      <w:r w:rsidRPr="004B3F8F">
        <w:rPr>
          <w:rFonts w:ascii="Arial" w:eastAsiaTheme="minorHAnsi" w:hAnsi="Arial" w:cs="Arial"/>
          <w:kern w:val="0"/>
          <w:lang w:val="en-US" w:eastAsia="en-US"/>
          <w14:ligatures w14:val="none"/>
        </w:rPr>
        <w:t xml:space="preserve"> McGraw-Hill Irwin.</w:t>
      </w:r>
    </w:p>
    <w:p w14:paraId="3E06011C" w14:textId="77777777" w:rsidR="004B3F8F" w:rsidRPr="004B3F8F" w:rsidRDefault="004B3F8F" w:rsidP="004B3F8F">
      <w:pPr>
        <w:spacing w:before="100" w:beforeAutospacing="1" w:after="100" w:afterAutospacing="1" w:line="480" w:lineRule="auto"/>
        <w:ind w:left="709" w:hanging="709"/>
        <w:jc w:val="both"/>
        <w:rPr>
          <w:rFonts w:asciiTheme="minorBidi" w:eastAsia="Times New Roman" w:hAnsiTheme="minorBidi"/>
          <w:kern w:val="0"/>
          <w14:ligatures w14:val="none"/>
        </w:rPr>
      </w:pPr>
      <w:bookmarkStart w:id="1036" w:name="_Hlk171503614"/>
      <w:r w:rsidRPr="004B3F8F">
        <w:rPr>
          <w:rFonts w:asciiTheme="minorBidi" w:eastAsia="Times New Roman" w:hAnsiTheme="minorBidi"/>
          <w:kern w:val="0"/>
          <w14:ligatures w14:val="none"/>
        </w:rPr>
        <w:t>Widiger, T. A., &amp; Crego, C. 2018</w:t>
      </w:r>
      <w:bookmarkEnd w:id="1036"/>
      <w:r w:rsidRPr="004B3F8F">
        <w:rPr>
          <w:rFonts w:asciiTheme="minorBidi" w:eastAsia="Times New Roman" w:hAnsiTheme="minorBidi"/>
          <w:kern w:val="0"/>
          <w14:ligatures w14:val="none"/>
        </w:rPr>
        <w:t xml:space="preserve">. The Five Factor Model and personality disorder. In T. A. Widiger (Ed.), </w:t>
      </w:r>
      <w:r w:rsidRPr="004B3F8F">
        <w:rPr>
          <w:rFonts w:asciiTheme="minorBidi" w:eastAsia="Times New Roman" w:hAnsiTheme="minorBidi"/>
          <w:i/>
          <w:iCs/>
          <w:kern w:val="0"/>
          <w14:ligatures w14:val="none"/>
        </w:rPr>
        <w:t>The Oxford Handbook of the Five Factor Model</w:t>
      </w:r>
      <w:r w:rsidRPr="004B3F8F">
        <w:rPr>
          <w:rFonts w:asciiTheme="minorBidi" w:eastAsia="Times New Roman" w:hAnsiTheme="minorBidi"/>
          <w:kern w:val="0"/>
          <w14:ligatures w14:val="none"/>
        </w:rPr>
        <w:t xml:space="preserve"> (pp. 261-292). Oxford University Press.</w:t>
      </w:r>
    </w:p>
    <w:p w14:paraId="07655F20"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Wilks, T.J., and M.F. Zimbelman. 2004. “Using Game Theory and Strategic Reasoning Concepts to Prevent and Detect Fraud.” </w:t>
      </w:r>
      <w:r w:rsidRPr="004B3F8F">
        <w:rPr>
          <w:rFonts w:ascii="Arial" w:eastAsiaTheme="minorHAnsi" w:hAnsi="Arial" w:cs="Arial"/>
          <w:i/>
          <w:iCs/>
          <w:kern w:val="0"/>
          <w:lang w:val="en-US" w:eastAsia="en-US"/>
          <w14:ligatures w14:val="none"/>
        </w:rPr>
        <w:t>Accounting Horizons</w:t>
      </w:r>
      <w:r w:rsidRPr="004B3F8F">
        <w:rPr>
          <w:rFonts w:ascii="Arial" w:eastAsiaTheme="minorHAnsi" w:hAnsi="Arial" w:cs="Arial"/>
          <w:kern w:val="0"/>
          <w:lang w:val="en-US" w:eastAsia="en-US"/>
          <w14:ligatures w14:val="none"/>
        </w:rPr>
        <w:t xml:space="preserve"> 18, no. 3, pp. 173–84.</w:t>
      </w:r>
    </w:p>
    <w:p w14:paraId="56FEFAD5"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Williams, V. and Smith, J., 2020. Professionalism, Etiquette, and Ethical Behaviour. </w:t>
      </w:r>
      <w:r w:rsidRPr="004B3F8F">
        <w:rPr>
          <w:rFonts w:ascii="Arial" w:hAnsi="Arial" w:cs="Arial"/>
          <w:i/>
          <w:iCs/>
          <w:color w:val="222222"/>
          <w:shd w:val="clear" w:color="auto" w:fill="FFFFFF"/>
        </w:rPr>
        <w:t>Fundamentals of Business Communication</w:t>
      </w:r>
      <w:r w:rsidRPr="004B3F8F">
        <w:rPr>
          <w:rFonts w:ascii="Arial" w:hAnsi="Arial" w:cs="Arial"/>
          <w:color w:val="222222"/>
          <w:shd w:val="clear" w:color="auto" w:fill="FFFFFF"/>
        </w:rPr>
        <w:t>.</w:t>
      </w:r>
    </w:p>
    <w:p w14:paraId="0EE99DAA"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Willot, S., S. Griffin, and M. Torrance. 2006. “Snakes and Ladders: Upper-Middle Class Male Offenders Talk about Economic Crime.” </w:t>
      </w:r>
      <w:r w:rsidRPr="004B3F8F">
        <w:rPr>
          <w:rFonts w:ascii="Arial" w:eastAsiaTheme="minorHAnsi" w:hAnsi="Arial" w:cs="Arial"/>
          <w:i/>
          <w:iCs/>
          <w:kern w:val="0"/>
          <w:lang w:val="en-US" w:eastAsia="en-US"/>
          <w14:ligatures w14:val="none"/>
        </w:rPr>
        <w:t>Criminology</w:t>
      </w:r>
      <w:r w:rsidRPr="004B3F8F">
        <w:rPr>
          <w:rFonts w:ascii="Arial" w:eastAsiaTheme="minorHAnsi" w:hAnsi="Arial" w:cs="Arial"/>
          <w:kern w:val="0"/>
          <w:lang w:val="en-US" w:eastAsia="en-US"/>
          <w14:ligatures w14:val="none"/>
        </w:rPr>
        <w:t xml:space="preserve"> 39, no. 2, pp. 441–66.</w:t>
      </w:r>
    </w:p>
    <w:p w14:paraId="335245E5"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lastRenderedPageBreak/>
        <w:t xml:space="preserve">Wittgenstein, L. 1953. </w:t>
      </w:r>
      <w:r w:rsidRPr="004B3F8F">
        <w:rPr>
          <w:rFonts w:ascii="Arial" w:eastAsiaTheme="minorHAnsi" w:hAnsi="Arial" w:cs="Arial"/>
          <w:i/>
          <w:iCs/>
          <w:kern w:val="0"/>
          <w:lang w:val="en-US" w:eastAsia="en-US"/>
          <w14:ligatures w14:val="none"/>
        </w:rPr>
        <w:t>Philosophical Investigations</w:t>
      </w:r>
      <w:r w:rsidRPr="004B3F8F">
        <w:rPr>
          <w:rFonts w:ascii="Arial" w:eastAsiaTheme="minorHAnsi" w:hAnsi="Arial" w:cs="Arial"/>
          <w:kern w:val="0"/>
          <w:lang w:val="en-US" w:eastAsia="en-US"/>
          <w14:ligatures w14:val="none"/>
        </w:rPr>
        <w:t>. Trans. G.E.M. Anscombe. New York: Macmillan.</w:t>
      </w:r>
    </w:p>
    <w:p w14:paraId="76503270"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Wolfe, D.T., and D.R. Hermanson. 2004 “The Fraud Diamond: Considering the Four Elements of Fraud.” </w:t>
      </w:r>
      <w:r w:rsidRPr="004B3F8F">
        <w:rPr>
          <w:rFonts w:ascii="Arial" w:eastAsiaTheme="minorHAnsi" w:hAnsi="Arial" w:cs="Arial"/>
          <w:i/>
          <w:iCs/>
          <w:kern w:val="0"/>
          <w:lang w:val="en-US" w:eastAsia="en-US"/>
          <w14:ligatures w14:val="none"/>
        </w:rPr>
        <w:t>The CPA Journal</w:t>
      </w:r>
      <w:r w:rsidRPr="004B3F8F">
        <w:rPr>
          <w:rFonts w:ascii="Arial" w:eastAsiaTheme="minorHAnsi" w:hAnsi="Arial" w:cs="Arial"/>
          <w:kern w:val="0"/>
          <w:lang w:val="en-US" w:eastAsia="en-US"/>
          <w14:ligatures w14:val="none"/>
        </w:rPr>
        <w:t xml:space="preserve"> 74, no. 12, pp. 38-42.</w:t>
      </w:r>
    </w:p>
    <w:p w14:paraId="7DABE121" w14:textId="77777777" w:rsidR="004B3F8F" w:rsidRPr="004B3F8F" w:rsidRDefault="004B3F8F" w:rsidP="004B3F8F">
      <w:pPr>
        <w:spacing w:line="480" w:lineRule="auto"/>
        <w:ind w:left="851" w:hanging="851"/>
        <w:jc w:val="both"/>
        <w:rPr>
          <w:rFonts w:asciiTheme="minorBidi" w:hAnsiTheme="minorBidi"/>
        </w:rPr>
      </w:pPr>
      <w:r w:rsidRPr="004B3F8F">
        <w:rPr>
          <w:rFonts w:asciiTheme="minorBidi" w:hAnsiTheme="minorBidi"/>
        </w:rPr>
        <w:t xml:space="preserve">Wong, D. B. 2020. Natural Moralities: A </w:t>
      </w:r>
      <w:proofErr w:type="spellStart"/>
      <w:r w:rsidRPr="004B3F8F">
        <w:rPr>
          <w:rFonts w:asciiTheme="minorBidi" w:hAnsiTheme="minorBidi"/>
        </w:rPr>
        <w:t>Defense</w:t>
      </w:r>
      <w:proofErr w:type="spellEnd"/>
      <w:r w:rsidRPr="004B3F8F">
        <w:rPr>
          <w:rFonts w:asciiTheme="minorBidi" w:hAnsiTheme="minorBidi"/>
        </w:rPr>
        <w:t xml:space="preserve"> of Pluralistic Relativism. Oxford University Press.</w:t>
      </w:r>
    </w:p>
    <w:p w14:paraId="45E8A54D" w14:textId="77777777" w:rsidR="004B3F8F" w:rsidRPr="004B3F8F" w:rsidRDefault="004B3F8F" w:rsidP="004B3F8F">
      <w:pPr>
        <w:spacing w:after="200" w:line="480" w:lineRule="auto"/>
        <w:ind w:left="785" w:hangingChars="327" w:hanging="785"/>
        <w:jc w:val="both"/>
        <w:rPr>
          <w:rFonts w:ascii="Arial" w:eastAsia="Times New Roman" w:hAnsi="Arial" w:cs="Arial"/>
          <w:iCs/>
          <w:kern w:val="0"/>
          <w:lang w:val="en-US" w:eastAsia="en-GB"/>
          <w14:ligatures w14:val="none"/>
        </w:rPr>
      </w:pPr>
      <w:r w:rsidRPr="004B3F8F">
        <w:rPr>
          <w:rFonts w:ascii="Arial" w:eastAsiaTheme="minorHAnsi" w:hAnsi="Arial" w:cs="Arial"/>
          <w:kern w:val="0"/>
          <w:lang w:val="en-US" w:eastAsia="en-US"/>
          <w14:ligatures w14:val="none"/>
        </w:rPr>
        <w:t>Woodcock, D. 2015. “Accounting Fraud: Down, But Not Out</w:t>
      </w:r>
      <w:r w:rsidRPr="004B3F8F">
        <w:rPr>
          <w:rFonts w:ascii="Arial" w:eastAsiaTheme="minorHAnsi" w:hAnsi="Arial" w:cs="Arial"/>
          <w:i/>
          <w:iCs/>
          <w:kern w:val="0"/>
          <w:lang w:val="en-US" w:eastAsia="en-US"/>
          <w14:ligatures w14:val="none"/>
        </w:rPr>
        <w:t>.</w:t>
      </w:r>
      <w:r w:rsidRPr="004B3F8F">
        <w:rPr>
          <w:rFonts w:ascii="Arial" w:eastAsiaTheme="minorHAnsi" w:hAnsi="Arial" w:cs="Arial"/>
          <w:iCs/>
          <w:kern w:val="0"/>
          <w:lang w:val="en-US" w:eastAsia="en-US"/>
          <w14:ligatures w14:val="none"/>
        </w:rPr>
        <w:t>”</w:t>
      </w:r>
      <w:r w:rsidRPr="004B3F8F">
        <w:rPr>
          <w:rFonts w:ascii="Arial" w:eastAsiaTheme="minorHAnsi" w:hAnsi="Arial" w:cs="Arial"/>
          <w:i/>
          <w:iCs/>
          <w:kern w:val="0"/>
          <w:lang w:val="en-US" w:eastAsia="en-US"/>
          <w14:ligatures w14:val="none"/>
        </w:rPr>
        <w:t xml:space="preserve"> Law 360</w:t>
      </w:r>
      <w:r w:rsidRPr="004B3F8F">
        <w:rPr>
          <w:rFonts w:ascii="Arial" w:eastAsiaTheme="minorHAnsi" w:hAnsi="Arial" w:cs="Arial"/>
          <w:kern w:val="0"/>
          <w:lang w:val="en-US" w:eastAsia="en-US"/>
          <w14:ligatures w14:val="none"/>
        </w:rPr>
        <w:t xml:space="preserve">. New York. </w:t>
      </w:r>
      <w:r w:rsidRPr="004B3F8F">
        <w:rPr>
          <w:rFonts w:ascii="Arial" w:eastAsiaTheme="minorHAnsi" w:hAnsi="Arial" w:cs="Arial"/>
          <w:i/>
          <w:iCs/>
          <w:kern w:val="0"/>
          <w:lang w:val="en-US" w:eastAsia="en-US"/>
          <w14:ligatures w14:val="none"/>
        </w:rPr>
        <w:t xml:space="preserve">www.jonesday.com/accounting-fraud-down-but-not-out-ilaw-360i-09-11-2015, </w:t>
      </w:r>
      <w:r w:rsidRPr="004B3F8F">
        <w:rPr>
          <w:rFonts w:ascii="Arial" w:eastAsiaTheme="minorHAnsi" w:hAnsi="Arial" w:cs="Arial"/>
          <w:kern w:val="0"/>
          <w:shd w:val="clear" w:color="auto" w:fill="FFFFFF"/>
          <w:lang w:val="en-US" w:eastAsia="en-US"/>
          <w14:ligatures w14:val="none"/>
        </w:rPr>
        <w:t>(accessed December 22, 2017).</w:t>
      </w:r>
    </w:p>
    <w:p w14:paraId="091A4D9F"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t xml:space="preserve">Woodward, J.D. Jr., N.M. Orlans, and P.T. Higgins. 2003. </w:t>
      </w:r>
      <w:r w:rsidRPr="004B3F8F">
        <w:rPr>
          <w:rFonts w:ascii="Arial" w:eastAsiaTheme="minorHAnsi" w:hAnsi="Arial" w:cs="Arial"/>
          <w:i/>
          <w:iCs/>
          <w:kern w:val="0"/>
          <w:lang w:val="en-US" w:eastAsia="en-US"/>
          <w14:ligatures w14:val="none"/>
        </w:rPr>
        <w:t>Biometrics: Identity Assurance in the Information Age</w:t>
      </w:r>
      <w:r w:rsidRPr="004B3F8F">
        <w:rPr>
          <w:rFonts w:ascii="Arial" w:eastAsiaTheme="minorHAnsi" w:hAnsi="Arial" w:cs="Arial"/>
          <w:kern w:val="0"/>
          <w:lang w:val="en-US" w:eastAsia="en-US"/>
          <w14:ligatures w14:val="none"/>
        </w:rPr>
        <w:t>. Santa Monica, CA: McGraw-Hill.</w:t>
      </w:r>
    </w:p>
    <w:p w14:paraId="51208DA6"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Xu, J., &amp; Bellavitis, C. 2021. Blockchain applications in corporate governance and corporate finance. </w:t>
      </w:r>
      <w:r w:rsidRPr="004B3F8F">
        <w:rPr>
          <w:rFonts w:asciiTheme="minorBidi" w:eastAsia="Times New Roman" w:hAnsiTheme="minorBidi"/>
          <w:i/>
          <w:iCs/>
          <w:kern w:val="0"/>
          <w14:ligatures w14:val="none"/>
        </w:rPr>
        <w:t>The European Journal of Finance</w:t>
      </w:r>
      <w:r w:rsidRPr="004B3F8F">
        <w:rPr>
          <w:rFonts w:asciiTheme="minorBidi" w:eastAsia="Times New Roman" w:hAnsiTheme="minorBidi"/>
          <w:kern w:val="0"/>
          <w14:ligatures w14:val="none"/>
        </w:rPr>
        <w:t>, 27(1), 1-21.</w:t>
      </w:r>
    </w:p>
    <w:p w14:paraId="68E6FEAE" w14:textId="77777777" w:rsidR="004B3F8F" w:rsidRPr="004B3F8F" w:rsidRDefault="004B3F8F" w:rsidP="004B3F8F">
      <w:pPr>
        <w:spacing w:line="480" w:lineRule="auto"/>
        <w:ind w:left="851" w:hanging="851"/>
        <w:rPr>
          <w:rFonts w:ascii="Arial" w:hAnsi="Arial" w:cs="Arial"/>
          <w:color w:val="222222"/>
          <w:shd w:val="clear" w:color="auto" w:fill="FFFFFF"/>
        </w:rPr>
      </w:pPr>
      <w:r w:rsidRPr="004B3F8F">
        <w:rPr>
          <w:rFonts w:ascii="Arial" w:hAnsi="Arial" w:cs="Arial"/>
          <w:color w:val="222222"/>
          <w:shd w:val="clear" w:color="auto" w:fill="FFFFFF"/>
          <w:lang w:val="de-DE"/>
        </w:rPr>
        <w:t xml:space="preserve">Yang, X., Zhang, Y., Wang, S., </w:t>
      </w:r>
      <w:proofErr w:type="spellStart"/>
      <w:r w:rsidRPr="004B3F8F">
        <w:rPr>
          <w:rFonts w:ascii="Arial" w:hAnsi="Arial" w:cs="Arial"/>
          <w:color w:val="222222"/>
          <w:shd w:val="clear" w:color="auto" w:fill="FFFFFF"/>
          <w:lang w:val="de-DE"/>
        </w:rPr>
        <w:t>Yu</w:t>
      </w:r>
      <w:proofErr w:type="spellEnd"/>
      <w:r w:rsidRPr="004B3F8F">
        <w:rPr>
          <w:rFonts w:ascii="Arial" w:hAnsi="Arial" w:cs="Arial"/>
          <w:color w:val="222222"/>
          <w:shd w:val="clear" w:color="auto" w:fill="FFFFFF"/>
          <w:lang w:val="de-DE"/>
        </w:rPr>
        <w:t xml:space="preserve">, B., Li, F., Li, Y. and Yan, W., 2020. </w:t>
      </w:r>
      <w:r w:rsidRPr="004B3F8F">
        <w:rPr>
          <w:rFonts w:ascii="Arial" w:hAnsi="Arial" w:cs="Arial"/>
          <w:color w:val="222222"/>
          <w:shd w:val="clear" w:color="auto" w:fill="FFFFFF"/>
        </w:rPr>
        <w:t>Ledger DB: A centralized ledger database for universal audit and verification. </w:t>
      </w:r>
      <w:r w:rsidRPr="004B3F8F">
        <w:rPr>
          <w:rFonts w:ascii="Arial" w:hAnsi="Arial" w:cs="Arial"/>
          <w:i/>
          <w:iCs/>
          <w:color w:val="222222"/>
          <w:shd w:val="clear" w:color="auto" w:fill="FFFFFF"/>
        </w:rPr>
        <w:t>Proceedings of the VLDB Endowment</w:t>
      </w:r>
      <w:r w:rsidRPr="004B3F8F">
        <w:rPr>
          <w:rFonts w:ascii="Arial" w:hAnsi="Arial" w:cs="Arial"/>
          <w:color w:val="222222"/>
          <w:shd w:val="clear" w:color="auto" w:fill="FFFFFF"/>
        </w:rPr>
        <w:t>, </w:t>
      </w:r>
      <w:r w:rsidRPr="004B3F8F">
        <w:rPr>
          <w:rFonts w:ascii="Arial" w:hAnsi="Arial" w:cs="Arial"/>
          <w:i/>
          <w:iCs/>
          <w:color w:val="222222"/>
          <w:shd w:val="clear" w:color="auto" w:fill="FFFFFF"/>
        </w:rPr>
        <w:t>13</w:t>
      </w:r>
      <w:r w:rsidRPr="004B3F8F">
        <w:rPr>
          <w:rFonts w:ascii="Arial" w:hAnsi="Arial" w:cs="Arial"/>
          <w:color w:val="222222"/>
          <w:shd w:val="clear" w:color="auto" w:fill="FFFFFF"/>
        </w:rPr>
        <w:t>(12), pp.3138-3151.</w:t>
      </w:r>
    </w:p>
    <w:p w14:paraId="00C55034"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Yermack, D. 2017. "Corporate Governance and Blockchains." </w:t>
      </w:r>
      <w:r w:rsidRPr="004B3F8F">
        <w:rPr>
          <w:rFonts w:asciiTheme="minorBidi" w:eastAsia="Times New Roman" w:hAnsiTheme="minorBidi"/>
          <w:i/>
          <w:iCs/>
          <w:kern w:val="0"/>
          <w14:ligatures w14:val="none"/>
        </w:rPr>
        <w:t>Review of Finance</w:t>
      </w:r>
      <w:r w:rsidRPr="004B3F8F">
        <w:rPr>
          <w:rFonts w:asciiTheme="minorBidi" w:eastAsia="Times New Roman" w:hAnsiTheme="minorBidi"/>
          <w:kern w:val="0"/>
          <w14:ligatures w14:val="none"/>
        </w:rPr>
        <w:t>, 21(1), 7-31.</w:t>
      </w:r>
    </w:p>
    <w:p w14:paraId="2CA27917" w14:textId="77777777" w:rsidR="004B3F8F" w:rsidRP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heme="minorHAnsi" w:hAnsiTheme="minorBidi"/>
          <w:kern w:val="0"/>
          <w:lang w:eastAsia="en-US"/>
          <w14:ligatures w14:val="none"/>
        </w:rPr>
        <w:t>Yin, R. 2009. Case Study Research Design and Methods, Thousand Oaks: Sage.</w:t>
      </w:r>
    </w:p>
    <w:p w14:paraId="700C228C"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eastAsia="en-US"/>
          <w14:ligatures w14:val="none"/>
        </w:rPr>
        <w:t xml:space="preserve">Yu, T., Lin, Z., &amp; Tang, Q. 2018. Blockchain: Introduction and application in financial accounting doi:10.2139/ssrn.3258504 (accessed </w:t>
      </w:r>
      <w:proofErr w:type="gramStart"/>
      <w:r w:rsidRPr="004B3F8F">
        <w:rPr>
          <w:rFonts w:ascii="Arial" w:eastAsiaTheme="minorHAnsi" w:hAnsi="Arial" w:cs="Arial"/>
          <w:kern w:val="0"/>
          <w:lang w:eastAsia="en-US"/>
          <w14:ligatures w14:val="none"/>
        </w:rPr>
        <w:t>July,</w:t>
      </w:r>
      <w:proofErr w:type="gramEnd"/>
      <w:r w:rsidRPr="004B3F8F">
        <w:rPr>
          <w:rFonts w:ascii="Arial" w:eastAsiaTheme="minorHAnsi" w:hAnsi="Arial" w:cs="Arial"/>
          <w:kern w:val="0"/>
          <w:lang w:eastAsia="en-US"/>
          <w14:ligatures w14:val="none"/>
        </w:rPr>
        <w:t xml:space="preserve"> 2021)</w:t>
      </w:r>
    </w:p>
    <w:p w14:paraId="1C964D3C"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en-US" w:eastAsia="en-US"/>
          <w14:ligatures w14:val="none"/>
        </w:rPr>
        <w:lastRenderedPageBreak/>
        <w:t xml:space="preserve">Zahra, S.A., R.L. Priem, and Rasheed, A.A. 2005. “The Antecedents and Consequences of Top Management Fraud.” </w:t>
      </w:r>
      <w:r w:rsidRPr="004B3F8F">
        <w:rPr>
          <w:rFonts w:ascii="Arial" w:eastAsiaTheme="minorHAnsi" w:hAnsi="Arial" w:cs="Arial"/>
          <w:i/>
          <w:iCs/>
          <w:kern w:val="0"/>
          <w:lang w:val="en-US" w:eastAsia="en-US"/>
          <w14:ligatures w14:val="none"/>
        </w:rPr>
        <w:t>Journal of Managemen</w:t>
      </w:r>
      <w:r w:rsidRPr="004B3F8F">
        <w:rPr>
          <w:rFonts w:ascii="Arial" w:eastAsiaTheme="minorHAnsi" w:hAnsi="Arial" w:cs="Arial"/>
          <w:i/>
          <w:kern w:val="0"/>
          <w:lang w:val="en-US" w:eastAsia="en-US"/>
          <w14:ligatures w14:val="none"/>
        </w:rPr>
        <w:t>t</w:t>
      </w:r>
      <w:r w:rsidRPr="004B3F8F">
        <w:rPr>
          <w:rFonts w:ascii="Arial" w:eastAsiaTheme="minorHAnsi" w:hAnsi="Arial" w:cs="Arial"/>
          <w:kern w:val="0"/>
          <w:lang w:val="en-US" w:eastAsia="en-US"/>
          <w14:ligatures w14:val="none"/>
        </w:rPr>
        <w:t xml:space="preserve"> 31, no. 6, pp. 803-28.</w:t>
      </w:r>
    </w:p>
    <w:p w14:paraId="4D1DB61C" w14:textId="77777777" w:rsidR="004B3F8F" w:rsidRPr="004B3F8F" w:rsidRDefault="004B3F8F" w:rsidP="004B3F8F">
      <w:pPr>
        <w:spacing w:before="100" w:beforeAutospacing="1" w:after="100" w:afterAutospacing="1" w:line="480" w:lineRule="auto"/>
        <w:ind w:left="709" w:hanging="709"/>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Zhang, J., Zhou, J., &amp; Zhou, N. 2022. The role of corporate governance in mitigating the impact of COVID-19 on financial reporting quality. </w:t>
      </w:r>
      <w:r w:rsidRPr="004B3F8F">
        <w:rPr>
          <w:rFonts w:asciiTheme="minorBidi" w:eastAsia="Times New Roman" w:hAnsiTheme="minorBidi"/>
          <w:i/>
          <w:iCs/>
          <w:kern w:val="0"/>
          <w14:ligatures w14:val="none"/>
        </w:rPr>
        <w:t>Journal of Accounting and Economics, 71</w:t>
      </w:r>
      <w:r w:rsidRPr="004B3F8F">
        <w:rPr>
          <w:rFonts w:asciiTheme="minorBidi" w:eastAsia="Times New Roman" w:hAnsiTheme="minorBidi"/>
          <w:kern w:val="0"/>
          <w14:ligatures w14:val="none"/>
        </w:rPr>
        <w:t>(1-2), 101393.</w:t>
      </w:r>
    </w:p>
    <w:p w14:paraId="07E03CAC"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Zhang, C., Thomas, C. and Vasarhelyi, M.A., 2022. Attended process automation in audit: A framework and a demonstration. </w:t>
      </w:r>
      <w:r w:rsidRPr="004B3F8F">
        <w:rPr>
          <w:rFonts w:ascii="Arial" w:hAnsi="Arial" w:cs="Arial"/>
          <w:i/>
          <w:iCs/>
          <w:color w:val="222222"/>
          <w:shd w:val="clear" w:color="auto" w:fill="FFFFFF"/>
        </w:rPr>
        <w:t>Journal of Information Systems</w:t>
      </w:r>
      <w:r w:rsidRPr="004B3F8F">
        <w:rPr>
          <w:rFonts w:ascii="Arial" w:hAnsi="Arial" w:cs="Arial"/>
          <w:color w:val="222222"/>
          <w:shd w:val="clear" w:color="auto" w:fill="FFFFFF"/>
        </w:rPr>
        <w:t>, </w:t>
      </w:r>
      <w:r w:rsidRPr="004B3F8F">
        <w:rPr>
          <w:rFonts w:ascii="Arial" w:hAnsi="Arial" w:cs="Arial"/>
          <w:i/>
          <w:iCs/>
          <w:color w:val="222222"/>
          <w:shd w:val="clear" w:color="auto" w:fill="FFFFFF"/>
        </w:rPr>
        <w:t>36</w:t>
      </w:r>
      <w:r w:rsidRPr="004B3F8F">
        <w:rPr>
          <w:rFonts w:ascii="Arial" w:hAnsi="Arial" w:cs="Arial"/>
          <w:color w:val="222222"/>
          <w:shd w:val="clear" w:color="auto" w:fill="FFFFFF"/>
        </w:rPr>
        <w:t>(2), pp.101-124.</w:t>
      </w:r>
    </w:p>
    <w:p w14:paraId="4084468F" w14:textId="77777777" w:rsidR="004B3F8F" w:rsidRPr="004B3F8F" w:rsidRDefault="004B3F8F" w:rsidP="004B3F8F">
      <w:pPr>
        <w:spacing w:line="480" w:lineRule="auto"/>
        <w:ind w:left="851" w:hanging="851"/>
        <w:jc w:val="both"/>
        <w:rPr>
          <w:rFonts w:ascii="Arial" w:hAnsi="Arial" w:cs="Arial"/>
          <w:color w:val="222222"/>
          <w:shd w:val="clear" w:color="auto" w:fill="FFFFFF"/>
        </w:rPr>
      </w:pPr>
      <w:r w:rsidRPr="004B3F8F">
        <w:rPr>
          <w:rFonts w:ascii="Arial" w:hAnsi="Arial" w:cs="Arial"/>
          <w:color w:val="222222"/>
          <w:shd w:val="clear" w:color="auto" w:fill="FFFFFF"/>
        </w:rPr>
        <w:t>Zhang, C., 2019. Intelligent process automation in audit. </w:t>
      </w:r>
      <w:r w:rsidRPr="004B3F8F">
        <w:rPr>
          <w:rFonts w:ascii="Arial" w:hAnsi="Arial" w:cs="Arial"/>
          <w:i/>
          <w:iCs/>
          <w:color w:val="222222"/>
          <w:shd w:val="clear" w:color="auto" w:fill="FFFFFF"/>
        </w:rPr>
        <w:t>Journal of emerging technologies in accounting</w:t>
      </w:r>
      <w:r w:rsidRPr="004B3F8F">
        <w:rPr>
          <w:rFonts w:ascii="Arial" w:hAnsi="Arial" w:cs="Arial"/>
          <w:color w:val="222222"/>
          <w:shd w:val="clear" w:color="auto" w:fill="FFFFFF"/>
        </w:rPr>
        <w:t>, </w:t>
      </w:r>
      <w:r w:rsidRPr="004B3F8F">
        <w:rPr>
          <w:rFonts w:ascii="Arial" w:hAnsi="Arial" w:cs="Arial"/>
          <w:i/>
          <w:iCs/>
          <w:color w:val="222222"/>
          <w:shd w:val="clear" w:color="auto" w:fill="FFFFFF"/>
        </w:rPr>
        <w:t>16</w:t>
      </w:r>
      <w:r w:rsidRPr="004B3F8F">
        <w:rPr>
          <w:rFonts w:ascii="Arial" w:hAnsi="Arial" w:cs="Arial"/>
          <w:color w:val="222222"/>
          <w:shd w:val="clear" w:color="auto" w:fill="FFFFFF"/>
        </w:rPr>
        <w:t>(2), pp.69-88.</w:t>
      </w:r>
    </w:p>
    <w:p w14:paraId="2D93BF02"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val="en-US" w:eastAsia="en-US"/>
          <w14:ligatures w14:val="none"/>
        </w:rPr>
      </w:pPr>
      <w:r w:rsidRPr="004B3F8F">
        <w:rPr>
          <w:rFonts w:ascii="Arial" w:eastAsiaTheme="minorHAnsi" w:hAnsi="Arial" w:cs="Arial"/>
          <w:kern w:val="0"/>
          <w:lang w:val="de-DE" w:eastAsia="en-US"/>
          <w14:ligatures w14:val="none"/>
        </w:rPr>
        <w:t xml:space="preserve">Zhang, J., X. Yang, and D. Appelbaum. </w:t>
      </w:r>
      <w:r w:rsidRPr="004B3F8F">
        <w:rPr>
          <w:rFonts w:ascii="Arial" w:eastAsiaTheme="minorHAnsi" w:hAnsi="Arial" w:cs="Arial"/>
          <w:kern w:val="0"/>
          <w:lang w:val="en-US" w:eastAsia="en-US"/>
          <w14:ligatures w14:val="none"/>
        </w:rPr>
        <w:t xml:space="preserve">2015. “Toward Effective Big Data Analysis in Continuous Auditing.” </w:t>
      </w:r>
      <w:r w:rsidRPr="004B3F8F">
        <w:rPr>
          <w:rFonts w:ascii="Arial" w:eastAsiaTheme="minorHAnsi" w:hAnsi="Arial" w:cs="Arial"/>
          <w:i/>
          <w:iCs/>
          <w:kern w:val="0"/>
          <w:lang w:val="en-US" w:eastAsia="en-US"/>
          <w14:ligatures w14:val="none"/>
        </w:rPr>
        <w:t>Accounting Horizons</w:t>
      </w:r>
      <w:r w:rsidRPr="004B3F8F">
        <w:rPr>
          <w:rFonts w:ascii="Arial" w:eastAsiaTheme="minorHAnsi" w:hAnsi="Arial" w:cs="Arial"/>
          <w:kern w:val="0"/>
          <w:lang w:val="en-US" w:eastAsia="en-US"/>
          <w14:ligatures w14:val="none"/>
        </w:rPr>
        <w:t xml:space="preserve"> 29, no. 2, pp. 469-76.</w:t>
      </w:r>
    </w:p>
    <w:p w14:paraId="18136826" w14:textId="77777777" w:rsidR="004B3F8F" w:rsidRPr="004B3F8F" w:rsidRDefault="004B3F8F" w:rsidP="004B3F8F">
      <w:pPr>
        <w:spacing w:after="200" w:line="480" w:lineRule="auto"/>
        <w:ind w:left="785" w:hangingChars="327" w:hanging="785"/>
        <w:jc w:val="both"/>
        <w:rPr>
          <w:rFonts w:ascii="Arial" w:eastAsiaTheme="minorHAnsi" w:hAnsi="Arial" w:cs="Arial"/>
          <w:kern w:val="0"/>
          <w:lang w:eastAsia="en-US"/>
          <w14:ligatures w14:val="none"/>
        </w:rPr>
      </w:pPr>
      <w:r w:rsidRPr="00497F1E">
        <w:rPr>
          <w:rFonts w:ascii="Arial" w:eastAsiaTheme="minorHAnsi" w:hAnsi="Arial" w:cs="Arial"/>
          <w:kern w:val="0"/>
          <w:lang w:eastAsia="en-US"/>
          <w14:ligatures w14:val="none"/>
        </w:rPr>
        <w:t xml:space="preserve">Zheng, Z., Xie, S., Dai, H., Chen, X., &amp; Wang, H. 2018. </w:t>
      </w:r>
      <w:r w:rsidRPr="004B3F8F">
        <w:rPr>
          <w:rFonts w:ascii="Arial" w:eastAsiaTheme="minorHAnsi" w:hAnsi="Arial" w:cs="Arial"/>
          <w:i/>
          <w:iCs/>
          <w:kern w:val="0"/>
          <w:lang w:eastAsia="en-US"/>
          <w14:ligatures w14:val="none"/>
        </w:rPr>
        <w:t>‘’Blockchain challenges and opportunities: A survey’’</w:t>
      </w:r>
      <w:r w:rsidRPr="004B3F8F">
        <w:rPr>
          <w:rFonts w:ascii="Arial" w:eastAsiaTheme="minorHAnsi" w:hAnsi="Arial" w:cs="Arial"/>
          <w:kern w:val="0"/>
          <w:lang w:eastAsia="en-US"/>
          <w14:ligatures w14:val="none"/>
        </w:rPr>
        <w:t>. International Journal of Web and Grid Services, 14(4), Pp. 352-375.</w:t>
      </w:r>
    </w:p>
    <w:p w14:paraId="3B8F4B07" w14:textId="77777777" w:rsidR="004B3F8F" w:rsidRPr="004B3F8F" w:rsidRDefault="004B3F8F" w:rsidP="004B3F8F">
      <w:pPr>
        <w:spacing w:after="200" w:line="480" w:lineRule="auto"/>
        <w:ind w:left="785" w:hangingChars="327" w:hanging="785"/>
        <w:jc w:val="both"/>
        <w:rPr>
          <w:rFonts w:ascii="Arial" w:eastAsiaTheme="minorHAnsi" w:hAnsi="Arial" w:cs="Arial"/>
          <w:kern w:val="0"/>
          <w:sz w:val="22"/>
          <w:szCs w:val="22"/>
          <w:lang w:eastAsia="en-US"/>
          <w14:ligatures w14:val="none"/>
        </w:rPr>
      </w:pPr>
      <w:r w:rsidRPr="004B3F8F">
        <w:rPr>
          <w:rFonts w:ascii="Arial" w:eastAsiaTheme="minorHAnsi" w:hAnsi="Arial" w:cs="Arial"/>
          <w:kern w:val="0"/>
          <w:lang w:eastAsia="en-US"/>
          <w14:ligatures w14:val="none"/>
        </w:rPr>
        <w:t xml:space="preserve">Zhu, Y., &amp; Chen, W. 2020. "The Influence of Psychopathic Traits on Accounting Fraud in Chinese Enterprises." </w:t>
      </w:r>
      <w:r w:rsidRPr="004B3F8F">
        <w:rPr>
          <w:rFonts w:ascii="Arial" w:eastAsiaTheme="majorEastAsia" w:hAnsi="Arial" w:cs="Arial"/>
          <w:i/>
          <w:iCs/>
          <w:kern w:val="0"/>
          <w:lang w:eastAsia="en-US"/>
          <w14:ligatures w14:val="none"/>
        </w:rPr>
        <w:t>Journal of Business Ethics</w:t>
      </w:r>
      <w:r w:rsidRPr="004B3F8F">
        <w:rPr>
          <w:rFonts w:ascii="Arial" w:eastAsiaTheme="minorHAnsi" w:hAnsi="Arial" w:cs="Arial"/>
          <w:kern w:val="0"/>
          <w:sz w:val="22"/>
          <w:szCs w:val="22"/>
          <w:lang w:eastAsia="en-US"/>
          <w14:ligatures w14:val="none"/>
        </w:rPr>
        <w:t>.</w:t>
      </w:r>
    </w:p>
    <w:p w14:paraId="033E217D" w14:textId="77777777" w:rsid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r w:rsidRPr="004B3F8F">
        <w:rPr>
          <w:rFonts w:asciiTheme="minorBidi" w:eastAsia="Times New Roman" w:hAnsiTheme="minorBidi"/>
          <w:kern w:val="0"/>
          <w14:ligatures w14:val="none"/>
        </w:rPr>
        <w:t xml:space="preserve">Zohar, A., &amp; Erlich, A. 2021. Regulatory challenges and policy considerations for blockchain technology in financial markets. </w:t>
      </w:r>
      <w:r w:rsidRPr="004B3F8F">
        <w:rPr>
          <w:rFonts w:asciiTheme="minorBidi" w:eastAsia="Times New Roman" w:hAnsiTheme="minorBidi"/>
          <w:i/>
          <w:iCs/>
          <w:kern w:val="0"/>
          <w14:ligatures w14:val="none"/>
        </w:rPr>
        <w:t>Journal of Financial Regulation and Compliance</w:t>
      </w:r>
      <w:r w:rsidRPr="004B3F8F">
        <w:rPr>
          <w:rFonts w:asciiTheme="minorBidi" w:eastAsia="Times New Roman" w:hAnsiTheme="minorBidi"/>
          <w:kern w:val="0"/>
          <w14:ligatures w14:val="none"/>
        </w:rPr>
        <w:t>, 29(4), 423-439.</w:t>
      </w:r>
    </w:p>
    <w:p w14:paraId="565B44A0" w14:textId="77777777" w:rsidR="004B3F8F" w:rsidRDefault="004B3F8F" w:rsidP="004B3F8F">
      <w:pPr>
        <w:spacing w:before="100" w:beforeAutospacing="1" w:after="100" w:afterAutospacing="1" w:line="480" w:lineRule="auto"/>
        <w:ind w:left="851" w:hanging="851"/>
        <w:jc w:val="both"/>
        <w:rPr>
          <w:rFonts w:asciiTheme="minorBidi" w:eastAsia="Times New Roman" w:hAnsiTheme="minorBidi"/>
          <w:kern w:val="0"/>
          <w14:ligatures w14:val="none"/>
        </w:rPr>
      </w:pPr>
    </w:p>
    <w:bookmarkStart w:id="1037" w:name="APPB"/>
    <w:p w14:paraId="5DD45175" w14:textId="763C71DF" w:rsidR="004B3F8F" w:rsidRPr="004B3F8F" w:rsidRDefault="00E67E08" w:rsidP="004B3F8F">
      <w:pPr>
        <w:pBdr>
          <w:top w:val="single" w:sz="4" w:space="1" w:color="auto"/>
          <w:left w:val="single" w:sz="4" w:space="4" w:color="auto"/>
          <w:bottom w:val="single" w:sz="4" w:space="1" w:color="auto"/>
          <w:right w:val="single" w:sz="4" w:space="4" w:color="auto"/>
        </w:pBdr>
        <w:rPr>
          <w:rFonts w:asciiTheme="minorBidi" w:hAnsiTheme="minorBidi"/>
          <w:b/>
          <w:bCs/>
        </w:rPr>
      </w:pPr>
      <w:r>
        <w:rPr>
          <w:rFonts w:asciiTheme="minorBidi" w:hAnsiTheme="minorBidi"/>
          <w:b/>
          <w:bCs/>
        </w:rPr>
        <w:lastRenderedPageBreak/>
        <w:fldChar w:fldCharType="begin"/>
      </w:r>
      <w:r>
        <w:rPr>
          <w:rFonts w:asciiTheme="minorBidi" w:hAnsiTheme="minorBidi"/>
          <w:b/>
          <w:bCs/>
        </w:rPr>
        <w:instrText>HYPERLINK  \l "APPA"</w:instrText>
      </w:r>
      <w:r>
        <w:rPr>
          <w:rFonts w:asciiTheme="minorBidi" w:hAnsiTheme="minorBidi"/>
          <w:b/>
          <w:bCs/>
        </w:rPr>
      </w:r>
      <w:r>
        <w:rPr>
          <w:rFonts w:asciiTheme="minorBidi" w:hAnsiTheme="minorBidi"/>
          <w:b/>
          <w:bCs/>
        </w:rPr>
        <w:fldChar w:fldCharType="separate"/>
      </w:r>
      <w:r w:rsidR="004B3F8F" w:rsidRPr="00E67E08">
        <w:rPr>
          <w:rStyle w:val="Hyperlink"/>
          <w:rFonts w:asciiTheme="minorBidi" w:hAnsiTheme="minorBidi"/>
          <w:b/>
          <w:bCs/>
        </w:rPr>
        <w:t>Appendices</w:t>
      </w:r>
      <w:r>
        <w:rPr>
          <w:rFonts w:asciiTheme="minorBidi" w:hAnsiTheme="minorBidi"/>
          <w:b/>
          <w:bCs/>
        </w:rPr>
        <w:fldChar w:fldCharType="end"/>
      </w:r>
      <w:r w:rsidR="004B3F8F" w:rsidRPr="004B3F8F">
        <w:rPr>
          <w:rFonts w:asciiTheme="minorBidi" w:hAnsiTheme="minorBidi"/>
          <w:b/>
          <w:bCs/>
        </w:rPr>
        <w:t xml:space="preserve"> </w:t>
      </w:r>
    </w:p>
    <w:bookmarkEnd w:id="1037"/>
    <w:p w14:paraId="53078B1A" w14:textId="77777777" w:rsidR="008A4B7A" w:rsidRPr="008A4B7A" w:rsidRDefault="008A4B7A" w:rsidP="008A4B7A">
      <w:pPr>
        <w:pStyle w:val="NoSpacing"/>
        <w:spacing w:line="480" w:lineRule="auto"/>
        <w:rPr>
          <w:rFonts w:asciiTheme="minorBidi" w:eastAsiaTheme="minorHAnsi" w:hAnsiTheme="minorBidi"/>
          <w:kern w:val="0"/>
          <w:sz w:val="24"/>
          <w:szCs w:val="24"/>
          <w:lang w:val="en-US" w:eastAsia="en-US"/>
          <w14:ligatures w14:val="none"/>
        </w:rPr>
      </w:pPr>
      <w:r w:rsidRPr="008A4B7A">
        <w:rPr>
          <w:rFonts w:asciiTheme="minorBidi" w:eastAsiaTheme="minorHAnsi" w:hAnsiTheme="minorBidi"/>
          <w:kern w:val="0"/>
          <w:sz w:val="24"/>
          <w:szCs w:val="24"/>
          <w:lang w:val="en-US" w:eastAsia="en-US"/>
          <w14:ligatures w14:val="none"/>
        </w:rPr>
        <w:t>Appendix A – Typology of 33 Accounting Fraud Cases</w:t>
      </w:r>
    </w:p>
    <w:p w14:paraId="63704C38" w14:textId="77777777" w:rsidR="008A4B7A" w:rsidRPr="008A4B7A" w:rsidRDefault="008A4B7A" w:rsidP="008A4B7A">
      <w:pPr>
        <w:pStyle w:val="NoSpacing"/>
        <w:spacing w:line="480" w:lineRule="auto"/>
        <w:rPr>
          <w:rFonts w:asciiTheme="minorBidi" w:eastAsiaTheme="minorHAnsi" w:hAnsiTheme="minorBidi"/>
          <w:kern w:val="0"/>
          <w:sz w:val="24"/>
          <w:szCs w:val="24"/>
          <w:lang w:val="en-US" w:eastAsia="en-US"/>
          <w14:ligatures w14:val="none"/>
        </w:rPr>
      </w:pPr>
      <w:r w:rsidRPr="008A4B7A">
        <w:rPr>
          <w:rFonts w:asciiTheme="minorBidi" w:eastAsiaTheme="minorHAnsi" w:hAnsiTheme="minorBidi"/>
          <w:kern w:val="0"/>
          <w:sz w:val="24"/>
          <w:szCs w:val="24"/>
          <w:lang w:val="en-US" w:eastAsia="en-US"/>
          <w14:ligatures w14:val="none"/>
        </w:rPr>
        <w:t>Appendix B – Structured Survey for Students (Pilot)</w:t>
      </w:r>
    </w:p>
    <w:p w14:paraId="6628F022" w14:textId="77777777" w:rsidR="008A4B7A" w:rsidRPr="008A4B7A" w:rsidRDefault="008A4B7A" w:rsidP="008A4B7A">
      <w:pPr>
        <w:pStyle w:val="NoSpacing"/>
        <w:spacing w:line="480" w:lineRule="auto"/>
        <w:rPr>
          <w:rFonts w:asciiTheme="minorBidi" w:eastAsiaTheme="minorHAnsi" w:hAnsiTheme="minorBidi"/>
          <w:kern w:val="0"/>
          <w:sz w:val="24"/>
          <w:szCs w:val="24"/>
          <w:lang w:val="fr-FR" w:eastAsia="en-US"/>
          <w14:ligatures w14:val="none"/>
        </w:rPr>
      </w:pPr>
      <w:r w:rsidRPr="008A4B7A">
        <w:rPr>
          <w:rFonts w:asciiTheme="minorBidi" w:eastAsiaTheme="minorHAnsi" w:hAnsiTheme="minorBidi"/>
          <w:kern w:val="0"/>
          <w:sz w:val="24"/>
          <w:szCs w:val="24"/>
          <w:lang w:val="fr-FR" w:eastAsia="en-US"/>
          <w14:ligatures w14:val="none"/>
        </w:rPr>
        <w:t>Appendix C – Semi-</w:t>
      </w:r>
      <w:proofErr w:type="spellStart"/>
      <w:r w:rsidRPr="008A4B7A">
        <w:rPr>
          <w:rFonts w:asciiTheme="minorBidi" w:eastAsiaTheme="minorHAnsi" w:hAnsiTheme="minorBidi"/>
          <w:kern w:val="0"/>
          <w:sz w:val="24"/>
          <w:szCs w:val="24"/>
          <w:lang w:val="fr-FR" w:eastAsia="en-US"/>
          <w14:ligatures w14:val="none"/>
        </w:rPr>
        <w:t>Structured</w:t>
      </w:r>
      <w:proofErr w:type="spellEnd"/>
      <w:r w:rsidRPr="008A4B7A">
        <w:rPr>
          <w:rFonts w:asciiTheme="minorBidi" w:eastAsiaTheme="minorHAnsi" w:hAnsiTheme="minorBidi"/>
          <w:kern w:val="0"/>
          <w:sz w:val="24"/>
          <w:szCs w:val="24"/>
          <w:lang w:val="fr-FR" w:eastAsia="en-US"/>
          <w14:ligatures w14:val="none"/>
        </w:rPr>
        <w:t xml:space="preserve"> Questionnaire for Professional </w:t>
      </w:r>
      <w:proofErr w:type="spellStart"/>
      <w:r w:rsidRPr="008A4B7A">
        <w:rPr>
          <w:rFonts w:asciiTheme="minorBidi" w:eastAsiaTheme="minorHAnsi" w:hAnsiTheme="minorBidi"/>
          <w:kern w:val="0"/>
          <w:sz w:val="24"/>
          <w:szCs w:val="24"/>
          <w:lang w:val="fr-FR" w:eastAsia="en-US"/>
          <w14:ligatures w14:val="none"/>
        </w:rPr>
        <w:t>Accountants</w:t>
      </w:r>
      <w:proofErr w:type="spellEnd"/>
    </w:p>
    <w:p w14:paraId="4B9148DA" w14:textId="77777777" w:rsidR="008A4B7A" w:rsidRPr="008A4B7A" w:rsidRDefault="008A4B7A" w:rsidP="008A4B7A">
      <w:pPr>
        <w:pStyle w:val="NoSpacing"/>
        <w:spacing w:line="480" w:lineRule="auto"/>
        <w:rPr>
          <w:rFonts w:asciiTheme="minorBidi" w:eastAsiaTheme="minorHAnsi" w:hAnsiTheme="minorBidi"/>
          <w:kern w:val="0"/>
          <w:sz w:val="24"/>
          <w:szCs w:val="24"/>
          <w:lang w:val="fr-FR" w:eastAsia="en-US"/>
          <w14:ligatures w14:val="none"/>
        </w:rPr>
      </w:pPr>
      <w:r w:rsidRPr="008A4B7A">
        <w:rPr>
          <w:rFonts w:asciiTheme="minorBidi" w:eastAsiaTheme="minorHAnsi" w:hAnsiTheme="minorBidi"/>
          <w:kern w:val="0"/>
          <w:sz w:val="24"/>
          <w:szCs w:val="24"/>
          <w:lang w:val="fr-FR" w:eastAsia="en-US"/>
          <w14:ligatures w14:val="none"/>
        </w:rPr>
        <w:t xml:space="preserve">Appendix D – Participant Information </w:t>
      </w:r>
      <w:proofErr w:type="spellStart"/>
      <w:r w:rsidRPr="008A4B7A">
        <w:rPr>
          <w:rFonts w:asciiTheme="minorBidi" w:eastAsiaTheme="minorHAnsi" w:hAnsiTheme="minorBidi"/>
          <w:kern w:val="0"/>
          <w:sz w:val="24"/>
          <w:szCs w:val="24"/>
          <w:lang w:val="fr-FR" w:eastAsia="en-US"/>
          <w14:ligatures w14:val="none"/>
        </w:rPr>
        <w:t>Sheet</w:t>
      </w:r>
      <w:proofErr w:type="spellEnd"/>
    </w:p>
    <w:p w14:paraId="1FA4C0BE" w14:textId="77777777" w:rsidR="008A4B7A" w:rsidRPr="008A4B7A" w:rsidRDefault="008A4B7A" w:rsidP="008A4B7A">
      <w:pPr>
        <w:pStyle w:val="NoSpacing"/>
        <w:spacing w:line="480" w:lineRule="auto"/>
        <w:rPr>
          <w:rFonts w:asciiTheme="minorBidi" w:eastAsiaTheme="minorHAnsi" w:hAnsiTheme="minorBidi"/>
          <w:kern w:val="0"/>
          <w:sz w:val="24"/>
          <w:szCs w:val="24"/>
          <w:lang w:eastAsia="en-US"/>
          <w14:ligatures w14:val="none"/>
        </w:rPr>
      </w:pPr>
      <w:r w:rsidRPr="008A4B7A">
        <w:rPr>
          <w:rFonts w:asciiTheme="minorBidi" w:eastAsiaTheme="minorHAnsi" w:hAnsiTheme="minorBidi"/>
          <w:kern w:val="0"/>
          <w:sz w:val="24"/>
          <w:szCs w:val="24"/>
          <w:lang w:eastAsia="en-US"/>
          <w14:ligatures w14:val="none"/>
        </w:rPr>
        <w:t>Appendix E – Letter for Professional Accountants</w:t>
      </w:r>
    </w:p>
    <w:p w14:paraId="0E8301EF" w14:textId="77777777" w:rsidR="008A4B7A" w:rsidRPr="008A4B7A" w:rsidRDefault="008A4B7A" w:rsidP="008A4B7A">
      <w:pPr>
        <w:pStyle w:val="NoSpacing"/>
        <w:spacing w:line="480" w:lineRule="auto"/>
        <w:rPr>
          <w:rFonts w:asciiTheme="minorBidi" w:eastAsiaTheme="minorHAnsi" w:hAnsiTheme="minorBidi"/>
          <w:kern w:val="0"/>
          <w:sz w:val="24"/>
          <w:szCs w:val="24"/>
          <w:lang w:eastAsia="en-US"/>
          <w14:ligatures w14:val="none"/>
        </w:rPr>
      </w:pPr>
      <w:r w:rsidRPr="008A4B7A">
        <w:rPr>
          <w:rFonts w:asciiTheme="minorBidi" w:eastAsiaTheme="minorHAnsi" w:hAnsiTheme="minorBidi"/>
          <w:kern w:val="0"/>
          <w:sz w:val="24"/>
          <w:szCs w:val="24"/>
          <w:lang w:eastAsia="en-US"/>
          <w14:ligatures w14:val="none"/>
        </w:rPr>
        <w:t>Appendix F – Consent Form</w:t>
      </w:r>
    </w:p>
    <w:p w14:paraId="52EDD72F" w14:textId="77777777" w:rsidR="008A4B7A" w:rsidRPr="008A4B7A" w:rsidRDefault="008A4B7A" w:rsidP="008A4B7A">
      <w:pPr>
        <w:pStyle w:val="NoSpacing"/>
        <w:spacing w:line="480" w:lineRule="auto"/>
        <w:rPr>
          <w:rFonts w:asciiTheme="minorBidi" w:eastAsiaTheme="minorHAnsi" w:hAnsiTheme="minorBidi"/>
          <w:kern w:val="0"/>
          <w:sz w:val="24"/>
          <w:szCs w:val="24"/>
          <w:lang w:val="en-US" w:eastAsia="en-US"/>
          <w14:ligatures w14:val="none"/>
        </w:rPr>
      </w:pPr>
      <w:r w:rsidRPr="008A4B7A">
        <w:rPr>
          <w:rFonts w:asciiTheme="minorBidi" w:eastAsiaTheme="minorHAnsi" w:hAnsiTheme="minorBidi"/>
          <w:kern w:val="0"/>
          <w:sz w:val="24"/>
          <w:szCs w:val="24"/>
          <w:lang w:val="en-US" w:eastAsia="en-US"/>
          <w14:ligatures w14:val="none"/>
        </w:rPr>
        <w:t>Appendix G – Analysis Spreadsheet – Pilot Results</w:t>
      </w:r>
    </w:p>
    <w:p w14:paraId="09650A1B" w14:textId="77777777" w:rsidR="008A4B7A" w:rsidRPr="008A4B7A" w:rsidRDefault="008A4B7A" w:rsidP="008A4B7A">
      <w:pPr>
        <w:pStyle w:val="NoSpacing"/>
        <w:spacing w:line="480" w:lineRule="auto"/>
        <w:rPr>
          <w:rFonts w:asciiTheme="minorBidi" w:eastAsiaTheme="minorHAnsi" w:hAnsiTheme="minorBidi"/>
          <w:kern w:val="0"/>
          <w:sz w:val="24"/>
          <w:szCs w:val="24"/>
          <w:lang w:val="en-US" w:eastAsia="en-US"/>
          <w14:ligatures w14:val="none"/>
        </w:rPr>
      </w:pPr>
      <w:r w:rsidRPr="008A4B7A">
        <w:rPr>
          <w:rFonts w:asciiTheme="minorBidi" w:eastAsiaTheme="minorHAnsi" w:hAnsiTheme="minorBidi"/>
          <w:kern w:val="0"/>
          <w:sz w:val="24"/>
          <w:szCs w:val="24"/>
          <w:lang w:val="en-US" w:eastAsia="en-US"/>
          <w14:ligatures w14:val="none"/>
        </w:rPr>
        <w:t>Appendix H - Structured Survey for Professional Accountants</w:t>
      </w:r>
    </w:p>
    <w:p w14:paraId="04417418" w14:textId="77777777" w:rsidR="008A4B7A" w:rsidRPr="008A4B7A" w:rsidRDefault="008A4B7A" w:rsidP="008A4B7A">
      <w:pPr>
        <w:pStyle w:val="NoSpacing"/>
        <w:spacing w:line="480" w:lineRule="auto"/>
        <w:rPr>
          <w:rFonts w:asciiTheme="minorBidi" w:eastAsiaTheme="minorHAnsi" w:hAnsiTheme="minorBidi"/>
          <w:kern w:val="0"/>
          <w:sz w:val="24"/>
          <w:szCs w:val="24"/>
          <w:lang w:val="en-US" w:eastAsia="en-US"/>
          <w14:ligatures w14:val="none"/>
        </w:rPr>
      </w:pPr>
      <w:r w:rsidRPr="008A4B7A">
        <w:rPr>
          <w:rFonts w:asciiTheme="minorBidi" w:eastAsiaTheme="minorHAnsi" w:hAnsiTheme="minorBidi"/>
          <w:kern w:val="0"/>
          <w:sz w:val="24"/>
          <w:szCs w:val="24"/>
          <w:lang w:val="en-US" w:eastAsia="en-US"/>
          <w14:ligatures w14:val="none"/>
        </w:rPr>
        <w:t>Appendix I - Analysis Spreadsheet – Professional Accountants Results</w:t>
      </w:r>
    </w:p>
    <w:p w14:paraId="5E0F7EBB" w14:textId="77777777" w:rsidR="008A4B7A" w:rsidRPr="008A4B7A" w:rsidRDefault="008A4B7A" w:rsidP="008A4B7A">
      <w:pPr>
        <w:pStyle w:val="NoSpacing"/>
        <w:spacing w:line="480" w:lineRule="auto"/>
        <w:rPr>
          <w:rFonts w:asciiTheme="minorBidi" w:eastAsiaTheme="minorHAnsi" w:hAnsiTheme="minorBidi"/>
          <w:kern w:val="0"/>
          <w:sz w:val="24"/>
          <w:szCs w:val="24"/>
          <w:lang w:val="en-US" w:eastAsia="en-US"/>
          <w14:ligatures w14:val="none"/>
        </w:rPr>
      </w:pPr>
      <w:r w:rsidRPr="008A4B7A">
        <w:rPr>
          <w:rFonts w:asciiTheme="minorBidi" w:eastAsiaTheme="minorHAnsi" w:hAnsiTheme="minorBidi"/>
          <w:kern w:val="0"/>
          <w:sz w:val="24"/>
          <w:szCs w:val="24"/>
          <w:lang w:val="en-US" w:eastAsia="en-US"/>
          <w14:ligatures w14:val="none"/>
        </w:rPr>
        <w:t xml:space="preserve">Appendix J – </w:t>
      </w:r>
      <w:bookmarkStart w:id="1038" w:name="_Hlk147085106"/>
      <w:r w:rsidRPr="008A4B7A">
        <w:rPr>
          <w:rFonts w:asciiTheme="minorBidi" w:eastAsiaTheme="minorHAnsi" w:hAnsiTheme="minorBidi"/>
          <w:kern w:val="0"/>
          <w:sz w:val="24"/>
          <w:szCs w:val="24"/>
          <w:lang w:val="en-US" w:eastAsia="en-US"/>
          <w14:ligatures w14:val="none"/>
        </w:rPr>
        <w:t>Hypothesis Testing underpinned by Confidence Interval and One-t Test (Section B)</w:t>
      </w:r>
      <w:bookmarkEnd w:id="1038"/>
    </w:p>
    <w:p w14:paraId="137DA6C0" w14:textId="77777777" w:rsidR="008A4B7A" w:rsidRPr="008A4B7A" w:rsidRDefault="008A4B7A" w:rsidP="008A4B7A">
      <w:pPr>
        <w:pStyle w:val="NoSpacing"/>
        <w:spacing w:line="480" w:lineRule="auto"/>
        <w:rPr>
          <w:rFonts w:asciiTheme="minorBidi" w:eastAsiaTheme="minorHAnsi" w:hAnsiTheme="minorBidi"/>
          <w:kern w:val="0"/>
          <w:sz w:val="24"/>
          <w:szCs w:val="24"/>
          <w:lang w:eastAsia="en-US"/>
          <w14:ligatures w14:val="none"/>
        </w:rPr>
      </w:pPr>
      <w:r w:rsidRPr="008A4B7A">
        <w:rPr>
          <w:rFonts w:asciiTheme="minorBidi" w:eastAsiaTheme="minorHAnsi" w:hAnsiTheme="minorBidi"/>
          <w:kern w:val="0"/>
          <w:sz w:val="24"/>
          <w:szCs w:val="24"/>
          <w:lang w:eastAsia="en-US"/>
          <w14:ligatures w14:val="none"/>
        </w:rPr>
        <w:t xml:space="preserve">Appendix K - </w:t>
      </w:r>
      <w:r w:rsidRPr="008A4B7A">
        <w:rPr>
          <w:rFonts w:asciiTheme="minorBidi" w:eastAsiaTheme="minorHAnsi" w:hAnsiTheme="minorBidi"/>
          <w:kern w:val="0"/>
          <w:sz w:val="24"/>
          <w:szCs w:val="24"/>
          <w:lang w:val="en-US" w:eastAsia="en-US"/>
          <w14:ligatures w14:val="none"/>
        </w:rPr>
        <w:t>Hypothesis Testing underpinned by Confidence Interval and One-t Test (Section C)</w:t>
      </w:r>
    </w:p>
    <w:p w14:paraId="5672CCEB" w14:textId="77777777" w:rsidR="008A4B7A" w:rsidRPr="008A4B7A" w:rsidRDefault="008A4B7A" w:rsidP="008A4B7A">
      <w:pPr>
        <w:pStyle w:val="NoSpacing"/>
        <w:spacing w:line="480" w:lineRule="auto"/>
        <w:rPr>
          <w:rFonts w:asciiTheme="minorBidi" w:eastAsiaTheme="minorHAnsi" w:hAnsiTheme="minorBidi"/>
          <w:kern w:val="0"/>
          <w:sz w:val="24"/>
          <w:szCs w:val="24"/>
          <w:lang w:eastAsia="en-US"/>
          <w14:ligatures w14:val="none"/>
        </w:rPr>
      </w:pPr>
      <w:r w:rsidRPr="008A4B7A">
        <w:rPr>
          <w:rFonts w:asciiTheme="minorBidi" w:eastAsiaTheme="minorHAnsi" w:hAnsiTheme="minorBidi"/>
          <w:kern w:val="0"/>
          <w:sz w:val="24"/>
          <w:szCs w:val="24"/>
          <w:lang w:eastAsia="en-US"/>
          <w14:ligatures w14:val="none"/>
        </w:rPr>
        <w:t xml:space="preserve">Appendix L - </w:t>
      </w:r>
      <w:r w:rsidRPr="008A4B7A">
        <w:rPr>
          <w:rFonts w:asciiTheme="minorBidi" w:eastAsiaTheme="minorHAnsi" w:hAnsiTheme="minorBidi"/>
          <w:kern w:val="0"/>
          <w:sz w:val="24"/>
          <w:szCs w:val="24"/>
          <w:lang w:val="en-US" w:eastAsia="en-US"/>
          <w14:ligatures w14:val="none"/>
        </w:rPr>
        <w:t>Structured Survey for L6 Students</w:t>
      </w:r>
    </w:p>
    <w:p w14:paraId="0D2C43EB" w14:textId="77777777" w:rsidR="008A4B7A" w:rsidRPr="008A4B7A" w:rsidRDefault="008A4B7A" w:rsidP="008A4B7A">
      <w:pPr>
        <w:pStyle w:val="NoSpacing"/>
        <w:spacing w:line="480" w:lineRule="auto"/>
        <w:rPr>
          <w:rFonts w:asciiTheme="minorBidi" w:eastAsiaTheme="minorHAnsi" w:hAnsiTheme="minorBidi"/>
          <w:kern w:val="0"/>
          <w:sz w:val="24"/>
          <w:szCs w:val="24"/>
          <w:lang w:eastAsia="en-US"/>
          <w14:ligatures w14:val="none"/>
        </w:rPr>
      </w:pPr>
      <w:r w:rsidRPr="008A4B7A">
        <w:rPr>
          <w:rFonts w:asciiTheme="minorBidi" w:eastAsiaTheme="minorHAnsi" w:hAnsiTheme="minorBidi"/>
          <w:kern w:val="0"/>
          <w:sz w:val="24"/>
          <w:szCs w:val="24"/>
          <w:lang w:eastAsia="en-US"/>
          <w14:ligatures w14:val="none"/>
        </w:rPr>
        <w:t xml:space="preserve">Appendix M - </w:t>
      </w:r>
      <w:r w:rsidRPr="008A4B7A">
        <w:rPr>
          <w:rFonts w:asciiTheme="minorBidi" w:eastAsiaTheme="minorHAnsi" w:hAnsiTheme="minorBidi"/>
          <w:kern w:val="0"/>
          <w:sz w:val="24"/>
          <w:szCs w:val="24"/>
          <w:lang w:val="en-US" w:eastAsia="en-US"/>
          <w14:ligatures w14:val="none"/>
        </w:rPr>
        <w:t>Analysis Spreadsheet – L6 Accounting Students Results</w:t>
      </w:r>
    </w:p>
    <w:p w14:paraId="76363B1A" w14:textId="77777777" w:rsidR="008A4B7A" w:rsidRDefault="008A4B7A" w:rsidP="008A4B7A">
      <w:pPr>
        <w:pStyle w:val="NoSpacing"/>
        <w:spacing w:line="480" w:lineRule="auto"/>
        <w:rPr>
          <w:rFonts w:asciiTheme="minorBidi" w:eastAsiaTheme="minorHAnsi" w:hAnsiTheme="minorBidi"/>
          <w:kern w:val="0"/>
          <w:sz w:val="24"/>
          <w:szCs w:val="24"/>
          <w:lang w:val="en-US" w:eastAsia="en-US"/>
          <w14:ligatures w14:val="none"/>
        </w:rPr>
      </w:pPr>
      <w:r w:rsidRPr="008A4B7A">
        <w:rPr>
          <w:rFonts w:asciiTheme="minorBidi" w:eastAsiaTheme="minorHAnsi" w:hAnsiTheme="minorBidi"/>
          <w:kern w:val="0"/>
          <w:sz w:val="24"/>
          <w:szCs w:val="24"/>
          <w:lang w:eastAsia="en-US"/>
          <w14:ligatures w14:val="none"/>
        </w:rPr>
        <w:t xml:space="preserve">Appendix N - </w:t>
      </w:r>
      <w:r w:rsidRPr="008A4B7A">
        <w:rPr>
          <w:rFonts w:asciiTheme="minorBidi" w:eastAsiaTheme="minorHAnsi" w:hAnsiTheme="minorBidi"/>
          <w:kern w:val="0"/>
          <w:sz w:val="24"/>
          <w:szCs w:val="24"/>
          <w:lang w:val="en-US" w:eastAsia="en-US"/>
          <w14:ligatures w14:val="none"/>
        </w:rPr>
        <w:t>Hypothesis Testing underpinned by Confidence Interval and One-t Test (Students)</w:t>
      </w:r>
    </w:p>
    <w:p w14:paraId="469B7D76" w14:textId="77777777" w:rsidR="006D30F4" w:rsidRDefault="006D30F4" w:rsidP="008A4B7A">
      <w:pPr>
        <w:pStyle w:val="NoSpacing"/>
        <w:spacing w:line="480" w:lineRule="auto"/>
        <w:rPr>
          <w:rFonts w:asciiTheme="minorBidi" w:eastAsiaTheme="minorHAnsi" w:hAnsiTheme="minorBidi"/>
          <w:kern w:val="0"/>
          <w:sz w:val="24"/>
          <w:szCs w:val="24"/>
          <w:lang w:val="en-US" w:eastAsia="en-US"/>
          <w14:ligatures w14:val="none"/>
        </w:rPr>
      </w:pPr>
    </w:p>
    <w:p w14:paraId="7824729D" w14:textId="77777777" w:rsidR="00241193" w:rsidRDefault="00241193" w:rsidP="002A3B87">
      <w:pPr>
        <w:pStyle w:val="NoSpacing"/>
        <w:spacing w:line="480" w:lineRule="auto"/>
        <w:jc w:val="center"/>
        <w:rPr>
          <w:rFonts w:asciiTheme="minorBidi" w:eastAsiaTheme="minorHAnsi" w:hAnsiTheme="minorBidi"/>
          <w:b/>
          <w:bCs/>
          <w:kern w:val="0"/>
          <w:sz w:val="20"/>
          <w:szCs w:val="20"/>
          <w:lang w:val="en-US" w:eastAsia="en-US"/>
          <w14:ligatures w14:val="none"/>
        </w:rPr>
      </w:pPr>
    </w:p>
    <w:p w14:paraId="2C83160C" w14:textId="77777777" w:rsidR="00241193" w:rsidRDefault="00241193" w:rsidP="002A3B87">
      <w:pPr>
        <w:pStyle w:val="NoSpacing"/>
        <w:spacing w:line="480" w:lineRule="auto"/>
        <w:jc w:val="center"/>
        <w:rPr>
          <w:rFonts w:asciiTheme="minorBidi" w:eastAsiaTheme="minorHAnsi" w:hAnsiTheme="minorBidi"/>
          <w:b/>
          <w:bCs/>
          <w:kern w:val="0"/>
          <w:sz w:val="20"/>
          <w:szCs w:val="20"/>
          <w:lang w:val="en-US" w:eastAsia="en-US"/>
          <w14:ligatures w14:val="none"/>
        </w:rPr>
      </w:pPr>
    </w:p>
    <w:p w14:paraId="4099A5AC" w14:textId="77777777" w:rsidR="00241193" w:rsidRDefault="00241193" w:rsidP="002A3B87">
      <w:pPr>
        <w:pStyle w:val="NoSpacing"/>
        <w:spacing w:line="480" w:lineRule="auto"/>
        <w:jc w:val="center"/>
        <w:rPr>
          <w:rFonts w:asciiTheme="minorBidi" w:eastAsiaTheme="minorHAnsi" w:hAnsiTheme="minorBidi"/>
          <w:b/>
          <w:bCs/>
          <w:kern w:val="0"/>
          <w:sz w:val="20"/>
          <w:szCs w:val="20"/>
          <w:lang w:val="en-US" w:eastAsia="en-US"/>
          <w14:ligatures w14:val="none"/>
        </w:rPr>
      </w:pPr>
    </w:p>
    <w:p w14:paraId="77A53FB1" w14:textId="77777777" w:rsidR="00241193" w:rsidRDefault="00241193" w:rsidP="002A3B87">
      <w:pPr>
        <w:pStyle w:val="NoSpacing"/>
        <w:spacing w:line="480" w:lineRule="auto"/>
        <w:jc w:val="center"/>
        <w:rPr>
          <w:rFonts w:asciiTheme="minorBidi" w:eastAsiaTheme="minorHAnsi" w:hAnsiTheme="minorBidi"/>
          <w:b/>
          <w:bCs/>
          <w:kern w:val="0"/>
          <w:sz w:val="20"/>
          <w:szCs w:val="20"/>
          <w:lang w:val="en-US" w:eastAsia="en-US"/>
          <w14:ligatures w14:val="none"/>
        </w:rPr>
      </w:pPr>
    </w:p>
    <w:p w14:paraId="444B9218" w14:textId="77777777" w:rsidR="00241193" w:rsidRDefault="00241193" w:rsidP="002A3B87">
      <w:pPr>
        <w:pStyle w:val="NoSpacing"/>
        <w:spacing w:line="480" w:lineRule="auto"/>
        <w:jc w:val="center"/>
        <w:rPr>
          <w:rFonts w:asciiTheme="minorBidi" w:eastAsiaTheme="minorHAnsi" w:hAnsiTheme="minorBidi"/>
          <w:b/>
          <w:bCs/>
          <w:kern w:val="0"/>
          <w:sz w:val="20"/>
          <w:szCs w:val="20"/>
          <w:lang w:val="en-US" w:eastAsia="en-US"/>
          <w14:ligatures w14:val="none"/>
        </w:rPr>
      </w:pPr>
    </w:p>
    <w:p w14:paraId="3A9FDAAE" w14:textId="77777777" w:rsidR="00241193" w:rsidRDefault="00241193" w:rsidP="002A3B87">
      <w:pPr>
        <w:pStyle w:val="NoSpacing"/>
        <w:spacing w:line="480" w:lineRule="auto"/>
        <w:jc w:val="center"/>
        <w:rPr>
          <w:rFonts w:asciiTheme="minorBidi" w:eastAsiaTheme="minorHAnsi" w:hAnsiTheme="minorBidi"/>
          <w:b/>
          <w:bCs/>
          <w:kern w:val="0"/>
          <w:sz w:val="20"/>
          <w:szCs w:val="20"/>
          <w:lang w:val="en-US" w:eastAsia="en-US"/>
          <w14:ligatures w14:val="none"/>
        </w:rPr>
      </w:pPr>
    </w:p>
    <w:p w14:paraId="70596CF4" w14:textId="77777777" w:rsidR="00241193" w:rsidRDefault="00241193" w:rsidP="002A3B87">
      <w:pPr>
        <w:pStyle w:val="NoSpacing"/>
        <w:spacing w:line="480" w:lineRule="auto"/>
        <w:jc w:val="center"/>
        <w:rPr>
          <w:rFonts w:asciiTheme="minorBidi" w:eastAsiaTheme="minorHAnsi" w:hAnsiTheme="minorBidi"/>
          <w:b/>
          <w:bCs/>
          <w:kern w:val="0"/>
          <w:sz w:val="20"/>
          <w:szCs w:val="20"/>
          <w:lang w:val="en-US" w:eastAsia="en-US"/>
          <w14:ligatures w14:val="none"/>
        </w:rPr>
      </w:pPr>
    </w:p>
    <w:p w14:paraId="243E8649" w14:textId="77777777" w:rsidR="00241193" w:rsidRDefault="00241193" w:rsidP="002A3B87">
      <w:pPr>
        <w:pStyle w:val="NoSpacing"/>
        <w:spacing w:line="480" w:lineRule="auto"/>
        <w:jc w:val="center"/>
        <w:rPr>
          <w:rFonts w:asciiTheme="minorBidi" w:eastAsiaTheme="minorHAnsi" w:hAnsiTheme="minorBidi"/>
          <w:b/>
          <w:bCs/>
          <w:kern w:val="0"/>
          <w:sz w:val="20"/>
          <w:szCs w:val="20"/>
          <w:lang w:val="en-US" w:eastAsia="en-US"/>
          <w14:ligatures w14:val="none"/>
        </w:rPr>
      </w:pPr>
    </w:p>
    <w:p w14:paraId="126CD6D9" w14:textId="77777777" w:rsidR="00241193" w:rsidRDefault="00241193" w:rsidP="002A3B87">
      <w:pPr>
        <w:pStyle w:val="NoSpacing"/>
        <w:spacing w:line="480" w:lineRule="auto"/>
        <w:jc w:val="center"/>
        <w:rPr>
          <w:rFonts w:asciiTheme="minorBidi" w:eastAsiaTheme="minorHAnsi" w:hAnsiTheme="minorBidi"/>
          <w:b/>
          <w:bCs/>
          <w:kern w:val="0"/>
          <w:sz w:val="20"/>
          <w:szCs w:val="20"/>
          <w:lang w:val="en-US" w:eastAsia="en-US"/>
          <w14:ligatures w14:val="none"/>
        </w:rPr>
      </w:pPr>
    </w:p>
    <w:p w14:paraId="2CE05F85" w14:textId="77777777" w:rsidR="00241193" w:rsidRDefault="00241193" w:rsidP="002A3B87">
      <w:pPr>
        <w:pStyle w:val="NoSpacing"/>
        <w:spacing w:line="480" w:lineRule="auto"/>
        <w:jc w:val="center"/>
        <w:rPr>
          <w:rFonts w:asciiTheme="minorBidi" w:eastAsiaTheme="minorHAnsi" w:hAnsiTheme="minorBidi"/>
          <w:b/>
          <w:bCs/>
          <w:kern w:val="0"/>
          <w:sz w:val="20"/>
          <w:szCs w:val="20"/>
          <w:lang w:val="en-US" w:eastAsia="en-US"/>
          <w14:ligatures w14:val="none"/>
        </w:rPr>
      </w:pPr>
    </w:p>
    <w:p w14:paraId="12EE3DC3" w14:textId="77777777" w:rsidR="00241193" w:rsidRDefault="00241193" w:rsidP="002A3B87">
      <w:pPr>
        <w:pStyle w:val="NoSpacing"/>
        <w:spacing w:line="480" w:lineRule="auto"/>
        <w:jc w:val="center"/>
        <w:rPr>
          <w:rFonts w:asciiTheme="minorBidi" w:eastAsiaTheme="minorHAnsi" w:hAnsiTheme="minorBidi"/>
          <w:b/>
          <w:bCs/>
          <w:kern w:val="0"/>
          <w:sz w:val="20"/>
          <w:szCs w:val="20"/>
          <w:lang w:val="en-US" w:eastAsia="en-US"/>
          <w14:ligatures w14:val="none"/>
        </w:rPr>
      </w:pPr>
    </w:p>
    <w:p w14:paraId="793E2A62" w14:textId="77777777" w:rsidR="00241193" w:rsidRDefault="00241193" w:rsidP="002A3B87">
      <w:pPr>
        <w:pStyle w:val="NoSpacing"/>
        <w:spacing w:line="480" w:lineRule="auto"/>
        <w:jc w:val="center"/>
        <w:rPr>
          <w:rFonts w:asciiTheme="minorBidi" w:eastAsiaTheme="minorHAnsi" w:hAnsiTheme="minorBidi"/>
          <w:b/>
          <w:bCs/>
          <w:kern w:val="0"/>
          <w:sz w:val="20"/>
          <w:szCs w:val="20"/>
          <w:lang w:val="en-US" w:eastAsia="en-US"/>
          <w14:ligatures w14:val="none"/>
        </w:rPr>
      </w:pPr>
    </w:p>
    <w:p w14:paraId="7B2DD2CA" w14:textId="77777777" w:rsidR="00241193" w:rsidRDefault="00241193" w:rsidP="002A3B87">
      <w:pPr>
        <w:pStyle w:val="NoSpacing"/>
        <w:spacing w:line="480" w:lineRule="auto"/>
        <w:jc w:val="center"/>
        <w:rPr>
          <w:rFonts w:asciiTheme="minorBidi" w:eastAsiaTheme="minorHAnsi" w:hAnsiTheme="minorBidi"/>
          <w:b/>
          <w:bCs/>
          <w:kern w:val="0"/>
          <w:sz w:val="20"/>
          <w:szCs w:val="20"/>
          <w:lang w:val="en-US" w:eastAsia="en-US"/>
          <w14:ligatures w14:val="none"/>
        </w:rPr>
      </w:pPr>
    </w:p>
    <w:p w14:paraId="7D3A8DFF" w14:textId="1D61E5E1" w:rsidR="006D30F4" w:rsidRPr="002A3B87" w:rsidRDefault="006D30F4" w:rsidP="00F47802">
      <w:pPr>
        <w:pStyle w:val="NoSpacing"/>
        <w:pBdr>
          <w:top w:val="single" w:sz="4" w:space="1" w:color="auto"/>
          <w:left w:val="single" w:sz="4" w:space="4" w:color="auto"/>
          <w:bottom w:val="single" w:sz="4" w:space="1" w:color="auto"/>
          <w:right w:val="single" w:sz="4" w:space="4" w:color="auto"/>
        </w:pBdr>
        <w:spacing w:line="480" w:lineRule="auto"/>
        <w:jc w:val="center"/>
        <w:rPr>
          <w:rFonts w:asciiTheme="minorBidi" w:eastAsiaTheme="minorHAnsi" w:hAnsiTheme="minorBidi"/>
          <w:b/>
          <w:bCs/>
          <w:kern w:val="0"/>
          <w:sz w:val="20"/>
          <w:szCs w:val="20"/>
          <w:lang w:eastAsia="en-US"/>
          <w14:ligatures w14:val="none"/>
        </w:rPr>
      </w:pPr>
      <w:r w:rsidRPr="002A3B87">
        <w:rPr>
          <w:rFonts w:asciiTheme="minorBidi" w:eastAsiaTheme="minorHAnsi" w:hAnsiTheme="minorBidi"/>
          <w:b/>
          <w:bCs/>
          <w:kern w:val="0"/>
          <w:sz w:val="20"/>
          <w:szCs w:val="20"/>
          <w:lang w:val="en-US" w:eastAsia="en-US"/>
          <w14:ligatures w14:val="none"/>
        </w:rPr>
        <w:t xml:space="preserve">(Please </w:t>
      </w:r>
      <w:r w:rsidR="002A3B87" w:rsidRPr="002A3B87">
        <w:rPr>
          <w:rFonts w:asciiTheme="minorBidi" w:eastAsiaTheme="minorHAnsi" w:hAnsiTheme="minorBidi"/>
          <w:b/>
          <w:bCs/>
          <w:kern w:val="0"/>
          <w:sz w:val="20"/>
          <w:szCs w:val="20"/>
          <w:lang w:val="en-US" w:eastAsia="en-US"/>
          <w14:ligatures w14:val="none"/>
        </w:rPr>
        <w:t>E</w:t>
      </w:r>
      <w:r w:rsidRPr="002A3B87">
        <w:rPr>
          <w:rFonts w:asciiTheme="minorBidi" w:eastAsiaTheme="minorHAnsi" w:hAnsiTheme="minorBidi"/>
          <w:b/>
          <w:bCs/>
          <w:kern w:val="0"/>
          <w:sz w:val="20"/>
          <w:szCs w:val="20"/>
          <w:lang w:val="en-US" w:eastAsia="en-US"/>
          <w14:ligatures w14:val="none"/>
        </w:rPr>
        <w:t xml:space="preserve">mail </w:t>
      </w:r>
      <w:r w:rsidR="002A3B87" w:rsidRPr="002A3B87">
        <w:rPr>
          <w:rFonts w:asciiTheme="minorBidi" w:eastAsiaTheme="minorHAnsi" w:hAnsiTheme="minorBidi"/>
          <w:b/>
          <w:bCs/>
          <w:kern w:val="0"/>
          <w:sz w:val="20"/>
          <w:szCs w:val="20"/>
          <w:lang w:val="en-US" w:eastAsia="en-US"/>
          <w14:ligatures w14:val="none"/>
        </w:rPr>
        <w:t>R</w:t>
      </w:r>
      <w:r w:rsidRPr="002A3B87">
        <w:rPr>
          <w:rFonts w:asciiTheme="minorBidi" w:eastAsiaTheme="minorHAnsi" w:hAnsiTheme="minorBidi"/>
          <w:b/>
          <w:bCs/>
          <w:kern w:val="0"/>
          <w:sz w:val="20"/>
          <w:szCs w:val="20"/>
          <w:lang w:val="en-US" w:eastAsia="en-US"/>
          <w14:ligatures w14:val="none"/>
        </w:rPr>
        <w:t xml:space="preserve">esearcher for </w:t>
      </w:r>
      <w:r w:rsidR="00F47802">
        <w:rPr>
          <w:rFonts w:asciiTheme="minorBidi" w:eastAsiaTheme="minorHAnsi" w:hAnsiTheme="minorBidi"/>
          <w:b/>
          <w:bCs/>
          <w:kern w:val="0"/>
          <w:sz w:val="20"/>
          <w:szCs w:val="20"/>
          <w:lang w:val="en-US" w:eastAsia="en-US"/>
          <w14:ligatures w14:val="none"/>
        </w:rPr>
        <w:t xml:space="preserve">Complete </w:t>
      </w:r>
      <w:r w:rsidR="002A3B87" w:rsidRPr="002A3B87">
        <w:rPr>
          <w:rFonts w:asciiTheme="minorBidi" w:eastAsiaTheme="minorHAnsi" w:hAnsiTheme="minorBidi"/>
          <w:b/>
          <w:bCs/>
          <w:kern w:val="0"/>
          <w:sz w:val="20"/>
          <w:szCs w:val="20"/>
          <w:lang w:val="en-US" w:eastAsia="en-US"/>
          <w14:ligatures w14:val="none"/>
        </w:rPr>
        <w:t>A</w:t>
      </w:r>
      <w:r w:rsidRPr="002A3B87">
        <w:rPr>
          <w:rFonts w:asciiTheme="minorBidi" w:eastAsiaTheme="minorHAnsi" w:hAnsiTheme="minorBidi"/>
          <w:b/>
          <w:bCs/>
          <w:kern w:val="0"/>
          <w:sz w:val="20"/>
          <w:szCs w:val="20"/>
          <w:lang w:val="en-US" w:eastAsia="en-US"/>
          <w14:ligatures w14:val="none"/>
        </w:rPr>
        <w:t>ccess</w:t>
      </w:r>
      <w:r w:rsidR="00F47802">
        <w:rPr>
          <w:rFonts w:asciiTheme="minorBidi" w:eastAsiaTheme="minorHAnsi" w:hAnsiTheme="minorBidi"/>
          <w:b/>
          <w:bCs/>
          <w:kern w:val="0"/>
          <w:sz w:val="20"/>
          <w:szCs w:val="20"/>
          <w:lang w:val="en-US" w:eastAsia="en-US"/>
          <w14:ligatures w14:val="none"/>
        </w:rPr>
        <w:t xml:space="preserve"> to Appendices due to editing and file types (Word &amp; Excel)</w:t>
      </w:r>
      <w:r w:rsidR="002A3B87" w:rsidRPr="002A3B87">
        <w:rPr>
          <w:rFonts w:asciiTheme="minorBidi" w:eastAsiaTheme="minorHAnsi" w:hAnsiTheme="minorBidi"/>
          <w:b/>
          <w:bCs/>
          <w:kern w:val="0"/>
          <w:sz w:val="20"/>
          <w:szCs w:val="20"/>
          <w:lang w:val="en-US" w:eastAsia="en-US"/>
          <w14:ligatures w14:val="none"/>
        </w:rPr>
        <w:t>: F.Sheikh@edu.salford.ac.uk)</w:t>
      </w:r>
    </w:p>
    <w:p w14:paraId="19863F25" w14:textId="77777777" w:rsidR="008A4B7A" w:rsidRDefault="008A4B7A" w:rsidP="008A4B7A"/>
    <w:p w14:paraId="34787B67" w14:textId="77777777" w:rsidR="007C27A1" w:rsidRPr="007C27A1" w:rsidRDefault="007C27A1" w:rsidP="007C27A1">
      <w:pPr>
        <w:spacing w:line="480" w:lineRule="auto"/>
        <w:contextualSpacing/>
        <w:jc w:val="both"/>
        <w:rPr>
          <w:rFonts w:asciiTheme="minorBidi" w:eastAsia="Times New Roman" w:hAnsiTheme="minorBidi"/>
          <w:kern w:val="0"/>
          <w14:ligatures w14:val="none"/>
        </w:rPr>
      </w:pPr>
    </w:p>
    <w:p w14:paraId="0D22F62A" w14:textId="77777777" w:rsidR="007C27A1" w:rsidRDefault="007C27A1" w:rsidP="007C27A1">
      <w:pPr>
        <w:spacing w:line="480" w:lineRule="auto"/>
        <w:contextualSpacing/>
        <w:jc w:val="both"/>
        <w:rPr>
          <w:rFonts w:ascii="Times New Roman" w:eastAsia="Times New Roman" w:hAnsi="Times New Roman" w:cs="Times New Roman"/>
          <w:color w:val="FF0000"/>
          <w:kern w:val="0"/>
          <w14:ligatures w14:val="none"/>
        </w:rPr>
      </w:pPr>
    </w:p>
    <w:p w14:paraId="52232F93" w14:textId="77777777" w:rsidR="00264F22" w:rsidRDefault="00264F22" w:rsidP="007C27A1">
      <w:pPr>
        <w:spacing w:line="480" w:lineRule="auto"/>
        <w:contextualSpacing/>
        <w:jc w:val="both"/>
        <w:rPr>
          <w:rFonts w:ascii="Times New Roman" w:eastAsia="Times New Roman" w:hAnsi="Times New Roman" w:cs="Times New Roman"/>
          <w:color w:val="FF0000"/>
          <w:kern w:val="0"/>
          <w14:ligatures w14:val="none"/>
        </w:rPr>
      </w:pPr>
    </w:p>
    <w:p w14:paraId="2BA609C4" w14:textId="77777777" w:rsidR="00264F22" w:rsidRDefault="00264F22" w:rsidP="007C27A1">
      <w:pPr>
        <w:spacing w:line="480" w:lineRule="auto"/>
        <w:contextualSpacing/>
        <w:jc w:val="both"/>
        <w:rPr>
          <w:rFonts w:ascii="Times New Roman" w:eastAsia="Times New Roman" w:hAnsi="Times New Roman" w:cs="Times New Roman"/>
          <w:color w:val="FF0000"/>
          <w:kern w:val="0"/>
          <w14:ligatures w14:val="none"/>
        </w:rPr>
      </w:pPr>
    </w:p>
    <w:p w14:paraId="4E8141CE" w14:textId="77777777" w:rsidR="00264F22" w:rsidRDefault="00264F22" w:rsidP="007C27A1">
      <w:pPr>
        <w:spacing w:line="480" w:lineRule="auto"/>
        <w:contextualSpacing/>
        <w:jc w:val="both"/>
        <w:rPr>
          <w:rFonts w:ascii="Times New Roman" w:eastAsia="Times New Roman" w:hAnsi="Times New Roman" w:cs="Times New Roman"/>
          <w:color w:val="FF0000"/>
          <w:kern w:val="0"/>
          <w14:ligatures w14:val="none"/>
        </w:rPr>
      </w:pPr>
    </w:p>
    <w:p w14:paraId="09444355" w14:textId="77777777" w:rsidR="00264F22" w:rsidRDefault="00264F22" w:rsidP="007C27A1">
      <w:pPr>
        <w:spacing w:line="480" w:lineRule="auto"/>
        <w:contextualSpacing/>
        <w:jc w:val="both"/>
        <w:rPr>
          <w:rFonts w:ascii="Times New Roman" w:eastAsia="Times New Roman" w:hAnsi="Times New Roman" w:cs="Times New Roman"/>
          <w:color w:val="FF0000"/>
          <w:kern w:val="0"/>
          <w14:ligatures w14:val="none"/>
        </w:rPr>
      </w:pPr>
    </w:p>
    <w:sectPr w:rsidR="00264F2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2CFF0F6" w14:textId="77777777" w:rsidR="00111BDE" w:rsidRDefault="00111BDE" w:rsidP="00071906">
      <w:pPr>
        <w:spacing w:after="0" w:line="240" w:lineRule="auto"/>
      </w:pPr>
      <w:r>
        <w:separator/>
      </w:r>
    </w:p>
  </w:endnote>
  <w:endnote w:type="continuationSeparator" w:id="0">
    <w:p w14:paraId="1B4819F6" w14:textId="77777777" w:rsidR="00111BDE" w:rsidRDefault="00111BDE" w:rsidP="000719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DengXian Light">
    <w:altName w:val="等线 Light"/>
    <w:panose1 w:val="02010600030101010101"/>
    <w:charset w:val="86"/>
    <w:family w:val="auto"/>
    <w:pitch w:val="variable"/>
    <w:sig w:usb0="A00002BF" w:usb1="38CF7CFA" w:usb2="00000016" w:usb3="00000000" w:csb0="0004000F" w:csb1="00000000"/>
  </w:font>
  <w:font w:name="Adobe Garamond Pro">
    <w:altName w:val="Georgia"/>
    <w:panose1 w:val="00000000000000000000"/>
    <w:charset w:val="00"/>
    <w:family w:val="roman"/>
    <w:notTrueType/>
    <w:pitch w:val="variable"/>
    <w:sig w:usb0="00000007" w:usb1="00000001" w:usb2="00000000" w:usb3="00000000" w:csb0="00000093"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NewRomanPSMT">
    <w:altName w:val="MS Mincho"/>
    <w:panose1 w:val="00000000000000000000"/>
    <w:charset w:val="00"/>
    <w:family w:val="swiss"/>
    <w:notTrueType/>
    <w:pitch w:val="default"/>
    <w:sig w:usb0="00000003" w:usb1="00000000" w:usb2="00000000" w:usb3="00000000" w:csb0="00000001" w:csb1="00000000"/>
  </w:font>
  <w:font w:name="Roboto">
    <w:charset w:val="00"/>
    <w:family w:val="auto"/>
    <w:pitch w:val="variable"/>
    <w:sig w:usb0="E0000AFF" w:usb1="5000217F" w:usb2="00000021" w:usb3="00000000" w:csb0="0000019F" w:csb1="00000000"/>
  </w:font>
  <w:font w:name="PT Serif">
    <w:charset w:val="00"/>
    <w:family w:val="roman"/>
    <w:pitch w:val="variable"/>
    <w:sig w:usb0="A00002EF" w:usb1="5000204B" w:usb2="00000000" w:usb3="00000000" w:csb0="00000097"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8F41111" w14:textId="77777777" w:rsidR="00111BDE" w:rsidRDefault="00111BDE" w:rsidP="00071906">
      <w:pPr>
        <w:spacing w:after="0" w:line="240" w:lineRule="auto"/>
      </w:pPr>
      <w:r>
        <w:separator/>
      </w:r>
    </w:p>
  </w:footnote>
  <w:footnote w:type="continuationSeparator" w:id="0">
    <w:p w14:paraId="6050EE1D" w14:textId="77777777" w:rsidR="00111BDE" w:rsidRDefault="00111BDE" w:rsidP="0007190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5376585"/>
      <w:docPartObj>
        <w:docPartGallery w:val="Page Numbers (Top of Page)"/>
        <w:docPartUnique/>
      </w:docPartObj>
    </w:sdtPr>
    <w:sdtEndPr>
      <w:rPr>
        <w:noProof/>
      </w:rPr>
    </w:sdtEndPr>
    <w:sdtContent>
      <w:p w14:paraId="6675EBA2" w14:textId="53219225" w:rsidR="00071906" w:rsidRDefault="00071906">
        <w:pPr>
          <w:pStyle w:val="Header"/>
          <w:jc w:val="center"/>
        </w:pPr>
        <w:r>
          <w:fldChar w:fldCharType="begin"/>
        </w:r>
        <w:r>
          <w:instrText xml:space="preserve"> PAGE   \* MERGEFORMAT </w:instrText>
        </w:r>
        <w:r>
          <w:fldChar w:fldCharType="separate"/>
        </w:r>
        <w:r>
          <w:rPr>
            <w:noProof/>
          </w:rPr>
          <w:t>2</w:t>
        </w:r>
        <w:r>
          <w:rPr>
            <w:noProof/>
          </w:rPr>
          <w:fldChar w:fldCharType="end"/>
        </w:r>
      </w:p>
    </w:sdtContent>
  </w:sdt>
  <w:p w14:paraId="715221E0" w14:textId="77777777" w:rsidR="00071906" w:rsidRDefault="000719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305232"/>
    <w:multiLevelType w:val="hybridMultilevel"/>
    <w:tmpl w:val="FD9022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2D230E"/>
    <w:multiLevelType w:val="multilevel"/>
    <w:tmpl w:val="013EEF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B8519C"/>
    <w:multiLevelType w:val="hybridMultilevel"/>
    <w:tmpl w:val="88D25F56"/>
    <w:lvl w:ilvl="0" w:tplc="F1A4AF4C">
      <w:start w:val="1"/>
      <w:numFmt w:val="lowerLetter"/>
      <w:lvlText w:val="(%1)"/>
      <w:lvlJc w:val="left"/>
      <w:pPr>
        <w:ind w:left="780" w:hanging="4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8960FF1"/>
    <w:multiLevelType w:val="hybridMultilevel"/>
    <w:tmpl w:val="0EFA13C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9D72535"/>
    <w:multiLevelType w:val="hybridMultilevel"/>
    <w:tmpl w:val="A43071C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A8307A9"/>
    <w:multiLevelType w:val="hybridMultilevel"/>
    <w:tmpl w:val="03CE60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F422F7"/>
    <w:multiLevelType w:val="multilevel"/>
    <w:tmpl w:val="0E7C02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EAD31D0"/>
    <w:multiLevelType w:val="hybridMultilevel"/>
    <w:tmpl w:val="82A467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2091E00"/>
    <w:multiLevelType w:val="hybridMultilevel"/>
    <w:tmpl w:val="6E1EDC00"/>
    <w:lvl w:ilvl="0" w:tplc="0809000F">
      <w:start w:val="16"/>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45F400E"/>
    <w:multiLevelType w:val="hybridMultilevel"/>
    <w:tmpl w:val="1804C4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DCF4456"/>
    <w:multiLevelType w:val="hybridMultilevel"/>
    <w:tmpl w:val="57CA669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1EAC677A"/>
    <w:multiLevelType w:val="hybridMultilevel"/>
    <w:tmpl w:val="EEF6ED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EAF5F00"/>
    <w:multiLevelType w:val="hybridMultilevel"/>
    <w:tmpl w:val="4B4E473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1626BE2"/>
    <w:multiLevelType w:val="multilevel"/>
    <w:tmpl w:val="24FAD4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7DF5009"/>
    <w:multiLevelType w:val="hybridMultilevel"/>
    <w:tmpl w:val="A70CE3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B73094D"/>
    <w:multiLevelType w:val="hybridMultilevel"/>
    <w:tmpl w:val="E8164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CE05258"/>
    <w:multiLevelType w:val="hybridMultilevel"/>
    <w:tmpl w:val="D2F835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8FA0A39"/>
    <w:multiLevelType w:val="hybridMultilevel"/>
    <w:tmpl w:val="C2FE0D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9CA44CD"/>
    <w:multiLevelType w:val="hybridMultilevel"/>
    <w:tmpl w:val="3FAE67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B1C698B"/>
    <w:multiLevelType w:val="hybridMultilevel"/>
    <w:tmpl w:val="0738736E"/>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0F11A23"/>
    <w:multiLevelType w:val="hybridMultilevel"/>
    <w:tmpl w:val="B0A05A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5AA5967"/>
    <w:multiLevelType w:val="hybridMultilevel"/>
    <w:tmpl w:val="3EF46B80"/>
    <w:lvl w:ilvl="0" w:tplc="0809000F">
      <w:start w:val="1"/>
      <w:numFmt w:val="decimal"/>
      <w:lvlText w:val="%1."/>
      <w:lvlJc w:val="left"/>
      <w:pPr>
        <w:ind w:left="720" w:hanging="360"/>
      </w:pPr>
      <w:rPr>
        <w:rFonts w:eastAsia="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88D0E27"/>
    <w:multiLevelType w:val="multilevel"/>
    <w:tmpl w:val="441E83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4E957817"/>
    <w:multiLevelType w:val="hybridMultilevel"/>
    <w:tmpl w:val="96E088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A74708D"/>
    <w:multiLevelType w:val="hybridMultilevel"/>
    <w:tmpl w:val="3EDCD342"/>
    <w:lvl w:ilvl="0" w:tplc="0809000F">
      <w:start w:val="5"/>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E5D50F5"/>
    <w:multiLevelType w:val="hybridMultilevel"/>
    <w:tmpl w:val="169CD9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1693DD1"/>
    <w:multiLevelType w:val="hybridMultilevel"/>
    <w:tmpl w:val="57CA669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680E336E"/>
    <w:multiLevelType w:val="hybridMultilevel"/>
    <w:tmpl w:val="A66897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89A1787"/>
    <w:multiLevelType w:val="hybridMultilevel"/>
    <w:tmpl w:val="89CAB4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90542E7"/>
    <w:multiLevelType w:val="hybridMultilevel"/>
    <w:tmpl w:val="BBC2B4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9A8124B"/>
    <w:multiLevelType w:val="hybridMultilevel"/>
    <w:tmpl w:val="F89067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6404CC"/>
    <w:multiLevelType w:val="hybridMultilevel"/>
    <w:tmpl w:val="534880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D4423A4"/>
    <w:multiLevelType w:val="hybridMultilevel"/>
    <w:tmpl w:val="FD52C4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DB052C0"/>
    <w:multiLevelType w:val="hybridMultilevel"/>
    <w:tmpl w:val="B400EA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1A4039F"/>
    <w:multiLevelType w:val="hybridMultilevel"/>
    <w:tmpl w:val="33CEAE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551DB7"/>
    <w:multiLevelType w:val="hybridMultilevel"/>
    <w:tmpl w:val="B15CCB7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9F92717"/>
    <w:multiLevelType w:val="hybridMultilevel"/>
    <w:tmpl w:val="D3BA13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A421781"/>
    <w:multiLevelType w:val="hybridMultilevel"/>
    <w:tmpl w:val="AD3AFD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E3923CB"/>
    <w:multiLevelType w:val="multilevel"/>
    <w:tmpl w:val="CD803CE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6859070">
    <w:abstractNumId w:val="26"/>
  </w:num>
  <w:num w:numId="2" w16cid:durableId="1887446159">
    <w:abstractNumId w:val="14"/>
  </w:num>
  <w:num w:numId="3" w16cid:durableId="1781894">
    <w:abstractNumId w:val="18"/>
  </w:num>
  <w:num w:numId="4" w16cid:durableId="889925046">
    <w:abstractNumId w:val="38"/>
  </w:num>
  <w:num w:numId="5" w16cid:durableId="933050130">
    <w:abstractNumId w:val="2"/>
  </w:num>
  <w:num w:numId="6" w16cid:durableId="1039085295">
    <w:abstractNumId w:val="9"/>
  </w:num>
  <w:num w:numId="7" w16cid:durableId="1056928274">
    <w:abstractNumId w:val="30"/>
  </w:num>
  <w:num w:numId="8" w16cid:durableId="1740711150">
    <w:abstractNumId w:val="34"/>
  </w:num>
  <w:num w:numId="9" w16cid:durableId="1940332155">
    <w:abstractNumId w:val="32"/>
  </w:num>
  <w:num w:numId="10" w16cid:durableId="22099525">
    <w:abstractNumId w:val="17"/>
  </w:num>
  <w:num w:numId="11" w16cid:durableId="883298050">
    <w:abstractNumId w:val="36"/>
  </w:num>
  <w:num w:numId="12" w16cid:durableId="22564063">
    <w:abstractNumId w:val="0"/>
  </w:num>
  <w:num w:numId="13" w16cid:durableId="2042319800">
    <w:abstractNumId w:val="13"/>
  </w:num>
  <w:num w:numId="14" w16cid:durableId="1346782146">
    <w:abstractNumId w:val="6"/>
  </w:num>
  <w:num w:numId="15" w16cid:durableId="237636073">
    <w:abstractNumId w:val="27"/>
  </w:num>
  <w:num w:numId="16" w16cid:durableId="1662192693">
    <w:abstractNumId w:val="28"/>
  </w:num>
  <w:num w:numId="17" w16cid:durableId="216551710">
    <w:abstractNumId w:val="25"/>
  </w:num>
  <w:num w:numId="18" w16cid:durableId="1552574078">
    <w:abstractNumId w:val="10"/>
  </w:num>
  <w:num w:numId="19" w16cid:durableId="596790376">
    <w:abstractNumId w:val="37"/>
  </w:num>
  <w:num w:numId="20" w16cid:durableId="353487">
    <w:abstractNumId w:val="5"/>
  </w:num>
  <w:num w:numId="21" w16cid:durableId="428938975">
    <w:abstractNumId w:val="1"/>
  </w:num>
  <w:num w:numId="22" w16cid:durableId="227569793">
    <w:abstractNumId w:val="11"/>
  </w:num>
  <w:num w:numId="23" w16cid:durableId="1874418335">
    <w:abstractNumId w:val="7"/>
  </w:num>
  <w:num w:numId="24" w16cid:durableId="1112676381">
    <w:abstractNumId w:val="29"/>
  </w:num>
  <w:num w:numId="25" w16cid:durableId="1019698347">
    <w:abstractNumId w:val="35"/>
  </w:num>
  <w:num w:numId="26" w16cid:durableId="1730685027">
    <w:abstractNumId w:val="3"/>
  </w:num>
  <w:num w:numId="27" w16cid:durableId="332420669">
    <w:abstractNumId w:val="24"/>
  </w:num>
  <w:num w:numId="28" w16cid:durableId="408312175">
    <w:abstractNumId w:val="8"/>
  </w:num>
  <w:num w:numId="29" w16cid:durableId="771824513">
    <w:abstractNumId w:val="16"/>
  </w:num>
  <w:num w:numId="30" w16cid:durableId="406732023">
    <w:abstractNumId w:val="4"/>
  </w:num>
  <w:num w:numId="31" w16cid:durableId="108941788">
    <w:abstractNumId w:val="12"/>
  </w:num>
  <w:num w:numId="32" w16cid:durableId="656493170">
    <w:abstractNumId w:val="22"/>
  </w:num>
  <w:num w:numId="33" w16cid:durableId="1296064061">
    <w:abstractNumId w:val="15"/>
  </w:num>
  <w:num w:numId="34" w16cid:durableId="2090804087">
    <w:abstractNumId w:val="20"/>
  </w:num>
  <w:num w:numId="35" w16cid:durableId="1387797840">
    <w:abstractNumId w:val="21"/>
  </w:num>
  <w:num w:numId="36" w16cid:durableId="2030637767">
    <w:abstractNumId w:val="31"/>
  </w:num>
  <w:num w:numId="37" w16cid:durableId="183903157">
    <w:abstractNumId w:val="33"/>
  </w:num>
  <w:num w:numId="38" w16cid:durableId="1095708958">
    <w:abstractNumId w:val="19"/>
  </w:num>
  <w:num w:numId="39" w16cid:durableId="76441138">
    <w:abstractNumId w:val="23"/>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49D9"/>
    <w:rsid w:val="00002881"/>
    <w:rsid w:val="00014A24"/>
    <w:rsid w:val="00016CD0"/>
    <w:rsid w:val="00025828"/>
    <w:rsid w:val="00027EF5"/>
    <w:rsid w:val="00033F71"/>
    <w:rsid w:val="000439E0"/>
    <w:rsid w:val="0005018E"/>
    <w:rsid w:val="000504A7"/>
    <w:rsid w:val="000516AB"/>
    <w:rsid w:val="00054501"/>
    <w:rsid w:val="000568ED"/>
    <w:rsid w:val="00056FC1"/>
    <w:rsid w:val="000576F2"/>
    <w:rsid w:val="00060B2E"/>
    <w:rsid w:val="0007167C"/>
    <w:rsid w:val="00071906"/>
    <w:rsid w:val="000756C7"/>
    <w:rsid w:val="00075C6A"/>
    <w:rsid w:val="000771D3"/>
    <w:rsid w:val="0008026E"/>
    <w:rsid w:val="00084A2E"/>
    <w:rsid w:val="000856BC"/>
    <w:rsid w:val="00085EE2"/>
    <w:rsid w:val="000863CD"/>
    <w:rsid w:val="00090A70"/>
    <w:rsid w:val="00091F12"/>
    <w:rsid w:val="0009597C"/>
    <w:rsid w:val="000B1233"/>
    <w:rsid w:val="000B1280"/>
    <w:rsid w:val="000B2476"/>
    <w:rsid w:val="000B2AF4"/>
    <w:rsid w:val="000B68B5"/>
    <w:rsid w:val="000B7D0B"/>
    <w:rsid w:val="000C0D27"/>
    <w:rsid w:val="000C4FE1"/>
    <w:rsid w:val="000C7113"/>
    <w:rsid w:val="000D6040"/>
    <w:rsid w:val="000D7DEA"/>
    <w:rsid w:val="000E2A2E"/>
    <w:rsid w:val="000E504C"/>
    <w:rsid w:val="000E6781"/>
    <w:rsid w:val="000F03D5"/>
    <w:rsid w:val="000F588D"/>
    <w:rsid w:val="000F5F61"/>
    <w:rsid w:val="000F61C6"/>
    <w:rsid w:val="000F6A3C"/>
    <w:rsid w:val="00103524"/>
    <w:rsid w:val="00105294"/>
    <w:rsid w:val="00105C2F"/>
    <w:rsid w:val="00105E70"/>
    <w:rsid w:val="0010769E"/>
    <w:rsid w:val="00111BDE"/>
    <w:rsid w:val="0011227D"/>
    <w:rsid w:val="00121D20"/>
    <w:rsid w:val="00121F16"/>
    <w:rsid w:val="00127786"/>
    <w:rsid w:val="0013059F"/>
    <w:rsid w:val="00134E5C"/>
    <w:rsid w:val="0013511D"/>
    <w:rsid w:val="001366A8"/>
    <w:rsid w:val="00137B70"/>
    <w:rsid w:val="00140050"/>
    <w:rsid w:val="00140936"/>
    <w:rsid w:val="001420AC"/>
    <w:rsid w:val="00143958"/>
    <w:rsid w:val="0015059B"/>
    <w:rsid w:val="00160C5E"/>
    <w:rsid w:val="00161E41"/>
    <w:rsid w:val="00167F0F"/>
    <w:rsid w:val="00171222"/>
    <w:rsid w:val="00174BC9"/>
    <w:rsid w:val="001821B1"/>
    <w:rsid w:val="001823AA"/>
    <w:rsid w:val="001854BA"/>
    <w:rsid w:val="001863A4"/>
    <w:rsid w:val="00191991"/>
    <w:rsid w:val="0019434B"/>
    <w:rsid w:val="00195CB0"/>
    <w:rsid w:val="001A2FA2"/>
    <w:rsid w:val="001A4CD8"/>
    <w:rsid w:val="001A7A41"/>
    <w:rsid w:val="001B2A50"/>
    <w:rsid w:val="001B49CA"/>
    <w:rsid w:val="001B4E9C"/>
    <w:rsid w:val="001B7539"/>
    <w:rsid w:val="001C0886"/>
    <w:rsid w:val="001C1AF4"/>
    <w:rsid w:val="001C21FC"/>
    <w:rsid w:val="001D0436"/>
    <w:rsid w:val="001D1C8E"/>
    <w:rsid w:val="001D2AA8"/>
    <w:rsid w:val="001D6927"/>
    <w:rsid w:val="001E668A"/>
    <w:rsid w:val="001E789B"/>
    <w:rsid w:val="001F0A16"/>
    <w:rsid w:val="001F5C7F"/>
    <w:rsid w:val="001F7FD0"/>
    <w:rsid w:val="00204187"/>
    <w:rsid w:val="00205195"/>
    <w:rsid w:val="00206123"/>
    <w:rsid w:val="00210C68"/>
    <w:rsid w:val="00216279"/>
    <w:rsid w:val="0021696B"/>
    <w:rsid w:val="002174D0"/>
    <w:rsid w:val="00223A55"/>
    <w:rsid w:val="00224982"/>
    <w:rsid w:val="002263D0"/>
    <w:rsid w:val="00234049"/>
    <w:rsid w:val="00241193"/>
    <w:rsid w:val="002452E6"/>
    <w:rsid w:val="00247545"/>
    <w:rsid w:val="00260DCE"/>
    <w:rsid w:val="00262701"/>
    <w:rsid w:val="00264F22"/>
    <w:rsid w:val="00271C30"/>
    <w:rsid w:val="0027303F"/>
    <w:rsid w:val="002734C3"/>
    <w:rsid w:val="002808BC"/>
    <w:rsid w:val="00281F15"/>
    <w:rsid w:val="002906FA"/>
    <w:rsid w:val="0029130A"/>
    <w:rsid w:val="002A0D3B"/>
    <w:rsid w:val="002A3B87"/>
    <w:rsid w:val="002B3F52"/>
    <w:rsid w:val="002B417B"/>
    <w:rsid w:val="002B5C92"/>
    <w:rsid w:val="002B7B77"/>
    <w:rsid w:val="002C2B04"/>
    <w:rsid w:val="002C3178"/>
    <w:rsid w:val="002C37F5"/>
    <w:rsid w:val="002C5674"/>
    <w:rsid w:val="002C6A8A"/>
    <w:rsid w:val="002F6241"/>
    <w:rsid w:val="002F67CB"/>
    <w:rsid w:val="002F726E"/>
    <w:rsid w:val="00304468"/>
    <w:rsid w:val="00310B01"/>
    <w:rsid w:val="003113E5"/>
    <w:rsid w:val="00313C9C"/>
    <w:rsid w:val="00320A99"/>
    <w:rsid w:val="00323C07"/>
    <w:rsid w:val="003268C9"/>
    <w:rsid w:val="00330B37"/>
    <w:rsid w:val="00333847"/>
    <w:rsid w:val="00333E94"/>
    <w:rsid w:val="00334E24"/>
    <w:rsid w:val="00346D1D"/>
    <w:rsid w:val="00354C1E"/>
    <w:rsid w:val="00356DF9"/>
    <w:rsid w:val="00357826"/>
    <w:rsid w:val="00371A03"/>
    <w:rsid w:val="00371C6C"/>
    <w:rsid w:val="00380C98"/>
    <w:rsid w:val="00381B84"/>
    <w:rsid w:val="00390D02"/>
    <w:rsid w:val="00394E8E"/>
    <w:rsid w:val="00396A0E"/>
    <w:rsid w:val="00396E3F"/>
    <w:rsid w:val="00397B73"/>
    <w:rsid w:val="003A18B2"/>
    <w:rsid w:val="003A1E86"/>
    <w:rsid w:val="003B1D46"/>
    <w:rsid w:val="003B2655"/>
    <w:rsid w:val="003B3502"/>
    <w:rsid w:val="003B51BF"/>
    <w:rsid w:val="003B5440"/>
    <w:rsid w:val="003B7D7E"/>
    <w:rsid w:val="003C15A5"/>
    <w:rsid w:val="003C1CC8"/>
    <w:rsid w:val="003D7488"/>
    <w:rsid w:val="003E1091"/>
    <w:rsid w:val="003E1A5E"/>
    <w:rsid w:val="003E4021"/>
    <w:rsid w:val="003E44A1"/>
    <w:rsid w:val="003E5C81"/>
    <w:rsid w:val="003E61E4"/>
    <w:rsid w:val="003F2E92"/>
    <w:rsid w:val="00400A0C"/>
    <w:rsid w:val="004054A5"/>
    <w:rsid w:val="0041244D"/>
    <w:rsid w:val="00413A0C"/>
    <w:rsid w:val="00416D77"/>
    <w:rsid w:val="00417B53"/>
    <w:rsid w:val="00426049"/>
    <w:rsid w:val="00432768"/>
    <w:rsid w:val="004330C3"/>
    <w:rsid w:val="00436E05"/>
    <w:rsid w:val="00440461"/>
    <w:rsid w:val="00442178"/>
    <w:rsid w:val="00443D0C"/>
    <w:rsid w:val="00444342"/>
    <w:rsid w:val="00451959"/>
    <w:rsid w:val="004519F1"/>
    <w:rsid w:val="00452A75"/>
    <w:rsid w:val="00453137"/>
    <w:rsid w:val="00455A9F"/>
    <w:rsid w:val="00455B01"/>
    <w:rsid w:val="00456B99"/>
    <w:rsid w:val="00457232"/>
    <w:rsid w:val="004623B4"/>
    <w:rsid w:val="00476854"/>
    <w:rsid w:val="00481229"/>
    <w:rsid w:val="004812E2"/>
    <w:rsid w:val="00484ED9"/>
    <w:rsid w:val="00485F20"/>
    <w:rsid w:val="00491902"/>
    <w:rsid w:val="0049325C"/>
    <w:rsid w:val="00493B0D"/>
    <w:rsid w:val="00497E20"/>
    <w:rsid w:val="00497F1E"/>
    <w:rsid w:val="004A22C2"/>
    <w:rsid w:val="004B3F8F"/>
    <w:rsid w:val="004B427D"/>
    <w:rsid w:val="004C550C"/>
    <w:rsid w:val="004C5C6F"/>
    <w:rsid w:val="004C5DE6"/>
    <w:rsid w:val="004C5E98"/>
    <w:rsid w:val="004D0132"/>
    <w:rsid w:val="004D2A82"/>
    <w:rsid w:val="004D4806"/>
    <w:rsid w:val="004D4FEB"/>
    <w:rsid w:val="004E2C7B"/>
    <w:rsid w:val="004F16D2"/>
    <w:rsid w:val="004F5A30"/>
    <w:rsid w:val="00505692"/>
    <w:rsid w:val="0050780F"/>
    <w:rsid w:val="0052382F"/>
    <w:rsid w:val="005304BC"/>
    <w:rsid w:val="00532920"/>
    <w:rsid w:val="00532AD0"/>
    <w:rsid w:val="00533565"/>
    <w:rsid w:val="00535037"/>
    <w:rsid w:val="0053704A"/>
    <w:rsid w:val="00542E86"/>
    <w:rsid w:val="00545323"/>
    <w:rsid w:val="0055067D"/>
    <w:rsid w:val="00554691"/>
    <w:rsid w:val="005557C6"/>
    <w:rsid w:val="00555E4B"/>
    <w:rsid w:val="005669C8"/>
    <w:rsid w:val="00572D00"/>
    <w:rsid w:val="005735D7"/>
    <w:rsid w:val="005809A9"/>
    <w:rsid w:val="00581426"/>
    <w:rsid w:val="00584B30"/>
    <w:rsid w:val="00584DBC"/>
    <w:rsid w:val="00585F0E"/>
    <w:rsid w:val="0058748D"/>
    <w:rsid w:val="005900C3"/>
    <w:rsid w:val="005905AF"/>
    <w:rsid w:val="005B350C"/>
    <w:rsid w:val="005B6718"/>
    <w:rsid w:val="005B7778"/>
    <w:rsid w:val="005C07AC"/>
    <w:rsid w:val="005C08BB"/>
    <w:rsid w:val="005C11E2"/>
    <w:rsid w:val="005D0973"/>
    <w:rsid w:val="005D0CA3"/>
    <w:rsid w:val="005D3618"/>
    <w:rsid w:val="005E6F48"/>
    <w:rsid w:val="005E72FF"/>
    <w:rsid w:val="005E7A44"/>
    <w:rsid w:val="005F34EE"/>
    <w:rsid w:val="005F3CA9"/>
    <w:rsid w:val="00602DBA"/>
    <w:rsid w:val="00607500"/>
    <w:rsid w:val="00607619"/>
    <w:rsid w:val="00615A60"/>
    <w:rsid w:val="00620554"/>
    <w:rsid w:val="00620F22"/>
    <w:rsid w:val="00623051"/>
    <w:rsid w:val="006328D6"/>
    <w:rsid w:val="00636B98"/>
    <w:rsid w:val="006408AD"/>
    <w:rsid w:val="00641428"/>
    <w:rsid w:val="00641D1E"/>
    <w:rsid w:val="00642F4D"/>
    <w:rsid w:val="0064312D"/>
    <w:rsid w:val="00647A95"/>
    <w:rsid w:val="00651E00"/>
    <w:rsid w:val="006527AA"/>
    <w:rsid w:val="00655388"/>
    <w:rsid w:val="00657FEC"/>
    <w:rsid w:val="006600B7"/>
    <w:rsid w:val="00660AB6"/>
    <w:rsid w:val="006674C2"/>
    <w:rsid w:val="00685456"/>
    <w:rsid w:val="00686250"/>
    <w:rsid w:val="00693688"/>
    <w:rsid w:val="00693E89"/>
    <w:rsid w:val="006A2177"/>
    <w:rsid w:val="006A240C"/>
    <w:rsid w:val="006A2CD4"/>
    <w:rsid w:val="006A594C"/>
    <w:rsid w:val="006A5B7A"/>
    <w:rsid w:val="006A6623"/>
    <w:rsid w:val="006B25B6"/>
    <w:rsid w:val="006B37C0"/>
    <w:rsid w:val="006B392A"/>
    <w:rsid w:val="006B7F94"/>
    <w:rsid w:val="006C7F09"/>
    <w:rsid w:val="006D30F4"/>
    <w:rsid w:val="006D3B59"/>
    <w:rsid w:val="006D49FA"/>
    <w:rsid w:val="006D7109"/>
    <w:rsid w:val="006D7AB5"/>
    <w:rsid w:val="006E5306"/>
    <w:rsid w:val="006E5436"/>
    <w:rsid w:val="006E5762"/>
    <w:rsid w:val="006E585F"/>
    <w:rsid w:val="006F31AB"/>
    <w:rsid w:val="00706E58"/>
    <w:rsid w:val="0071429B"/>
    <w:rsid w:val="00715CDF"/>
    <w:rsid w:val="007205F4"/>
    <w:rsid w:val="00720D1C"/>
    <w:rsid w:val="00723E33"/>
    <w:rsid w:val="007313F4"/>
    <w:rsid w:val="00732B1E"/>
    <w:rsid w:val="00734444"/>
    <w:rsid w:val="00745413"/>
    <w:rsid w:val="00745D65"/>
    <w:rsid w:val="00751E86"/>
    <w:rsid w:val="00763041"/>
    <w:rsid w:val="007636BD"/>
    <w:rsid w:val="00764C93"/>
    <w:rsid w:val="00771489"/>
    <w:rsid w:val="00773A17"/>
    <w:rsid w:val="0077488C"/>
    <w:rsid w:val="007759C3"/>
    <w:rsid w:val="00780A0E"/>
    <w:rsid w:val="007844DE"/>
    <w:rsid w:val="00784A75"/>
    <w:rsid w:val="00784F98"/>
    <w:rsid w:val="00790810"/>
    <w:rsid w:val="00792E49"/>
    <w:rsid w:val="007951D3"/>
    <w:rsid w:val="0079547B"/>
    <w:rsid w:val="007A01D4"/>
    <w:rsid w:val="007A31BB"/>
    <w:rsid w:val="007A476A"/>
    <w:rsid w:val="007A4F08"/>
    <w:rsid w:val="007A6C74"/>
    <w:rsid w:val="007A7FC7"/>
    <w:rsid w:val="007C27A1"/>
    <w:rsid w:val="007C2B70"/>
    <w:rsid w:val="007D0F39"/>
    <w:rsid w:val="007E1028"/>
    <w:rsid w:val="007E2C65"/>
    <w:rsid w:val="007E5552"/>
    <w:rsid w:val="007E59BC"/>
    <w:rsid w:val="007F778E"/>
    <w:rsid w:val="007F7AC9"/>
    <w:rsid w:val="00800F7A"/>
    <w:rsid w:val="00801B78"/>
    <w:rsid w:val="00802585"/>
    <w:rsid w:val="008122F3"/>
    <w:rsid w:val="008131C8"/>
    <w:rsid w:val="008317C2"/>
    <w:rsid w:val="008338E1"/>
    <w:rsid w:val="00840148"/>
    <w:rsid w:val="008405B5"/>
    <w:rsid w:val="00844C6F"/>
    <w:rsid w:val="00844E0B"/>
    <w:rsid w:val="008453D2"/>
    <w:rsid w:val="00850006"/>
    <w:rsid w:val="008501C9"/>
    <w:rsid w:val="00854F5A"/>
    <w:rsid w:val="0086325A"/>
    <w:rsid w:val="00864699"/>
    <w:rsid w:val="008649A1"/>
    <w:rsid w:val="00873A32"/>
    <w:rsid w:val="00876DB5"/>
    <w:rsid w:val="00880EA5"/>
    <w:rsid w:val="00881293"/>
    <w:rsid w:val="0088244E"/>
    <w:rsid w:val="00887FDF"/>
    <w:rsid w:val="00890E9E"/>
    <w:rsid w:val="00891F5D"/>
    <w:rsid w:val="00897894"/>
    <w:rsid w:val="008A4B7A"/>
    <w:rsid w:val="008B1FD2"/>
    <w:rsid w:val="008B2901"/>
    <w:rsid w:val="008B2E3D"/>
    <w:rsid w:val="008B4CBC"/>
    <w:rsid w:val="008C1EE1"/>
    <w:rsid w:val="008C2D86"/>
    <w:rsid w:val="008C39B5"/>
    <w:rsid w:val="008D2FA2"/>
    <w:rsid w:val="008D3D0B"/>
    <w:rsid w:val="008D7015"/>
    <w:rsid w:val="008E1320"/>
    <w:rsid w:val="008E1B6A"/>
    <w:rsid w:val="008E2178"/>
    <w:rsid w:val="008F1372"/>
    <w:rsid w:val="008F1DC4"/>
    <w:rsid w:val="008F3EB3"/>
    <w:rsid w:val="00900EEB"/>
    <w:rsid w:val="0090264C"/>
    <w:rsid w:val="009040D9"/>
    <w:rsid w:val="00905E16"/>
    <w:rsid w:val="00911121"/>
    <w:rsid w:val="009111B3"/>
    <w:rsid w:val="009168B9"/>
    <w:rsid w:val="00921B53"/>
    <w:rsid w:val="0092250A"/>
    <w:rsid w:val="00923D3D"/>
    <w:rsid w:val="00935D12"/>
    <w:rsid w:val="009362C3"/>
    <w:rsid w:val="009404E4"/>
    <w:rsid w:val="009413FF"/>
    <w:rsid w:val="00941CA7"/>
    <w:rsid w:val="0095273A"/>
    <w:rsid w:val="00952F7A"/>
    <w:rsid w:val="00960140"/>
    <w:rsid w:val="00967FAB"/>
    <w:rsid w:val="00970E0E"/>
    <w:rsid w:val="0097370A"/>
    <w:rsid w:val="00975898"/>
    <w:rsid w:val="00977939"/>
    <w:rsid w:val="0099153B"/>
    <w:rsid w:val="0099390A"/>
    <w:rsid w:val="009A0BCC"/>
    <w:rsid w:val="009A3102"/>
    <w:rsid w:val="009A49C8"/>
    <w:rsid w:val="009A706E"/>
    <w:rsid w:val="009B1AEB"/>
    <w:rsid w:val="009C4775"/>
    <w:rsid w:val="009C4781"/>
    <w:rsid w:val="009C6481"/>
    <w:rsid w:val="009C7CEF"/>
    <w:rsid w:val="009D401B"/>
    <w:rsid w:val="009E0B87"/>
    <w:rsid w:val="009E642F"/>
    <w:rsid w:val="009F46C6"/>
    <w:rsid w:val="009F550F"/>
    <w:rsid w:val="009F6071"/>
    <w:rsid w:val="009F6526"/>
    <w:rsid w:val="009F6EB5"/>
    <w:rsid w:val="00A0029F"/>
    <w:rsid w:val="00A05187"/>
    <w:rsid w:val="00A12973"/>
    <w:rsid w:val="00A21EF9"/>
    <w:rsid w:val="00A227EA"/>
    <w:rsid w:val="00A37539"/>
    <w:rsid w:val="00A44CBA"/>
    <w:rsid w:val="00A5144C"/>
    <w:rsid w:val="00A51B4B"/>
    <w:rsid w:val="00A5277A"/>
    <w:rsid w:val="00A52BF2"/>
    <w:rsid w:val="00A55FB5"/>
    <w:rsid w:val="00A80DE0"/>
    <w:rsid w:val="00A87925"/>
    <w:rsid w:val="00A913CA"/>
    <w:rsid w:val="00A961A2"/>
    <w:rsid w:val="00AA6323"/>
    <w:rsid w:val="00AA70F4"/>
    <w:rsid w:val="00AB0834"/>
    <w:rsid w:val="00AB0ACD"/>
    <w:rsid w:val="00AB31CC"/>
    <w:rsid w:val="00AB7F9B"/>
    <w:rsid w:val="00AC3BC6"/>
    <w:rsid w:val="00AC4E67"/>
    <w:rsid w:val="00AD1FE2"/>
    <w:rsid w:val="00AD569C"/>
    <w:rsid w:val="00AE1E02"/>
    <w:rsid w:val="00AE278E"/>
    <w:rsid w:val="00AE6B02"/>
    <w:rsid w:val="00AF2345"/>
    <w:rsid w:val="00AF5681"/>
    <w:rsid w:val="00B0036B"/>
    <w:rsid w:val="00B03579"/>
    <w:rsid w:val="00B049C9"/>
    <w:rsid w:val="00B05B55"/>
    <w:rsid w:val="00B06C3B"/>
    <w:rsid w:val="00B10B81"/>
    <w:rsid w:val="00B118A4"/>
    <w:rsid w:val="00B1245C"/>
    <w:rsid w:val="00B1333B"/>
    <w:rsid w:val="00B14BE6"/>
    <w:rsid w:val="00B22C6E"/>
    <w:rsid w:val="00B27CDF"/>
    <w:rsid w:val="00B27E89"/>
    <w:rsid w:val="00B302C4"/>
    <w:rsid w:val="00B3082D"/>
    <w:rsid w:val="00B33F0B"/>
    <w:rsid w:val="00B3601B"/>
    <w:rsid w:val="00B402F9"/>
    <w:rsid w:val="00B46E4F"/>
    <w:rsid w:val="00B52F1A"/>
    <w:rsid w:val="00B53D9A"/>
    <w:rsid w:val="00B54702"/>
    <w:rsid w:val="00B60149"/>
    <w:rsid w:val="00B6530F"/>
    <w:rsid w:val="00B67F9F"/>
    <w:rsid w:val="00B714B9"/>
    <w:rsid w:val="00B72DC9"/>
    <w:rsid w:val="00B76C2D"/>
    <w:rsid w:val="00B80BE7"/>
    <w:rsid w:val="00B81D65"/>
    <w:rsid w:val="00B8289F"/>
    <w:rsid w:val="00B86D36"/>
    <w:rsid w:val="00B87F06"/>
    <w:rsid w:val="00B95103"/>
    <w:rsid w:val="00B961F6"/>
    <w:rsid w:val="00B96354"/>
    <w:rsid w:val="00BA1315"/>
    <w:rsid w:val="00BB01E0"/>
    <w:rsid w:val="00BB261C"/>
    <w:rsid w:val="00BB41DE"/>
    <w:rsid w:val="00BC488C"/>
    <w:rsid w:val="00BC4F34"/>
    <w:rsid w:val="00BC59D5"/>
    <w:rsid w:val="00BE0512"/>
    <w:rsid w:val="00BE2A53"/>
    <w:rsid w:val="00BE3C2F"/>
    <w:rsid w:val="00BE596A"/>
    <w:rsid w:val="00BF3162"/>
    <w:rsid w:val="00BF322D"/>
    <w:rsid w:val="00BF7A65"/>
    <w:rsid w:val="00C01F4B"/>
    <w:rsid w:val="00C03DE8"/>
    <w:rsid w:val="00C0703D"/>
    <w:rsid w:val="00C07481"/>
    <w:rsid w:val="00C12BEA"/>
    <w:rsid w:val="00C3178F"/>
    <w:rsid w:val="00C41869"/>
    <w:rsid w:val="00C442B2"/>
    <w:rsid w:val="00C44886"/>
    <w:rsid w:val="00C4667D"/>
    <w:rsid w:val="00C53BE5"/>
    <w:rsid w:val="00C54723"/>
    <w:rsid w:val="00C55C45"/>
    <w:rsid w:val="00C60B02"/>
    <w:rsid w:val="00C65C3B"/>
    <w:rsid w:val="00C74A04"/>
    <w:rsid w:val="00C81E3F"/>
    <w:rsid w:val="00C82858"/>
    <w:rsid w:val="00C85E4B"/>
    <w:rsid w:val="00C91D38"/>
    <w:rsid w:val="00C92663"/>
    <w:rsid w:val="00C92CFA"/>
    <w:rsid w:val="00C966E0"/>
    <w:rsid w:val="00C96732"/>
    <w:rsid w:val="00CA1D1A"/>
    <w:rsid w:val="00CA294E"/>
    <w:rsid w:val="00CA4B3A"/>
    <w:rsid w:val="00CA4EDB"/>
    <w:rsid w:val="00CA5AB3"/>
    <w:rsid w:val="00CB692E"/>
    <w:rsid w:val="00CC1B97"/>
    <w:rsid w:val="00CC3F13"/>
    <w:rsid w:val="00CC75A2"/>
    <w:rsid w:val="00CD45B6"/>
    <w:rsid w:val="00CD7653"/>
    <w:rsid w:val="00CE2B0F"/>
    <w:rsid w:val="00CE511E"/>
    <w:rsid w:val="00CF1E71"/>
    <w:rsid w:val="00CF2D29"/>
    <w:rsid w:val="00CF4EC7"/>
    <w:rsid w:val="00D01450"/>
    <w:rsid w:val="00D105BF"/>
    <w:rsid w:val="00D166B2"/>
    <w:rsid w:val="00D20C34"/>
    <w:rsid w:val="00D21B79"/>
    <w:rsid w:val="00D21E0B"/>
    <w:rsid w:val="00D25192"/>
    <w:rsid w:val="00D255E3"/>
    <w:rsid w:val="00D265D3"/>
    <w:rsid w:val="00D46A52"/>
    <w:rsid w:val="00D5631F"/>
    <w:rsid w:val="00D56F16"/>
    <w:rsid w:val="00D56FE0"/>
    <w:rsid w:val="00D575E1"/>
    <w:rsid w:val="00D60C34"/>
    <w:rsid w:val="00D67494"/>
    <w:rsid w:val="00D73496"/>
    <w:rsid w:val="00D75392"/>
    <w:rsid w:val="00D77608"/>
    <w:rsid w:val="00D90278"/>
    <w:rsid w:val="00D91270"/>
    <w:rsid w:val="00D923AF"/>
    <w:rsid w:val="00D96999"/>
    <w:rsid w:val="00D97EBD"/>
    <w:rsid w:val="00DA15D5"/>
    <w:rsid w:val="00DA5550"/>
    <w:rsid w:val="00DA6F76"/>
    <w:rsid w:val="00DB137D"/>
    <w:rsid w:val="00DB3874"/>
    <w:rsid w:val="00DB3E74"/>
    <w:rsid w:val="00DB4D69"/>
    <w:rsid w:val="00DB53B7"/>
    <w:rsid w:val="00DC3FAD"/>
    <w:rsid w:val="00DC4C8E"/>
    <w:rsid w:val="00DC53EB"/>
    <w:rsid w:val="00DD55F8"/>
    <w:rsid w:val="00DD7CA9"/>
    <w:rsid w:val="00DE3122"/>
    <w:rsid w:val="00DE7DD5"/>
    <w:rsid w:val="00DF2323"/>
    <w:rsid w:val="00DF3254"/>
    <w:rsid w:val="00DF5F55"/>
    <w:rsid w:val="00DF6308"/>
    <w:rsid w:val="00DF74C9"/>
    <w:rsid w:val="00E015FF"/>
    <w:rsid w:val="00E02308"/>
    <w:rsid w:val="00E03D1F"/>
    <w:rsid w:val="00E113BA"/>
    <w:rsid w:val="00E151D5"/>
    <w:rsid w:val="00E309D9"/>
    <w:rsid w:val="00E402FE"/>
    <w:rsid w:val="00E43C24"/>
    <w:rsid w:val="00E43D9D"/>
    <w:rsid w:val="00E47F6F"/>
    <w:rsid w:val="00E51A22"/>
    <w:rsid w:val="00E5245D"/>
    <w:rsid w:val="00E52C81"/>
    <w:rsid w:val="00E5500E"/>
    <w:rsid w:val="00E574C5"/>
    <w:rsid w:val="00E63718"/>
    <w:rsid w:val="00E6661D"/>
    <w:rsid w:val="00E66A4F"/>
    <w:rsid w:val="00E6731B"/>
    <w:rsid w:val="00E67E08"/>
    <w:rsid w:val="00E73712"/>
    <w:rsid w:val="00E749D9"/>
    <w:rsid w:val="00E769FA"/>
    <w:rsid w:val="00E823A4"/>
    <w:rsid w:val="00E858C9"/>
    <w:rsid w:val="00E87B05"/>
    <w:rsid w:val="00E91378"/>
    <w:rsid w:val="00E93085"/>
    <w:rsid w:val="00E940F6"/>
    <w:rsid w:val="00EB19A7"/>
    <w:rsid w:val="00EC0F69"/>
    <w:rsid w:val="00EC2CB2"/>
    <w:rsid w:val="00EC3F36"/>
    <w:rsid w:val="00EC4CD0"/>
    <w:rsid w:val="00ED4FCB"/>
    <w:rsid w:val="00ED76A7"/>
    <w:rsid w:val="00EE211A"/>
    <w:rsid w:val="00EE227A"/>
    <w:rsid w:val="00EF0EC4"/>
    <w:rsid w:val="00EF16A1"/>
    <w:rsid w:val="00EF59EB"/>
    <w:rsid w:val="00EF62F8"/>
    <w:rsid w:val="00EF73F0"/>
    <w:rsid w:val="00F0702F"/>
    <w:rsid w:val="00F07FA3"/>
    <w:rsid w:val="00F122DC"/>
    <w:rsid w:val="00F22A76"/>
    <w:rsid w:val="00F2488E"/>
    <w:rsid w:val="00F362F3"/>
    <w:rsid w:val="00F4193B"/>
    <w:rsid w:val="00F42061"/>
    <w:rsid w:val="00F44DCB"/>
    <w:rsid w:val="00F476DB"/>
    <w:rsid w:val="00F47802"/>
    <w:rsid w:val="00F509E0"/>
    <w:rsid w:val="00F52B31"/>
    <w:rsid w:val="00F539B7"/>
    <w:rsid w:val="00F53FB5"/>
    <w:rsid w:val="00F600D4"/>
    <w:rsid w:val="00F605F7"/>
    <w:rsid w:val="00F70EB0"/>
    <w:rsid w:val="00F70FE8"/>
    <w:rsid w:val="00F7266A"/>
    <w:rsid w:val="00F73FD6"/>
    <w:rsid w:val="00F7471C"/>
    <w:rsid w:val="00F750E3"/>
    <w:rsid w:val="00F7692A"/>
    <w:rsid w:val="00F82F8A"/>
    <w:rsid w:val="00F84ADB"/>
    <w:rsid w:val="00F976AC"/>
    <w:rsid w:val="00F97787"/>
    <w:rsid w:val="00FA0966"/>
    <w:rsid w:val="00FA5821"/>
    <w:rsid w:val="00FA6D7A"/>
    <w:rsid w:val="00FB4ADC"/>
    <w:rsid w:val="00FC0107"/>
    <w:rsid w:val="00FC07D9"/>
    <w:rsid w:val="00FD6EC0"/>
    <w:rsid w:val="00FD702B"/>
    <w:rsid w:val="00FD7324"/>
    <w:rsid w:val="00FE2960"/>
    <w:rsid w:val="00FE3B59"/>
    <w:rsid w:val="00FE5BCE"/>
    <w:rsid w:val="00FE676A"/>
    <w:rsid w:val="00FF0285"/>
    <w:rsid w:val="00FF409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92CD5B"/>
  <w15:chartTrackingRefBased/>
  <w15:docId w15:val="{4304B54E-C865-4D9C-9060-2B6C0E6211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GB"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49D9"/>
  </w:style>
  <w:style w:type="paragraph" w:styleId="Heading1">
    <w:name w:val="heading 1"/>
    <w:basedOn w:val="Normal"/>
    <w:next w:val="Normal"/>
    <w:link w:val="Heading1Char"/>
    <w:uiPriority w:val="9"/>
    <w:qFormat/>
    <w:rsid w:val="00E749D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E749D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749D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749D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749D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749D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749D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749D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749D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749D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E749D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749D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749D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749D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749D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749D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749D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749D9"/>
    <w:rPr>
      <w:rFonts w:eastAsiaTheme="majorEastAsia" w:cstheme="majorBidi"/>
      <w:color w:val="272727" w:themeColor="text1" w:themeTint="D8"/>
    </w:rPr>
  </w:style>
  <w:style w:type="paragraph" w:styleId="Title">
    <w:name w:val="Title"/>
    <w:basedOn w:val="Normal"/>
    <w:next w:val="Normal"/>
    <w:link w:val="TitleChar"/>
    <w:uiPriority w:val="10"/>
    <w:qFormat/>
    <w:rsid w:val="00E749D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749D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749D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749D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749D9"/>
    <w:pPr>
      <w:spacing w:before="160"/>
      <w:jc w:val="center"/>
    </w:pPr>
    <w:rPr>
      <w:i/>
      <w:iCs/>
      <w:color w:val="404040" w:themeColor="text1" w:themeTint="BF"/>
    </w:rPr>
  </w:style>
  <w:style w:type="character" w:customStyle="1" w:styleId="QuoteChar">
    <w:name w:val="Quote Char"/>
    <w:basedOn w:val="DefaultParagraphFont"/>
    <w:link w:val="Quote"/>
    <w:uiPriority w:val="29"/>
    <w:rsid w:val="00E749D9"/>
    <w:rPr>
      <w:i/>
      <w:iCs/>
      <w:color w:val="404040" w:themeColor="text1" w:themeTint="BF"/>
    </w:rPr>
  </w:style>
  <w:style w:type="paragraph" w:styleId="ListParagraph">
    <w:name w:val="List Paragraph"/>
    <w:basedOn w:val="Normal"/>
    <w:uiPriority w:val="34"/>
    <w:qFormat/>
    <w:rsid w:val="00E749D9"/>
    <w:pPr>
      <w:ind w:left="720"/>
      <w:contextualSpacing/>
    </w:pPr>
  </w:style>
  <w:style w:type="character" w:styleId="IntenseEmphasis">
    <w:name w:val="Intense Emphasis"/>
    <w:basedOn w:val="DefaultParagraphFont"/>
    <w:uiPriority w:val="21"/>
    <w:qFormat/>
    <w:rsid w:val="00E749D9"/>
    <w:rPr>
      <w:i/>
      <w:iCs/>
      <w:color w:val="0F4761" w:themeColor="accent1" w:themeShade="BF"/>
    </w:rPr>
  </w:style>
  <w:style w:type="paragraph" w:styleId="IntenseQuote">
    <w:name w:val="Intense Quote"/>
    <w:basedOn w:val="Normal"/>
    <w:next w:val="Normal"/>
    <w:link w:val="IntenseQuoteChar"/>
    <w:uiPriority w:val="30"/>
    <w:qFormat/>
    <w:rsid w:val="00E749D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749D9"/>
    <w:rPr>
      <w:i/>
      <w:iCs/>
      <w:color w:val="0F4761" w:themeColor="accent1" w:themeShade="BF"/>
    </w:rPr>
  </w:style>
  <w:style w:type="character" w:styleId="IntenseReference">
    <w:name w:val="Intense Reference"/>
    <w:basedOn w:val="DefaultParagraphFont"/>
    <w:uiPriority w:val="32"/>
    <w:qFormat/>
    <w:rsid w:val="00E749D9"/>
    <w:rPr>
      <w:b/>
      <w:bCs/>
      <w:smallCaps/>
      <w:color w:val="0F4761" w:themeColor="accent1" w:themeShade="BF"/>
      <w:spacing w:val="5"/>
    </w:rPr>
  </w:style>
  <w:style w:type="paragraph" w:styleId="NoSpacing">
    <w:name w:val="No Spacing"/>
    <w:uiPriority w:val="1"/>
    <w:qFormat/>
    <w:rsid w:val="00AF5681"/>
    <w:pPr>
      <w:spacing w:after="0" w:line="240" w:lineRule="auto"/>
    </w:pPr>
    <w:rPr>
      <w:sz w:val="22"/>
      <w:szCs w:val="22"/>
    </w:rPr>
  </w:style>
  <w:style w:type="paragraph" w:styleId="Date">
    <w:name w:val="Date"/>
    <w:basedOn w:val="Normal"/>
    <w:next w:val="Normal"/>
    <w:link w:val="DateChar"/>
    <w:uiPriority w:val="99"/>
    <w:semiHidden/>
    <w:unhideWhenUsed/>
    <w:rsid w:val="00B402F9"/>
  </w:style>
  <w:style w:type="character" w:customStyle="1" w:styleId="DateChar">
    <w:name w:val="Date Char"/>
    <w:basedOn w:val="DefaultParagraphFont"/>
    <w:link w:val="Date"/>
    <w:uiPriority w:val="99"/>
    <w:semiHidden/>
    <w:rsid w:val="00B402F9"/>
  </w:style>
  <w:style w:type="paragraph" w:styleId="NormalWeb">
    <w:name w:val="Normal (Web)"/>
    <w:basedOn w:val="Normal"/>
    <w:uiPriority w:val="99"/>
    <w:unhideWhenUsed/>
    <w:rsid w:val="00B402F9"/>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Hyperlink">
    <w:name w:val="Hyperlink"/>
    <w:basedOn w:val="DefaultParagraphFont"/>
    <w:uiPriority w:val="99"/>
    <w:unhideWhenUsed/>
    <w:rsid w:val="000B7D0B"/>
    <w:rPr>
      <w:color w:val="467886" w:themeColor="hyperlink"/>
      <w:u w:val="single"/>
    </w:rPr>
  </w:style>
  <w:style w:type="character" w:styleId="FollowedHyperlink">
    <w:name w:val="FollowedHyperlink"/>
    <w:basedOn w:val="DefaultParagraphFont"/>
    <w:uiPriority w:val="99"/>
    <w:semiHidden/>
    <w:unhideWhenUsed/>
    <w:rsid w:val="000B7D0B"/>
    <w:rPr>
      <w:color w:val="96607D" w:themeColor="followedHyperlink"/>
      <w:u w:val="single"/>
    </w:rPr>
  </w:style>
  <w:style w:type="paragraph" w:customStyle="1" w:styleId="TX">
    <w:name w:val="TX"/>
    <w:qFormat/>
    <w:rsid w:val="00E6731B"/>
    <w:pPr>
      <w:spacing w:after="200" w:line="276" w:lineRule="auto"/>
    </w:pPr>
    <w:rPr>
      <w:rFonts w:eastAsiaTheme="minorHAnsi"/>
      <w:kern w:val="0"/>
      <w:sz w:val="22"/>
      <w:szCs w:val="22"/>
      <w:lang w:eastAsia="en-US"/>
      <w14:ligatures w14:val="none"/>
    </w:rPr>
  </w:style>
  <w:style w:type="paragraph" w:customStyle="1" w:styleId="TXL">
    <w:name w:val="TXL"/>
    <w:qFormat/>
    <w:rsid w:val="00E6731B"/>
    <w:pPr>
      <w:spacing w:after="200" w:line="276" w:lineRule="auto"/>
    </w:pPr>
    <w:rPr>
      <w:rFonts w:eastAsiaTheme="minorHAnsi"/>
      <w:kern w:val="0"/>
      <w:sz w:val="22"/>
      <w:szCs w:val="22"/>
      <w:lang w:eastAsia="en-US"/>
      <w14:ligatures w14:val="none"/>
    </w:rPr>
  </w:style>
  <w:style w:type="paragraph" w:customStyle="1" w:styleId="EXT">
    <w:name w:val="EXT"/>
    <w:basedOn w:val="Normal"/>
    <w:qFormat/>
    <w:rsid w:val="00E6731B"/>
    <w:pPr>
      <w:spacing w:after="200" w:line="480" w:lineRule="auto"/>
      <w:jc w:val="both"/>
    </w:pPr>
    <w:rPr>
      <w:rFonts w:ascii="Arial" w:eastAsiaTheme="minorHAnsi" w:hAnsi="Arial" w:cs="Arial"/>
      <w:color w:val="000000" w:themeColor="text1"/>
      <w:kern w:val="0"/>
      <w:lang w:val="en-US" w:eastAsia="en-US"/>
      <w14:ligatures w14:val="none"/>
    </w:rPr>
  </w:style>
  <w:style w:type="paragraph" w:customStyle="1" w:styleId="QuotesAZ">
    <w:name w:val="Quotes AZ"/>
    <w:basedOn w:val="Normal"/>
    <w:link w:val="QuotesAZChar"/>
    <w:qFormat/>
    <w:rsid w:val="00E6731B"/>
    <w:pPr>
      <w:spacing w:before="240" w:after="240" w:line="360" w:lineRule="auto"/>
      <w:ind w:right="113" w:firstLine="720"/>
      <w:jc w:val="both"/>
    </w:pPr>
    <w:rPr>
      <w:rFonts w:ascii="Adobe Garamond Pro" w:eastAsiaTheme="minorHAnsi" w:hAnsi="Adobe Garamond Pro"/>
      <w:i/>
      <w:iCs/>
      <w:kern w:val="0"/>
      <w:szCs w:val="22"/>
      <w:lang w:eastAsia="en-US"/>
      <w14:ligatures w14:val="none"/>
    </w:rPr>
  </w:style>
  <w:style w:type="character" w:customStyle="1" w:styleId="QuotesAZChar">
    <w:name w:val="Quotes AZ Char"/>
    <w:basedOn w:val="DefaultParagraphFont"/>
    <w:link w:val="QuotesAZ"/>
    <w:rsid w:val="00E6731B"/>
    <w:rPr>
      <w:rFonts w:ascii="Adobe Garamond Pro" w:eastAsiaTheme="minorHAnsi" w:hAnsi="Adobe Garamond Pro"/>
      <w:i/>
      <w:iCs/>
      <w:kern w:val="0"/>
      <w:szCs w:val="22"/>
      <w:lang w:eastAsia="en-US"/>
      <w14:ligatures w14:val="none"/>
    </w:rPr>
  </w:style>
  <w:style w:type="table" w:styleId="TableGrid">
    <w:name w:val="Table Grid"/>
    <w:basedOn w:val="TableNormal"/>
    <w:uiPriority w:val="39"/>
    <w:rsid w:val="00E673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891F5D"/>
  </w:style>
  <w:style w:type="table" w:customStyle="1" w:styleId="TableGrid1">
    <w:name w:val="Table Grid1"/>
    <w:basedOn w:val="TableNormal"/>
    <w:next w:val="TableGrid"/>
    <w:uiPriority w:val="39"/>
    <w:rsid w:val="00891F5D"/>
    <w:pPr>
      <w:spacing w:after="0" w:line="240" w:lineRule="auto"/>
    </w:pPr>
    <w:rPr>
      <w:rFonts w:eastAsiaTheme="minorHAnsi"/>
      <w:kern w:val="0"/>
      <w:sz w:val="22"/>
      <w:szCs w:val="22"/>
      <w:lang w:eastAsia="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91F5D"/>
    <w:pPr>
      <w:tabs>
        <w:tab w:val="center" w:pos="4513"/>
        <w:tab w:val="right" w:pos="9026"/>
      </w:tabs>
      <w:spacing w:after="0" w:line="240" w:lineRule="auto"/>
    </w:pPr>
    <w:rPr>
      <w:sz w:val="22"/>
      <w:szCs w:val="22"/>
    </w:rPr>
  </w:style>
  <w:style w:type="character" w:customStyle="1" w:styleId="HeaderChar">
    <w:name w:val="Header Char"/>
    <w:basedOn w:val="DefaultParagraphFont"/>
    <w:link w:val="Header"/>
    <w:uiPriority w:val="99"/>
    <w:rsid w:val="00891F5D"/>
    <w:rPr>
      <w:sz w:val="22"/>
      <w:szCs w:val="22"/>
    </w:rPr>
  </w:style>
  <w:style w:type="paragraph" w:styleId="Footer">
    <w:name w:val="footer"/>
    <w:basedOn w:val="Normal"/>
    <w:link w:val="FooterChar"/>
    <w:uiPriority w:val="99"/>
    <w:unhideWhenUsed/>
    <w:rsid w:val="00891F5D"/>
    <w:pPr>
      <w:tabs>
        <w:tab w:val="center" w:pos="4513"/>
        <w:tab w:val="right" w:pos="9026"/>
      </w:tabs>
      <w:spacing w:after="0" w:line="240" w:lineRule="auto"/>
    </w:pPr>
    <w:rPr>
      <w:sz w:val="22"/>
      <w:szCs w:val="22"/>
    </w:rPr>
  </w:style>
  <w:style w:type="character" w:customStyle="1" w:styleId="FooterChar">
    <w:name w:val="Footer Char"/>
    <w:basedOn w:val="DefaultParagraphFont"/>
    <w:link w:val="Footer"/>
    <w:uiPriority w:val="99"/>
    <w:rsid w:val="00891F5D"/>
    <w:rPr>
      <w:sz w:val="22"/>
      <w:szCs w:val="22"/>
    </w:rPr>
  </w:style>
  <w:style w:type="character" w:styleId="UnresolvedMention">
    <w:name w:val="Unresolved Mention"/>
    <w:basedOn w:val="DefaultParagraphFont"/>
    <w:uiPriority w:val="99"/>
    <w:semiHidden/>
    <w:unhideWhenUsed/>
    <w:rsid w:val="00891F5D"/>
    <w:rPr>
      <w:color w:val="605E5C"/>
      <w:shd w:val="clear" w:color="auto" w:fill="E1DFDD"/>
    </w:rPr>
  </w:style>
  <w:style w:type="table" w:customStyle="1" w:styleId="TableGrid2">
    <w:name w:val="Table Grid2"/>
    <w:basedOn w:val="TableNormal"/>
    <w:next w:val="TableGrid"/>
    <w:uiPriority w:val="39"/>
    <w:rsid w:val="007C27A1"/>
    <w:pPr>
      <w:spacing w:after="0" w:line="240" w:lineRule="auto"/>
    </w:pPr>
    <w:rPr>
      <w:rFonts w:eastAsiaTheme="minorHAnsi"/>
      <w:kern w:val="0"/>
      <w:sz w:val="22"/>
      <w:szCs w:val="22"/>
      <w:lang w:eastAsia="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4B3F8F"/>
  </w:style>
  <w:style w:type="paragraph" w:customStyle="1" w:styleId="H1">
    <w:name w:val="H1"/>
    <w:qFormat/>
    <w:rsid w:val="004B3F8F"/>
    <w:pPr>
      <w:spacing w:after="200" w:line="276" w:lineRule="auto"/>
    </w:pPr>
    <w:rPr>
      <w:rFonts w:eastAsiaTheme="minorHAnsi"/>
      <w:kern w:val="0"/>
      <w:sz w:val="22"/>
      <w:szCs w:val="22"/>
      <w:lang w:eastAsia="en-US"/>
      <w14:ligatures w14:val="none"/>
    </w:rPr>
  </w:style>
  <w:style w:type="paragraph" w:customStyle="1" w:styleId="H2">
    <w:name w:val="H2"/>
    <w:qFormat/>
    <w:rsid w:val="004B3F8F"/>
    <w:pPr>
      <w:spacing w:after="200" w:line="276" w:lineRule="auto"/>
    </w:pPr>
    <w:rPr>
      <w:rFonts w:eastAsiaTheme="minorHAnsi"/>
      <w:kern w:val="0"/>
      <w:sz w:val="22"/>
      <w:szCs w:val="22"/>
      <w:lang w:eastAsia="en-US"/>
      <w14:ligatures w14:val="none"/>
    </w:rPr>
  </w:style>
  <w:style w:type="paragraph" w:customStyle="1" w:styleId="CT">
    <w:name w:val="CT"/>
    <w:basedOn w:val="Normal"/>
    <w:qFormat/>
    <w:rsid w:val="004B3F8F"/>
    <w:pPr>
      <w:pBdr>
        <w:top w:val="single" w:sz="4" w:space="1" w:color="auto"/>
        <w:left w:val="single" w:sz="4" w:space="4" w:color="auto"/>
        <w:bottom w:val="single" w:sz="4" w:space="1" w:color="auto"/>
        <w:right w:val="single" w:sz="4" w:space="4" w:color="auto"/>
      </w:pBdr>
      <w:spacing w:after="200" w:line="360" w:lineRule="auto"/>
      <w:jc w:val="both"/>
    </w:pPr>
    <w:rPr>
      <w:rFonts w:ascii="Arial" w:eastAsiaTheme="minorHAnsi" w:hAnsi="Arial" w:cs="Arial"/>
      <w:b/>
      <w:color w:val="000000" w:themeColor="text1"/>
      <w:kern w:val="0"/>
      <w:lang w:val="en-US" w:eastAsia="en-US"/>
      <w14:ligatures w14:val="none"/>
    </w:rPr>
  </w:style>
  <w:style w:type="paragraph" w:customStyle="1" w:styleId="FGC">
    <w:name w:val="FGC"/>
    <w:basedOn w:val="Normal"/>
    <w:qFormat/>
    <w:rsid w:val="004B3F8F"/>
    <w:pPr>
      <w:spacing w:after="200" w:line="480" w:lineRule="auto"/>
      <w:jc w:val="both"/>
    </w:pPr>
    <w:rPr>
      <w:rFonts w:ascii="Arial" w:eastAsiaTheme="minorHAnsi" w:hAnsi="Arial" w:cs="Arial"/>
      <w:b/>
      <w:bCs/>
      <w:color w:val="000000" w:themeColor="text1"/>
      <w:kern w:val="0"/>
      <w:shd w:val="clear" w:color="auto" w:fill="FFFFFF"/>
      <w:lang w:val="en-US" w:eastAsia="en-US"/>
      <w14:ligatures w14:val="none"/>
    </w:rPr>
  </w:style>
  <w:style w:type="paragraph" w:customStyle="1" w:styleId="CN">
    <w:name w:val="CN"/>
    <w:basedOn w:val="CT"/>
    <w:qFormat/>
    <w:rsid w:val="004B3F8F"/>
    <w:pPr>
      <w:spacing w:before="240"/>
    </w:pPr>
    <w:rPr>
      <w:rFonts w:ascii="Times New Roman" w:hAnsi="Times New Roman" w:cs="Times New Roman"/>
      <w:bCs/>
      <w:shd w:val="clear" w:color="auto" w:fill="FFFFFF"/>
    </w:rPr>
  </w:style>
  <w:style w:type="paragraph" w:customStyle="1" w:styleId="comp">
    <w:name w:val="comp"/>
    <w:basedOn w:val="Normal"/>
    <w:rsid w:val="004B3F8F"/>
    <w:pPr>
      <w:spacing w:before="100" w:beforeAutospacing="1" w:after="100" w:afterAutospacing="1" w:line="240" w:lineRule="auto"/>
    </w:pPr>
    <w:rPr>
      <w:rFonts w:ascii="Times New Roman" w:eastAsia="Times New Roman" w:hAnsi="Times New Roman" w:cs="Times New Roman"/>
      <w:kern w:val="0"/>
      <w:lang w:eastAsia="en-GB"/>
      <w14:ligatures w14:val="none"/>
    </w:rPr>
  </w:style>
  <w:style w:type="character" w:styleId="HTMLCite">
    <w:name w:val="HTML Cite"/>
    <w:basedOn w:val="DefaultParagraphFont"/>
    <w:uiPriority w:val="99"/>
    <w:semiHidden/>
    <w:unhideWhenUsed/>
    <w:rsid w:val="004B3F8F"/>
    <w:rPr>
      <w:i/>
      <w:iCs/>
    </w:rPr>
  </w:style>
  <w:style w:type="paragraph" w:customStyle="1" w:styleId="FGS">
    <w:name w:val="FGS"/>
    <w:basedOn w:val="Normal"/>
    <w:qFormat/>
    <w:rsid w:val="004B3F8F"/>
    <w:pPr>
      <w:autoSpaceDE w:val="0"/>
      <w:autoSpaceDN w:val="0"/>
      <w:adjustRightInd w:val="0"/>
      <w:spacing w:after="0" w:line="360" w:lineRule="auto"/>
      <w:jc w:val="both"/>
    </w:pPr>
    <w:rPr>
      <w:rFonts w:ascii="Arial" w:eastAsiaTheme="minorHAnsi" w:hAnsi="Arial" w:cs="Arial"/>
      <w:iCs/>
      <w:color w:val="000000" w:themeColor="text1"/>
      <w:kern w:val="0"/>
      <w:lang w:val="en-US" w:eastAsia="en-US"/>
      <w14:ligatures w14:val="none"/>
    </w:rPr>
  </w:style>
  <w:style w:type="paragraph" w:styleId="BalloonText">
    <w:name w:val="Balloon Text"/>
    <w:basedOn w:val="Normal"/>
    <w:link w:val="BalloonTextChar"/>
    <w:uiPriority w:val="99"/>
    <w:semiHidden/>
    <w:unhideWhenUsed/>
    <w:rsid w:val="004B3F8F"/>
    <w:pPr>
      <w:spacing w:after="0" w:line="240" w:lineRule="auto"/>
    </w:pPr>
    <w:rPr>
      <w:rFonts w:ascii="Tahoma" w:eastAsiaTheme="minorHAnsi" w:hAnsi="Tahoma" w:cs="Tahoma"/>
      <w:kern w:val="0"/>
      <w:sz w:val="16"/>
      <w:szCs w:val="16"/>
      <w:lang w:val="en-US" w:eastAsia="en-US"/>
      <w14:ligatures w14:val="none"/>
    </w:rPr>
  </w:style>
  <w:style w:type="character" w:customStyle="1" w:styleId="BalloonTextChar">
    <w:name w:val="Balloon Text Char"/>
    <w:basedOn w:val="DefaultParagraphFont"/>
    <w:link w:val="BalloonText"/>
    <w:uiPriority w:val="99"/>
    <w:semiHidden/>
    <w:rsid w:val="004B3F8F"/>
    <w:rPr>
      <w:rFonts w:ascii="Tahoma" w:eastAsiaTheme="minorHAnsi" w:hAnsi="Tahoma" w:cs="Tahoma"/>
      <w:kern w:val="0"/>
      <w:sz w:val="16"/>
      <w:szCs w:val="16"/>
      <w:lang w:val="en-US" w:eastAsia="en-US"/>
      <w14:ligatures w14:val="none"/>
    </w:rPr>
  </w:style>
  <w:style w:type="character" w:customStyle="1" w:styleId="size-xl">
    <w:name w:val="size-xl"/>
    <w:basedOn w:val="DefaultParagraphFont"/>
    <w:rsid w:val="004B3F8F"/>
  </w:style>
  <w:style w:type="character" w:customStyle="1" w:styleId="size-m">
    <w:name w:val="size-m"/>
    <w:basedOn w:val="DefaultParagraphFont"/>
    <w:rsid w:val="004B3F8F"/>
  </w:style>
  <w:style w:type="character" w:customStyle="1" w:styleId="authorsname">
    <w:name w:val="authors__name"/>
    <w:basedOn w:val="DefaultParagraphFont"/>
    <w:rsid w:val="004B3F8F"/>
  </w:style>
  <w:style w:type="character" w:customStyle="1" w:styleId="authorscontact">
    <w:name w:val="authors__contact"/>
    <w:basedOn w:val="DefaultParagraphFont"/>
    <w:rsid w:val="004B3F8F"/>
  </w:style>
  <w:style w:type="character" w:customStyle="1" w:styleId="UnresolvedMention1">
    <w:name w:val="Unresolved Mention1"/>
    <w:basedOn w:val="DefaultParagraphFont"/>
    <w:uiPriority w:val="99"/>
    <w:semiHidden/>
    <w:unhideWhenUsed/>
    <w:rsid w:val="004B3F8F"/>
    <w:rPr>
      <w:color w:val="605E5C"/>
      <w:shd w:val="clear" w:color="auto" w:fill="E1DFDD"/>
    </w:rPr>
  </w:style>
  <w:style w:type="table" w:customStyle="1" w:styleId="TableGrid3">
    <w:name w:val="Table Grid3"/>
    <w:basedOn w:val="TableNormal"/>
    <w:next w:val="TableGrid"/>
    <w:uiPriority w:val="39"/>
    <w:rsid w:val="004B3F8F"/>
    <w:pPr>
      <w:spacing w:after="0" w:line="240" w:lineRule="auto"/>
    </w:pPr>
    <w:rPr>
      <w:rFonts w:eastAsiaTheme="minorHAnsi"/>
      <w:kern w:val="0"/>
      <w:sz w:val="22"/>
      <w:szCs w:val="22"/>
      <w:lang w:eastAsia="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4B3F8F"/>
  </w:style>
  <w:style w:type="character" w:customStyle="1" w:styleId="reference-accessdate">
    <w:name w:val="reference-accessdate"/>
    <w:basedOn w:val="DefaultParagraphFont"/>
    <w:rsid w:val="004B3F8F"/>
  </w:style>
  <w:style w:type="character" w:customStyle="1" w:styleId="nowrap">
    <w:name w:val="nowrap"/>
    <w:basedOn w:val="DefaultParagraphFont"/>
    <w:rsid w:val="004B3F8F"/>
  </w:style>
  <w:style w:type="character" w:customStyle="1" w:styleId="reference-text">
    <w:name w:val="reference-text"/>
    <w:basedOn w:val="DefaultParagraphFont"/>
    <w:rsid w:val="004B3F8F"/>
  </w:style>
  <w:style w:type="paragraph" w:customStyle="1" w:styleId="uiqtextpara">
    <w:name w:val="ui_qtext_para"/>
    <w:basedOn w:val="Normal"/>
    <w:rsid w:val="004B3F8F"/>
    <w:pPr>
      <w:spacing w:before="100" w:beforeAutospacing="1" w:after="100" w:afterAutospacing="1" w:line="240" w:lineRule="auto"/>
    </w:pPr>
    <w:rPr>
      <w:rFonts w:ascii="Times New Roman" w:eastAsia="Times New Roman" w:hAnsi="Times New Roman" w:cs="Times New Roman"/>
      <w:kern w:val="0"/>
      <w:lang w:val="en-US" w:eastAsia="en-GB"/>
      <w14:ligatures w14:val="none"/>
    </w:rPr>
  </w:style>
  <w:style w:type="character" w:customStyle="1" w:styleId="mixed-citation">
    <w:name w:val="mixed-citation"/>
    <w:basedOn w:val="DefaultParagraphFont"/>
    <w:rsid w:val="004B3F8F"/>
  </w:style>
  <w:style w:type="character" w:customStyle="1" w:styleId="ref-journal">
    <w:name w:val="ref-journal"/>
    <w:basedOn w:val="DefaultParagraphFont"/>
    <w:rsid w:val="004B3F8F"/>
  </w:style>
  <w:style w:type="character" w:customStyle="1" w:styleId="a">
    <w:name w:val="a"/>
    <w:basedOn w:val="DefaultParagraphFont"/>
    <w:rsid w:val="004B3F8F"/>
  </w:style>
  <w:style w:type="character" w:customStyle="1" w:styleId="l6">
    <w:name w:val="l6"/>
    <w:basedOn w:val="DefaultParagraphFont"/>
    <w:rsid w:val="004B3F8F"/>
  </w:style>
  <w:style w:type="character" w:customStyle="1" w:styleId="l11">
    <w:name w:val="l11"/>
    <w:basedOn w:val="DefaultParagraphFont"/>
    <w:rsid w:val="004B3F8F"/>
  </w:style>
  <w:style w:type="character" w:customStyle="1" w:styleId="l7">
    <w:name w:val="l7"/>
    <w:basedOn w:val="DefaultParagraphFont"/>
    <w:rsid w:val="004B3F8F"/>
  </w:style>
  <w:style w:type="paragraph" w:customStyle="1" w:styleId="yiv2522595529msonormal">
    <w:name w:val="yiv2522595529msonormal"/>
    <w:basedOn w:val="Normal"/>
    <w:rsid w:val="004B3F8F"/>
    <w:pPr>
      <w:spacing w:before="100" w:beforeAutospacing="1" w:after="100" w:afterAutospacing="1" w:line="240" w:lineRule="auto"/>
    </w:pPr>
    <w:rPr>
      <w:rFonts w:ascii="Times" w:hAnsi="Times"/>
      <w:kern w:val="0"/>
      <w:sz w:val="20"/>
      <w:szCs w:val="20"/>
      <w:lang w:val="en-US" w:eastAsia="en-US"/>
      <w14:ligatures w14:val="none"/>
    </w:rPr>
  </w:style>
  <w:style w:type="character" w:customStyle="1" w:styleId="st">
    <w:name w:val="st"/>
    <w:basedOn w:val="DefaultParagraphFont"/>
    <w:rsid w:val="004B3F8F"/>
  </w:style>
  <w:style w:type="character" w:styleId="Strong">
    <w:name w:val="Strong"/>
    <w:basedOn w:val="DefaultParagraphFont"/>
    <w:uiPriority w:val="22"/>
    <w:qFormat/>
    <w:rsid w:val="004B3F8F"/>
    <w:rPr>
      <w:b/>
      <w:bCs/>
    </w:rPr>
  </w:style>
  <w:style w:type="character" w:styleId="PageNumber">
    <w:name w:val="page number"/>
    <w:basedOn w:val="DefaultParagraphFont"/>
    <w:uiPriority w:val="99"/>
    <w:semiHidden/>
    <w:unhideWhenUsed/>
    <w:rsid w:val="004B3F8F"/>
  </w:style>
  <w:style w:type="paragraph" w:customStyle="1" w:styleId="BL">
    <w:name w:val="BL"/>
    <w:basedOn w:val="Normal"/>
    <w:uiPriority w:val="34"/>
    <w:qFormat/>
    <w:rsid w:val="004B3F8F"/>
    <w:pPr>
      <w:spacing w:after="200" w:line="276" w:lineRule="auto"/>
      <w:ind w:left="720"/>
      <w:contextualSpacing/>
    </w:pPr>
    <w:rPr>
      <w:rFonts w:eastAsiaTheme="minorHAnsi"/>
      <w:kern w:val="0"/>
      <w:sz w:val="22"/>
      <w:szCs w:val="22"/>
      <w:lang w:val="en-US" w:eastAsia="en-US"/>
      <w14:ligatures w14:val="none"/>
    </w:rPr>
  </w:style>
  <w:style w:type="paragraph" w:customStyle="1" w:styleId="LL">
    <w:name w:val="LL"/>
    <w:basedOn w:val="Normal"/>
    <w:uiPriority w:val="34"/>
    <w:qFormat/>
    <w:rsid w:val="004B3F8F"/>
    <w:pPr>
      <w:spacing w:after="200" w:line="276" w:lineRule="auto"/>
      <w:ind w:left="720"/>
      <w:contextualSpacing/>
    </w:pPr>
    <w:rPr>
      <w:rFonts w:eastAsiaTheme="minorHAnsi"/>
      <w:kern w:val="0"/>
      <w:sz w:val="22"/>
      <w:szCs w:val="22"/>
      <w:lang w:val="en-US" w:eastAsia="en-US"/>
      <w14:ligatures w14:val="none"/>
    </w:rPr>
  </w:style>
  <w:style w:type="paragraph" w:customStyle="1" w:styleId="UNTBCH">
    <w:name w:val="UNTBCH"/>
    <w:qFormat/>
    <w:rsid w:val="004B3F8F"/>
    <w:pPr>
      <w:spacing w:after="200" w:line="276" w:lineRule="auto"/>
    </w:pPr>
    <w:rPr>
      <w:rFonts w:eastAsiaTheme="minorHAnsi"/>
      <w:kern w:val="0"/>
      <w:sz w:val="22"/>
      <w:szCs w:val="22"/>
      <w:lang w:eastAsia="en-US"/>
      <w14:ligatures w14:val="none"/>
    </w:rPr>
  </w:style>
  <w:style w:type="paragraph" w:customStyle="1" w:styleId="UNTB">
    <w:name w:val="UNTB"/>
    <w:qFormat/>
    <w:rsid w:val="004B3F8F"/>
    <w:pPr>
      <w:spacing w:after="200" w:line="276" w:lineRule="auto"/>
    </w:pPr>
    <w:rPr>
      <w:rFonts w:eastAsiaTheme="minorHAnsi"/>
      <w:kern w:val="0"/>
      <w:sz w:val="22"/>
      <w:szCs w:val="22"/>
      <w:lang w:eastAsia="en-US"/>
      <w14:ligatures w14:val="none"/>
    </w:rPr>
  </w:style>
  <w:style w:type="character" w:styleId="CommentReference">
    <w:name w:val="annotation reference"/>
    <w:basedOn w:val="DefaultParagraphFont"/>
    <w:uiPriority w:val="99"/>
    <w:semiHidden/>
    <w:unhideWhenUsed/>
    <w:rsid w:val="004B3F8F"/>
    <w:rPr>
      <w:sz w:val="16"/>
      <w:szCs w:val="16"/>
    </w:rPr>
  </w:style>
  <w:style w:type="paragraph" w:styleId="CommentText">
    <w:name w:val="annotation text"/>
    <w:basedOn w:val="Normal"/>
    <w:link w:val="CommentTextChar"/>
    <w:uiPriority w:val="99"/>
    <w:unhideWhenUsed/>
    <w:rsid w:val="004B3F8F"/>
    <w:pPr>
      <w:spacing w:after="200" w:line="240" w:lineRule="auto"/>
    </w:pPr>
    <w:rPr>
      <w:rFonts w:eastAsiaTheme="minorHAnsi"/>
      <w:kern w:val="0"/>
      <w:sz w:val="20"/>
      <w:szCs w:val="20"/>
      <w:lang w:val="en-US" w:eastAsia="en-US"/>
      <w14:ligatures w14:val="none"/>
    </w:rPr>
  </w:style>
  <w:style w:type="character" w:customStyle="1" w:styleId="CommentTextChar">
    <w:name w:val="Comment Text Char"/>
    <w:basedOn w:val="DefaultParagraphFont"/>
    <w:link w:val="CommentText"/>
    <w:uiPriority w:val="99"/>
    <w:rsid w:val="004B3F8F"/>
    <w:rPr>
      <w:rFonts w:eastAsiaTheme="minorHAnsi"/>
      <w:kern w:val="0"/>
      <w:sz w:val="20"/>
      <w:szCs w:val="20"/>
      <w:lang w:val="en-US" w:eastAsia="en-US"/>
      <w14:ligatures w14:val="none"/>
    </w:rPr>
  </w:style>
  <w:style w:type="paragraph" w:styleId="CommentSubject">
    <w:name w:val="annotation subject"/>
    <w:basedOn w:val="CommentText"/>
    <w:next w:val="CommentText"/>
    <w:link w:val="CommentSubjectChar"/>
    <w:uiPriority w:val="99"/>
    <w:semiHidden/>
    <w:unhideWhenUsed/>
    <w:rsid w:val="004B3F8F"/>
    <w:rPr>
      <w:b/>
      <w:bCs/>
    </w:rPr>
  </w:style>
  <w:style w:type="character" w:customStyle="1" w:styleId="CommentSubjectChar">
    <w:name w:val="Comment Subject Char"/>
    <w:basedOn w:val="CommentTextChar"/>
    <w:link w:val="CommentSubject"/>
    <w:uiPriority w:val="99"/>
    <w:semiHidden/>
    <w:rsid w:val="004B3F8F"/>
    <w:rPr>
      <w:rFonts w:eastAsiaTheme="minorHAnsi"/>
      <w:b/>
      <w:bCs/>
      <w:kern w:val="0"/>
      <w:sz w:val="20"/>
      <w:szCs w:val="20"/>
      <w:lang w:val="en-US" w:eastAsia="en-US"/>
      <w14:ligatures w14:val="none"/>
    </w:rPr>
  </w:style>
  <w:style w:type="character" w:customStyle="1" w:styleId="normaltextrun">
    <w:name w:val="normaltextrun"/>
    <w:basedOn w:val="DefaultParagraphFont"/>
    <w:rsid w:val="004B3F8F"/>
  </w:style>
  <w:style w:type="paragraph" w:customStyle="1" w:styleId="REFH">
    <w:name w:val="REFH"/>
    <w:qFormat/>
    <w:rsid w:val="004B3F8F"/>
    <w:pPr>
      <w:spacing w:after="200" w:line="276" w:lineRule="auto"/>
    </w:pPr>
    <w:rPr>
      <w:rFonts w:eastAsiaTheme="minorHAnsi"/>
      <w:kern w:val="0"/>
      <w:sz w:val="22"/>
      <w:szCs w:val="22"/>
      <w:lang w:eastAsia="en-US"/>
      <w14:ligatures w14:val="none"/>
    </w:rPr>
  </w:style>
  <w:style w:type="paragraph" w:customStyle="1" w:styleId="REF">
    <w:name w:val="REF"/>
    <w:qFormat/>
    <w:rsid w:val="004B3F8F"/>
    <w:pPr>
      <w:spacing w:after="200" w:line="276" w:lineRule="auto"/>
    </w:pPr>
    <w:rPr>
      <w:rFonts w:eastAsiaTheme="minorHAnsi"/>
      <w:kern w:val="0"/>
      <w:sz w:val="22"/>
      <w:szCs w:val="22"/>
      <w:lang w:eastAsia="en-US"/>
      <w14:ligatures w14:val="none"/>
    </w:rPr>
  </w:style>
  <w:style w:type="paragraph" w:styleId="Revision">
    <w:name w:val="Revision"/>
    <w:hidden/>
    <w:uiPriority w:val="99"/>
    <w:semiHidden/>
    <w:rsid w:val="004B3F8F"/>
    <w:pPr>
      <w:spacing w:after="0" w:line="240" w:lineRule="auto"/>
    </w:pPr>
    <w:rPr>
      <w:rFonts w:eastAsiaTheme="minorHAnsi"/>
      <w:kern w:val="0"/>
      <w:sz w:val="22"/>
      <w:szCs w:val="22"/>
      <w:lang w:eastAsia="en-US"/>
      <w14:ligatures w14:val="none"/>
    </w:rPr>
  </w:style>
  <w:style w:type="character" w:customStyle="1" w:styleId="UnresolvedMention2">
    <w:name w:val="Unresolved Mention2"/>
    <w:basedOn w:val="DefaultParagraphFont"/>
    <w:uiPriority w:val="99"/>
    <w:semiHidden/>
    <w:unhideWhenUsed/>
    <w:rsid w:val="004B3F8F"/>
    <w:rPr>
      <w:color w:val="605E5C"/>
      <w:shd w:val="clear" w:color="auto" w:fill="E1DFDD"/>
    </w:rPr>
  </w:style>
  <w:style w:type="character" w:styleId="Emphasis">
    <w:name w:val="Emphasis"/>
    <w:basedOn w:val="DefaultParagraphFont"/>
    <w:uiPriority w:val="20"/>
    <w:qFormat/>
    <w:rsid w:val="004B3F8F"/>
    <w:rPr>
      <w:i/>
      <w:iCs/>
    </w:rPr>
  </w:style>
  <w:style w:type="character" w:customStyle="1" w:styleId="volume-info">
    <w:name w:val="volume-info"/>
    <w:basedOn w:val="DefaultParagraphFont"/>
    <w:rsid w:val="004B3F8F"/>
  </w:style>
  <w:style w:type="paragraph" w:customStyle="1" w:styleId="Default">
    <w:name w:val="Default"/>
    <w:rsid w:val="004B3F8F"/>
    <w:pPr>
      <w:autoSpaceDE w:val="0"/>
      <w:autoSpaceDN w:val="0"/>
      <w:adjustRightInd w:val="0"/>
      <w:spacing w:after="0" w:line="240" w:lineRule="auto"/>
    </w:pPr>
    <w:rPr>
      <w:rFonts w:ascii="Calibri" w:eastAsiaTheme="minorHAnsi" w:hAnsi="Calibri" w:cs="Calibri"/>
      <w:color w:val="000000"/>
      <w:kern w:val="0"/>
      <w:lang w:eastAsia="en-US"/>
      <w14:ligatures w14:val="none"/>
    </w:rPr>
  </w:style>
  <w:style w:type="paragraph" w:customStyle="1" w:styleId="ui-chatitem">
    <w:name w:val="ui-chat__item"/>
    <w:basedOn w:val="Normal"/>
    <w:rsid w:val="004B3F8F"/>
    <w:pPr>
      <w:spacing w:before="100" w:beforeAutospacing="1" w:after="100" w:afterAutospacing="1" w:line="240" w:lineRule="auto"/>
    </w:pPr>
    <w:rPr>
      <w:rFonts w:ascii="Times New Roman" w:eastAsia="Times New Roman" w:hAnsi="Times New Roman" w:cs="Times New Roman"/>
      <w:kern w:val="0"/>
      <w:lang w:eastAsia="en-GB"/>
      <w14:ligatures w14:val="none"/>
    </w:rPr>
  </w:style>
  <w:style w:type="character" w:customStyle="1" w:styleId="ui-text">
    <w:name w:val="ui-text"/>
    <w:basedOn w:val="DefaultParagraphFont"/>
    <w:rsid w:val="004B3F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26" Type="http://schemas.microsoft.com/office/2007/relationships/diagramDrawing" Target="diagrams/drawing2.xml"/><Relationship Id="rId117" Type="http://schemas.openxmlformats.org/officeDocument/2006/relationships/hyperlink" Target="https://hbr.org/2016/05/the-impact-of-the-blockchain-goes-beyond-financial-services" TargetMode="External"/><Relationship Id="rId21" Type="http://schemas.openxmlformats.org/officeDocument/2006/relationships/hyperlink" Target="http://www.internalauditor.me/jomizia/wpcontent/uploads/2016/06/FraudTriangle.png" TargetMode="External"/><Relationship Id="rId42" Type="http://schemas.openxmlformats.org/officeDocument/2006/relationships/hyperlink" Target="https://en.wikipedia.org/wiki/Pride" TargetMode="External"/><Relationship Id="rId47" Type="http://schemas.openxmlformats.org/officeDocument/2006/relationships/hyperlink" Target="https://en.wikipedia.org/wiki/Psychopathy" TargetMode="External"/><Relationship Id="rId63" Type="http://schemas.openxmlformats.org/officeDocument/2006/relationships/hyperlink" Target="http://dx.doi.org/10.2139/ssrn.2279976" TargetMode="External"/><Relationship Id="rId68" Type="http://schemas.openxmlformats.org/officeDocument/2006/relationships/hyperlink" Target="https://www.sciencedirect.com/science/article/pii/S0191886900001781?casa_token=Jj9Lqy7hp4kAAAAA:BeI10XjTH0hugvfpD6HWvDOqFhekT1TZfzg6hMQNkhYyDGdn7s4wE43PsxntcOWUY6LSNhhQqYA" TargetMode="External"/><Relationship Id="rId84" Type="http://schemas.openxmlformats.org/officeDocument/2006/relationships/hyperlink" Target="https://www.nottingham.ac.uk/business/businesscentres/gcbfi/documents/researchreports/paper61.pdf" TargetMode="External"/><Relationship Id="rId89" Type="http://schemas.openxmlformats.org/officeDocument/2006/relationships/hyperlink" Target="http://www.gettsburg.edu/news/stories" TargetMode="External"/><Relationship Id="rId112" Type="http://schemas.openxmlformats.org/officeDocument/2006/relationships/hyperlink" Target="https://www.fearlessculture.design/blog-posts/how-amazon-built-a-culture-of-innovation-by-working-backwards" TargetMode="External"/><Relationship Id="rId16" Type="http://schemas.openxmlformats.org/officeDocument/2006/relationships/diagramQuickStyle" Target="diagrams/quickStyle1.xml"/><Relationship Id="rId107" Type="http://schemas.openxmlformats.org/officeDocument/2006/relationships/hyperlink" Target="https://essay.utwente.nl/69819/1/Nijenhuis_MA_BMS.pdf" TargetMode="External"/><Relationship Id="rId11" Type="http://schemas.openxmlformats.org/officeDocument/2006/relationships/hyperlink" Target="https://en.wikipedia.org/wiki/Scott_Sullivan_(executive)" TargetMode="External"/><Relationship Id="rId32" Type="http://schemas.openxmlformats.org/officeDocument/2006/relationships/hyperlink" Target="https://www.google.com/url?sa=i&amp;rct=j&amp;q=&amp;esrc=s&amp;source=images&amp;cd=&amp;ved=2ahUKEwiajoCNhcHiAhVsxYUKHSAPADwQjRx6BAgBEAU&amp;url=https%3A%2F%2Fseprianhidayatamin.wordpress.com%2F2016%2F04%2F02%2F2-attributes-of-a-predator%2F&amp;psig=AOvVaw1YSJi3BYqPnE6UcNTNtRN3&amp;ust=1559229461865724" TargetMode="External"/><Relationship Id="rId37" Type="http://schemas.openxmlformats.org/officeDocument/2006/relationships/image" Target="media/image6.jpeg"/><Relationship Id="rId53" Type="http://schemas.openxmlformats.org/officeDocument/2006/relationships/hyperlink" Target="http://www.acfe.com" TargetMode="External"/><Relationship Id="rId58" Type="http://schemas.openxmlformats.org/officeDocument/2006/relationships/hyperlink" Target="http://www.levels.fyi/b/blog/netflix-unique-culture.html" TargetMode="External"/><Relationship Id="rId74" Type="http://schemas.openxmlformats.org/officeDocument/2006/relationships/hyperlink" Target="http://www.ssrn.com" TargetMode="External"/><Relationship Id="rId79" Type="http://schemas.openxmlformats.org/officeDocument/2006/relationships/hyperlink" Target="https://hub.digitalasset.com/hubfs/Documents/Digital%20Asset%20Platform%20-%20Non-technical%20White%20Paper.pdf" TargetMode="External"/><Relationship Id="rId102" Type="http://schemas.openxmlformats.org/officeDocument/2006/relationships/hyperlink" Target="http://www.sciencedirect.com/science/journal/03613682" TargetMode="External"/><Relationship Id="rId123" Type="http://schemas.openxmlformats.org/officeDocument/2006/relationships/hyperlink" Target="https://search.proquest.com/indexingvolumeissuelinkhandler/41798/The+CPA+Journal/02004Y10Y01$23Oct+2004$3b++Vol.+74+$2810$29/74/10" TargetMode="External"/><Relationship Id="rId5" Type="http://schemas.openxmlformats.org/officeDocument/2006/relationships/footnotes" Target="footnotes.xml"/><Relationship Id="rId90" Type="http://schemas.openxmlformats.org/officeDocument/2006/relationships/hyperlink" Target="http://dx.doi.org/10.13140/RG.2.2.12032.43524" TargetMode="External"/><Relationship Id="rId95" Type="http://schemas.openxmlformats.org/officeDocument/2006/relationships/hyperlink" Target="https://www.jstor.org/stable/i302517" TargetMode="External"/><Relationship Id="rId22" Type="http://schemas.openxmlformats.org/officeDocument/2006/relationships/diagramData" Target="diagrams/data2.xml"/><Relationship Id="rId27" Type="http://schemas.openxmlformats.org/officeDocument/2006/relationships/diagramData" Target="diagrams/data3.xml"/><Relationship Id="rId43" Type="http://schemas.openxmlformats.org/officeDocument/2006/relationships/hyperlink" Target="https://en.wikipedia.org/wiki/Egotism" TargetMode="External"/><Relationship Id="rId48" Type="http://schemas.openxmlformats.org/officeDocument/2006/relationships/hyperlink" Target="https://en.wikipedia.org/wiki/Transaction_cost" TargetMode="External"/><Relationship Id="rId64" Type="http://schemas.openxmlformats.org/officeDocument/2006/relationships/hyperlink" Target="https://www.sciencedirect.com/science/journal/07485751" TargetMode="External"/><Relationship Id="rId69" Type="http://schemas.openxmlformats.org/officeDocument/2006/relationships/hyperlink" Target="https://doi.org/10.1111/j.1745-9125.1988.tb00854.x" TargetMode="External"/><Relationship Id="rId113" Type="http://schemas.openxmlformats.org/officeDocument/2006/relationships/hyperlink" Target="https://ses.library.usyd.edu.au/handle/2123/16259" TargetMode="External"/><Relationship Id="rId118" Type="http://schemas.openxmlformats.org/officeDocument/2006/relationships/hyperlink" Target="https://www.investopedia.com/terms/c/corporate-culture.asp" TargetMode="External"/><Relationship Id="rId80" Type="http://schemas.openxmlformats.org/officeDocument/2006/relationships/hyperlink" Target="https://search.proquest.com/indexingvolumeissuelinkhandler/41798/The+CPA+Journal/02010Y07Y01$23Jul+2010$3b++Vol.+80+$287$29/80/7;jsessionid=9631D5CDD4B529CFB92684172CC6B202.i-0dd3c25aaf00c33be" TargetMode="External"/><Relationship Id="rId85" Type="http://schemas.openxmlformats.org/officeDocument/2006/relationships/hyperlink" Target="http://www.fsb.org/wp-content/uploads/R270617.pdf" TargetMode="External"/><Relationship Id="rId12" Type="http://schemas.openxmlformats.org/officeDocument/2006/relationships/hyperlink" Target="https://www.investopedia.com/terms/l/lehman-brothers.asp" TargetMode="External"/><Relationship Id="rId17" Type="http://schemas.openxmlformats.org/officeDocument/2006/relationships/diagramColors" Target="diagrams/colors1.xml"/><Relationship Id="rId33" Type="http://schemas.openxmlformats.org/officeDocument/2006/relationships/image" Target="media/image4.jpeg"/><Relationship Id="rId38" Type="http://schemas.openxmlformats.org/officeDocument/2006/relationships/hyperlink" Target="http://hendrikus-sid.blogspot.com/" TargetMode="External"/><Relationship Id="rId59" Type="http://schemas.openxmlformats.org/officeDocument/2006/relationships/hyperlink" Target="https://pcaobus.org/Standards/Archived/PreReorgStandards/Pages/AU316.aspx" TargetMode="External"/><Relationship Id="rId103" Type="http://schemas.openxmlformats.org/officeDocument/2006/relationships/hyperlink" Target="http://www.sciencedirect.com/science/journal/03613682/39/3" TargetMode="External"/><Relationship Id="rId108" Type="http://schemas.openxmlformats.org/officeDocument/2006/relationships/hyperlink" Target="https://www.youtube.com/watch?v=qsYynaQUmzw&amp;t=278s" TargetMode="External"/><Relationship Id="rId124" Type="http://schemas.openxmlformats.org/officeDocument/2006/relationships/hyperlink" Target="https://www.journalofaccountancy.com/issues/2004/feb/newapproachestofrauddeterrence.html" TargetMode="External"/><Relationship Id="rId54" Type="http://schemas.openxmlformats.org/officeDocument/2006/relationships/hyperlink" Target="http://www.acfe.com" TargetMode="External"/><Relationship Id="rId70" Type="http://schemas.openxmlformats.org/officeDocument/2006/relationships/hyperlink" Target="https://www.semanticscholar.org/paper/Fraudulent-Financial-Reporting%3A-How-Do-We-Close-the-Carcello-Hermanson/f4bfb3c2730f6cceab7d3d957aed3776da96738f" TargetMode="External"/><Relationship Id="rId75" Type="http://schemas.openxmlformats.org/officeDocument/2006/relationships/hyperlink" Target="http://www.ssrn.com" TargetMode="External"/><Relationship Id="rId91" Type="http://schemas.openxmlformats.org/officeDocument/2006/relationships/hyperlink" Target="https://www.hbsp.harvard.edu/product/H03HV9-PDF-ENG?Ntt=&amp;itemFindingMethod=Recommendation&amp;recommendedBy=H02F0M-PDF-ENG" TargetMode="External"/><Relationship Id="rId96" Type="http://schemas.openxmlformats.org/officeDocument/2006/relationships/hyperlink" Target="https://www.ethicsboard.org/publications/final-pronouncement-restructured-code-19"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diagramLayout" Target="diagrams/layout2.xml"/><Relationship Id="rId28" Type="http://schemas.openxmlformats.org/officeDocument/2006/relationships/diagramLayout" Target="diagrams/layout3.xml"/><Relationship Id="rId49" Type="http://schemas.openxmlformats.org/officeDocument/2006/relationships/hyperlink" Target="https://www.ccn.com/tag/pwc/" TargetMode="External"/><Relationship Id="rId114" Type="http://schemas.openxmlformats.org/officeDocument/2006/relationships/hyperlink" Target="https://hbr.org/2012/03/psychopaths-on-wall-street" TargetMode="External"/><Relationship Id="rId119" Type="http://schemas.openxmlformats.org/officeDocument/2006/relationships/hyperlink" Target="http://www.frc.gov.uk" TargetMode="External"/><Relationship Id="rId44" Type="http://schemas.openxmlformats.org/officeDocument/2006/relationships/hyperlink" Target="https://en.wikipedia.org/wiki/Empathy" TargetMode="External"/><Relationship Id="rId60" Type="http://schemas.openxmlformats.org/officeDocument/2006/relationships/hyperlink" Target="https://www.researchgate.net/publication/230687440_The_Bankruptcy_of_Lehman_Brothers_Causes_of_Failure_Recommendations_Going_Forward" TargetMode="External"/><Relationship Id="rId65" Type="http://schemas.openxmlformats.org/officeDocument/2006/relationships/hyperlink" Target="http://www.coso.org" TargetMode="External"/><Relationship Id="rId81" Type="http://schemas.openxmlformats.org/officeDocument/2006/relationships/hyperlink" Target="https://www.ey.com/gl/en/issues/governance-and-reporting/center-for-boardmatters/ey-the-risks-and-opportunities-of-blockchain" TargetMode="External"/><Relationship Id="rId86" Type="http://schemas.openxmlformats.org/officeDocument/2006/relationships/hyperlink" Target="http://metro.co.uk/2012/09/14/top-10-reasons-frauds-occur-3817555/" TargetMode="External"/><Relationship Id="rId13" Type="http://schemas.openxmlformats.org/officeDocument/2006/relationships/hyperlink" Target="https://www.investopedia.com/terms/i/investmentbank.asp" TargetMode="External"/><Relationship Id="rId18" Type="http://schemas.microsoft.com/office/2007/relationships/diagramDrawing" Target="diagrams/drawing1.xml"/><Relationship Id="rId39" Type="http://schemas.openxmlformats.org/officeDocument/2006/relationships/hyperlink" Target="https://thesalesblog.com/blog/2010/10/24/they-will-be-what-you-are-a-note-to-the-sales-leader/" TargetMode="External"/><Relationship Id="rId109" Type="http://schemas.openxmlformats.org/officeDocument/2006/relationships/hyperlink" Target="http://www.elsevier.com" TargetMode="External"/><Relationship Id="rId34" Type="http://schemas.openxmlformats.org/officeDocument/2006/relationships/hyperlink" Target="https://www.google.com/url?sa=i&amp;rct=j&amp;q=&amp;esrc=s&amp;source=images&amp;cd=&amp;ved=2ahUKEwiBh9jSrsPiAhUH3xoKHbL2BtQQjRx6BAgBEAU&amp;url=http%3A%2F%2Ftelidos.blogspot.com%2F2009%2F01%2Ffraud-in-family.html&amp;psig=AOvVaw38Ix87oXfha1hWjrWA4NTH&amp;ust=1559309398761655" TargetMode="External"/><Relationship Id="rId50" Type="http://schemas.openxmlformats.org/officeDocument/2006/relationships/hyperlink" Target="https://www.ccn.com/tag/blockchain/" TargetMode="External"/><Relationship Id="rId55" Type="http://schemas.openxmlformats.org/officeDocument/2006/relationships/hyperlink" Target="https://s3-us-west-2.amazonaws.com/acfepublic/2018-report-to-the-nation%20(accessed%20%20December%2022,2019)" TargetMode="External"/><Relationship Id="rId76" Type="http://schemas.openxmlformats.org/officeDocument/2006/relationships/hyperlink" Target="https://ro.uow.edu.au/cgi/viewcontent.cgi?article=3208&amp;context=commpapers" TargetMode="External"/><Relationship Id="rId97" Type="http://schemas.openxmlformats.org/officeDocument/2006/relationships/hyperlink" Target="http://www.ssrn.com" TargetMode="External"/><Relationship Id="rId104" Type="http://schemas.openxmlformats.org/officeDocument/2006/relationships/hyperlink" Target="https://www.inc.com/bill-murphy-jr/google-says-it-still-uses-20-percent-rule-you-should-totally-copy-it.html" TargetMode="External"/><Relationship Id="rId120" Type="http://schemas.openxmlformats.org/officeDocument/2006/relationships/hyperlink" Target="https://www.frc.org.uk/getattachment/ca7e94c4-b9a9-49e2-a824-ad76a322873c/UK-Corporate-Governance-Code-April-2016.pdf" TargetMode="External"/><Relationship Id="rId125"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hyperlink" Target="https://www.coso.org/Documents/COSO-Fraud-Study-2010-001.pdf" TargetMode="External"/><Relationship Id="rId92" Type="http://schemas.openxmlformats.org/officeDocument/2006/relationships/hyperlink" Target="https://papers.ssrn.com/sol3/papers.cfm?abstract_id=2581157" TargetMode="External"/><Relationship Id="rId2" Type="http://schemas.openxmlformats.org/officeDocument/2006/relationships/styles" Target="styles.xml"/><Relationship Id="rId29" Type="http://schemas.openxmlformats.org/officeDocument/2006/relationships/diagramQuickStyle" Target="diagrams/quickStyle3.xml"/><Relationship Id="rId24" Type="http://schemas.openxmlformats.org/officeDocument/2006/relationships/diagramQuickStyle" Target="diagrams/quickStyle2.xml"/><Relationship Id="rId40" Type="http://schemas.openxmlformats.org/officeDocument/2006/relationships/hyperlink" Target="https://blogs.scientificamerican.com/beautiful-minds/the-light-triad-vs-dark-triad-of-personality/" TargetMode="External"/><Relationship Id="rId45" Type="http://schemas.openxmlformats.org/officeDocument/2006/relationships/hyperlink" Target="https://en.wikipedia.org/wiki/Machiavellianism_(psychology)" TargetMode="External"/><Relationship Id="rId66" Type="http://schemas.openxmlformats.org/officeDocument/2006/relationships/hyperlink" Target="http://www.coso.org" TargetMode="External"/><Relationship Id="rId87" Type="http://schemas.openxmlformats.org/officeDocument/2006/relationships/hyperlink" Target="https://web.archive.org/web/20170506185211/http:/metro.co.uk/2012/09/14/top-10-reasons-frauds-occur-3817555/" TargetMode="External"/><Relationship Id="rId110" Type="http://schemas.openxmlformats.org/officeDocument/2006/relationships/hyperlink" Target="https://www.pwc.lu/en/fintech/docs/pwcfintech-distributed-ledger-technology.pdf" TargetMode="External"/><Relationship Id="rId115" Type="http://schemas.openxmlformats.org/officeDocument/2006/relationships/hyperlink" Target="http://www.ssrn.com" TargetMode="External"/><Relationship Id="rId61" Type="http://schemas.openxmlformats.org/officeDocument/2006/relationships/hyperlink" Target="https://en.wikipedia.org/wiki/Snakes_in_Suits:_When_Psychopaths_Go_to_Work" TargetMode="External"/><Relationship Id="rId82" Type="http://schemas.openxmlformats.org/officeDocument/2006/relationships/hyperlink" Target="https://www.ey.com/en_gl/blockchain" TargetMode="External"/><Relationship Id="rId19" Type="http://schemas.openxmlformats.org/officeDocument/2006/relationships/hyperlink" Target="https://www.investopedia.com/terms/a/asymmetricinformation.asp" TargetMode="External"/><Relationship Id="rId14" Type="http://schemas.openxmlformats.org/officeDocument/2006/relationships/diagramData" Target="diagrams/data1.xml"/><Relationship Id="rId30" Type="http://schemas.openxmlformats.org/officeDocument/2006/relationships/diagramColors" Target="diagrams/colors3.xml"/><Relationship Id="rId35" Type="http://schemas.openxmlformats.org/officeDocument/2006/relationships/image" Target="media/image5.jpeg"/><Relationship Id="rId56" Type="http://schemas.openxmlformats.org/officeDocument/2006/relationships/hyperlink" Target="https://www.fraud-magazine.com/article.aspx?id=4294983342" TargetMode="External"/><Relationship Id="rId77" Type="http://schemas.openxmlformats.org/officeDocument/2006/relationships/hyperlink" Target="https://www2.deloitte.com/content/dam/Deloitte/au/Images/infographics/au-deloittetechnology-%20bitcoin-Blockchain-distributed-ledgers-180416.pdf" TargetMode="External"/><Relationship Id="rId100" Type="http://schemas.openxmlformats.org/officeDocument/2006/relationships/hyperlink" Target="https://advisory.kpmg.us/content/dam/advisory/en/pdfs/blockchain-future-finance.pdf" TargetMode="External"/><Relationship Id="rId105" Type="http://schemas.openxmlformats.org/officeDocument/2006/relationships/hyperlink" Target="http://www.inc.com/bill-murphy-jr/google-says-it-still-uses-20-percent-rule-you-should-totally-copy-it.html" TargetMode="External"/><Relationship Id="rId126"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hyperlink" Target="http://www.ifac.org/publications-resources/2013-handbook-code-ethics-professional-accountants" TargetMode="External"/><Relationship Id="rId72" Type="http://schemas.openxmlformats.org/officeDocument/2006/relationships/hyperlink" Target="https://www.ccn.com/pwc-to-provide-audit-service-for-blockchain-to-stimulate-adoption/" TargetMode="External"/><Relationship Id="rId93" Type="http://schemas.openxmlformats.org/officeDocument/2006/relationships/hyperlink" Target="https://blockchainlab.com/pdf/Hyperledger%20Whitepaper.pdf" TargetMode="External"/><Relationship Id="rId98" Type="http://schemas.openxmlformats.org/officeDocument/2006/relationships/hyperlink" Target="http://www.ssrn.com" TargetMode="External"/><Relationship Id="rId121" Type="http://schemas.openxmlformats.org/officeDocument/2006/relationships/hyperlink" Target="https://www.theguardian.com/business/2017/mar/28/tesco-agrees-fine-serious-fraud-office-accounting-scandal" TargetMode="External"/><Relationship Id="rId3" Type="http://schemas.openxmlformats.org/officeDocument/2006/relationships/settings" Target="settings.xml"/><Relationship Id="rId25" Type="http://schemas.openxmlformats.org/officeDocument/2006/relationships/diagramColors" Target="diagrams/colors2.xml"/><Relationship Id="rId46" Type="http://schemas.openxmlformats.org/officeDocument/2006/relationships/hyperlink" Target="https://en.wikipedia.org/wiki/Self-interest" TargetMode="External"/><Relationship Id="rId67" Type="http://schemas.openxmlformats.org/officeDocument/2006/relationships/hyperlink" Target="https://ibsintelligence.com/uncategorized" TargetMode="External"/><Relationship Id="rId116" Type="http://schemas.openxmlformats.org/officeDocument/2006/relationships/hyperlink" Target="http://www.southcoasttoday.com/article/20150526/OPINION/" TargetMode="External"/><Relationship Id="rId20" Type="http://schemas.openxmlformats.org/officeDocument/2006/relationships/image" Target="media/image3.png"/><Relationship Id="rId41" Type="http://schemas.openxmlformats.org/officeDocument/2006/relationships/hyperlink" Target="https://en.wikipedia.org/wiki/Narcissism" TargetMode="External"/><Relationship Id="rId62" Type="http://schemas.openxmlformats.org/officeDocument/2006/relationships/hyperlink" Target="https://en.wikipedia.org/wiki/Snakes_in_Suits:_When_Psychopaths_Go_to_Work" TargetMode="External"/><Relationship Id="rId83" Type="http://schemas.openxmlformats.org/officeDocument/2006/relationships/hyperlink" Target="http://www.ssrn.com" TargetMode="External"/><Relationship Id="rId88" Type="http://schemas.openxmlformats.org/officeDocument/2006/relationships/hyperlink" Target="https://www.gettysburg.edu/news/stories?id=79db7b34-630c-4f49-ad32-4ab9ea48e72b" TargetMode="External"/><Relationship Id="rId111" Type="http://schemas.openxmlformats.org/officeDocument/2006/relationships/hyperlink" Target="https://www.researchgate.net/journal/1985-8299_Asian_Academy_of_Management_Journal_of_Accounting_and_Finance" TargetMode="External"/><Relationship Id="rId15" Type="http://schemas.openxmlformats.org/officeDocument/2006/relationships/diagramLayout" Target="diagrams/layout1.xml"/><Relationship Id="rId36" Type="http://schemas.openxmlformats.org/officeDocument/2006/relationships/hyperlink" Target="http://telidos.blogspot.com/2009/01/fraud-in-family.html" TargetMode="External"/><Relationship Id="rId57" Type="http://schemas.openxmlformats.org/officeDocument/2006/relationships/hyperlink" Target="https://www.levels.fyi/blog/netflix-unique-culture.html" TargetMode="External"/><Relationship Id="rId106" Type="http://schemas.openxmlformats.org/officeDocument/2006/relationships/hyperlink" Target="https://www.researchgate.net/publication/228640975_Bitcoin_A_Peer-to-Peer_Electronic_Cash_System" TargetMode="External"/><Relationship Id="rId10" Type="http://schemas.openxmlformats.org/officeDocument/2006/relationships/hyperlink" Target="https://blogs.scientificamerican.com/beautiful-minds/the-light-triad-vs-dark-triad-of-personality/" TargetMode="External"/><Relationship Id="rId31" Type="http://schemas.microsoft.com/office/2007/relationships/diagramDrawing" Target="diagrams/drawing3.xml"/><Relationship Id="rId52" Type="http://schemas.openxmlformats.org/officeDocument/2006/relationships/hyperlink" Target="http://www.acfe.com" TargetMode="External"/><Relationship Id="rId73" Type="http://schemas.openxmlformats.org/officeDocument/2006/relationships/hyperlink" Target="http://www.aicpa.com" TargetMode="External"/><Relationship Id="rId78" Type="http://schemas.openxmlformats.org/officeDocument/2006/relationships/hyperlink" Target="https://www2.deloitte.com/content/dam/Deloitte/uk/Documents/technology/deloitte-uk-techtrends-2016-blockchain.pdf" TargetMode="External"/><Relationship Id="rId94" Type="http://schemas.openxmlformats.org/officeDocument/2006/relationships/hyperlink" Target="https://www.accountancyeurope.eu/wp-content/uploads/IAASBs-Discussion-Paper-on-theuse-of-Technology-with-a-focus-on-Data-Analytics.pdf" TargetMode="External"/><Relationship Id="rId99" Type="http://schemas.openxmlformats.org/officeDocument/2006/relationships/hyperlink" Target="https://assets.kpmg/content/dam/kpmg/ca/pdf/2018/02/apov-blockchain-feb-2018.pdf" TargetMode="External"/><Relationship Id="rId101" Type="http://schemas.openxmlformats.org/officeDocument/2006/relationships/hyperlink" Target="file:///C:/Users/bns325/Downloads/&#160;https:/www.linkedin.com/pulse/20140912150946-275561203-6-very-useful-approaches-to-identify-research-gaps-and-generate-research-questions" TargetMode="External"/><Relationship Id="rId122" Type="http://schemas.openxmlformats.org/officeDocument/2006/relationships/hyperlink" Target="https://www.japantimes.co.jp/news/2015/12/25/business/corporate-business/toshiba-fined-record-%C2%A57-3-billion-over-accounting-scandal/" TargetMode="External"/><Relationship Id="rId4" Type="http://schemas.openxmlformats.org/officeDocument/2006/relationships/webSettings" Target="webSettings.xml"/><Relationship Id="rId9" Type="http://schemas.openxmlformats.org/officeDocument/2006/relationships/image" Target="media/image2.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C7BADC28-1F50-41C5-9EBA-9193B057A5C9}" type="doc">
      <dgm:prSet loTypeId="urn:microsoft.com/office/officeart/2005/8/layout/radial3" loCatId="relationship" qsTypeId="urn:microsoft.com/office/officeart/2005/8/quickstyle/simple1" qsCatId="simple" csTypeId="urn:microsoft.com/office/officeart/2005/8/colors/accent1_2" csCatId="accent1" phldr="1"/>
      <dgm:spPr/>
      <dgm:t>
        <a:bodyPr/>
        <a:lstStyle/>
        <a:p>
          <a:endParaRPr lang="en-GB"/>
        </a:p>
      </dgm:t>
    </dgm:pt>
    <dgm:pt modelId="{07B6E136-A2B6-4F68-8578-C7228C02C8F1}">
      <dgm:prSet phldrT="[Text]"/>
      <dgm:spPr>
        <a:xfrm>
          <a:off x="1855589" y="712589"/>
          <a:ext cx="1775221" cy="1775221"/>
        </a:xfrm>
        <a:prstGeom prst="ellipse">
          <a:avLst/>
        </a:prstGeom>
        <a:solidFill>
          <a:srgbClr val="156082">
            <a:alpha val="5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Text" lastClr="000000"/>
              </a:solidFill>
              <a:latin typeface="Aptos" panose="02110004020202020204"/>
              <a:ea typeface="+mn-ea"/>
              <a:cs typeface="+mn-cs"/>
            </a:rPr>
            <a:t>Corporate Governance</a:t>
          </a:r>
        </a:p>
      </dgm:t>
    </dgm:pt>
    <dgm:pt modelId="{517B4E9A-C72D-409E-A194-6DD35BEA9225}" type="parTrans" cxnId="{5E9D7875-B11E-4615-8D85-85BE327E6414}">
      <dgm:prSet/>
      <dgm:spPr/>
      <dgm:t>
        <a:bodyPr/>
        <a:lstStyle/>
        <a:p>
          <a:endParaRPr lang="en-GB"/>
        </a:p>
      </dgm:t>
    </dgm:pt>
    <dgm:pt modelId="{6FDFD1D8-0387-4370-953E-D0A3E1AD85F8}" type="sibTrans" cxnId="{5E9D7875-B11E-4615-8D85-85BE327E6414}">
      <dgm:prSet/>
      <dgm:spPr/>
      <dgm:t>
        <a:bodyPr/>
        <a:lstStyle/>
        <a:p>
          <a:endParaRPr lang="en-GB"/>
        </a:p>
      </dgm:t>
    </dgm:pt>
    <dgm:pt modelId="{F17E972F-9B28-46E0-A8C1-CD91EC7A0778}">
      <dgm:prSet phldrT="[Text]"/>
      <dgm:spPr>
        <a:xfrm>
          <a:off x="2299394" y="316"/>
          <a:ext cx="887610" cy="887610"/>
        </a:xfrm>
        <a:prstGeom prst="ellipse">
          <a:avLst/>
        </a:prstGeom>
        <a:solidFill>
          <a:srgbClr val="156082">
            <a:alpha val="5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Text" lastClr="000000"/>
              </a:solidFill>
              <a:latin typeface="Aptos" panose="02110004020202020204"/>
              <a:ea typeface="+mn-ea"/>
              <a:cs typeface="+mn-cs"/>
            </a:rPr>
            <a:t>Board Impartiality</a:t>
          </a:r>
        </a:p>
      </dgm:t>
    </dgm:pt>
    <dgm:pt modelId="{050C06E1-BA22-4EDE-B404-D0DB45F8ED06}" type="parTrans" cxnId="{B49F1D13-688C-4C63-B9D1-43304BB91CF8}">
      <dgm:prSet/>
      <dgm:spPr/>
      <dgm:t>
        <a:bodyPr/>
        <a:lstStyle/>
        <a:p>
          <a:endParaRPr lang="en-GB"/>
        </a:p>
      </dgm:t>
    </dgm:pt>
    <dgm:pt modelId="{C8C50A7B-3884-441B-A40B-DFCC5E524D71}" type="sibTrans" cxnId="{B49F1D13-688C-4C63-B9D1-43304BB91CF8}">
      <dgm:prSet/>
      <dgm:spPr/>
      <dgm:t>
        <a:bodyPr/>
        <a:lstStyle/>
        <a:p>
          <a:endParaRPr lang="en-GB"/>
        </a:p>
      </dgm:t>
    </dgm:pt>
    <dgm:pt modelId="{1DEA710A-3BF1-427B-8263-C96B0EAEC5E8}">
      <dgm:prSet phldrT="[Text]"/>
      <dgm:spPr>
        <a:xfrm>
          <a:off x="3455472" y="1156394"/>
          <a:ext cx="887610" cy="887610"/>
        </a:xfrm>
        <a:prstGeom prst="ellipse">
          <a:avLst/>
        </a:prstGeom>
        <a:solidFill>
          <a:srgbClr val="156082">
            <a:alpha val="5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Text" lastClr="000000"/>
              </a:solidFill>
              <a:latin typeface="Aptos" panose="02110004020202020204"/>
              <a:ea typeface="+mn-ea"/>
              <a:cs typeface="+mn-cs"/>
            </a:rPr>
            <a:t>Audit Committees</a:t>
          </a:r>
        </a:p>
      </dgm:t>
    </dgm:pt>
    <dgm:pt modelId="{FF5FFB5C-ADFC-4E42-89DE-907B303F7AE0}" type="parTrans" cxnId="{F9795A8F-BA82-448A-98ED-6B55CADEEC19}">
      <dgm:prSet/>
      <dgm:spPr/>
      <dgm:t>
        <a:bodyPr/>
        <a:lstStyle/>
        <a:p>
          <a:endParaRPr lang="en-GB"/>
        </a:p>
      </dgm:t>
    </dgm:pt>
    <dgm:pt modelId="{2880AF16-1627-402E-A554-6FB849138CCF}" type="sibTrans" cxnId="{F9795A8F-BA82-448A-98ED-6B55CADEEC19}">
      <dgm:prSet/>
      <dgm:spPr/>
      <dgm:t>
        <a:bodyPr/>
        <a:lstStyle/>
        <a:p>
          <a:endParaRPr lang="en-GB"/>
        </a:p>
      </dgm:t>
    </dgm:pt>
    <dgm:pt modelId="{96D061BD-E6EE-4C34-B948-C181CD69FD82}">
      <dgm:prSet phldrT="[Text]"/>
      <dgm:spPr>
        <a:xfrm>
          <a:off x="2299394" y="2312472"/>
          <a:ext cx="887610" cy="887610"/>
        </a:xfrm>
        <a:prstGeom prst="ellipse">
          <a:avLst/>
        </a:prstGeom>
        <a:solidFill>
          <a:srgbClr val="156082">
            <a:alpha val="5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Text" lastClr="000000"/>
              </a:solidFill>
              <a:latin typeface="Aptos" panose="02110004020202020204"/>
              <a:ea typeface="+mn-ea"/>
              <a:cs typeface="+mn-cs"/>
            </a:rPr>
            <a:t>Executive Pay</a:t>
          </a:r>
        </a:p>
      </dgm:t>
    </dgm:pt>
    <dgm:pt modelId="{A8E63700-7E72-47D9-9CC8-E0006F72257B}" type="parTrans" cxnId="{F57DE666-169C-46D6-9146-DC628E01DC9F}">
      <dgm:prSet/>
      <dgm:spPr/>
      <dgm:t>
        <a:bodyPr/>
        <a:lstStyle/>
        <a:p>
          <a:endParaRPr lang="en-GB"/>
        </a:p>
      </dgm:t>
    </dgm:pt>
    <dgm:pt modelId="{964671C1-D0B1-4428-810F-B25FF625C664}" type="sibTrans" cxnId="{F57DE666-169C-46D6-9146-DC628E01DC9F}">
      <dgm:prSet/>
      <dgm:spPr/>
      <dgm:t>
        <a:bodyPr/>
        <a:lstStyle/>
        <a:p>
          <a:endParaRPr lang="en-GB"/>
        </a:p>
      </dgm:t>
    </dgm:pt>
    <dgm:pt modelId="{AF87F8EB-BC71-4001-837A-BF67E443A7E9}">
      <dgm:prSet/>
      <dgm:spPr/>
      <dgm:t>
        <a:bodyPr/>
        <a:lstStyle/>
        <a:p>
          <a:pPr>
            <a:buNone/>
          </a:pPr>
          <a:r>
            <a:rPr lang="en-GB">
              <a:solidFill>
                <a:sysClr val="windowText" lastClr="000000"/>
              </a:solidFill>
              <a:latin typeface="Aptos" panose="02110004020202020204"/>
              <a:ea typeface="+mn-ea"/>
              <a:cs typeface="+mn-cs"/>
            </a:rPr>
            <a:t>Ownership Formation</a:t>
          </a:r>
        </a:p>
      </dgm:t>
    </dgm:pt>
    <dgm:pt modelId="{401FD5D1-2404-44C5-8990-D1990A985242}" type="parTrans" cxnId="{86B637DE-F5D5-4E54-991A-F2F39EAFB3DC}">
      <dgm:prSet/>
      <dgm:spPr/>
      <dgm:t>
        <a:bodyPr/>
        <a:lstStyle/>
        <a:p>
          <a:endParaRPr lang="en-GB"/>
        </a:p>
      </dgm:t>
    </dgm:pt>
    <dgm:pt modelId="{42AB6220-3243-46C6-A27F-81489342F6AC}" type="sibTrans" cxnId="{86B637DE-F5D5-4E54-991A-F2F39EAFB3DC}">
      <dgm:prSet/>
      <dgm:spPr/>
      <dgm:t>
        <a:bodyPr/>
        <a:lstStyle/>
        <a:p>
          <a:endParaRPr lang="en-GB"/>
        </a:p>
      </dgm:t>
    </dgm:pt>
    <dgm:pt modelId="{A334E851-CD31-4B95-A805-3BDB51057288}" type="pres">
      <dgm:prSet presAssocID="{C7BADC28-1F50-41C5-9EBA-9193B057A5C9}" presName="composite" presStyleCnt="0">
        <dgm:presLayoutVars>
          <dgm:chMax val="1"/>
          <dgm:dir/>
          <dgm:resizeHandles val="exact"/>
        </dgm:presLayoutVars>
      </dgm:prSet>
      <dgm:spPr/>
    </dgm:pt>
    <dgm:pt modelId="{D7E091A5-AD05-4C35-98A4-394605037E69}" type="pres">
      <dgm:prSet presAssocID="{C7BADC28-1F50-41C5-9EBA-9193B057A5C9}" presName="radial" presStyleCnt="0">
        <dgm:presLayoutVars>
          <dgm:animLvl val="ctr"/>
        </dgm:presLayoutVars>
      </dgm:prSet>
      <dgm:spPr/>
    </dgm:pt>
    <dgm:pt modelId="{78DFB426-CCD5-49DF-92D8-C50795C74DB4}" type="pres">
      <dgm:prSet presAssocID="{07B6E136-A2B6-4F68-8578-C7228C02C8F1}" presName="centerShape" presStyleLbl="vennNode1" presStyleIdx="0" presStyleCnt="5"/>
      <dgm:spPr/>
    </dgm:pt>
    <dgm:pt modelId="{694D45C6-2535-4547-B8E6-331191020AAC}" type="pres">
      <dgm:prSet presAssocID="{F17E972F-9B28-46E0-A8C1-CD91EC7A0778}" presName="node" presStyleLbl="vennNode1" presStyleIdx="1" presStyleCnt="5">
        <dgm:presLayoutVars>
          <dgm:bulletEnabled val="1"/>
        </dgm:presLayoutVars>
      </dgm:prSet>
      <dgm:spPr/>
    </dgm:pt>
    <dgm:pt modelId="{B5934DF3-CDB6-449E-B2FD-4744FD20F7BA}" type="pres">
      <dgm:prSet presAssocID="{1DEA710A-3BF1-427B-8263-C96B0EAEC5E8}" presName="node" presStyleLbl="vennNode1" presStyleIdx="2" presStyleCnt="5">
        <dgm:presLayoutVars>
          <dgm:bulletEnabled val="1"/>
        </dgm:presLayoutVars>
      </dgm:prSet>
      <dgm:spPr/>
    </dgm:pt>
    <dgm:pt modelId="{0084A4D3-BD32-45CC-9932-86CD6F38ED69}" type="pres">
      <dgm:prSet presAssocID="{96D061BD-E6EE-4C34-B948-C181CD69FD82}" presName="node" presStyleLbl="vennNode1" presStyleIdx="3" presStyleCnt="5">
        <dgm:presLayoutVars>
          <dgm:bulletEnabled val="1"/>
        </dgm:presLayoutVars>
      </dgm:prSet>
      <dgm:spPr/>
    </dgm:pt>
    <dgm:pt modelId="{374ECDA9-14EE-42E4-A07A-B632CECBD0BD}" type="pres">
      <dgm:prSet presAssocID="{AF87F8EB-BC71-4001-837A-BF67E443A7E9}" presName="node" presStyleLbl="vennNode1" presStyleIdx="4" presStyleCnt="5">
        <dgm:presLayoutVars>
          <dgm:bulletEnabled val="1"/>
        </dgm:presLayoutVars>
      </dgm:prSet>
      <dgm:spPr/>
    </dgm:pt>
  </dgm:ptLst>
  <dgm:cxnLst>
    <dgm:cxn modelId="{B49F1D13-688C-4C63-B9D1-43304BB91CF8}" srcId="{07B6E136-A2B6-4F68-8578-C7228C02C8F1}" destId="{F17E972F-9B28-46E0-A8C1-CD91EC7A0778}" srcOrd="0" destOrd="0" parTransId="{050C06E1-BA22-4EDE-B404-D0DB45F8ED06}" sibTransId="{C8C50A7B-3884-441B-A40B-DFCC5E524D71}"/>
    <dgm:cxn modelId="{CE80C824-5E57-4C15-8309-781322A46C3E}" type="presOf" srcId="{C7BADC28-1F50-41C5-9EBA-9193B057A5C9}" destId="{A334E851-CD31-4B95-A805-3BDB51057288}" srcOrd="0" destOrd="0" presId="urn:microsoft.com/office/officeart/2005/8/layout/radial3"/>
    <dgm:cxn modelId="{74F35027-A11A-422A-BD0E-792EDA1145A2}" type="presOf" srcId="{07B6E136-A2B6-4F68-8578-C7228C02C8F1}" destId="{78DFB426-CCD5-49DF-92D8-C50795C74DB4}" srcOrd="0" destOrd="0" presId="urn:microsoft.com/office/officeart/2005/8/layout/radial3"/>
    <dgm:cxn modelId="{8E9C2660-1296-434E-A3E6-08EE75ABA439}" type="presOf" srcId="{F17E972F-9B28-46E0-A8C1-CD91EC7A0778}" destId="{694D45C6-2535-4547-B8E6-331191020AAC}" srcOrd="0" destOrd="0" presId="urn:microsoft.com/office/officeart/2005/8/layout/radial3"/>
    <dgm:cxn modelId="{F57DE666-169C-46D6-9146-DC628E01DC9F}" srcId="{07B6E136-A2B6-4F68-8578-C7228C02C8F1}" destId="{96D061BD-E6EE-4C34-B948-C181CD69FD82}" srcOrd="2" destOrd="0" parTransId="{A8E63700-7E72-47D9-9CC8-E0006F72257B}" sibTransId="{964671C1-D0B1-4428-810F-B25FF625C664}"/>
    <dgm:cxn modelId="{52DB5854-DD0A-4CF0-84FA-4284EC9B9D5F}" type="presOf" srcId="{96D061BD-E6EE-4C34-B948-C181CD69FD82}" destId="{0084A4D3-BD32-45CC-9932-86CD6F38ED69}" srcOrd="0" destOrd="0" presId="urn:microsoft.com/office/officeart/2005/8/layout/radial3"/>
    <dgm:cxn modelId="{4EB3E074-6874-4466-BA30-A412B8A77858}" type="presOf" srcId="{AF87F8EB-BC71-4001-837A-BF67E443A7E9}" destId="{374ECDA9-14EE-42E4-A07A-B632CECBD0BD}" srcOrd="0" destOrd="0" presId="urn:microsoft.com/office/officeart/2005/8/layout/radial3"/>
    <dgm:cxn modelId="{5E9D7875-B11E-4615-8D85-85BE327E6414}" srcId="{C7BADC28-1F50-41C5-9EBA-9193B057A5C9}" destId="{07B6E136-A2B6-4F68-8578-C7228C02C8F1}" srcOrd="0" destOrd="0" parTransId="{517B4E9A-C72D-409E-A194-6DD35BEA9225}" sibTransId="{6FDFD1D8-0387-4370-953E-D0A3E1AD85F8}"/>
    <dgm:cxn modelId="{F9795A8F-BA82-448A-98ED-6B55CADEEC19}" srcId="{07B6E136-A2B6-4F68-8578-C7228C02C8F1}" destId="{1DEA710A-3BF1-427B-8263-C96B0EAEC5E8}" srcOrd="1" destOrd="0" parTransId="{FF5FFB5C-ADFC-4E42-89DE-907B303F7AE0}" sibTransId="{2880AF16-1627-402E-A554-6FB849138CCF}"/>
    <dgm:cxn modelId="{DC563AD0-DAC0-479E-B2E7-19EEC5D0C08E}" type="presOf" srcId="{1DEA710A-3BF1-427B-8263-C96B0EAEC5E8}" destId="{B5934DF3-CDB6-449E-B2FD-4744FD20F7BA}" srcOrd="0" destOrd="0" presId="urn:microsoft.com/office/officeart/2005/8/layout/radial3"/>
    <dgm:cxn modelId="{86B637DE-F5D5-4E54-991A-F2F39EAFB3DC}" srcId="{07B6E136-A2B6-4F68-8578-C7228C02C8F1}" destId="{AF87F8EB-BC71-4001-837A-BF67E443A7E9}" srcOrd="3" destOrd="0" parTransId="{401FD5D1-2404-44C5-8990-D1990A985242}" sibTransId="{42AB6220-3243-46C6-A27F-81489342F6AC}"/>
    <dgm:cxn modelId="{ECB9EF74-E26A-45F4-B538-363FDCC1480D}" type="presParOf" srcId="{A334E851-CD31-4B95-A805-3BDB51057288}" destId="{D7E091A5-AD05-4C35-98A4-394605037E69}" srcOrd="0" destOrd="0" presId="urn:microsoft.com/office/officeart/2005/8/layout/radial3"/>
    <dgm:cxn modelId="{4F99F501-A615-4FCF-AAE5-2D6A17C54B0F}" type="presParOf" srcId="{D7E091A5-AD05-4C35-98A4-394605037E69}" destId="{78DFB426-CCD5-49DF-92D8-C50795C74DB4}" srcOrd="0" destOrd="0" presId="urn:microsoft.com/office/officeart/2005/8/layout/radial3"/>
    <dgm:cxn modelId="{33A22BA5-92CF-4272-9318-6B8F42CB0B21}" type="presParOf" srcId="{D7E091A5-AD05-4C35-98A4-394605037E69}" destId="{694D45C6-2535-4547-B8E6-331191020AAC}" srcOrd="1" destOrd="0" presId="urn:microsoft.com/office/officeart/2005/8/layout/radial3"/>
    <dgm:cxn modelId="{B5704279-EC92-4085-8D0B-AF134B4D2E0F}" type="presParOf" srcId="{D7E091A5-AD05-4C35-98A4-394605037E69}" destId="{B5934DF3-CDB6-449E-B2FD-4744FD20F7BA}" srcOrd="2" destOrd="0" presId="urn:microsoft.com/office/officeart/2005/8/layout/radial3"/>
    <dgm:cxn modelId="{6D9E508F-2101-4349-ADEB-1B1031C8851E}" type="presParOf" srcId="{D7E091A5-AD05-4C35-98A4-394605037E69}" destId="{0084A4D3-BD32-45CC-9932-86CD6F38ED69}" srcOrd="3" destOrd="0" presId="urn:microsoft.com/office/officeart/2005/8/layout/radial3"/>
    <dgm:cxn modelId="{30E7B974-668E-4EE8-B31A-5A377AF79A88}" type="presParOf" srcId="{D7E091A5-AD05-4C35-98A4-394605037E69}" destId="{374ECDA9-14EE-42E4-A07A-B632CECBD0BD}" srcOrd="4" destOrd="0" presId="urn:microsoft.com/office/officeart/2005/8/layout/radial3"/>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A20E0078-E190-4DEB-96FC-EB524E9F8FEC}" type="doc">
      <dgm:prSet loTypeId="urn:microsoft.com/office/officeart/2005/8/layout/chevron2" loCatId="process" qsTypeId="urn:microsoft.com/office/officeart/2005/8/quickstyle/simple1" qsCatId="simple" csTypeId="urn:microsoft.com/office/officeart/2005/8/colors/accent1_2" csCatId="accent1" phldr="1"/>
      <dgm:spPr/>
      <dgm:t>
        <a:bodyPr/>
        <a:lstStyle/>
        <a:p>
          <a:endParaRPr lang="en-GB"/>
        </a:p>
      </dgm:t>
    </dgm:pt>
    <dgm:pt modelId="{48749008-E1C1-4CEB-9DD2-B5496A36DE9A}">
      <dgm:prSet phldrT="[Text]"/>
      <dgm:spPr>
        <a:xfrm rot="5400000">
          <a:off x="-172026" y="173182"/>
          <a:ext cx="1146846" cy="802792"/>
        </a:xfrm>
        <a:prstGeom prst="chevron">
          <a:avLst/>
        </a:prstGeom>
        <a:solidFill>
          <a:srgbClr val="4472C4">
            <a:hueOff val="0"/>
            <a:satOff val="0"/>
            <a:lumOff val="0"/>
            <a:alphaOff val="0"/>
          </a:srgbClr>
        </a:solidFill>
        <a:ln w="12700" cap="flat" cmpd="sng" algn="ctr">
          <a:solidFill>
            <a:srgbClr val="4472C4">
              <a:hueOff val="0"/>
              <a:satOff val="0"/>
              <a:lumOff val="0"/>
              <a:alphaOff val="0"/>
            </a:srgb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Presonal Pressure</a:t>
          </a:r>
        </a:p>
      </dgm:t>
    </dgm:pt>
    <dgm:pt modelId="{3504F6F3-073C-480D-9D7C-2B903C3FBBFE}" type="parTrans" cxnId="{F0F59C8A-D1C5-41D3-B841-86F1FCE7B810}">
      <dgm:prSet/>
      <dgm:spPr/>
      <dgm:t>
        <a:bodyPr/>
        <a:lstStyle/>
        <a:p>
          <a:endParaRPr lang="en-GB"/>
        </a:p>
      </dgm:t>
    </dgm:pt>
    <dgm:pt modelId="{ACDA2738-9A2E-449C-90A9-A2B98BB0F759}" type="sibTrans" cxnId="{F0F59C8A-D1C5-41D3-B841-86F1FCE7B810}">
      <dgm:prSet/>
      <dgm:spPr/>
      <dgm:t>
        <a:bodyPr/>
        <a:lstStyle/>
        <a:p>
          <a:endParaRPr lang="en-GB"/>
        </a:p>
      </dgm:t>
    </dgm:pt>
    <dgm:pt modelId="{C9BC5BFF-1CF4-4507-BCC9-6196F94D3CA3}">
      <dgm:prSet phldrT="[Text]"/>
      <dgm:spPr>
        <a:xfrm rot="5400000">
          <a:off x="2771871" y="-1967922"/>
          <a:ext cx="745450" cy="4683607"/>
        </a:xfrm>
        <a:prstGeom prst="round2SameRect">
          <a:avLst/>
        </a:prstGeo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gm:spPr>
      <dgm:t>
        <a:bodyPr/>
        <a:lstStyle/>
        <a:p>
          <a:pPr>
            <a:buChar char="•"/>
          </a:pPr>
          <a:r>
            <a:rPr lang="en-GB" b="1">
              <a:solidFill>
                <a:sysClr val="windowText" lastClr="000000">
                  <a:hueOff val="0"/>
                  <a:satOff val="0"/>
                  <a:lumOff val="0"/>
                  <a:alphaOff val="0"/>
                </a:sysClr>
              </a:solidFill>
              <a:latin typeface="Calibri" panose="020F0502020204030204"/>
              <a:ea typeface="+mn-ea"/>
              <a:cs typeface="+mn-cs"/>
            </a:rPr>
            <a:t>Financial</a:t>
          </a:r>
          <a:r>
            <a:rPr lang="en-GB">
              <a:solidFill>
                <a:sysClr val="windowText" lastClr="000000">
                  <a:hueOff val="0"/>
                  <a:satOff val="0"/>
                  <a:lumOff val="0"/>
                  <a:alphaOff val="0"/>
                </a:sysClr>
              </a:solidFill>
              <a:latin typeface="Calibri" panose="020F0502020204030204"/>
              <a:ea typeface="+mn-ea"/>
              <a:cs typeface="+mn-cs"/>
            </a:rPr>
            <a:t>: Gambling, Financial Problems, Paying for Lavish Lifestyle</a:t>
          </a:r>
        </a:p>
      </dgm:t>
    </dgm:pt>
    <dgm:pt modelId="{A73C3311-D565-41E9-8C4B-6CF3B704F2B6}" type="parTrans" cxnId="{DA9DBEAE-AD8C-4DA2-BCBD-F43AF7840A4A}">
      <dgm:prSet/>
      <dgm:spPr/>
      <dgm:t>
        <a:bodyPr/>
        <a:lstStyle/>
        <a:p>
          <a:endParaRPr lang="en-GB"/>
        </a:p>
      </dgm:t>
    </dgm:pt>
    <dgm:pt modelId="{F6B4BB2E-A9EB-4EAE-A127-62828866E0EF}" type="sibTrans" cxnId="{DA9DBEAE-AD8C-4DA2-BCBD-F43AF7840A4A}">
      <dgm:prSet/>
      <dgm:spPr/>
      <dgm:t>
        <a:bodyPr/>
        <a:lstStyle/>
        <a:p>
          <a:endParaRPr lang="en-GB"/>
        </a:p>
      </dgm:t>
    </dgm:pt>
    <dgm:pt modelId="{737F51AD-53A4-46C8-88AB-71C58F28F6FF}">
      <dgm:prSet phldrT="[Text]"/>
      <dgm:spPr>
        <a:xfrm rot="5400000">
          <a:off x="2771871" y="-1967922"/>
          <a:ext cx="745450" cy="4683607"/>
        </a:xfrm>
        <a:prstGeom prst="round2SameRect">
          <a:avLst/>
        </a:prstGeo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gm:spPr>
      <dgm:t>
        <a:bodyPr/>
        <a:lstStyle/>
        <a:p>
          <a:pPr>
            <a:buChar char="•"/>
          </a:pPr>
          <a:r>
            <a:rPr lang="en-GB" b="1">
              <a:solidFill>
                <a:sysClr val="windowText" lastClr="000000">
                  <a:hueOff val="0"/>
                  <a:satOff val="0"/>
                  <a:lumOff val="0"/>
                  <a:alphaOff val="0"/>
                </a:sysClr>
              </a:solidFill>
              <a:latin typeface="Calibri" panose="020F0502020204030204"/>
              <a:ea typeface="+mn-ea"/>
              <a:cs typeface="+mn-cs"/>
            </a:rPr>
            <a:t>Nonfinancial</a:t>
          </a:r>
          <a:r>
            <a:rPr lang="en-GB">
              <a:solidFill>
                <a:sysClr val="windowText" lastClr="000000">
                  <a:hueOff val="0"/>
                  <a:satOff val="0"/>
                  <a:lumOff val="0"/>
                  <a:alphaOff val="0"/>
                </a:sysClr>
              </a:solidFill>
              <a:latin typeface="Calibri" panose="020F0502020204030204"/>
              <a:ea typeface="+mn-ea"/>
              <a:cs typeface="+mn-cs"/>
            </a:rPr>
            <a:t>: Lack of personal discipline, Greed</a:t>
          </a:r>
        </a:p>
      </dgm:t>
    </dgm:pt>
    <dgm:pt modelId="{B60F72EA-CA66-4944-8599-E3CB448A0D1E}" type="parTrans" cxnId="{080AF3ED-2218-4733-89C6-7274C814D7CC}">
      <dgm:prSet/>
      <dgm:spPr/>
      <dgm:t>
        <a:bodyPr/>
        <a:lstStyle/>
        <a:p>
          <a:endParaRPr lang="en-GB"/>
        </a:p>
      </dgm:t>
    </dgm:pt>
    <dgm:pt modelId="{FCEA00DD-1AE2-41EE-8EB8-C101D3B0C9BB}" type="sibTrans" cxnId="{080AF3ED-2218-4733-89C6-7274C814D7CC}">
      <dgm:prSet/>
      <dgm:spPr/>
      <dgm:t>
        <a:bodyPr/>
        <a:lstStyle/>
        <a:p>
          <a:endParaRPr lang="en-GB"/>
        </a:p>
      </dgm:t>
    </dgm:pt>
    <dgm:pt modelId="{F4EE5963-314F-46A0-8C9D-CA4DEE7CA81C}">
      <dgm:prSet phldrT="[Text]"/>
      <dgm:spPr>
        <a:xfrm rot="5400000">
          <a:off x="-172026" y="1117841"/>
          <a:ext cx="1146846" cy="802792"/>
        </a:xfrm>
        <a:prstGeom prst="chevron">
          <a:avLst/>
        </a:prstGeom>
        <a:solidFill>
          <a:srgbClr val="4472C4">
            <a:hueOff val="0"/>
            <a:satOff val="0"/>
            <a:lumOff val="0"/>
            <a:alphaOff val="0"/>
          </a:srgbClr>
        </a:solidFill>
        <a:ln w="12700" cap="flat" cmpd="sng" algn="ctr">
          <a:solidFill>
            <a:srgbClr val="4472C4">
              <a:hueOff val="0"/>
              <a:satOff val="0"/>
              <a:lumOff val="0"/>
              <a:alphaOff val="0"/>
            </a:srgb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Corporate Pressure</a:t>
          </a:r>
        </a:p>
      </dgm:t>
    </dgm:pt>
    <dgm:pt modelId="{DF88DFCF-704D-4598-BF63-59E5FFAB313B}" type="parTrans" cxnId="{DFDD6ECB-B613-4788-8582-6F27533E037A}">
      <dgm:prSet/>
      <dgm:spPr/>
      <dgm:t>
        <a:bodyPr/>
        <a:lstStyle/>
        <a:p>
          <a:endParaRPr lang="en-GB"/>
        </a:p>
      </dgm:t>
    </dgm:pt>
    <dgm:pt modelId="{A4A8D0C1-4822-42CD-951B-E529892EED6A}" type="sibTrans" cxnId="{DFDD6ECB-B613-4788-8582-6F27533E037A}">
      <dgm:prSet/>
      <dgm:spPr/>
      <dgm:t>
        <a:bodyPr/>
        <a:lstStyle/>
        <a:p>
          <a:endParaRPr lang="en-GB"/>
        </a:p>
      </dgm:t>
    </dgm:pt>
    <dgm:pt modelId="{6F8EC82D-2043-445B-94D5-FEA7C1D1E80E}">
      <dgm:prSet phldrT="[Text]"/>
      <dgm:spPr>
        <a:xfrm rot="5400000">
          <a:off x="2771871" y="-1023264"/>
          <a:ext cx="745450" cy="4683607"/>
        </a:xfrm>
        <a:prstGeom prst="round2SameRect">
          <a:avLst/>
        </a:prstGeo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gm:spPr>
      <dgm:t>
        <a:bodyPr/>
        <a:lstStyle/>
        <a:p>
          <a:pPr>
            <a:buChar char="•"/>
          </a:pPr>
          <a:r>
            <a:rPr lang="en-GB" b="1">
              <a:solidFill>
                <a:sysClr val="windowText" lastClr="000000">
                  <a:hueOff val="0"/>
                  <a:satOff val="0"/>
                  <a:lumOff val="0"/>
                  <a:alphaOff val="0"/>
                </a:sysClr>
              </a:solidFill>
              <a:latin typeface="Calibri" panose="020F0502020204030204"/>
              <a:ea typeface="+mn-ea"/>
              <a:cs typeface="+mn-cs"/>
            </a:rPr>
            <a:t>Financial</a:t>
          </a:r>
          <a:r>
            <a:rPr lang="en-GB">
              <a:solidFill>
                <a:sysClr val="windowText" lastClr="000000">
                  <a:hueOff val="0"/>
                  <a:satOff val="0"/>
                  <a:lumOff val="0"/>
                  <a:alphaOff val="0"/>
                </a:sysClr>
              </a:solidFill>
              <a:latin typeface="Calibri" panose="020F0502020204030204"/>
              <a:ea typeface="+mn-ea"/>
              <a:cs typeface="+mn-cs"/>
            </a:rPr>
            <a:t>: Low salaries, Management, Financial Interest, Continous Compensation Structure</a:t>
          </a:r>
        </a:p>
      </dgm:t>
    </dgm:pt>
    <dgm:pt modelId="{42E24D0B-7594-4414-AAAC-C89F4D8FDB6A}" type="parTrans" cxnId="{D21CE5E8-99DD-4E34-B99D-D561491F2063}">
      <dgm:prSet/>
      <dgm:spPr/>
      <dgm:t>
        <a:bodyPr/>
        <a:lstStyle/>
        <a:p>
          <a:endParaRPr lang="en-GB"/>
        </a:p>
      </dgm:t>
    </dgm:pt>
    <dgm:pt modelId="{4F8C91CD-3583-41C2-937E-F41DFF123396}" type="sibTrans" cxnId="{D21CE5E8-99DD-4E34-B99D-D561491F2063}">
      <dgm:prSet/>
      <dgm:spPr/>
      <dgm:t>
        <a:bodyPr/>
        <a:lstStyle/>
        <a:p>
          <a:endParaRPr lang="en-GB"/>
        </a:p>
      </dgm:t>
    </dgm:pt>
    <dgm:pt modelId="{4D790B06-7CEF-4883-9E41-7D89A2BEB4DF}">
      <dgm:prSet phldrT="[Text]"/>
      <dgm:spPr>
        <a:xfrm rot="5400000">
          <a:off x="2771871" y="-1023264"/>
          <a:ext cx="745450" cy="4683607"/>
        </a:xfrm>
        <a:prstGeom prst="round2SameRect">
          <a:avLst/>
        </a:prstGeo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gm:spPr>
      <dgm:t>
        <a:bodyPr/>
        <a:lstStyle/>
        <a:p>
          <a:pPr>
            <a:buChar char="•"/>
          </a:pPr>
          <a:r>
            <a:rPr lang="en-GB" b="1">
              <a:solidFill>
                <a:sysClr val="windowText" lastClr="000000">
                  <a:hueOff val="0"/>
                  <a:satOff val="0"/>
                  <a:lumOff val="0"/>
                  <a:alphaOff val="0"/>
                </a:sysClr>
              </a:solidFill>
              <a:latin typeface="Calibri" panose="020F0502020204030204"/>
              <a:ea typeface="+mn-ea"/>
              <a:cs typeface="+mn-cs"/>
            </a:rPr>
            <a:t>Nonfinancial</a:t>
          </a:r>
          <a:r>
            <a:rPr lang="en-GB" b="0">
              <a:solidFill>
                <a:sysClr val="windowText" lastClr="000000">
                  <a:hueOff val="0"/>
                  <a:satOff val="0"/>
                  <a:lumOff val="0"/>
                  <a:alphaOff val="0"/>
                </a:sysClr>
              </a:solidFill>
              <a:latin typeface="Calibri" panose="020F0502020204030204"/>
              <a:ea typeface="+mn-ea"/>
              <a:cs typeface="+mn-cs"/>
            </a:rPr>
            <a:t>: Unfair Treatment, Fear of Losing the Job, Frustration with Work, Challenge to Beat the System</a:t>
          </a:r>
        </a:p>
      </dgm:t>
    </dgm:pt>
    <dgm:pt modelId="{25B46AA3-BFBA-49D8-AED7-EC76A25ADB11}" type="parTrans" cxnId="{FC56CC4C-8BE8-40CE-9924-76F0DB05D274}">
      <dgm:prSet/>
      <dgm:spPr/>
      <dgm:t>
        <a:bodyPr/>
        <a:lstStyle/>
        <a:p>
          <a:endParaRPr lang="en-GB"/>
        </a:p>
      </dgm:t>
    </dgm:pt>
    <dgm:pt modelId="{7AD423C2-D1A1-4835-A8A6-B998645331D7}" type="sibTrans" cxnId="{FC56CC4C-8BE8-40CE-9924-76F0DB05D274}">
      <dgm:prSet/>
      <dgm:spPr/>
      <dgm:t>
        <a:bodyPr/>
        <a:lstStyle/>
        <a:p>
          <a:endParaRPr lang="en-GB"/>
        </a:p>
      </dgm:t>
    </dgm:pt>
    <dgm:pt modelId="{FF3865CE-289F-476E-909D-113E4A061DFA}">
      <dgm:prSet phldrT="[Text]"/>
      <dgm:spPr>
        <a:xfrm rot="5400000">
          <a:off x="-172026" y="2062499"/>
          <a:ext cx="1146846" cy="802792"/>
        </a:xfrm>
        <a:prstGeom prst="chevron">
          <a:avLst/>
        </a:prstGeom>
        <a:solidFill>
          <a:srgbClr val="4472C4">
            <a:hueOff val="0"/>
            <a:satOff val="0"/>
            <a:lumOff val="0"/>
            <a:alphaOff val="0"/>
          </a:srgbClr>
        </a:solidFill>
        <a:ln w="12700" cap="flat" cmpd="sng" algn="ctr">
          <a:solidFill>
            <a:srgbClr val="4472C4">
              <a:hueOff val="0"/>
              <a:satOff val="0"/>
              <a:lumOff val="0"/>
              <a:alphaOff val="0"/>
            </a:srgb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External Pressure</a:t>
          </a:r>
        </a:p>
      </dgm:t>
    </dgm:pt>
    <dgm:pt modelId="{79136F13-872E-46F3-92E8-B32ACE946ADE}" type="parTrans" cxnId="{976D106D-B4A5-4DE7-BD59-12D5DFB7A8CF}">
      <dgm:prSet/>
      <dgm:spPr/>
      <dgm:t>
        <a:bodyPr/>
        <a:lstStyle/>
        <a:p>
          <a:endParaRPr lang="en-GB"/>
        </a:p>
      </dgm:t>
    </dgm:pt>
    <dgm:pt modelId="{87C425AE-A2F2-4E50-9397-E5ED4D79AA5B}" type="sibTrans" cxnId="{976D106D-B4A5-4DE7-BD59-12D5DFB7A8CF}">
      <dgm:prSet/>
      <dgm:spPr/>
      <dgm:t>
        <a:bodyPr/>
        <a:lstStyle/>
        <a:p>
          <a:endParaRPr lang="en-GB"/>
        </a:p>
      </dgm:t>
    </dgm:pt>
    <dgm:pt modelId="{7EFDD88F-8D3E-411A-9F2B-39163139AA67}">
      <dgm:prSet phldrT="[Text]"/>
      <dgm:spPr>
        <a:xfrm rot="5400000">
          <a:off x="2771871" y="-78605"/>
          <a:ext cx="745450" cy="4683607"/>
        </a:xfrm>
        <a:prstGeom prst="round2SameRect">
          <a:avLst/>
        </a:prstGeo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gm:spPr>
      <dgm:t>
        <a:bodyPr/>
        <a:lstStyle/>
        <a:p>
          <a:pPr>
            <a:buChar char="•"/>
          </a:pPr>
          <a:r>
            <a:rPr lang="en-GB" b="1">
              <a:solidFill>
                <a:sysClr val="windowText" lastClr="000000">
                  <a:hueOff val="0"/>
                  <a:satOff val="0"/>
                  <a:lumOff val="0"/>
                  <a:alphaOff val="0"/>
                </a:sysClr>
              </a:solidFill>
              <a:latin typeface="Calibri" panose="020F0502020204030204"/>
              <a:ea typeface="+mn-ea"/>
              <a:cs typeface="+mn-cs"/>
            </a:rPr>
            <a:t>Financial</a:t>
          </a:r>
          <a:r>
            <a:rPr lang="en-GB">
              <a:solidFill>
                <a:sysClr val="windowText" lastClr="000000">
                  <a:hueOff val="0"/>
                  <a:satOff val="0"/>
                  <a:lumOff val="0"/>
                  <a:alphaOff val="0"/>
                </a:sysClr>
              </a:solidFill>
              <a:latin typeface="Calibri" panose="020F0502020204030204"/>
              <a:ea typeface="+mn-ea"/>
              <a:cs typeface="+mn-cs"/>
            </a:rPr>
            <a:t>: Threats to business Financial Stability, Market Expectations</a:t>
          </a:r>
        </a:p>
      </dgm:t>
    </dgm:pt>
    <dgm:pt modelId="{5A4CD2EE-96CB-4C3A-9C24-C80D458829C7}" type="parTrans" cxnId="{C90613F9-915D-40D9-958F-FE311BEF9644}">
      <dgm:prSet/>
      <dgm:spPr/>
      <dgm:t>
        <a:bodyPr/>
        <a:lstStyle/>
        <a:p>
          <a:endParaRPr lang="en-GB"/>
        </a:p>
      </dgm:t>
    </dgm:pt>
    <dgm:pt modelId="{C85C1203-7878-491B-BDE7-5DA76B6325D4}" type="sibTrans" cxnId="{C90613F9-915D-40D9-958F-FE311BEF9644}">
      <dgm:prSet/>
      <dgm:spPr/>
      <dgm:t>
        <a:bodyPr/>
        <a:lstStyle/>
        <a:p>
          <a:endParaRPr lang="en-GB"/>
        </a:p>
      </dgm:t>
    </dgm:pt>
    <dgm:pt modelId="{1C354A57-C42E-46E5-AAA0-8BA6F9B571FC}">
      <dgm:prSet phldrT="[Text]"/>
      <dgm:spPr>
        <a:xfrm rot="5400000">
          <a:off x="2771871" y="-78605"/>
          <a:ext cx="745450" cy="4683607"/>
        </a:xfrm>
        <a:prstGeom prst="round2SameRect">
          <a:avLst/>
        </a:prstGeo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gm:spPr>
      <dgm:t>
        <a:bodyPr/>
        <a:lstStyle/>
        <a:p>
          <a:pPr>
            <a:buChar char="•"/>
          </a:pPr>
          <a:endParaRPr lang="en-GB">
            <a:solidFill>
              <a:sysClr val="windowText" lastClr="000000">
                <a:hueOff val="0"/>
                <a:satOff val="0"/>
                <a:lumOff val="0"/>
                <a:alphaOff val="0"/>
              </a:sysClr>
            </a:solidFill>
            <a:latin typeface="Calibri" panose="020F0502020204030204"/>
            <a:ea typeface="+mn-ea"/>
            <a:cs typeface="+mn-cs"/>
          </a:endParaRPr>
        </a:p>
      </dgm:t>
    </dgm:pt>
    <dgm:pt modelId="{2091B52B-A08F-4C94-8059-9FF1DED45F05}" type="parTrans" cxnId="{BB76E3C7-860F-42FF-9059-CE40A51A4A7B}">
      <dgm:prSet/>
      <dgm:spPr/>
      <dgm:t>
        <a:bodyPr/>
        <a:lstStyle/>
        <a:p>
          <a:endParaRPr lang="en-GB"/>
        </a:p>
      </dgm:t>
    </dgm:pt>
    <dgm:pt modelId="{53E6BB73-0FD8-4727-A77A-B39C979BBECD}" type="sibTrans" cxnId="{BB76E3C7-860F-42FF-9059-CE40A51A4A7B}">
      <dgm:prSet/>
      <dgm:spPr/>
      <dgm:t>
        <a:bodyPr/>
        <a:lstStyle/>
        <a:p>
          <a:endParaRPr lang="en-GB"/>
        </a:p>
      </dgm:t>
    </dgm:pt>
    <dgm:pt modelId="{83EE95A1-D615-49CD-8229-A8F6E4FDB506}">
      <dgm:prSet phldrT="[Text]"/>
      <dgm:spPr>
        <a:xfrm rot="5400000">
          <a:off x="2771871" y="-78605"/>
          <a:ext cx="745450" cy="4683607"/>
        </a:xfrm>
        <a:prstGeom prst="round2SameRect">
          <a:avLst/>
        </a:prstGeo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gm:spPr>
      <dgm:t>
        <a:bodyPr/>
        <a:lstStyle/>
        <a:p>
          <a:pPr>
            <a:buChar char="•"/>
          </a:pPr>
          <a:r>
            <a:rPr lang="en-GB" b="1">
              <a:solidFill>
                <a:sysClr val="windowText" lastClr="000000">
                  <a:hueOff val="0"/>
                  <a:satOff val="0"/>
                  <a:lumOff val="0"/>
                  <a:alphaOff val="0"/>
                </a:sysClr>
              </a:solidFill>
              <a:latin typeface="Calibri" panose="020F0502020204030204"/>
              <a:ea typeface="+mn-ea"/>
              <a:cs typeface="+mn-cs"/>
            </a:rPr>
            <a:t>Nonfinancial</a:t>
          </a:r>
          <a:r>
            <a:rPr lang="en-GB" b="0">
              <a:solidFill>
                <a:sysClr val="windowText" lastClr="000000">
                  <a:hueOff val="0"/>
                  <a:satOff val="0"/>
                  <a:lumOff val="0"/>
                  <a:alphaOff val="0"/>
                </a:sysClr>
              </a:solidFill>
              <a:latin typeface="Calibri" panose="020F0502020204030204"/>
              <a:ea typeface="+mn-ea"/>
              <a:cs typeface="+mn-cs"/>
            </a:rPr>
            <a:t>: Image, Ego, Reputation, Prestige, Social Pressure </a:t>
          </a:r>
          <a:endParaRPr lang="en-GB">
            <a:solidFill>
              <a:sysClr val="windowText" lastClr="000000">
                <a:hueOff val="0"/>
                <a:satOff val="0"/>
                <a:lumOff val="0"/>
                <a:alphaOff val="0"/>
              </a:sysClr>
            </a:solidFill>
            <a:latin typeface="Calibri" panose="020F0502020204030204"/>
            <a:ea typeface="+mn-ea"/>
            <a:cs typeface="+mn-cs"/>
          </a:endParaRPr>
        </a:p>
      </dgm:t>
    </dgm:pt>
    <dgm:pt modelId="{67703B90-AD2F-4E79-9FB1-2D92A76D7ECD}" type="parTrans" cxnId="{EC49F75E-5E2C-4A74-B51B-F220B80EAFAC}">
      <dgm:prSet/>
      <dgm:spPr/>
      <dgm:t>
        <a:bodyPr/>
        <a:lstStyle/>
        <a:p>
          <a:endParaRPr lang="en-GB"/>
        </a:p>
      </dgm:t>
    </dgm:pt>
    <dgm:pt modelId="{E6C687B1-B579-44E5-B085-6C8EF700CAA2}" type="sibTrans" cxnId="{EC49F75E-5E2C-4A74-B51B-F220B80EAFAC}">
      <dgm:prSet/>
      <dgm:spPr/>
      <dgm:t>
        <a:bodyPr/>
        <a:lstStyle/>
        <a:p>
          <a:endParaRPr lang="en-GB"/>
        </a:p>
      </dgm:t>
    </dgm:pt>
    <dgm:pt modelId="{0905DD16-EB9A-4DB1-A83E-7D7296F247C4}" type="pres">
      <dgm:prSet presAssocID="{A20E0078-E190-4DEB-96FC-EB524E9F8FEC}" presName="linearFlow" presStyleCnt="0">
        <dgm:presLayoutVars>
          <dgm:dir/>
          <dgm:animLvl val="lvl"/>
          <dgm:resizeHandles val="exact"/>
        </dgm:presLayoutVars>
      </dgm:prSet>
      <dgm:spPr/>
    </dgm:pt>
    <dgm:pt modelId="{25E3BC1A-52A0-4FAE-8640-1C4B82727ABD}" type="pres">
      <dgm:prSet presAssocID="{48749008-E1C1-4CEB-9DD2-B5496A36DE9A}" presName="composite" presStyleCnt="0"/>
      <dgm:spPr/>
    </dgm:pt>
    <dgm:pt modelId="{F50ACCF7-7FDA-43AB-845D-58B60C809D46}" type="pres">
      <dgm:prSet presAssocID="{48749008-E1C1-4CEB-9DD2-B5496A36DE9A}" presName="parentText" presStyleLbl="alignNode1" presStyleIdx="0" presStyleCnt="3">
        <dgm:presLayoutVars>
          <dgm:chMax val="1"/>
          <dgm:bulletEnabled val="1"/>
        </dgm:presLayoutVars>
      </dgm:prSet>
      <dgm:spPr/>
    </dgm:pt>
    <dgm:pt modelId="{428866CC-49EC-480C-A078-F675832D58BA}" type="pres">
      <dgm:prSet presAssocID="{48749008-E1C1-4CEB-9DD2-B5496A36DE9A}" presName="descendantText" presStyleLbl="alignAcc1" presStyleIdx="0" presStyleCnt="3">
        <dgm:presLayoutVars>
          <dgm:bulletEnabled val="1"/>
        </dgm:presLayoutVars>
      </dgm:prSet>
      <dgm:spPr/>
    </dgm:pt>
    <dgm:pt modelId="{D4E3DDD4-2322-4BBC-ADF7-65921DEFC3F1}" type="pres">
      <dgm:prSet presAssocID="{ACDA2738-9A2E-449C-90A9-A2B98BB0F759}" presName="sp" presStyleCnt="0"/>
      <dgm:spPr/>
    </dgm:pt>
    <dgm:pt modelId="{EA319474-CF8B-467F-9BF2-2857B4EB67E6}" type="pres">
      <dgm:prSet presAssocID="{F4EE5963-314F-46A0-8C9D-CA4DEE7CA81C}" presName="composite" presStyleCnt="0"/>
      <dgm:spPr/>
    </dgm:pt>
    <dgm:pt modelId="{A75ACEEE-433E-4A27-9CD0-22ED2F215627}" type="pres">
      <dgm:prSet presAssocID="{F4EE5963-314F-46A0-8C9D-CA4DEE7CA81C}" presName="parentText" presStyleLbl="alignNode1" presStyleIdx="1" presStyleCnt="3">
        <dgm:presLayoutVars>
          <dgm:chMax val="1"/>
          <dgm:bulletEnabled val="1"/>
        </dgm:presLayoutVars>
      </dgm:prSet>
      <dgm:spPr/>
    </dgm:pt>
    <dgm:pt modelId="{D3BABA09-3D83-4BC3-A4DE-4C451579A6DF}" type="pres">
      <dgm:prSet presAssocID="{F4EE5963-314F-46A0-8C9D-CA4DEE7CA81C}" presName="descendantText" presStyleLbl="alignAcc1" presStyleIdx="1" presStyleCnt="3">
        <dgm:presLayoutVars>
          <dgm:bulletEnabled val="1"/>
        </dgm:presLayoutVars>
      </dgm:prSet>
      <dgm:spPr/>
    </dgm:pt>
    <dgm:pt modelId="{AE6682A0-70EE-4933-899A-82BF35030E62}" type="pres">
      <dgm:prSet presAssocID="{A4A8D0C1-4822-42CD-951B-E529892EED6A}" presName="sp" presStyleCnt="0"/>
      <dgm:spPr/>
    </dgm:pt>
    <dgm:pt modelId="{C1220D74-4E47-4F7B-BAD5-66A0DC20EC73}" type="pres">
      <dgm:prSet presAssocID="{FF3865CE-289F-476E-909D-113E4A061DFA}" presName="composite" presStyleCnt="0"/>
      <dgm:spPr/>
    </dgm:pt>
    <dgm:pt modelId="{3844652E-7B2C-4D82-A74D-1CF766498441}" type="pres">
      <dgm:prSet presAssocID="{FF3865CE-289F-476E-909D-113E4A061DFA}" presName="parentText" presStyleLbl="alignNode1" presStyleIdx="2" presStyleCnt="3">
        <dgm:presLayoutVars>
          <dgm:chMax val="1"/>
          <dgm:bulletEnabled val="1"/>
        </dgm:presLayoutVars>
      </dgm:prSet>
      <dgm:spPr/>
    </dgm:pt>
    <dgm:pt modelId="{9FCA5FE1-D50F-47CA-92D5-10BC69BCEDC7}" type="pres">
      <dgm:prSet presAssocID="{FF3865CE-289F-476E-909D-113E4A061DFA}" presName="descendantText" presStyleLbl="alignAcc1" presStyleIdx="2" presStyleCnt="3">
        <dgm:presLayoutVars>
          <dgm:bulletEnabled val="1"/>
        </dgm:presLayoutVars>
      </dgm:prSet>
      <dgm:spPr>
        <a:prstGeom prst="round2SameRect">
          <a:avLst/>
        </a:prstGeom>
      </dgm:spPr>
    </dgm:pt>
  </dgm:ptLst>
  <dgm:cxnLst>
    <dgm:cxn modelId="{7635C62A-B05C-4345-BD76-42AC82D77352}" type="presOf" srcId="{A20E0078-E190-4DEB-96FC-EB524E9F8FEC}" destId="{0905DD16-EB9A-4DB1-A83E-7D7296F247C4}" srcOrd="0" destOrd="0" presId="urn:microsoft.com/office/officeart/2005/8/layout/chevron2"/>
    <dgm:cxn modelId="{7877422C-940F-4947-B379-B5C4B786E98E}" type="presOf" srcId="{6F8EC82D-2043-445B-94D5-FEA7C1D1E80E}" destId="{D3BABA09-3D83-4BC3-A4DE-4C451579A6DF}" srcOrd="0" destOrd="0" presId="urn:microsoft.com/office/officeart/2005/8/layout/chevron2"/>
    <dgm:cxn modelId="{EC49F75E-5E2C-4A74-B51B-F220B80EAFAC}" srcId="{FF3865CE-289F-476E-909D-113E4A061DFA}" destId="{83EE95A1-D615-49CD-8229-A8F6E4FDB506}" srcOrd="1" destOrd="0" parTransId="{67703B90-AD2F-4E79-9FB1-2D92A76D7ECD}" sibTransId="{E6C687B1-B579-44E5-B085-6C8EF700CAA2}"/>
    <dgm:cxn modelId="{853AAF44-61FA-4139-80D6-99364E549731}" type="presOf" srcId="{1C354A57-C42E-46E5-AAA0-8BA6F9B571FC}" destId="{9FCA5FE1-D50F-47CA-92D5-10BC69BCEDC7}" srcOrd="0" destOrd="2" presId="urn:microsoft.com/office/officeart/2005/8/layout/chevron2"/>
    <dgm:cxn modelId="{9894116C-72F8-4EA4-9788-82ADD6B634D8}" type="presOf" srcId="{48749008-E1C1-4CEB-9DD2-B5496A36DE9A}" destId="{F50ACCF7-7FDA-43AB-845D-58B60C809D46}" srcOrd="0" destOrd="0" presId="urn:microsoft.com/office/officeart/2005/8/layout/chevron2"/>
    <dgm:cxn modelId="{FC56CC4C-8BE8-40CE-9924-76F0DB05D274}" srcId="{F4EE5963-314F-46A0-8C9D-CA4DEE7CA81C}" destId="{4D790B06-7CEF-4883-9E41-7D89A2BEB4DF}" srcOrd="1" destOrd="0" parTransId="{25B46AA3-BFBA-49D8-AED7-EC76A25ADB11}" sibTransId="{7AD423C2-D1A1-4835-A8A6-B998645331D7}"/>
    <dgm:cxn modelId="{976D106D-B4A5-4DE7-BD59-12D5DFB7A8CF}" srcId="{A20E0078-E190-4DEB-96FC-EB524E9F8FEC}" destId="{FF3865CE-289F-476E-909D-113E4A061DFA}" srcOrd="2" destOrd="0" parTransId="{79136F13-872E-46F3-92E8-B32ACE946ADE}" sibTransId="{87C425AE-A2F2-4E50-9397-E5ED4D79AA5B}"/>
    <dgm:cxn modelId="{47AD617B-D109-4F3F-AEED-9FF7394C4FF3}" type="presOf" srcId="{FF3865CE-289F-476E-909D-113E4A061DFA}" destId="{3844652E-7B2C-4D82-A74D-1CF766498441}" srcOrd="0" destOrd="0" presId="urn:microsoft.com/office/officeart/2005/8/layout/chevron2"/>
    <dgm:cxn modelId="{FDD9F185-EE9E-47A0-BB68-11A9DF77CB31}" type="presOf" srcId="{F4EE5963-314F-46A0-8C9D-CA4DEE7CA81C}" destId="{A75ACEEE-433E-4A27-9CD0-22ED2F215627}" srcOrd="0" destOrd="0" presId="urn:microsoft.com/office/officeart/2005/8/layout/chevron2"/>
    <dgm:cxn modelId="{F0F59C8A-D1C5-41D3-B841-86F1FCE7B810}" srcId="{A20E0078-E190-4DEB-96FC-EB524E9F8FEC}" destId="{48749008-E1C1-4CEB-9DD2-B5496A36DE9A}" srcOrd="0" destOrd="0" parTransId="{3504F6F3-073C-480D-9D7C-2B903C3FBBFE}" sibTransId="{ACDA2738-9A2E-449C-90A9-A2B98BB0F759}"/>
    <dgm:cxn modelId="{DA9DBEAE-AD8C-4DA2-BCBD-F43AF7840A4A}" srcId="{48749008-E1C1-4CEB-9DD2-B5496A36DE9A}" destId="{C9BC5BFF-1CF4-4507-BCC9-6196F94D3CA3}" srcOrd="0" destOrd="0" parTransId="{A73C3311-D565-41E9-8C4B-6CF3B704F2B6}" sibTransId="{F6B4BB2E-A9EB-4EAE-A127-62828866E0EF}"/>
    <dgm:cxn modelId="{BB76E3C7-860F-42FF-9059-CE40A51A4A7B}" srcId="{FF3865CE-289F-476E-909D-113E4A061DFA}" destId="{1C354A57-C42E-46E5-AAA0-8BA6F9B571FC}" srcOrd="2" destOrd="0" parTransId="{2091B52B-A08F-4C94-8059-9FF1DED45F05}" sibTransId="{53E6BB73-0FD8-4727-A77A-B39C979BBECD}"/>
    <dgm:cxn modelId="{DFDD6ECB-B613-4788-8582-6F27533E037A}" srcId="{A20E0078-E190-4DEB-96FC-EB524E9F8FEC}" destId="{F4EE5963-314F-46A0-8C9D-CA4DEE7CA81C}" srcOrd="1" destOrd="0" parTransId="{DF88DFCF-704D-4598-BF63-59E5FFAB313B}" sibTransId="{A4A8D0C1-4822-42CD-951B-E529892EED6A}"/>
    <dgm:cxn modelId="{276A99E4-EA37-4C89-95A8-63B6308785F0}" type="presOf" srcId="{83EE95A1-D615-49CD-8229-A8F6E4FDB506}" destId="{9FCA5FE1-D50F-47CA-92D5-10BC69BCEDC7}" srcOrd="0" destOrd="1" presId="urn:microsoft.com/office/officeart/2005/8/layout/chevron2"/>
    <dgm:cxn modelId="{A5B15BE8-6690-4243-807A-4B1A43889C8E}" type="presOf" srcId="{737F51AD-53A4-46C8-88AB-71C58F28F6FF}" destId="{428866CC-49EC-480C-A078-F675832D58BA}" srcOrd="0" destOrd="1" presId="urn:microsoft.com/office/officeart/2005/8/layout/chevron2"/>
    <dgm:cxn modelId="{D21CE5E8-99DD-4E34-B99D-D561491F2063}" srcId="{F4EE5963-314F-46A0-8C9D-CA4DEE7CA81C}" destId="{6F8EC82D-2043-445B-94D5-FEA7C1D1E80E}" srcOrd="0" destOrd="0" parTransId="{42E24D0B-7594-4414-AAAC-C89F4D8FDB6A}" sibTransId="{4F8C91CD-3583-41C2-937E-F41DFF123396}"/>
    <dgm:cxn modelId="{080AF3ED-2218-4733-89C6-7274C814D7CC}" srcId="{48749008-E1C1-4CEB-9DD2-B5496A36DE9A}" destId="{737F51AD-53A4-46C8-88AB-71C58F28F6FF}" srcOrd="1" destOrd="0" parTransId="{B60F72EA-CA66-4944-8599-E3CB448A0D1E}" sibTransId="{FCEA00DD-1AE2-41EE-8EB8-C101D3B0C9BB}"/>
    <dgm:cxn modelId="{1F0D8CF5-CFAC-4FB1-BA4E-CA22F923947E}" type="presOf" srcId="{C9BC5BFF-1CF4-4507-BCC9-6196F94D3CA3}" destId="{428866CC-49EC-480C-A078-F675832D58BA}" srcOrd="0" destOrd="0" presId="urn:microsoft.com/office/officeart/2005/8/layout/chevron2"/>
    <dgm:cxn modelId="{E0A20FF7-4552-41F5-AFAB-0EC34B1CEA50}" type="presOf" srcId="{7EFDD88F-8D3E-411A-9F2B-39163139AA67}" destId="{9FCA5FE1-D50F-47CA-92D5-10BC69BCEDC7}" srcOrd="0" destOrd="0" presId="urn:microsoft.com/office/officeart/2005/8/layout/chevron2"/>
    <dgm:cxn modelId="{E3373DF8-4BA2-46A2-BD8C-0BB5DBB4009E}" type="presOf" srcId="{4D790B06-7CEF-4883-9E41-7D89A2BEB4DF}" destId="{D3BABA09-3D83-4BC3-A4DE-4C451579A6DF}" srcOrd="0" destOrd="1" presId="urn:microsoft.com/office/officeart/2005/8/layout/chevron2"/>
    <dgm:cxn modelId="{C90613F9-915D-40D9-958F-FE311BEF9644}" srcId="{FF3865CE-289F-476E-909D-113E4A061DFA}" destId="{7EFDD88F-8D3E-411A-9F2B-39163139AA67}" srcOrd="0" destOrd="0" parTransId="{5A4CD2EE-96CB-4C3A-9C24-C80D458829C7}" sibTransId="{C85C1203-7878-491B-BDE7-5DA76B6325D4}"/>
    <dgm:cxn modelId="{D8F55750-8976-4701-93E4-D03C6B42004D}" type="presParOf" srcId="{0905DD16-EB9A-4DB1-A83E-7D7296F247C4}" destId="{25E3BC1A-52A0-4FAE-8640-1C4B82727ABD}" srcOrd="0" destOrd="0" presId="urn:microsoft.com/office/officeart/2005/8/layout/chevron2"/>
    <dgm:cxn modelId="{C9F8938D-7C85-4BE2-9B48-EA53FD473AB1}" type="presParOf" srcId="{25E3BC1A-52A0-4FAE-8640-1C4B82727ABD}" destId="{F50ACCF7-7FDA-43AB-845D-58B60C809D46}" srcOrd="0" destOrd="0" presId="urn:microsoft.com/office/officeart/2005/8/layout/chevron2"/>
    <dgm:cxn modelId="{AE8F03CC-C381-4F44-A5CD-7825CF181849}" type="presParOf" srcId="{25E3BC1A-52A0-4FAE-8640-1C4B82727ABD}" destId="{428866CC-49EC-480C-A078-F675832D58BA}" srcOrd="1" destOrd="0" presId="urn:microsoft.com/office/officeart/2005/8/layout/chevron2"/>
    <dgm:cxn modelId="{DD2FA8FA-DD95-4D0C-AED5-B804AAA0C3CA}" type="presParOf" srcId="{0905DD16-EB9A-4DB1-A83E-7D7296F247C4}" destId="{D4E3DDD4-2322-4BBC-ADF7-65921DEFC3F1}" srcOrd="1" destOrd="0" presId="urn:microsoft.com/office/officeart/2005/8/layout/chevron2"/>
    <dgm:cxn modelId="{0C000C3E-30BF-4CAC-BE4A-30D65C1D018C}" type="presParOf" srcId="{0905DD16-EB9A-4DB1-A83E-7D7296F247C4}" destId="{EA319474-CF8B-467F-9BF2-2857B4EB67E6}" srcOrd="2" destOrd="0" presId="urn:microsoft.com/office/officeart/2005/8/layout/chevron2"/>
    <dgm:cxn modelId="{8D6F0B61-53DB-4FF6-80E6-88688DF40721}" type="presParOf" srcId="{EA319474-CF8B-467F-9BF2-2857B4EB67E6}" destId="{A75ACEEE-433E-4A27-9CD0-22ED2F215627}" srcOrd="0" destOrd="0" presId="urn:microsoft.com/office/officeart/2005/8/layout/chevron2"/>
    <dgm:cxn modelId="{130ADAEF-1633-4F5A-AFC6-35313B9D5FE8}" type="presParOf" srcId="{EA319474-CF8B-467F-9BF2-2857B4EB67E6}" destId="{D3BABA09-3D83-4BC3-A4DE-4C451579A6DF}" srcOrd="1" destOrd="0" presId="urn:microsoft.com/office/officeart/2005/8/layout/chevron2"/>
    <dgm:cxn modelId="{A96166B4-B411-4C20-9A7B-9474CE5493F6}" type="presParOf" srcId="{0905DD16-EB9A-4DB1-A83E-7D7296F247C4}" destId="{AE6682A0-70EE-4933-899A-82BF35030E62}" srcOrd="3" destOrd="0" presId="urn:microsoft.com/office/officeart/2005/8/layout/chevron2"/>
    <dgm:cxn modelId="{CD7C9EA1-3586-4858-9D64-B575AC57D498}" type="presParOf" srcId="{0905DD16-EB9A-4DB1-A83E-7D7296F247C4}" destId="{C1220D74-4E47-4F7B-BAD5-66A0DC20EC73}" srcOrd="4" destOrd="0" presId="urn:microsoft.com/office/officeart/2005/8/layout/chevron2"/>
    <dgm:cxn modelId="{779422A0-18A2-40D2-AA61-767225CD6207}" type="presParOf" srcId="{C1220D74-4E47-4F7B-BAD5-66A0DC20EC73}" destId="{3844652E-7B2C-4D82-A74D-1CF766498441}" srcOrd="0" destOrd="0" presId="urn:microsoft.com/office/officeart/2005/8/layout/chevron2"/>
    <dgm:cxn modelId="{CE2E0C43-1099-4F95-BD90-85C2FC743FEA}" type="presParOf" srcId="{C1220D74-4E47-4F7B-BAD5-66A0DC20EC73}" destId="{9FCA5FE1-D50F-47CA-92D5-10BC69BCEDC7}" srcOrd="1" destOrd="0" presId="urn:microsoft.com/office/officeart/2005/8/layout/chevron2"/>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1096EB3C-FC93-4E71-9835-50729FBCE26A}" type="doc">
      <dgm:prSet loTypeId="urn:microsoft.com/office/officeart/2005/8/layout/pyramid4" loCatId="pyramid" qsTypeId="urn:microsoft.com/office/officeart/2005/8/quickstyle/simple1" qsCatId="simple" csTypeId="urn:microsoft.com/office/officeart/2005/8/colors/accent1_2" csCatId="accent1" phldr="1"/>
      <dgm:spPr/>
      <dgm:t>
        <a:bodyPr/>
        <a:lstStyle/>
        <a:p>
          <a:endParaRPr lang="en-GB"/>
        </a:p>
      </dgm:t>
    </dgm:pt>
    <dgm:pt modelId="{606BD99B-E892-4B44-ACAD-21D905C382FF}">
      <dgm:prSet phldrT="[Text]"/>
      <dgm:spPr>
        <a:xfrm>
          <a:off x="2052926" y="0"/>
          <a:ext cx="1380547" cy="1380547"/>
        </a:xfrm>
        <a:prstGeom prst="triangle">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lgn="ctr">
            <a:buNone/>
          </a:pPr>
          <a:r>
            <a:rPr lang="en-GB" b="1">
              <a:solidFill>
                <a:sysClr val="window" lastClr="FFFFFF"/>
              </a:solidFill>
              <a:latin typeface="Calibri" panose="020F0502020204030204"/>
              <a:ea typeface="+mn-ea"/>
              <a:cs typeface="+mn-cs"/>
            </a:rPr>
            <a:t>Pressure: Motivation or Incentive to Commit Fraud</a:t>
          </a:r>
        </a:p>
      </dgm:t>
    </dgm:pt>
    <dgm:pt modelId="{CD5699D1-0BAE-4952-AC37-3A347055E36B}" type="parTrans" cxnId="{2EEDA25D-B2AA-48DC-A55F-742D186D845F}">
      <dgm:prSet/>
      <dgm:spPr/>
      <dgm:t>
        <a:bodyPr/>
        <a:lstStyle/>
        <a:p>
          <a:endParaRPr lang="en-GB"/>
        </a:p>
      </dgm:t>
    </dgm:pt>
    <dgm:pt modelId="{8B543697-4979-4ED2-BF69-73B95EA8D059}" type="sibTrans" cxnId="{2EEDA25D-B2AA-48DC-A55F-742D186D845F}">
      <dgm:prSet/>
      <dgm:spPr/>
      <dgm:t>
        <a:bodyPr/>
        <a:lstStyle/>
        <a:p>
          <a:endParaRPr lang="en-GB"/>
        </a:p>
      </dgm:t>
    </dgm:pt>
    <dgm:pt modelId="{4332913E-8988-404A-A83E-9139E9E2ACDF}">
      <dgm:prSet phldrT="[Text]"/>
      <dgm:spPr>
        <a:xfrm>
          <a:off x="1362652" y="1380547"/>
          <a:ext cx="1380547" cy="1380547"/>
        </a:xfrm>
        <a:prstGeom prst="triangle">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b="1">
              <a:solidFill>
                <a:sysClr val="window" lastClr="FFFFFF"/>
              </a:solidFill>
              <a:latin typeface="Calibri" panose="020F0502020204030204"/>
              <a:ea typeface="+mn-ea"/>
              <a:cs typeface="+mn-cs"/>
            </a:rPr>
            <a:t>Opportunity: The knowledge  and Ability to Execute Fraud</a:t>
          </a:r>
        </a:p>
      </dgm:t>
    </dgm:pt>
    <dgm:pt modelId="{7749F8EF-EB21-40C9-BABC-0B3C4E020211}" type="parTrans" cxnId="{B4BB3C1F-BB65-44E0-9CB1-1E08BE1E5752}">
      <dgm:prSet/>
      <dgm:spPr/>
      <dgm:t>
        <a:bodyPr/>
        <a:lstStyle/>
        <a:p>
          <a:endParaRPr lang="en-GB"/>
        </a:p>
      </dgm:t>
    </dgm:pt>
    <dgm:pt modelId="{6D7EBE3F-6D55-45ED-96C3-A38419A58000}" type="sibTrans" cxnId="{B4BB3C1F-BB65-44E0-9CB1-1E08BE1E5752}">
      <dgm:prSet/>
      <dgm:spPr/>
      <dgm:t>
        <a:bodyPr/>
        <a:lstStyle/>
        <a:p>
          <a:endParaRPr lang="en-GB"/>
        </a:p>
      </dgm:t>
    </dgm:pt>
    <dgm:pt modelId="{36F26DC8-35B1-4325-94E3-C25984386919}">
      <dgm:prSet phldrT="[Text]"/>
      <dgm:spPr>
        <a:xfrm rot="10800000">
          <a:off x="2052926" y="1380547"/>
          <a:ext cx="1380547" cy="1380547"/>
        </a:xfrm>
        <a:prstGeom prst="triangle">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b="1">
              <a:solidFill>
                <a:sysClr val="window" lastClr="FFFFFF"/>
              </a:solidFill>
              <a:latin typeface="Calibri" panose="020F0502020204030204"/>
              <a:ea typeface="+mn-ea"/>
              <a:cs typeface="+mn-cs"/>
            </a:rPr>
            <a:t>Fraud Triangle</a:t>
          </a:r>
        </a:p>
      </dgm:t>
    </dgm:pt>
    <dgm:pt modelId="{AA149E39-F0DD-4975-A3C0-49263A6D8844}" type="parTrans" cxnId="{FE61104F-3E75-450E-B345-FD56A2931251}">
      <dgm:prSet/>
      <dgm:spPr/>
      <dgm:t>
        <a:bodyPr/>
        <a:lstStyle/>
        <a:p>
          <a:endParaRPr lang="en-GB"/>
        </a:p>
      </dgm:t>
    </dgm:pt>
    <dgm:pt modelId="{066E0B56-4EBD-4F16-8FBF-AE76539D8AF3}" type="sibTrans" cxnId="{FE61104F-3E75-450E-B345-FD56A2931251}">
      <dgm:prSet/>
      <dgm:spPr/>
      <dgm:t>
        <a:bodyPr/>
        <a:lstStyle/>
        <a:p>
          <a:endParaRPr lang="en-GB"/>
        </a:p>
      </dgm:t>
    </dgm:pt>
    <dgm:pt modelId="{F78ABF5B-598B-4929-9BC9-9C8FC8BB6FD6}">
      <dgm:prSet phldrT="[Text]"/>
      <dgm:spPr>
        <a:xfrm>
          <a:off x="2743200" y="1380547"/>
          <a:ext cx="1380547" cy="1380547"/>
        </a:xfrm>
        <a:prstGeom prst="triangle">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b="0">
              <a:solidFill>
                <a:sysClr val="window" lastClr="FFFFFF"/>
              </a:solidFill>
              <a:latin typeface="Calibri" panose="020F0502020204030204"/>
              <a:ea typeface="+mn-ea"/>
              <a:cs typeface="+mn-cs"/>
            </a:rPr>
            <a:t>Rationalization: Justification of Dishonest Actions </a:t>
          </a:r>
        </a:p>
      </dgm:t>
    </dgm:pt>
    <dgm:pt modelId="{FE074767-C6FB-4154-B406-2E595798E1F6}" type="parTrans" cxnId="{F63EDB7D-59B9-4240-A2CB-FC41482F16CF}">
      <dgm:prSet/>
      <dgm:spPr/>
      <dgm:t>
        <a:bodyPr/>
        <a:lstStyle/>
        <a:p>
          <a:endParaRPr lang="en-GB"/>
        </a:p>
      </dgm:t>
    </dgm:pt>
    <dgm:pt modelId="{00B5D52F-9E79-4FBB-AD7A-803E6E932894}" type="sibTrans" cxnId="{F63EDB7D-59B9-4240-A2CB-FC41482F16CF}">
      <dgm:prSet/>
      <dgm:spPr/>
      <dgm:t>
        <a:bodyPr/>
        <a:lstStyle/>
        <a:p>
          <a:endParaRPr lang="en-GB"/>
        </a:p>
      </dgm:t>
    </dgm:pt>
    <dgm:pt modelId="{EB3CAA94-7E53-452C-9476-219F8BB1F49E}" type="pres">
      <dgm:prSet presAssocID="{1096EB3C-FC93-4E71-9835-50729FBCE26A}" presName="compositeShape" presStyleCnt="0">
        <dgm:presLayoutVars>
          <dgm:chMax val="9"/>
          <dgm:dir/>
          <dgm:resizeHandles val="exact"/>
        </dgm:presLayoutVars>
      </dgm:prSet>
      <dgm:spPr/>
    </dgm:pt>
    <dgm:pt modelId="{8BF84179-AD3D-4AD9-8080-7B55BC5156BB}" type="pres">
      <dgm:prSet presAssocID="{1096EB3C-FC93-4E71-9835-50729FBCE26A}" presName="triangle1" presStyleLbl="node1" presStyleIdx="0" presStyleCnt="4">
        <dgm:presLayoutVars>
          <dgm:bulletEnabled val="1"/>
        </dgm:presLayoutVars>
      </dgm:prSet>
      <dgm:spPr/>
    </dgm:pt>
    <dgm:pt modelId="{ECEB3B5C-85E6-44C6-AF36-21E94D711489}" type="pres">
      <dgm:prSet presAssocID="{1096EB3C-FC93-4E71-9835-50729FBCE26A}" presName="triangle2" presStyleLbl="node1" presStyleIdx="1" presStyleCnt="4">
        <dgm:presLayoutVars>
          <dgm:bulletEnabled val="1"/>
        </dgm:presLayoutVars>
      </dgm:prSet>
      <dgm:spPr/>
    </dgm:pt>
    <dgm:pt modelId="{E26ECE05-E1C0-4742-99EE-4632CF1FF382}" type="pres">
      <dgm:prSet presAssocID="{1096EB3C-FC93-4E71-9835-50729FBCE26A}" presName="triangle3" presStyleLbl="node1" presStyleIdx="2" presStyleCnt="4">
        <dgm:presLayoutVars>
          <dgm:bulletEnabled val="1"/>
        </dgm:presLayoutVars>
      </dgm:prSet>
      <dgm:spPr/>
    </dgm:pt>
    <dgm:pt modelId="{7F2BEDD5-EA72-4A4F-BA0E-C33F2F0F7F1C}" type="pres">
      <dgm:prSet presAssocID="{1096EB3C-FC93-4E71-9835-50729FBCE26A}" presName="triangle4" presStyleLbl="node1" presStyleIdx="3" presStyleCnt="4">
        <dgm:presLayoutVars>
          <dgm:bulletEnabled val="1"/>
        </dgm:presLayoutVars>
      </dgm:prSet>
      <dgm:spPr/>
    </dgm:pt>
  </dgm:ptLst>
  <dgm:cxnLst>
    <dgm:cxn modelId="{B4BB3C1F-BB65-44E0-9CB1-1E08BE1E5752}" srcId="{1096EB3C-FC93-4E71-9835-50729FBCE26A}" destId="{4332913E-8988-404A-A83E-9139E9E2ACDF}" srcOrd="1" destOrd="0" parTransId="{7749F8EF-EB21-40C9-BABC-0B3C4E020211}" sibTransId="{6D7EBE3F-6D55-45ED-96C3-A38419A58000}"/>
    <dgm:cxn modelId="{203B7A3C-FEDA-468B-A446-87C0DB37893D}" type="presOf" srcId="{4332913E-8988-404A-A83E-9139E9E2ACDF}" destId="{ECEB3B5C-85E6-44C6-AF36-21E94D711489}" srcOrd="0" destOrd="0" presId="urn:microsoft.com/office/officeart/2005/8/layout/pyramid4"/>
    <dgm:cxn modelId="{2EEDA25D-B2AA-48DC-A55F-742D186D845F}" srcId="{1096EB3C-FC93-4E71-9835-50729FBCE26A}" destId="{606BD99B-E892-4B44-ACAD-21D905C382FF}" srcOrd="0" destOrd="0" parTransId="{CD5699D1-0BAE-4952-AC37-3A347055E36B}" sibTransId="{8B543697-4979-4ED2-BF69-73B95EA8D059}"/>
    <dgm:cxn modelId="{FE61104F-3E75-450E-B345-FD56A2931251}" srcId="{1096EB3C-FC93-4E71-9835-50729FBCE26A}" destId="{36F26DC8-35B1-4325-94E3-C25984386919}" srcOrd="2" destOrd="0" parTransId="{AA149E39-F0DD-4975-A3C0-49263A6D8844}" sibTransId="{066E0B56-4EBD-4F16-8FBF-AE76539D8AF3}"/>
    <dgm:cxn modelId="{862A2B54-969B-46F5-91E4-6C2B80724F58}" type="presOf" srcId="{36F26DC8-35B1-4325-94E3-C25984386919}" destId="{E26ECE05-E1C0-4742-99EE-4632CF1FF382}" srcOrd="0" destOrd="0" presId="urn:microsoft.com/office/officeart/2005/8/layout/pyramid4"/>
    <dgm:cxn modelId="{46C6155A-8590-45B8-A2B8-E8952311F130}" type="presOf" srcId="{606BD99B-E892-4B44-ACAD-21D905C382FF}" destId="{8BF84179-AD3D-4AD9-8080-7B55BC5156BB}" srcOrd="0" destOrd="0" presId="urn:microsoft.com/office/officeart/2005/8/layout/pyramid4"/>
    <dgm:cxn modelId="{F63EDB7D-59B9-4240-A2CB-FC41482F16CF}" srcId="{1096EB3C-FC93-4E71-9835-50729FBCE26A}" destId="{F78ABF5B-598B-4929-9BC9-9C8FC8BB6FD6}" srcOrd="3" destOrd="0" parTransId="{FE074767-C6FB-4154-B406-2E595798E1F6}" sibTransId="{00B5D52F-9E79-4FBB-AD7A-803E6E932894}"/>
    <dgm:cxn modelId="{786C53D2-34E7-41A9-A99F-9F64177061F7}" type="presOf" srcId="{F78ABF5B-598B-4929-9BC9-9C8FC8BB6FD6}" destId="{7F2BEDD5-EA72-4A4F-BA0E-C33F2F0F7F1C}" srcOrd="0" destOrd="0" presId="urn:microsoft.com/office/officeart/2005/8/layout/pyramid4"/>
    <dgm:cxn modelId="{281CDADD-DC01-4B61-8E53-2FDF1EE6EC08}" type="presOf" srcId="{1096EB3C-FC93-4E71-9835-50729FBCE26A}" destId="{EB3CAA94-7E53-452C-9476-219F8BB1F49E}" srcOrd="0" destOrd="0" presId="urn:microsoft.com/office/officeart/2005/8/layout/pyramid4"/>
    <dgm:cxn modelId="{1A85418F-9B48-4B5E-A236-00130E9AEE77}" type="presParOf" srcId="{EB3CAA94-7E53-452C-9476-219F8BB1F49E}" destId="{8BF84179-AD3D-4AD9-8080-7B55BC5156BB}" srcOrd="0" destOrd="0" presId="urn:microsoft.com/office/officeart/2005/8/layout/pyramid4"/>
    <dgm:cxn modelId="{05E5C51E-7E3B-4095-9022-BD5BE5AC16A7}" type="presParOf" srcId="{EB3CAA94-7E53-452C-9476-219F8BB1F49E}" destId="{ECEB3B5C-85E6-44C6-AF36-21E94D711489}" srcOrd="1" destOrd="0" presId="urn:microsoft.com/office/officeart/2005/8/layout/pyramid4"/>
    <dgm:cxn modelId="{D03FC6CC-B33F-482C-BC32-19DFACCCDAA4}" type="presParOf" srcId="{EB3CAA94-7E53-452C-9476-219F8BB1F49E}" destId="{E26ECE05-E1C0-4742-99EE-4632CF1FF382}" srcOrd="2" destOrd="0" presId="urn:microsoft.com/office/officeart/2005/8/layout/pyramid4"/>
    <dgm:cxn modelId="{8F7742D0-3FB9-4083-A0B9-5B3B386A9DB9}" type="presParOf" srcId="{EB3CAA94-7E53-452C-9476-219F8BB1F49E}" destId="{7F2BEDD5-EA72-4A4F-BA0E-C33F2F0F7F1C}" srcOrd="3" destOrd="0" presId="urn:microsoft.com/office/officeart/2005/8/layout/pyramid4"/>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8DFB426-CCD5-49DF-92D8-C50795C74DB4}">
      <dsp:nvSpPr>
        <dsp:cNvPr id="0" name=""/>
        <dsp:cNvSpPr/>
      </dsp:nvSpPr>
      <dsp:spPr>
        <a:xfrm>
          <a:off x="1855589" y="712589"/>
          <a:ext cx="1775221" cy="1775221"/>
        </a:xfrm>
        <a:prstGeom prst="ellipse">
          <a:avLst/>
        </a:prstGeom>
        <a:solidFill>
          <a:srgbClr val="156082">
            <a:alpha val="5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22860" tIns="22860" rIns="22860" bIns="22860" numCol="1" spcCol="1270" anchor="ctr" anchorCtr="0">
          <a:noAutofit/>
        </a:bodyPr>
        <a:lstStyle/>
        <a:p>
          <a:pPr marL="0" lvl="0" indent="0" algn="ctr" defTabSz="800100">
            <a:lnSpc>
              <a:spcPct val="90000"/>
            </a:lnSpc>
            <a:spcBef>
              <a:spcPct val="0"/>
            </a:spcBef>
            <a:spcAft>
              <a:spcPct val="35000"/>
            </a:spcAft>
            <a:buNone/>
          </a:pPr>
          <a:r>
            <a:rPr lang="en-GB" sz="1800" kern="1200">
              <a:solidFill>
                <a:sysClr val="windowText" lastClr="000000"/>
              </a:solidFill>
              <a:latin typeface="Aptos" panose="02110004020202020204"/>
              <a:ea typeface="+mn-ea"/>
              <a:cs typeface="+mn-cs"/>
            </a:rPr>
            <a:t>Corporate Governance</a:t>
          </a:r>
        </a:p>
      </dsp:txBody>
      <dsp:txXfrm>
        <a:off x="2115564" y="972564"/>
        <a:ext cx="1255271" cy="1255271"/>
      </dsp:txXfrm>
    </dsp:sp>
    <dsp:sp modelId="{694D45C6-2535-4547-B8E6-331191020AAC}">
      <dsp:nvSpPr>
        <dsp:cNvPr id="0" name=""/>
        <dsp:cNvSpPr/>
      </dsp:nvSpPr>
      <dsp:spPr>
        <a:xfrm>
          <a:off x="2299394" y="316"/>
          <a:ext cx="887610" cy="887610"/>
        </a:xfrm>
        <a:prstGeom prst="ellipse">
          <a:avLst/>
        </a:prstGeom>
        <a:solidFill>
          <a:srgbClr val="156082">
            <a:alpha val="5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10160" tIns="10160" rIns="10160" bIns="10160" numCol="1" spcCol="1270" anchor="ctr" anchorCtr="0">
          <a:noAutofit/>
        </a:bodyPr>
        <a:lstStyle/>
        <a:p>
          <a:pPr marL="0" lvl="0" indent="0" algn="ctr" defTabSz="355600">
            <a:lnSpc>
              <a:spcPct val="90000"/>
            </a:lnSpc>
            <a:spcBef>
              <a:spcPct val="0"/>
            </a:spcBef>
            <a:spcAft>
              <a:spcPct val="35000"/>
            </a:spcAft>
            <a:buNone/>
          </a:pPr>
          <a:r>
            <a:rPr lang="en-GB" sz="800" kern="1200">
              <a:solidFill>
                <a:sysClr val="windowText" lastClr="000000"/>
              </a:solidFill>
              <a:latin typeface="Aptos" panose="02110004020202020204"/>
              <a:ea typeface="+mn-ea"/>
              <a:cs typeface="+mn-cs"/>
            </a:rPr>
            <a:t>Board Impartiality</a:t>
          </a:r>
        </a:p>
      </dsp:txBody>
      <dsp:txXfrm>
        <a:off x="2429381" y="130303"/>
        <a:ext cx="627636" cy="627636"/>
      </dsp:txXfrm>
    </dsp:sp>
    <dsp:sp modelId="{B5934DF3-CDB6-449E-B2FD-4744FD20F7BA}">
      <dsp:nvSpPr>
        <dsp:cNvPr id="0" name=""/>
        <dsp:cNvSpPr/>
      </dsp:nvSpPr>
      <dsp:spPr>
        <a:xfrm>
          <a:off x="3455472" y="1156394"/>
          <a:ext cx="887610" cy="887610"/>
        </a:xfrm>
        <a:prstGeom prst="ellipse">
          <a:avLst/>
        </a:prstGeom>
        <a:solidFill>
          <a:srgbClr val="156082">
            <a:alpha val="5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10160" tIns="10160" rIns="10160" bIns="10160" numCol="1" spcCol="1270" anchor="ctr" anchorCtr="0">
          <a:noAutofit/>
        </a:bodyPr>
        <a:lstStyle/>
        <a:p>
          <a:pPr marL="0" lvl="0" indent="0" algn="ctr" defTabSz="355600">
            <a:lnSpc>
              <a:spcPct val="90000"/>
            </a:lnSpc>
            <a:spcBef>
              <a:spcPct val="0"/>
            </a:spcBef>
            <a:spcAft>
              <a:spcPct val="35000"/>
            </a:spcAft>
            <a:buNone/>
          </a:pPr>
          <a:r>
            <a:rPr lang="en-GB" sz="800" kern="1200">
              <a:solidFill>
                <a:sysClr val="windowText" lastClr="000000"/>
              </a:solidFill>
              <a:latin typeface="Aptos" panose="02110004020202020204"/>
              <a:ea typeface="+mn-ea"/>
              <a:cs typeface="+mn-cs"/>
            </a:rPr>
            <a:t>Audit Committees</a:t>
          </a:r>
        </a:p>
      </dsp:txBody>
      <dsp:txXfrm>
        <a:off x="3585459" y="1286381"/>
        <a:ext cx="627636" cy="627636"/>
      </dsp:txXfrm>
    </dsp:sp>
    <dsp:sp modelId="{0084A4D3-BD32-45CC-9932-86CD6F38ED69}">
      <dsp:nvSpPr>
        <dsp:cNvPr id="0" name=""/>
        <dsp:cNvSpPr/>
      </dsp:nvSpPr>
      <dsp:spPr>
        <a:xfrm>
          <a:off x="2299394" y="2312472"/>
          <a:ext cx="887610" cy="887610"/>
        </a:xfrm>
        <a:prstGeom prst="ellipse">
          <a:avLst/>
        </a:prstGeom>
        <a:solidFill>
          <a:srgbClr val="156082">
            <a:alpha val="5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10160" tIns="10160" rIns="10160" bIns="10160" numCol="1" spcCol="1270" anchor="ctr" anchorCtr="0">
          <a:noAutofit/>
        </a:bodyPr>
        <a:lstStyle/>
        <a:p>
          <a:pPr marL="0" lvl="0" indent="0" algn="ctr" defTabSz="355600">
            <a:lnSpc>
              <a:spcPct val="90000"/>
            </a:lnSpc>
            <a:spcBef>
              <a:spcPct val="0"/>
            </a:spcBef>
            <a:spcAft>
              <a:spcPct val="35000"/>
            </a:spcAft>
            <a:buNone/>
          </a:pPr>
          <a:r>
            <a:rPr lang="en-GB" sz="800" kern="1200">
              <a:solidFill>
                <a:sysClr val="windowText" lastClr="000000"/>
              </a:solidFill>
              <a:latin typeface="Aptos" panose="02110004020202020204"/>
              <a:ea typeface="+mn-ea"/>
              <a:cs typeface="+mn-cs"/>
            </a:rPr>
            <a:t>Executive Pay</a:t>
          </a:r>
        </a:p>
      </dsp:txBody>
      <dsp:txXfrm>
        <a:off x="2429381" y="2442459"/>
        <a:ext cx="627636" cy="627636"/>
      </dsp:txXfrm>
    </dsp:sp>
    <dsp:sp modelId="{374ECDA9-14EE-42E4-A07A-B632CECBD0BD}">
      <dsp:nvSpPr>
        <dsp:cNvPr id="0" name=""/>
        <dsp:cNvSpPr/>
      </dsp:nvSpPr>
      <dsp:spPr>
        <a:xfrm>
          <a:off x="1143316" y="1156394"/>
          <a:ext cx="887610" cy="887610"/>
        </a:xfrm>
        <a:prstGeom prst="ellipse">
          <a:avLst/>
        </a:prstGeom>
        <a:solidFill>
          <a:schemeClr val="accent1">
            <a:alpha val="5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tx1"/>
        </a:fontRef>
      </dsp:style>
      <dsp:txBody>
        <a:bodyPr spcFirstLastPara="0" vert="horz" wrap="square" lIns="10160" tIns="10160" rIns="10160" bIns="10160" numCol="1" spcCol="1270" anchor="ctr" anchorCtr="0">
          <a:noAutofit/>
        </a:bodyPr>
        <a:lstStyle/>
        <a:p>
          <a:pPr marL="0" lvl="0" indent="0" algn="ctr" defTabSz="355600">
            <a:lnSpc>
              <a:spcPct val="90000"/>
            </a:lnSpc>
            <a:spcBef>
              <a:spcPct val="0"/>
            </a:spcBef>
            <a:spcAft>
              <a:spcPct val="35000"/>
            </a:spcAft>
            <a:buNone/>
          </a:pPr>
          <a:r>
            <a:rPr lang="en-GB" sz="800" kern="1200">
              <a:solidFill>
                <a:sysClr val="windowText" lastClr="000000"/>
              </a:solidFill>
              <a:latin typeface="Aptos" panose="02110004020202020204"/>
              <a:ea typeface="+mn-ea"/>
              <a:cs typeface="+mn-cs"/>
            </a:rPr>
            <a:t>Ownership Formation</a:t>
          </a:r>
        </a:p>
      </dsp:txBody>
      <dsp:txXfrm>
        <a:off x="1273303" y="1286381"/>
        <a:ext cx="627636" cy="627636"/>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50ACCF7-7FDA-43AB-845D-58B60C809D46}">
      <dsp:nvSpPr>
        <dsp:cNvPr id="0" name=""/>
        <dsp:cNvSpPr/>
      </dsp:nvSpPr>
      <dsp:spPr>
        <a:xfrm rot="5400000">
          <a:off x="-172026" y="173182"/>
          <a:ext cx="1146846" cy="802792"/>
        </a:xfrm>
        <a:prstGeom prst="chevron">
          <a:avLst/>
        </a:prstGeom>
        <a:solidFill>
          <a:srgbClr val="4472C4">
            <a:hueOff val="0"/>
            <a:satOff val="0"/>
            <a:lumOff val="0"/>
            <a:alphaOff val="0"/>
          </a:srgbClr>
        </a:solidFill>
        <a:ln w="12700" cap="flat" cmpd="sng" algn="ctr">
          <a:solidFill>
            <a:srgbClr val="4472C4">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 lastClr="FFFFFF"/>
              </a:solidFill>
              <a:latin typeface="Calibri" panose="020F0502020204030204"/>
              <a:ea typeface="+mn-ea"/>
              <a:cs typeface="+mn-cs"/>
            </a:rPr>
            <a:t>Presonal Pressure</a:t>
          </a:r>
        </a:p>
      </dsp:txBody>
      <dsp:txXfrm rot="-5400000">
        <a:off x="1" y="402551"/>
        <a:ext cx="802792" cy="344054"/>
      </dsp:txXfrm>
    </dsp:sp>
    <dsp:sp modelId="{428866CC-49EC-480C-A078-F675832D58BA}">
      <dsp:nvSpPr>
        <dsp:cNvPr id="0" name=""/>
        <dsp:cNvSpPr/>
      </dsp:nvSpPr>
      <dsp:spPr>
        <a:xfrm rot="5400000">
          <a:off x="2771871" y="-1967922"/>
          <a:ext cx="745450" cy="4683607"/>
        </a:xfrm>
        <a:prstGeom prst="round2SameRect">
          <a:avLst/>
        </a:prstGeo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78232" tIns="6985" rIns="6985" bIns="6985" numCol="1" spcCol="1270" anchor="ctr" anchorCtr="0">
          <a:noAutofit/>
        </a:bodyPr>
        <a:lstStyle/>
        <a:p>
          <a:pPr marL="57150" lvl="1" indent="-57150" algn="l" defTabSz="488950">
            <a:lnSpc>
              <a:spcPct val="90000"/>
            </a:lnSpc>
            <a:spcBef>
              <a:spcPct val="0"/>
            </a:spcBef>
            <a:spcAft>
              <a:spcPct val="15000"/>
            </a:spcAft>
            <a:buChar char="•"/>
          </a:pPr>
          <a:r>
            <a:rPr lang="en-GB" sz="1100" b="1" kern="1200">
              <a:solidFill>
                <a:sysClr val="windowText" lastClr="000000">
                  <a:hueOff val="0"/>
                  <a:satOff val="0"/>
                  <a:lumOff val="0"/>
                  <a:alphaOff val="0"/>
                </a:sysClr>
              </a:solidFill>
              <a:latin typeface="Calibri" panose="020F0502020204030204"/>
              <a:ea typeface="+mn-ea"/>
              <a:cs typeface="+mn-cs"/>
            </a:rPr>
            <a:t>Financial</a:t>
          </a:r>
          <a:r>
            <a:rPr lang="en-GB" sz="1100" kern="1200">
              <a:solidFill>
                <a:sysClr val="windowText" lastClr="000000">
                  <a:hueOff val="0"/>
                  <a:satOff val="0"/>
                  <a:lumOff val="0"/>
                  <a:alphaOff val="0"/>
                </a:sysClr>
              </a:solidFill>
              <a:latin typeface="Calibri" panose="020F0502020204030204"/>
              <a:ea typeface="+mn-ea"/>
              <a:cs typeface="+mn-cs"/>
            </a:rPr>
            <a:t>: Gambling, Financial Problems, Paying for Lavish Lifestyle</a:t>
          </a:r>
        </a:p>
        <a:p>
          <a:pPr marL="57150" lvl="1" indent="-57150" algn="l" defTabSz="488950">
            <a:lnSpc>
              <a:spcPct val="90000"/>
            </a:lnSpc>
            <a:spcBef>
              <a:spcPct val="0"/>
            </a:spcBef>
            <a:spcAft>
              <a:spcPct val="15000"/>
            </a:spcAft>
            <a:buChar char="•"/>
          </a:pPr>
          <a:r>
            <a:rPr lang="en-GB" sz="1100" b="1" kern="1200">
              <a:solidFill>
                <a:sysClr val="windowText" lastClr="000000">
                  <a:hueOff val="0"/>
                  <a:satOff val="0"/>
                  <a:lumOff val="0"/>
                  <a:alphaOff val="0"/>
                </a:sysClr>
              </a:solidFill>
              <a:latin typeface="Calibri" panose="020F0502020204030204"/>
              <a:ea typeface="+mn-ea"/>
              <a:cs typeface="+mn-cs"/>
            </a:rPr>
            <a:t>Nonfinancial</a:t>
          </a:r>
          <a:r>
            <a:rPr lang="en-GB" sz="1100" kern="1200">
              <a:solidFill>
                <a:sysClr val="windowText" lastClr="000000">
                  <a:hueOff val="0"/>
                  <a:satOff val="0"/>
                  <a:lumOff val="0"/>
                  <a:alphaOff val="0"/>
                </a:sysClr>
              </a:solidFill>
              <a:latin typeface="Calibri" panose="020F0502020204030204"/>
              <a:ea typeface="+mn-ea"/>
              <a:cs typeface="+mn-cs"/>
            </a:rPr>
            <a:t>: Lack of personal discipline, Greed</a:t>
          </a:r>
        </a:p>
      </dsp:txBody>
      <dsp:txXfrm rot="-5400000">
        <a:off x="802793" y="37546"/>
        <a:ext cx="4647217" cy="672670"/>
      </dsp:txXfrm>
    </dsp:sp>
    <dsp:sp modelId="{A75ACEEE-433E-4A27-9CD0-22ED2F215627}">
      <dsp:nvSpPr>
        <dsp:cNvPr id="0" name=""/>
        <dsp:cNvSpPr/>
      </dsp:nvSpPr>
      <dsp:spPr>
        <a:xfrm rot="5400000">
          <a:off x="-172026" y="1117841"/>
          <a:ext cx="1146846" cy="802792"/>
        </a:xfrm>
        <a:prstGeom prst="chevron">
          <a:avLst/>
        </a:prstGeom>
        <a:solidFill>
          <a:srgbClr val="4472C4">
            <a:hueOff val="0"/>
            <a:satOff val="0"/>
            <a:lumOff val="0"/>
            <a:alphaOff val="0"/>
          </a:srgbClr>
        </a:solidFill>
        <a:ln w="12700" cap="flat" cmpd="sng" algn="ctr">
          <a:solidFill>
            <a:srgbClr val="4472C4">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 lastClr="FFFFFF"/>
              </a:solidFill>
              <a:latin typeface="Calibri" panose="020F0502020204030204"/>
              <a:ea typeface="+mn-ea"/>
              <a:cs typeface="+mn-cs"/>
            </a:rPr>
            <a:t>Corporate Pressure</a:t>
          </a:r>
        </a:p>
      </dsp:txBody>
      <dsp:txXfrm rot="-5400000">
        <a:off x="1" y="1347210"/>
        <a:ext cx="802792" cy="344054"/>
      </dsp:txXfrm>
    </dsp:sp>
    <dsp:sp modelId="{D3BABA09-3D83-4BC3-A4DE-4C451579A6DF}">
      <dsp:nvSpPr>
        <dsp:cNvPr id="0" name=""/>
        <dsp:cNvSpPr/>
      </dsp:nvSpPr>
      <dsp:spPr>
        <a:xfrm rot="5400000">
          <a:off x="2771871" y="-1023264"/>
          <a:ext cx="745450" cy="4683607"/>
        </a:xfrm>
        <a:prstGeom prst="round2SameRect">
          <a:avLst/>
        </a:prstGeo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78232" tIns="6985" rIns="6985" bIns="6985" numCol="1" spcCol="1270" anchor="ctr" anchorCtr="0">
          <a:noAutofit/>
        </a:bodyPr>
        <a:lstStyle/>
        <a:p>
          <a:pPr marL="57150" lvl="1" indent="-57150" algn="l" defTabSz="488950">
            <a:lnSpc>
              <a:spcPct val="90000"/>
            </a:lnSpc>
            <a:spcBef>
              <a:spcPct val="0"/>
            </a:spcBef>
            <a:spcAft>
              <a:spcPct val="15000"/>
            </a:spcAft>
            <a:buChar char="•"/>
          </a:pPr>
          <a:r>
            <a:rPr lang="en-GB" sz="1100" b="1" kern="1200">
              <a:solidFill>
                <a:sysClr val="windowText" lastClr="000000">
                  <a:hueOff val="0"/>
                  <a:satOff val="0"/>
                  <a:lumOff val="0"/>
                  <a:alphaOff val="0"/>
                </a:sysClr>
              </a:solidFill>
              <a:latin typeface="Calibri" panose="020F0502020204030204"/>
              <a:ea typeface="+mn-ea"/>
              <a:cs typeface="+mn-cs"/>
            </a:rPr>
            <a:t>Financial</a:t>
          </a:r>
          <a:r>
            <a:rPr lang="en-GB" sz="1100" kern="1200">
              <a:solidFill>
                <a:sysClr val="windowText" lastClr="000000">
                  <a:hueOff val="0"/>
                  <a:satOff val="0"/>
                  <a:lumOff val="0"/>
                  <a:alphaOff val="0"/>
                </a:sysClr>
              </a:solidFill>
              <a:latin typeface="Calibri" panose="020F0502020204030204"/>
              <a:ea typeface="+mn-ea"/>
              <a:cs typeface="+mn-cs"/>
            </a:rPr>
            <a:t>: Low salaries, Management, Financial Interest, Continous Compensation Structure</a:t>
          </a:r>
        </a:p>
        <a:p>
          <a:pPr marL="57150" lvl="1" indent="-57150" algn="l" defTabSz="488950">
            <a:lnSpc>
              <a:spcPct val="90000"/>
            </a:lnSpc>
            <a:spcBef>
              <a:spcPct val="0"/>
            </a:spcBef>
            <a:spcAft>
              <a:spcPct val="15000"/>
            </a:spcAft>
            <a:buChar char="•"/>
          </a:pPr>
          <a:r>
            <a:rPr lang="en-GB" sz="1100" b="1" kern="1200">
              <a:solidFill>
                <a:sysClr val="windowText" lastClr="000000">
                  <a:hueOff val="0"/>
                  <a:satOff val="0"/>
                  <a:lumOff val="0"/>
                  <a:alphaOff val="0"/>
                </a:sysClr>
              </a:solidFill>
              <a:latin typeface="Calibri" panose="020F0502020204030204"/>
              <a:ea typeface="+mn-ea"/>
              <a:cs typeface="+mn-cs"/>
            </a:rPr>
            <a:t>Nonfinancial</a:t>
          </a:r>
          <a:r>
            <a:rPr lang="en-GB" sz="1100" b="0" kern="1200">
              <a:solidFill>
                <a:sysClr val="windowText" lastClr="000000">
                  <a:hueOff val="0"/>
                  <a:satOff val="0"/>
                  <a:lumOff val="0"/>
                  <a:alphaOff val="0"/>
                </a:sysClr>
              </a:solidFill>
              <a:latin typeface="Calibri" panose="020F0502020204030204"/>
              <a:ea typeface="+mn-ea"/>
              <a:cs typeface="+mn-cs"/>
            </a:rPr>
            <a:t>: Unfair Treatment, Fear of Losing the Job, Frustration with Work, Challenge to Beat the System</a:t>
          </a:r>
        </a:p>
      </dsp:txBody>
      <dsp:txXfrm rot="-5400000">
        <a:off x="802793" y="982204"/>
        <a:ext cx="4647217" cy="672670"/>
      </dsp:txXfrm>
    </dsp:sp>
    <dsp:sp modelId="{3844652E-7B2C-4D82-A74D-1CF766498441}">
      <dsp:nvSpPr>
        <dsp:cNvPr id="0" name=""/>
        <dsp:cNvSpPr/>
      </dsp:nvSpPr>
      <dsp:spPr>
        <a:xfrm rot="5400000">
          <a:off x="-172026" y="2062499"/>
          <a:ext cx="1146846" cy="802792"/>
        </a:xfrm>
        <a:prstGeom prst="chevron">
          <a:avLst/>
        </a:prstGeom>
        <a:solidFill>
          <a:srgbClr val="4472C4">
            <a:hueOff val="0"/>
            <a:satOff val="0"/>
            <a:lumOff val="0"/>
            <a:alphaOff val="0"/>
          </a:srgbClr>
        </a:solidFill>
        <a:ln w="12700" cap="flat" cmpd="sng" algn="ctr">
          <a:solidFill>
            <a:srgbClr val="4472C4">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 lastClr="FFFFFF"/>
              </a:solidFill>
              <a:latin typeface="Calibri" panose="020F0502020204030204"/>
              <a:ea typeface="+mn-ea"/>
              <a:cs typeface="+mn-cs"/>
            </a:rPr>
            <a:t>External Pressure</a:t>
          </a:r>
        </a:p>
      </dsp:txBody>
      <dsp:txXfrm rot="-5400000">
        <a:off x="1" y="2291868"/>
        <a:ext cx="802792" cy="344054"/>
      </dsp:txXfrm>
    </dsp:sp>
    <dsp:sp modelId="{9FCA5FE1-D50F-47CA-92D5-10BC69BCEDC7}">
      <dsp:nvSpPr>
        <dsp:cNvPr id="0" name=""/>
        <dsp:cNvSpPr/>
      </dsp:nvSpPr>
      <dsp:spPr>
        <a:xfrm rot="5400000">
          <a:off x="2771871" y="-78605"/>
          <a:ext cx="745450" cy="4683607"/>
        </a:xfrm>
        <a:prstGeom prst="round2SameRect">
          <a:avLst/>
        </a:prstGeo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78232" tIns="6985" rIns="6985" bIns="6985" numCol="1" spcCol="1270" anchor="ctr" anchorCtr="0">
          <a:noAutofit/>
        </a:bodyPr>
        <a:lstStyle/>
        <a:p>
          <a:pPr marL="57150" lvl="1" indent="-57150" algn="l" defTabSz="488950">
            <a:lnSpc>
              <a:spcPct val="90000"/>
            </a:lnSpc>
            <a:spcBef>
              <a:spcPct val="0"/>
            </a:spcBef>
            <a:spcAft>
              <a:spcPct val="15000"/>
            </a:spcAft>
            <a:buChar char="•"/>
          </a:pPr>
          <a:r>
            <a:rPr lang="en-GB" sz="1100" b="1" kern="1200">
              <a:solidFill>
                <a:sysClr val="windowText" lastClr="000000">
                  <a:hueOff val="0"/>
                  <a:satOff val="0"/>
                  <a:lumOff val="0"/>
                  <a:alphaOff val="0"/>
                </a:sysClr>
              </a:solidFill>
              <a:latin typeface="Calibri" panose="020F0502020204030204"/>
              <a:ea typeface="+mn-ea"/>
              <a:cs typeface="+mn-cs"/>
            </a:rPr>
            <a:t>Financial</a:t>
          </a:r>
          <a:r>
            <a:rPr lang="en-GB" sz="1100" kern="1200">
              <a:solidFill>
                <a:sysClr val="windowText" lastClr="000000">
                  <a:hueOff val="0"/>
                  <a:satOff val="0"/>
                  <a:lumOff val="0"/>
                  <a:alphaOff val="0"/>
                </a:sysClr>
              </a:solidFill>
              <a:latin typeface="Calibri" panose="020F0502020204030204"/>
              <a:ea typeface="+mn-ea"/>
              <a:cs typeface="+mn-cs"/>
            </a:rPr>
            <a:t>: Threats to business Financial Stability, Market Expectations</a:t>
          </a:r>
        </a:p>
        <a:p>
          <a:pPr marL="57150" lvl="1" indent="-57150" algn="l" defTabSz="488950">
            <a:lnSpc>
              <a:spcPct val="90000"/>
            </a:lnSpc>
            <a:spcBef>
              <a:spcPct val="0"/>
            </a:spcBef>
            <a:spcAft>
              <a:spcPct val="15000"/>
            </a:spcAft>
            <a:buChar char="•"/>
          </a:pPr>
          <a:r>
            <a:rPr lang="en-GB" sz="1100" b="1" kern="1200">
              <a:solidFill>
                <a:sysClr val="windowText" lastClr="000000">
                  <a:hueOff val="0"/>
                  <a:satOff val="0"/>
                  <a:lumOff val="0"/>
                  <a:alphaOff val="0"/>
                </a:sysClr>
              </a:solidFill>
              <a:latin typeface="Calibri" panose="020F0502020204030204"/>
              <a:ea typeface="+mn-ea"/>
              <a:cs typeface="+mn-cs"/>
            </a:rPr>
            <a:t>Nonfinancial</a:t>
          </a:r>
          <a:r>
            <a:rPr lang="en-GB" sz="1100" b="0" kern="1200">
              <a:solidFill>
                <a:sysClr val="windowText" lastClr="000000">
                  <a:hueOff val="0"/>
                  <a:satOff val="0"/>
                  <a:lumOff val="0"/>
                  <a:alphaOff val="0"/>
                </a:sysClr>
              </a:solidFill>
              <a:latin typeface="Calibri" panose="020F0502020204030204"/>
              <a:ea typeface="+mn-ea"/>
              <a:cs typeface="+mn-cs"/>
            </a:rPr>
            <a:t>: Image, Ego, Reputation, Prestige, Social Pressure </a:t>
          </a:r>
          <a:endParaRPr lang="en-GB" sz="1100" kern="1200">
            <a:solidFill>
              <a:sysClr val="windowText" lastClr="000000">
                <a:hueOff val="0"/>
                <a:satOff val="0"/>
                <a:lumOff val="0"/>
                <a:alphaOff val="0"/>
              </a:sysClr>
            </a:solidFill>
            <a:latin typeface="Calibri" panose="020F0502020204030204"/>
            <a:ea typeface="+mn-ea"/>
            <a:cs typeface="+mn-cs"/>
          </a:endParaRPr>
        </a:p>
        <a:p>
          <a:pPr marL="57150" lvl="1" indent="-57150" algn="l" defTabSz="488950">
            <a:lnSpc>
              <a:spcPct val="90000"/>
            </a:lnSpc>
            <a:spcBef>
              <a:spcPct val="0"/>
            </a:spcBef>
            <a:spcAft>
              <a:spcPct val="15000"/>
            </a:spcAft>
            <a:buChar char="•"/>
          </a:pPr>
          <a:endParaRPr lang="en-GB" sz="1100" kern="1200">
            <a:solidFill>
              <a:sysClr val="windowText" lastClr="000000">
                <a:hueOff val="0"/>
                <a:satOff val="0"/>
                <a:lumOff val="0"/>
                <a:alphaOff val="0"/>
              </a:sysClr>
            </a:solidFill>
            <a:latin typeface="Calibri" panose="020F0502020204030204"/>
            <a:ea typeface="+mn-ea"/>
            <a:cs typeface="+mn-cs"/>
          </a:endParaRPr>
        </a:p>
      </dsp:txBody>
      <dsp:txXfrm rot="-5400000">
        <a:off x="802793" y="1926863"/>
        <a:ext cx="4647217" cy="672670"/>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BF84179-AD3D-4AD9-8080-7B55BC5156BB}">
      <dsp:nvSpPr>
        <dsp:cNvPr id="0" name=""/>
        <dsp:cNvSpPr/>
      </dsp:nvSpPr>
      <dsp:spPr>
        <a:xfrm>
          <a:off x="2052926" y="0"/>
          <a:ext cx="1380547" cy="1380547"/>
        </a:xfrm>
        <a:prstGeom prst="triangle">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6670" tIns="26670" rIns="26670" bIns="26670" numCol="1" spcCol="1270" anchor="ctr" anchorCtr="0">
          <a:noAutofit/>
        </a:bodyPr>
        <a:lstStyle/>
        <a:p>
          <a:pPr marL="0" lvl="0" indent="0" algn="ctr" defTabSz="311150">
            <a:lnSpc>
              <a:spcPct val="90000"/>
            </a:lnSpc>
            <a:spcBef>
              <a:spcPct val="0"/>
            </a:spcBef>
            <a:spcAft>
              <a:spcPct val="35000"/>
            </a:spcAft>
            <a:buNone/>
          </a:pPr>
          <a:r>
            <a:rPr lang="en-GB" sz="700" b="1" kern="1200">
              <a:solidFill>
                <a:sysClr val="window" lastClr="FFFFFF"/>
              </a:solidFill>
              <a:latin typeface="Calibri" panose="020F0502020204030204"/>
              <a:ea typeface="+mn-ea"/>
              <a:cs typeface="+mn-cs"/>
            </a:rPr>
            <a:t>Pressure: Motivation or Incentive to Commit Fraud</a:t>
          </a:r>
        </a:p>
      </dsp:txBody>
      <dsp:txXfrm>
        <a:off x="2398063" y="690274"/>
        <a:ext cx="690273" cy="690273"/>
      </dsp:txXfrm>
    </dsp:sp>
    <dsp:sp modelId="{ECEB3B5C-85E6-44C6-AF36-21E94D711489}">
      <dsp:nvSpPr>
        <dsp:cNvPr id="0" name=""/>
        <dsp:cNvSpPr/>
      </dsp:nvSpPr>
      <dsp:spPr>
        <a:xfrm>
          <a:off x="1362652" y="1380547"/>
          <a:ext cx="1380547" cy="1380547"/>
        </a:xfrm>
        <a:prstGeom prst="triangle">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6670" tIns="26670" rIns="26670" bIns="26670" numCol="1" spcCol="1270" anchor="ctr" anchorCtr="0">
          <a:noAutofit/>
        </a:bodyPr>
        <a:lstStyle/>
        <a:p>
          <a:pPr marL="0" lvl="0" indent="0" algn="ctr" defTabSz="311150">
            <a:lnSpc>
              <a:spcPct val="90000"/>
            </a:lnSpc>
            <a:spcBef>
              <a:spcPct val="0"/>
            </a:spcBef>
            <a:spcAft>
              <a:spcPct val="35000"/>
            </a:spcAft>
            <a:buNone/>
          </a:pPr>
          <a:r>
            <a:rPr lang="en-GB" sz="700" b="1" kern="1200">
              <a:solidFill>
                <a:sysClr val="window" lastClr="FFFFFF"/>
              </a:solidFill>
              <a:latin typeface="Calibri" panose="020F0502020204030204"/>
              <a:ea typeface="+mn-ea"/>
              <a:cs typeface="+mn-cs"/>
            </a:rPr>
            <a:t>Opportunity: The knowledge  and Ability to Execute Fraud</a:t>
          </a:r>
        </a:p>
      </dsp:txBody>
      <dsp:txXfrm>
        <a:off x="1707789" y="2070821"/>
        <a:ext cx="690273" cy="690273"/>
      </dsp:txXfrm>
    </dsp:sp>
    <dsp:sp modelId="{E26ECE05-E1C0-4742-99EE-4632CF1FF382}">
      <dsp:nvSpPr>
        <dsp:cNvPr id="0" name=""/>
        <dsp:cNvSpPr/>
      </dsp:nvSpPr>
      <dsp:spPr>
        <a:xfrm rot="10800000">
          <a:off x="2052926" y="1380547"/>
          <a:ext cx="1380547" cy="1380547"/>
        </a:xfrm>
        <a:prstGeom prst="triangle">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6670" tIns="26670" rIns="26670" bIns="26670" numCol="1" spcCol="1270" anchor="ctr" anchorCtr="0">
          <a:noAutofit/>
        </a:bodyPr>
        <a:lstStyle/>
        <a:p>
          <a:pPr marL="0" lvl="0" indent="0" algn="ctr" defTabSz="311150">
            <a:lnSpc>
              <a:spcPct val="90000"/>
            </a:lnSpc>
            <a:spcBef>
              <a:spcPct val="0"/>
            </a:spcBef>
            <a:spcAft>
              <a:spcPct val="35000"/>
            </a:spcAft>
            <a:buNone/>
          </a:pPr>
          <a:r>
            <a:rPr lang="en-GB" sz="700" b="1" kern="1200">
              <a:solidFill>
                <a:sysClr val="window" lastClr="FFFFFF"/>
              </a:solidFill>
              <a:latin typeface="Calibri" panose="020F0502020204030204"/>
              <a:ea typeface="+mn-ea"/>
              <a:cs typeface="+mn-cs"/>
            </a:rPr>
            <a:t>Fraud Triangle</a:t>
          </a:r>
        </a:p>
      </dsp:txBody>
      <dsp:txXfrm rot="10800000">
        <a:off x="2398063" y="1380547"/>
        <a:ext cx="690273" cy="690273"/>
      </dsp:txXfrm>
    </dsp:sp>
    <dsp:sp modelId="{7F2BEDD5-EA72-4A4F-BA0E-C33F2F0F7F1C}">
      <dsp:nvSpPr>
        <dsp:cNvPr id="0" name=""/>
        <dsp:cNvSpPr/>
      </dsp:nvSpPr>
      <dsp:spPr>
        <a:xfrm>
          <a:off x="2743200" y="1380547"/>
          <a:ext cx="1380547" cy="1380547"/>
        </a:xfrm>
        <a:prstGeom prst="triangle">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6670" tIns="26670" rIns="26670" bIns="26670" numCol="1" spcCol="1270" anchor="ctr" anchorCtr="0">
          <a:noAutofit/>
        </a:bodyPr>
        <a:lstStyle/>
        <a:p>
          <a:pPr marL="0" lvl="0" indent="0" algn="ctr" defTabSz="311150">
            <a:lnSpc>
              <a:spcPct val="90000"/>
            </a:lnSpc>
            <a:spcBef>
              <a:spcPct val="0"/>
            </a:spcBef>
            <a:spcAft>
              <a:spcPct val="35000"/>
            </a:spcAft>
            <a:buNone/>
          </a:pPr>
          <a:r>
            <a:rPr lang="en-GB" sz="700" b="0" kern="1200">
              <a:solidFill>
                <a:sysClr val="window" lastClr="FFFFFF"/>
              </a:solidFill>
              <a:latin typeface="Calibri" panose="020F0502020204030204"/>
              <a:ea typeface="+mn-ea"/>
              <a:cs typeface="+mn-cs"/>
            </a:rPr>
            <a:t>Rationalization: Justification of Dishonest Actions </a:t>
          </a:r>
        </a:p>
      </dsp:txBody>
      <dsp:txXfrm>
        <a:off x="3088337" y="2070821"/>
        <a:ext cx="690273" cy="690273"/>
      </dsp:txXfrm>
    </dsp:sp>
  </dsp:spTree>
</dsp:drawing>
</file>

<file path=word/diagrams/layout1.xml><?xml version="1.0" encoding="utf-8"?>
<dgm:layoutDef xmlns:dgm="http://schemas.openxmlformats.org/drawingml/2006/diagram" xmlns:a="http://schemas.openxmlformats.org/drawingml/2006/main" uniqueId="urn:microsoft.com/office/officeart/2005/8/layout/radial3">
  <dgm:title val=""/>
  <dgm:desc val=""/>
  <dgm:catLst>
    <dgm:cat type="relationship" pri="31000"/>
    <dgm:cat type="cycle" pri="12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composite">
    <dgm:varLst>
      <dgm:chMax val="1"/>
      <dgm:dir/>
      <dgm:resizeHandles val="exact"/>
    </dgm:varLst>
    <dgm:alg type="composite">
      <dgm:param type="ar" val="1"/>
    </dgm:alg>
    <dgm:shape xmlns:r="http://schemas.openxmlformats.org/officeDocument/2006/relationships" r:blip="">
      <dgm:adjLst/>
    </dgm:shape>
    <dgm:presOf/>
    <dgm:constrLst/>
    <dgm:ruleLst/>
    <dgm:layoutNode name="radial">
      <dgm:varLst>
        <dgm:animLvl val="ctr"/>
      </dgm:varLst>
      <dgm:choose name="Name0">
        <dgm:if name="Name1" func="var" arg="dir" op="equ" val="norm">
          <dgm:choose name="Name2">
            <dgm:if name="Name3" axis="ch ch" ptType="node node" st="1 1" cnt="1 0" func="cnt" op="lte" val="1">
              <dgm:alg type="cycle">
                <dgm:param type="stAng" val="90"/>
                <dgm:param type="spanAng" val="360"/>
                <dgm:param type="ctrShpMap" val="fNode"/>
              </dgm:alg>
            </dgm:if>
            <dgm:else name="Name4">
              <dgm:alg type="cycle">
                <dgm:param type="stAng" val="0"/>
                <dgm:param type="spanAng" val="360"/>
                <dgm:param type="ctrShpMap" val="fNode"/>
              </dgm:alg>
            </dgm:else>
          </dgm:choose>
        </dgm:if>
        <dgm:else name="Name5">
          <dgm:alg type="cycle">
            <dgm:param type="stAng" val="0"/>
            <dgm:param type="spanAng" val="-360"/>
            <dgm:param type="ctrShpMap" val="fNode"/>
          </dgm:alg>
        </dgm:else>
      </dgm:choose>
      <dgm:shape xmlns:r="http://schemas.openxmlformats.org/officeDocument/2006/relationships" r:blip="">
        <dgm:adjLst/>
      </dgm:shape>
      <dgm:presOf/>
      <dgm:constrLst>
        <dgm:constr type="w" for="ch" forName="centerShape" refType="w"/>
        <dgm:constr type="h" for="ch" forName="centerShape" refType="h"/>
        <dgm:constr type="w" for="ch" forName="node" refType="w" fact="0.5"/>
        <dgm:constr type="h" for="ch" forName="node" refType="h" fact="0.5"/>
        <dgm:constr type="sp" refType="w" refFor="ch" refForName="node" fact="-0.2"/>
        <dgm:constr type="sibSp" refType="w" refFor="ch" refForName="node" fact="-0.2"/>
        <dgm:constr type="primFontSz" for="ch" forName="centerShape" val="65"/>
        <dgm:constr type="primFontSz" for="des" forName="node" val="65"/>
        <dgm:constr type="primFontSz" for="ch" forName="node" refType="primFontSz" refFor="ch" refForName="centerShape" op="lte"/>
      </dgm:constrLst>
      <dgm:ruleLst/>
      <dgm:forEach name="Name6" axis="ch" ptType="node" cnt="1">
        <dgm:layoutNode name="centerShape" styleLbl="vennNode1">
          <dgm:alg type="tx"/>
          <dgm:shape xmlns:r="http://schemas.openxmlformats.org/officeDocument/2006/relationships" type="ellipse" r:blip="">
            <dgm:adjLst/>
          </dgm:shape>
          <dgm:presOf axis="self"/>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7" axis="ch" ptType="node">
          <dgm:layoutNode name="node" styleLbl="vennNode1">
            <dgm:varLst>
              <dgm:bulletEnabled val="1"/>
            </dgm:varLst>
            <dgm:alg type="tx">
              <dgm:param type="txAnchorVertCh" val="mid"/>
            </dgm:alg>
            <dgm:shape xmlns:r="http://schemas.openxmlformats.org/officeDocument/2006/relationships" type="ellipse" r:blip="">
              <dgm:adjLst/>
            </dgm:shape>
            <dgm:presOf axis="desOrSelf" ptType="node"/>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dgm:forEach>
    </dgm:layoutNode>
  </dgm:layoutNode>
</dgm:layoutDef>
</file>

<file path=word/diagrams/layout2.xml><?xml version="1.0" encoding="utf-8"?>
<dgm:layoutDef xmlns:dgm="http://schemas.openxmlformats.org/drawingml/2006/diagram" xmlns:a="http://schemas.openxmlformats.org/drawingml/2006/main" uniqueId="urn:microsoft.com/office/officeart/2005/8/layout/chevron2">
  <dgm:title val=""/>
  <dgm:desc val=""/>
  <dgm:catLst>
    <dgm:cat type="process" pri="12000"/>
    <dgm:cat type="list" pri="16000"/>
    <dgm:cat type="convert" pri="1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Lst>
      <dgm:cxnLst>
        <dgm:cxn modelId="4" srcId="0" destId="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alg type="lin">
      <dgm:param type="linDir" val="fromT"/>
      <dgm:param type="nodeHorzAlign" val="l"/>
    </dgm:alg>
    <dgm:shape xmlns:r="http://schemas.openxmlformats.org/officeDocument/2006/relationships" r:blip="">
      <dgm:adjLst/>
    </dgm:shape>
    <dgm:presOf/>
    <dgm:constrLst>
      <dgm:constr type="h" for="ch" forName="composite" refType="h"/>
      <dgm:constr type="w" for="ch" forName="composite" refType="w"/>
      <dgm:constr type="h" for="des" forName="parentText" op="equ"/>
      <dgm:constr type="h" for="ch" forName="sp" val="-14.88"/>
      <dgm:constr type="h" for="ch" forName="sp" refType="w" refFor="des" refForName="parentText" op="gte" fact="-0.3"/>
      <dgm:constr type="primFontSz" for="des" forName="parentText" op="equ" val="65"/>
      <dgm:constr type="primFontSz" for="des" forName="descendantText"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t" for="ch" forName="parentText"/>
              <dgm:constr type="l" for="ch" forName="parentText"/>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refType="w" refFor="ch" refForName="pare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if>
          <dgm:else name="Name3">
            <dgm:constrLst>
              <dgm:constr type="t" for="ch" forName="parentText"/>
              <dgm:constr type="r" for="ch" forName="parentText" refType="w"/>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else>
        </dgm:choose>
        <dgm:ruleLst/>
        <dgm:layoutNode name="parentText" styleLbl="alignNode1">
          <dgm:varLst>
            <dgm:chMax val="1"/>
            <dgm:bulletEnabled val="1"/>
          </dgm:varLst>
          <dgm:alg type="tx"/>
          <dgm:shape xmlns:r="http://schemas.openxmlformats.org/officeDocument/2006/relationships" rot="90" type="chevron"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h" val="100" fact="NaN" max="NaN"/>
            <dgm:rule type="primFontSz" val="24" fact="NaN" max="NaN"/>
            <dgm:rule type="h" val="110" fact="NaN" max="NaN"/>
            <dgm:rule type="primFontSz" val="18" fact="NaN" max="NaN"/>
            <dgm:rule type="h" val="INF" fact="NaN" max="NaN"/>
            <dgm:rule type="primFontSz" val="5" fact="NaN" max="NaN"/>
          </dgm:ruleLst>
        </dgm:layoutNode>
        <dgm:layoutNode name="descendantText" styleLbl="alignAcc1">
          <dgm:varLst>
            <dgm:bulletEnabled val="1"/>
          </dgm:varLst>
          <dgm:choose name="Name4">
            <dgm:if name="Name5" func="var" arg="dir" op="equ" val="norm">
              <dgm:alg type="tx">
                <dgm:param type="stBulletLvl" val="1"/>
                <dgm:param type="txAnchorVertCh" val="mid"/>
              </dgm:alg>
              <dgm:shape xmlns:r="http://schemas.openxmlformats.org/officeDocument/2006/relationships" rot="90" type="round2SameRect" r:blip="">
                <dgm:adjLst/>
              </dgm:shape>
            </dgm:if>
            <dgm:else name="Name6">
              <dgm:alg type="tx">
                <dgm:param type="stBulletLvl" val="1"/>
                <dgm:param type="txAnchorVertCh" val="mid"/>
              </dgm:alg>
              <dgm:shape xmlns:r="http://schemas.openxmlformats.org/officeDocument/2006/relationships" rot="-90" type="round2SameRect" r:blip="">
                <dgm:adjLst/>
              </dgm:shape>
            </dgm:else>
          </dgm:choose>
          <dgm:presOf axis="des" ptType="node"/>
          <dgm:choose name="Name7">
            <dgm:if name="Name8" func="var" arg="dir" op="equ" val="norm">
              <dgm:constrLst>
                <dgm:constr type="secFontSz" refType="primFontSz"/>
                <dgm:constr type="tMarg" refType="primFontSz" fact="0.05"/>
                <dgm:constr type="bMarg" refType="primFontSz" fact="0.05"/>
                <dgm:constr type="rMarg" refType="primFontSz" fact="0.05"/>
              </dgm:constrLst>
            </dgm:if>
            <dgm:else name="Name9">
              <dgm:constrLst>
                <dgm:constr type="secFontSz" refType="primFontSz"/>
                <dgm:constr type="tMarg" refType="primFontSz" fact="0.05"/>
                <dgm:constr type="bMarg" refType="primFontSz" fact="0.05"/>
                <dgm:constr type="lMarg" refType="primFontSz" fact="0.05"/>
              </dgm:constrLst>
            </dgm:else>
          </dgm:choose>
          <dgm:ruleLst>
            <dgm:rule type="primFontSz" val="5" fact="NaN" max="NaN"/>
          </dgm:ruleLst>
        </dgm:layoutNode>
      </dgm:layoutNode>
      <dgm:forEach name="Name10" axis="followSib" ptType="sibTrans" cnt="1">
        <dgm:layoutNode name="sp">
          <dgm:alg type="sp"/>
          <dgm:shape xmlns:r="http://schemas.openxmlformats.org/officeDocument/2006/relationships" r:blip="">
            <dgm:adjLst/>
          </dgm:shape>
          <dgm:presOf axis="self"/>
          <dgm:constrLst>
            <dgm:constr type="w" val="1"/>
            <dgm:constr type="h" val="37.5"/>
          </dgm:constrLst>
          <dgm:ruleLst/>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pyramid4">
  <dgm:title val=""/>
  <dgm:desc val=""/>
  <dgm:catLst>
    <dgm:cat type="pyramid" pri="4000"/>
    <dgm:cat type="relationship" pri="9000"/>
  </dgm:catLst>
  <dgm:samp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sampData>
  <dgm:styleData useDef="1">
    <dgm:dataModel>
      <dgm:ptLst/>
      <dgm:bg/>
      <dgm:whole/>
    </dgm:dataModel>
  </dgm:styleData>
  <dgm:clrData useDef="1">
    <dgm:dataModel>
      <dgm:ptLst/>
      <dgm:bg/>
      <dgm:whole/>
    </dgm:dataModel>
  </dgm:clrData>
  <dgm:layoutNode name="compositeShape">
    <dgm:varLst>
      <dgm:chMax val="9"/>
      <dgm:dir/>
      <dgm:resizeHandles val="exact"/>
    </dgm:varLst>
    <dgm:alg type="composite">
      <dgm:param type="ar" val="1"/>
    </dgm:alg>
    <dgm:shape xmlns:r="http://schemas.openxmlformats.org/officeDocument/2006/relationships" r:blip="">
      <dgm:adjLst/>
    </dgm:shape>
    <dgm:presOf/>
    <dgm:choose name="Name0">
      <dgm:if name="Name1" axis="ch" ptType="node" func="cnt" op="lte" val="4">
        <dgm:choose name="Name2">
          <dgm:if name="Name3" axis="ch" ptType="node" func="cnt" op="equ" val="1">
            <dgm:constrLst>
              <dgm:constr type="primFontSz" for="ch" ptType="node" op="equ" val="65"/>
              <dgm:constr type="t" for="ch" forName="triangle1"/>
              <dgm:constr type="l" for="ch" forName="triangle1"/>
              <dgm:constr type="h" for="ch" forName="triangle1" refType="h"/>
              <dgm:constr type="w" for="ch" forName="triangle1" refType="h"/>
            </dgm:constrLst>
          </dgm:if>
          <dgm:else name="Name4">
            <dgm:constrLst>
              <dgm:constr type="primFontSz" for="ch" ptType="node" op="equ" val="65"/>
              <dgm:constr type="t" for="ch" forName="triangle1"/>
              <dgm:constr type="l" for="ch" forName="triangle1" refType="h" fact="0.25"/>
              <dgm:constr type="h" for="ch" forName="triangle1" refType="h" fact="0.5"/>
              <dgm:constr type="w" for="ch" forName="triangle1" refType="h" fact="0.5"/>
              <dgm:constr type="t" for="ch" forName="triangle2" refType="h" fact="0.5"/>
              <dgm:constr type="l" for="ch" forName="triangle2"/>
              <dgm:constr type="h" for="ch" forName="triangle2" refType="h" fact="0.5"/>
              <dgm:constr type="w" for="ch" forName="triangle2" refType="h" fact="0.5"/>
              <dgm:constr type="t" for="ch" forName="triangle3" refType="h" fact="0.5"/>
              <dgm:constr type="l" for="ch" forName="triangle3" refType="h" fact="0.25"/>
              <dgm:constr type="h" for="ch" forName="triangle3" refType="h" fact="0.5"/>
              <dgm:constr type="w" for="ch" forName="triangle3" refType="h" fact="0.5"/>
              <dgm:constr type="t" for="ch" forName="triangle4" refType="h" fact="0.5"/>
              <dgm:constr type="l" for="ch" forName="triangle4" refType="h" fact="0.5"/>
              <dgm:constr type="h" for="ch" forName="triangle4" refType="h" fact="0.5"/>
              <dgm:constr type="w" for="ch" forName="triangle4" refType="h" fact="0.5"/>
            </dgm:constrLst>
          </dgm:else>
        </dgm:choose>
      </dgm:if>
      <dgm:else name="Name5">
        <dgm:constrLst>
          <dgm:constr type="primFontSz" for="ch" ptType="node" op="equ" val="65"/>
          <dgm:constr type="t" for="ch" forName="triangle1"/>
          <dgm:constr type="l" for="ch" forName="triangle1" refType="h" fact="0.33"/>
          <dgm:constr type="h" for="ch" forName="triangle1" refType="h" fact="0.33"/>
          <dgm:constr type="w" for="ch" forName="triangle1" refType="h" fact="0.33"/>
          <dgm:constr type="t" for="ch" forName="triangle2" refType="h" fact="0.33"/>
          <dgm:constr type="l" for="ch" forName="triangle2" refType="h" fact="0.165"/>
          <dgm:constr type="h" for="ch" forName="triangle2" refType="h" fact="0.33"/>
          <dgm:constr type="w" for="ch" forName="triangle2" refType="h" fact="0.33"/>
          <dgm:constr type="t" for="ch" forName="triangle3" refType="h" fact="0.33"/>
          <dgm:constr type="l" for="ch" forName="triangle3" refType="h" fact="0.33"/>
          <dgm:constr type="h" for="ch" forName="triangle3" refType="h" fact="0.33"/>
          <dgm:constr type="w" for="ch" forName="triangle3" refType="h" fact="0.33"/>
          <dgm:constr type="t" for="ch" forName="triangle4" refType="h" fact="0.33"/>
          <dgm:constr type="l" for="ch" forName="triangle4" refType="h" fact="0.495"/>
          <dgm:constr type="h" for="ch" forName="triangle4" refType="h" fact="0.33"/>
          <dgm:constr type="w" for="ch" forName="triangle4" refType="h" fact="0.33"/>
          <dgm:constr type="t" for="ch" forName="triangle5" refType="h" fact="0.66"/>
          <dgm:constr type="l" for="ch" forName="triangle5"/>
          <dgm:constr type="h" for="ch" forName="triangle5" refType="h" fact="0.33"/>
          <dgm:constr type="w" for="ch" forName="triangle5" refType="h" fact="0.33"/>
          <dgm:constr type="t" for="ch" forName="triangle6" refType="h" fact="0.66"/>
          <dgm:constr type="l" for="ch" forName="triangle6" refType="h" fact="0.165"/>
          <dgm:constr type="h" for="ch" forName="triangle6" refType="h" fact="0.33"/>
          <dgm:constr type="w" for="ch" forName="triangle6" refType="h" fact="0.33"/>
          <dgm:constr type="t" for="ch" forName="triangle7" refType="h" fact="0.66"/>
          <dgm:constr type="l" for="ch" forName="triangle7" refType="h" fact="0.33"/>
          <dgm:constr type="h" for="ch" forName="triangle7" refType="h" fact="0.33"/>
          <dgm:constr type="w" for="ch" forName="triangle7" refType="h" fact="0.33"/>
          <dgm:constr type="t" for="ch" forName="triangle8" refType="h" fact="0.66"/>
          <dgm:constr type="l" for="ch" forName="triangle8" refType="h" fact="0.495"/>
          <dgm:constr type="h" for="ch" forName="triangle8" refType="h" fact="0.33"/>
          <dgm:constr type="w" for="ch" forName="triangle8" refType="h" fact="0.33"/>
          <dgm:constr type="t" for="ch" forName="triangle9" refType="h" fact="0.66"/>
          <dgm:constr type="l" for="ch" forName="triangle9" refType="h" fact="0.66"/>
          <dgm:constr type="h" for="ch" forName="triangle9" refType="h" fact="0.33"/>
          <dgm:constr type="w" for="ch" forName="triangle9" refType="h" fact="0.33"/>
        </dgm:constrLst>
      </dgm:else>
    </dgm:choose>
    <dgm:ruleLst/>
    <dgm:choose name="Name6">
      <dgm:if name="Name7" axis="ch" ptType="node" func="cnt" op="gte" val="1">
        <dgm:layoutNode name="triangle1" styleLbl="node1">
          <dgm:varLst>
            <dgm:bulletEnabled val="1"/>
          </dgm:varLst>
          <dgm:alg type="tx">
            <dgm:param type="txAnchorVertCh" val="mid"/>
          </dgm:alg>
          <dgm:shape xmlns:r="http://schemas.openxmlformats.org/officeDocument/2006/relationships" type="triangle" r:blip="">
            <dgm:adjLst/>
          </dgm:shape>
          <dgm:presOf axis="ch desOrSelf" ptType="node node" st="1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if>
      <dgm:else name="Name8"/>
    </dgm:choose>
    <dgm:choose name="Name9">
      <dgm:if name="Name10" axis="ch" ptType="node" func="cnt" op="gte" val="2">
        <dgm:layoutNode name="triangle2" styleLbl="node1">
          <dgm:varLst>
            <dgm:bulletEnabled val="1"/>
          </dgm:varLst>
          <dgm:alg type="tx">
            <dgm:param type="txAnchorVertCh" val="mid"/>
          </dgm:alg>
          <dgm:shape xmlns:r="http://schemas.openxmlformats.org/officeDocument/2006/relationships" type="triangle" r:blip="">
            <dgm:adjLst/>
          </dgm:shape>
          <dgm:choose name="Name11">
            <dgm:if name="Name12" func="var" arg="dir" op="equ" val="norm">
              <dgm:presOf axis="ch desOrSelf" ptType="node node" st="2 1" cnt="1 0"/>
            </dgm:if>
            <dgm:else name="Name13">
              <dgm:presOf axis="ch desOrSelf" ptType="node node" st="4 1" cnt="1 0"/>
            </dgm:else>
          </dgm:choos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triangle3" styleLbl="node1">
          <dgm:varLst>
            <dgm:bulletEnabled val="1"/>
          </dgm:varLst>
          <dgm:alg type="tx">
            <dgm:param type="txAnchorVertCh" val="mid"/>
          </dgm:alg>
          <dgm:shape xmlns:r="http://schemas.openxmlformats.org/officeDocument/2006/relationships" rot="180" type="triangle" r:blip="">
            <dgm:adjLst/>
          </dgm:shape>
          <dgm:presOf axis="ch desOrSelf" ptType="node node" st="3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triangle4" styleLbl="node1">
          <dgm:varLst>
            <dgm:bulletEnabled val="1"/>
          </dgm:varLst>
          <dgm:alg type="tx">
            <dgm:param type="txAnchorVertCh" val="mid"/>
          </dgm:alg>
          <dgm:shape xmlns:r="http://schemas.openxmlformats.org/officeDocument/2006/relationships" type="triangle" r:blip="">
            <dgm:adjLst/>
          </dgm:shape>
          <dgm:choose name="Name14">
            <dgm:if name="Name15" func="var" arg="dir" op="equ" val="norm">
              <dgm:presOf axis="ch desOrSelf" ptType="node node" st="4 1" cnt="1 0"/>
            </dgm:if>
            <dgm:else name="Name16">
              <dgm:presOf axis="ch desOrSelf" ptType="node node" st="2 1" cnt="1 0"/>
            </dgm:else>
          </dgm:choos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if>
      <dgm:else name="Name17"/>
    </dgm:choose>
    <dgm:choose name="Name18">
      <dgm:if name="Name19" axis="ch" ptType="node" func="cnt" op="gte" val="5">
        <dgm:layoutNode name="triangle5" styleLbl="node1">
          <dgm:varLst>
            <dgm:bulletEnabled val="1"/>
          </dgm:varLst>
          <dgm:alg type="tx">
            <dgm:param type="txAnchorVertCh" val="mid"/>
          </dgm:alg>
          <dgm:shape xmlns:r="http://schemas.openxmlformats.org/officeDocument/2006/relationships" type="triangle" r:blip="">
            <dgm:adjLst/>
          </dgm:shape>
          <dgm:choose name="Name20">
            <dgm:if name="Name21" func="var" arg="dir" op="equ" val="norm">
              <dgm:presOf axis="ch desOrSelf" ptType="node node" st="5 1" cnt="1 0"/>
            </dgm:if>
            <dgm:else name="Name22">
              <dgm:presOf axis="ch desOrSelf" ptType="node node" st="9 1" cnt="1 0"/>
            </dgm:else>
          </dgm:choos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triangle6" styleLbl="node1">
          <dgm:varLst>
            <dgm:bulletEnabled val="1"/>
          </dgm:varLst>
          <dgm:alg type="tx">
            <dgm:param type="txAnchorVertCh" val="mid"/>
          </dgm:alg>
          <dgm:shape xmlns:r="http://schemas.openxmlformats.org/officeDocument/2006/relationships" rot="180" type="triangle" r:blip="">
            <dgm:adjLst/>
          </dgm:shape>
          <dgm:choose name="Name23">
            <dgm:if name="Name24" func="var" arg="dir" op="equ" val="norm">
              <dgm:presOf axis="ch desOrSelf" ptType="node node" st="6 1" cnt="1 0"/>
            </dgm:if>
            <dgm:else name="Name25">
              <dgm:presOf axis="ch desOrSelf" ptType="node node" st="8 1" cnt="1 0"/>
            </dgm:else>
          </dgm:choos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triangle7" styleLbl="node1">
          <dgm:varLst>
            <dgm:bulletEnabled val="1"/>
          </dgm:varLst>
          <dgm:alg type="tx">
            <dgm:param type="txAnchorVertCh" val="mid"/>
          </dgm:alg>
          <dgm:shape xmlns:r="http://schemas.openxmlformats.org/officeDocument/2006/relationships" type="triangle" r:blip="">
            <dgm:adjLst/>
          </dgm:shape>
          <dgm:presOf axis="ch desOrSelf" ptType="node node" st="7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triangle8" styleLbl="node1">
          <dgm:varLst>
            <dgm:bulletEnabled val="1"/>
          </dgm:varLst>
          <dgm:alg type="tx">
            <dgm:param type="txAnchorVertCh" val="mid"/>
          </dgm:alg>
          <dgm:shape xmlns:r="http://schemas.openxmlformats.org/officeDocument/2006/relationships" rot="180" type="triangle" r:blip="">
            <dgm:adjLst/>
          </dgm:shape>
          <dgm:choose name="Name26">
            <dgm:if name="Name27" func="var" arg="dir" op="equ" val="norm">
              <dgm:presOf axis="ch desOrSelf" ptType="node node" st="8 1" cnt="1 0"/>
            </dgm:if>
            <dgm:else name="Name28">
              <dgm:presOf axis="ch desOrSelf" ptType="node node" st="6 1" cnt="1 0"/>
            </dgm:else>
          </dgm:choos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triangle9" styleLbl="node1">
          <dgm:varLst>
            <dgm:bulletEnabled val="1"/>
          </dgm:varLst>
          <dgm:alg type="tx">
            <dgm:param type="txAnchorVertCh" val="mid"/>
          </dgm:alg>
          <dgm:shape xmlns:r="http://schemas.openxmlformats.org/officeDocument/2006/relationships" type="triangle" r:blip="">
            <dgm:adjLst/>
          </dgm:shape>
          <dgm:choose name="Name29">
            <dgm:if name="Name30" func="var" arg="dir" op="equ" val="norm">
              <dgm:presOf axis="ch desOrSelf" ptType="node node" st="9 1" cnt="1 0"/>
            </dgm:if>
            <dgm:else name="Name31">
              <dgm:presOf axis="ch desOrSelf" ptType="node node" st="5 1" cnt="1 0"/>
            </dgm:else>
          </dgm:choos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if>
      <dgm:else name="Name32"/>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424</Pages>
  <Words>93006</Words>
  <Characters>530136</Characters>
  <Application>Microsoft Office Word</Application>
  <DocSecurity>0</DocSecurity>
  <Lines>4417</Lines>
  <Paragraphs>1243</Paragraphs>
  <ScaleCrop>false</ScaleCrop>
  <HeadingPairs>
    <vt:vector size="2" baseType="variant">
      <vt:variant>
        <vt:lpstr>Title</vt:lpstr>
      </vt:variant>
      <vt:variant>
        <vt:i4>1</vt:i4>
      </vt:variant>
    </vt:vector>
  </HeadingPairs>
  <TitlesOfParts>
    <vt:vector size="1" baseType="lpstr">
      <vt:lpstr/>
    </vt:vector>
  </TitlesOfParts>
  <Company>Nottingham Trent University</Company>
  <LinksUpToDate>false</LinksUpToDate>
  <CharactersWithSpaces>621899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Sheikh, Faisal</dc:creator>
  <cp:keywords/>
  <dc:description/>
  <cp:lastModifiedBy>Sheikh, Faisal</cp:lastModifiedBy>
  <cp:revision>169</cp:revision>
  <dcterms:created xsi:type="dcterms:W3CDTF">2024-08-04T10:41:00Z</dcterms:created>
  <dcterms:modified xsi:type="dcterms:W3CDTF">2024-08-04T15:55:00Z</dcterms:modified>
</cp:coreProperties>
</file>