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4E19" w14:textId="77777777" w:rsidR="00B14EAB" w:rsidRDefault="004D572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FA3ABA5" w14:textId="7A114D97" w:rsidR="004C315C" w:rsidRDefault="00C432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D5725">
        <w:rPr>
          <w:rFonts w:ascii="Times New Roman" w:eastAsia="Times New Roman" w:hAnsi="Times New Roman" w:cs="Times New Roman"/>
          <w:sz w:val="24"/>
          <w:szCs w:val="24"/>
        </w:rPr>
        <w:t xml:space="preserve">unds-based mechanisms for urban adaptation finance are still underexplored. </w:t>
      </w:r>
      <w:r w:rsidR="004C315C">
        <w:rPr>
          <w:rFonts w:ascii="Times New Roman" w:eastAsia="Times New Roman" w:hAnsi="Times New Roman" w:cs="Times New Roman"/>
          <w:sz w:val="24"/>
          <w:szCs w:val="24"/>
        </w:rPr>
        <w:t>Addressing this gap, as well as the need for greater learning about ‘how’ urban adaptation finance operates, t</w:t>
      </w:r>
      <w:r w:rsidR="004D5725">
        <w:rPr>
          <w:rFonts w:ascii="Times New Roman" w:eastAsia="Times New Roman" w:hAnsi="Times New Roman" w:cs="Times New Roman"/>
          <w:sz w:val="24"/>
          <w:szCs w:val="24"/>
        </w:rPr>
        <w:t xml:space="preserve">his paper proposes a conceptual framework for </w:t>
      </w:r>
      <w:r w:rsidR="004C315C">
        <w:rPr>
          <w:rFonts w:ascii="Times New Roman" w:eastAsia="Times New Roman" w:hAnsi="Times New Roman" w:cs="Times New Roman"/>
          <w:sz w:val="24"/>
          <w:szCs w:val="24"/>
        </w:rPr>
        <w:t>such analysis</w:t>
      </w:r>
      <w:r w:rsidR="009F10ED">
        <w:rPr>
          <w:rFonts w:ascii="Times New Roman" w:eastAsia="Times New Roman" w:hAnsi="Times New Roman" w:cs="Times New Roman"/>
          <w:sz w:val="24"/>
          <w:szCs w:val="24"/>
        </w:rPr>
        <w:t xml:space="preserve"> that considers </w:t>
      </w:r>
      <w:r w:rsidR="004D5725">
        <w:rPr>
          <w:rFonts w:ascii="Times New Roman" w:eastAsia="Times New Roman" w:hAnsi="Times New Roman" w:cs="Times New Roman"/>
          <w:sz w:val="24"/>
          <w:szCs w:val="24"/>
        </w:rPr>
        <w:t xml:space="preserve">complexity, uncertainty, transformation, and vulnerability. </w:t>
      </w:r>
      <w:r w:rsidR="004C315C">
        <w:rPr>
          <w:rFonts w:ascii="Times New Roman" w:eastAsia="Times New Roman" w:hAnsi="Times New Roman" w:cs="Times New Roman"/>
          <w:sz w:val="24"/>
          <w:szCs w:val="24"/>
        </w:rPr>
        <w:t>We</w:t>
      </w:r>
      <w:r w:rsidR="004D5725">
        <w:rPr>
          <w:rFonts w:ascii="Times New Roman" w:eastAsia="Times New Roman" w:hAnsi="Times New Roman" w:cs="Times New Roman"/>
          <w:sz w:val="24"/>
          <w:szCs w:val="24"/>
        </w:rPr>
        <w:t xml:space="preserve"> analyse 39 </w:t>
      </w:r>
      <w:r w:rsidR="0066425D">
        <w:rPr>
          <w:rFonts w:ascii="Times New Roman" w:eastAsia="Times New Roman" w:hAnsi="Times New Roman" w:cs="Times New Roman"/>
          <w:sz w:val="24"/>
          <w:szCs w:val="24"/>
        </w:rPr>
        <w:t xml:space="preserve">urban </w:t>
      </w:r>
      <w:r w:rsidR="004D5725">
        <w:rPr>
          <w:rFonts w:ascii="Times New Roman" w:eastAsia="Times New Roman" w:hAnsi="Times New Roman" w:cs="Times New Roman"/>
          <w:sz w:val="24"/>
          <w:szCs w:val="24"/>
        </w:rPr>
        <w:t xml:space="preserve">projects financed by </w:t>
      </w:r>
      <w:r>
        <w:rPr>
          <w:rFonts w:ascii="Times New Roman" w:eastAsia="Times New Roman" w:hAnsi="Times New Roman" w:cs="Times New Roman"/>
          <w:sz w:val="24"/>
          <w:szCs w:val="24"/>
        </w:rPr>
        <w:t xml:space="preserve">climate </w:t>
      </w:r>
      <w:r w:rsidR="004D5725">
        <w:rPr>
          <w:rFonts w:ascii="Times New Roman" w:eastAsia="Times New Roman" w:hAnsi="Times New Roman" w:cs="Times New Roman"/>
          <w:sz w:val="24"/>
          <w:szCs w:val="24"/>
        </w:rPr>
        <w:t>adaptation funds</w:t>
      </w:r>
      <w:r>
        <w:rPr>
          <w:rFonts w:ascii="Times New Roman" w:eastAsia="Times New Roman" w:hAnsi="Times New Roman" w:cs="Times New Roman"/>
          <w:sz w:val="24"/>
          <w:szCs w:val="24"/>
        </w:rPr>
        <w:t xml:space="preserve"> (CAFs)</w:t>
      </w:r>
      <w:r w:rsidR="004C315C">
        <w:rPr>
          <w:rFonts w:ascii="Times New Roman" w:eastAsia="Times New Roman" w:hAnsi="Times New Roman" w:cs="Times New Roman"/>
          <w:sz w:val="24"/>
          <w:szCs w:val="24"/>
        </w:rPr>
        <w:t xml:space="preserve"> using a qualitative approach</w:t>
      </w:r>
      <w:r w:rsidR="004D5725">
        <w:rPr>
          <w:rFonts w:ascii="Times New Roman" w:eastAsia="Times New Roman" w:hAnsi="Times New Roman" w:cs="Times New Roman"/>
          <w:sz w:val="24"/>
          <w:szCs w:val="24"/>
        </w:rPr>
        <w:t xml:space="preserve">. </w:t>
      </w:r>
      <w:r w:rsidR="004C315C">
        <w:rPr>
          <w:rFonts w:ascii="Times New Roman" w:eastAsia="Times New Roman" w:hAnsi="Times New Roman" w:cs="Times New Roman"/>
          <w:sz w:val="24"/>
          <w:szCs w:val="24"/>
        </w:rPr>
        <w:t xml:space="preserve">The findings indicate </w:t>
      </w:r>
      <w:r>
        <w:rPr>
          <w:rFonts w:ascii="Times New Roman" w:eastAsia="Times New Roman" w:hAnsi="Times New Roman" w:cs="Times New Roman"/>
          <w:sz w:val="24"/>
          <w:szCs w:val="24"/>
        </w:rPr>
        <w:t>the</w:t>
      </w:r>
      <w:r w:rsidR="004C315C">
        <w:rPr>
          <w:rFonts w:ascii="Times New Roman" w:eastAsia="Times New Roman" w:hAnsi="Times New Roman" w:cs="Times New Roman"/>
          <w:sz w:val="24"/>
          <w:szCs w:val="24"/>
        </w:rPr>
        <w:t xml:space="preserve"> ongoing dominance of national governments at all stages of the funding cycle, and of a focus on ‘hard’ adaptation measures, but also a diverse set of stakeholder relationships involved in CAF finance which offers potential for greater multi-stakeholder and multi-sectoral management of complexity. </w:t>
      </w:r>
      <w:r>
        <w:rPr>
          <w:rFonts w:ascii="Times New Roman" w:eastAsia="Times New Roman" w:hAnsi="Times New Roman" w:cs="Times New Roman"/>
          <w:sz w:val="24"/>
          <w:szCs w:val="24"/>
        </w:rPr>
        <w:t xml:space="preserve">Few projects, however, address the management of uncertainty. While upscaling from projects is a common preoccupation, catalysing effects across sectors are limited, while transformative mechanisms for addressing vulnerability are limited to consultation with vulnerable groups.  Innovations are highlighted which merit further exploration through case study analysis. </w:t>
      </w:r>
    </w:p>
    <w:p w14:paraId="52E04E1B" w14:textId="77777777" w:rsidR="00B14EAB" w:rsidRDefault="004D572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52E04E1C" w14:textId="1EFA95A6"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Adaptation finance plays a key role in addressing the consequences of climate change for vulnerable countries </w:t>
      </w:r>
      <w:r w:rsidR="00FB3B86">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limited capacities and </w:t>
      </w:r>
      <w:proofErr w:type="gramStart"/>
      <w:r>
        <w:rPr>
          <w:rFonts w:ascii="Times New Roman" w:eastAsia="Times New Roman" w:hAnsi="Times New Roman" w:cs="Times New Roman"/>
          <w:sz w:val="24"/>
          <w:szCs w:val="24"/>
        </w:rPr>
        <w:t>resources</w:t>
      </w:r>
      <w:r w:rsidR="005222F7">
        <w:rPr>
          <w:rFonts w:ascii="Times New Roman" w:eastAsia="Times New Roman" w:hAnsi="Times New Roman" w:cs="Times New Roman"/>
          <w:sz w:val="24"/>
          <w:szCs w:val="24"/>
        </w:rPr>
        <w:t>, and</w:t>
      </w:r>
      <w:proofErr w:type="gramEnd"/>
      <w:r w:rsidR="005222F7">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an important mechanism for the global climate agenda</w:t>
      </w:r>
      <w:r w:rsidR="005222F7">
        <w:rPr>
          <w:rFonts w:ascii="Times New Roman" w:eastAsia="Times New Roman" w:hAnsi="Times New Roman" w:cs="Times New Roman"/>
          <w:sz w:val="24"/>
          <w:szCs w:val="24"/>
        </w:rPr>
        <w:t>.</w:t>
      </w:r>
      <w:r w:rsidR="005222F7">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In 2021, the COP26 in Glasgow under the UN Framework Convention on Climate Change (UNFCCC) recommended using adaptation finance to catalyse locally-led actions towards a more inclusive, equitable and effective climate change response in the most vulnerable countries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At COP26, therefore, Parties welcomed new pledges to the Adaptation Fund (totalling over USD 350 billion) and to the Least Developed Countries Fund (over 600 USD billion)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In parallel, global actors involved in funding adaptation in low-income countries have increased investments</w:t>
      </w:r>
      <w:r w:rsidR="00FB3B86">
        <w:rPr>
          <w:rFonts w:ascii="Times New Roman" w:eastAsia="Times New Roman" w:hAnsi="Times New Roman" w:cs="Times New Roman"/>
          <w:sz w:val="24"/>
          <w:szCs w:val="24"/>
        </w:rPr>
        <w:t>. T</w:t>
      </w:r>
      <w:r>
        <w:rPr>
          <w:rFonts w:ascii="Times New Roman" w:eastAsia="Times New Roman" w:hAnsi="Times New Roman" w:cs="Times New Roman"/>
          <w:sz w:val="24"/>
          <w:szCs w:val="24"/>
        </w:rPr>
        <w:t>he World Bank, for example, plan</w:t>
      </w:r>
      <w:r w:rsidR="00FB3B8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spend USD 50 billion in additional adaptation funds between 2020 and 2025.</w:t>
      </w:r>
      <w:r w:rsidR="00FB3B86">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t>
      </w:r>
    </w:p>
    <w:p w14:paraId="52E04E1D" w14:textId="74681A94"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Notwithstanding these encouraging numbers, most global climate finance still goes towards mitigation. Between 2012 and 2014, adaptation received just 5% of global climate funds.</w:t>
      </w:r>
      <w:r w:rsidR="00FB3B86">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w:t>
      </w:r>
      <w:r w:rsidR="005222F7">
        <w:rPr>
          <w:rFonts w:ascii="Times New Roman" w:eastAsia="Times New Roman" w:hAnsi="Times New Roman" w:cs="Times New Roman"/>
          <w:sz w:val="24"/>
          <w:szCs w:val="24"/>
        </w:rPr>
        <w:t>M</w:t>
      </w:r>
      <w:r>
        <w:rPr>
          <w:rFonts w:ascii="Times New Roman" w:eastAsia="Times New Roman" w:hAnsi="Times New Roman" w:cs="Times New Roman"/>
          <w:sz w:val="24"/>
          <w:szCs w:val="24"/>
        </w:rPr>
        <w:t>itigation receives higher attention because investors prefer solutions where impacts can be clearly quantified (e.g., GHG emission reduction), and strong fixed asset component</w:t>
      </w:r>
      <w:r w:rsidR="00FB3B8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that can</w:t>
      </w:r>
      <w:r>
        <w:rPr>
          <w:rFonts w:ascii="Times New Roman" w:eastAsia="Times New Roman" w:hAnsi="Times New Roman" w:cs="Times New Roman"/>
          <w:sz w:val="24"/>
          <w:szCs w:val="24"/>
        </w:rPr>
        <w:t xml:space="preserve"> generate financial returns (</w:t>
      </w:r>
      <w:r w:rsidR="005222F7">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w:t>
      </w:r>
      <w:r w:rsidR="005222F7">
        <w:rPr>
          <w:rFonts w:ascii="Times New Roman" w:eastAsia="Times New Roman" w:hAnsi="Times New Roman" w:cs="Times New Roman"/>
          <w:sz w:val="24"/>
          <w:szCs w:val="24"/>
        </w:rPr>
        <w:t xml:space="preserve">rapid </w:t>
      </w:r>
      <w:proofErr w:type="gramStart"/>
      <w:r>
        <w:rPr>
          <w:rFonts w:ascii="Times New Roman" w:eastAsia="Times New Roman" w:hAnsi="Times New Roman" w:cs="Times New Roman"/>
          <w:sz w:val="24"/>
          <w:szCs w:val="24"/>
        </w:rPr>
        <w:t>bus  system</w:t>
      </w:r>
      <w:r w:rsidR="005222F7">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w:t>
      </w:r>
      <w:r w:rsidR="00FB3B86">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A</w:t>
      </w:r>
      <w:r>
        <w:rPr>
          <w:rFonts w:ascii="Times New Roman" w:eastAsia="Times New Roman" w:hAnsi="Times New Roman" w:cs="Times New Roman"/>
          <w:sz w:val="24"/>
          <w:szCs w:val="24"/>
        </w:rPr>
        <w:t>daptation projects (</w:t>
      </w:r>
      <w:r w:rsidR="005222F7">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storm-drainage systems)</w:t>
      </w:r>
      <w:r w:rsidR="00FB3B86">
        <w:rPr>
          <w:rFonts w:ascii="Times New Roman" w:eastAsia="Times New Roman" w:hAnsi="Times New Roman" w:cs="Times New Roman"/>
          <w:sz w:val="24"/>
          <w:szCs w:val="24"/>
        </w:rPr>
        <w:t xml:space="preserve">.  may </w:t>
      </w:r>
      <w:r>
        <w:rPr>
          <w:rFonts w:ascii="Times New Roman" w:eastAsia="Times New Roman" w:hAnsi="Times New Roman" w:cs="Times New Roman"/>
          <w:sz w:val="24"/>
          <w:szCs w:val="24"/>
        </w:rPr>
        <w:t xml:space="preserve">generate economic benefits, but predominantly to </w:t>
      </w:r>
      <w:proofErr w:type="gramStart"/>
      <w:r>
        <w:rPr>
          <w:rFonts w:ascii="Times New Roman" w:eastAsia="Times New Roman" w:hAnsi="Times New Roman" w:cs="Times New Roman"/>
          <w:sz w:val="24"/>
          <w:szCs w:val="24"/>
        </w:rPr>
        <w:t xml:space="preserve">the </w:t>
      </w:r>
      <w:r w:rsidR="005222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broader</w:t>
      </w:r>
      <w:proofErr w:type="gramEnd"/>
      <w:r>
        <w:rPr>
          <w:rFonts w:ascii="Times New Roman" w:eastAsia="Times New Roman" w:hAnsi="Times New Roman" w:cs="Times New Roman"/>
          <w:sz w:val="24"/>
          <w:szCs w:val="24"/>
        </w:rPr>
        <w:t xml:space="preserve"> society</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not to individual investors</w:t>
      </w:r>
      <w:r w:rsidR="00FB3B86">
        <w:rPr>
          <w:rFonts w:ascii="Times New Roman" w:eastAsia="Times New Roman" w:hAnsi="Times New Roman" w:cs="Times New Roman"/>
          <w:sz w:val="24"/>
          <w:szCs w:val="24"/>
        </w:rPr>
        <w:t>, or</w:t>
      </w:r>
      <w:r>
        <w:rPr>
          <w:rFonts w:ascii="Times New Roman" w:eastAsia="Times New Roman" w:hAnsi="Times New Roman" w:cs="Times New Roman"/>
          <w:sz w:val="24"/>
          <w:szCs w:val="24"/>
        </w:rPr>
        <w:t xml:space="preserve"> through offset losses, which can be difficult to quantify.</w:t>
      </w:r>
      <w:r w:rsidR="00FB3B86">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While adaptation has emerged from the climate mitigation architecture, distinct challenges of complexity, uncertainty, and multilevel and networked governance exist for its successful implementation.</w:t>
      </w:r>
      <w:r w:rsidR="00FB3B86">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In analytic terms, there is no clear picture yet of how and where adaptation finance is operationalised. The size, features and mechanisms of adaptation finance are inconsistently described and lack aggregable and comparable metrics.</w:t>
      </w:r>
      <w:r w:rsidR="00FB3B86">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Fragmented governance and limited transparency also challenge the ability to draw a clear portrait.</w:t>
      </w:r>
      <w:r w:rsidR="00FB3B86">
        <w:rPr>
          <w:rStyle w:val="FootnoteReferenc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w:t>
      </w:r>
    </w:p>
    <w:p w14:paraId="52E04E1E" w14:textId="464231A8" w:rsidR="00B14EAB" w:rsidRDefault="004D5725">
      <w:pPr>
        <w:spacing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Within this landscape, Climate Adaptation Funds (CAFs) are key financial mechanisms through which diverse actors cooperate to mobilize essential resources for catalysing and co-financing investments in adaptation, including in urban areas</w:t>
      </w:r>
      <w:r w:rsidR="00FB3B86">
        <w:rPr>
          <w:rFonts w:ascii="Times New Roman" w:eastAsia="Times New Roman" w:hAnsi="Times New Roman" w:cs="Times New Roman"/>
          <w:sz w:val="24"/>
          <w:szCs w:val="24"/>
        </w:rPr>
        <w:t>.</w:t>
      </w:r>
      <w:r w:rsidR="00FB3B86">
        <w:rPr>
          <w:rStyle w:val="FootnoteReference"/>
          <w:rFonts w:ascii="Times New Roman" w:eastAsia="Times New Roman" w:hAnsi="Times New Roman" w:cs="Times New Roman"/>
          <w:sz w:val="24"/>
          <w:szCs w:val="24"/>
        </w:rPr>
        <w:footnoteReference w:id="11"/>
      </w:r>
      <w:r>
        <w:rPr>
          <w:rFonts w:ascii="Quattrocento Sans" w:eastAsia="Quattrocento Sans" w:hAnsi="Quattrocento Sans" w:cs="Quattrocento Sans"/>
          <w:sz w:val="18"/>
          <w:szCs w:val="18"/>
        </w:rPr>
        <w:t xml:space="preserve"> </w:t>
      </w:r>
      <w:r>
        <w:rPr>
          <w:rFonts w:ascii="Times New Roman" w:eastAsia="Times New Roman" w:hAnsi="Times New Roman" w:cs="Times New Roman"/>
          <w:sz w:val="24"/>
          <w:szCs w:val="24"/>
        </w:rPr>
        <w:t>Organizations (private, public, non-governmental and multi-level bodies) aiming at working with the CAFs and accessing their funds have to undertake an accreditation process, to demonstrate certain standards</w:t>
      </w:r>
      <w:r w:rsidR="005222F7">
        <w:rPr>
          <w:rFonts w:ascii="Times New Roman" w:eastAsia="Times New Roman" w:hAnsi="Times New Roman" w:cs="Times New Roman"/>
          <w:sz w:val="24"/>
          <w:szCs w:val="24"/>
        </w:rPr>
        <w:t xml:space="preserve"> with regard to</w:t>
      </w:r>
      <w:r>
        <w:rPr>
          <w:rFonts w:ascii="Times New Roman" w:eastAsia="Times New Roman" w:hAnsi="Times New Roman" w:cs="Times New Roman"/>
          <w:sz w:val="24"/>
          <w:szCs w:val="24"/>
        </w:rPr>
        <w:t xml:space="preserve"> financial management, safeguarding funds, projects/programmes design, a</w:t>
      </w:r>
      <w:r w:rsidR="00FB3B86">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environmental and social warranties</w:t>
      </w:r>
      <w:r w:rsidR="00E41705">
        <w:rPr>
          <w:rFonts w:ascii="Times New Roman" w:eastAsia="Times New Roman" w:hAnsi="Times New Roman" w:cs="Times New Roman"/>
          <w:sz w:val="24"/>
          <w:szCs w:val="24"/>
        </w:rPr>
        <w:t>.</w:t>
      </w:r>
      <w:r w:rsidR="00043E14">
        <w:rPr>
          <w:rStyle w:val="FootnoteReferenc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Once accredited, organizations can access CAFs’ funds without going through intermediaries</w:t>
      </w:r>
      <w:r w:rsidR="00E41705">
        <w:rPr>
          <w:rFonts w:ascii="Times New Roman" w:eastAsia="Times New Roman" w:hAnsi="Times New Roman" w:cs="Times New Roman"/>
          <w:sz w:val="24"/>
          <w:szCs w:val="24"/>
        </w:rPr>
        <w:t>,</w:t>
      </w:r>
      <w:r w:rsidR="00BB34D3">
        <w:rPr>
          <w:rStyle w:val="FootnoteReference"/>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 CAFs have been investigated largely </w:t>
      </w:r>
      <w:r w:rsidR="005222F7">
        <w:rPr>
          <w:rFonts w:ascii="Times New Roman" w:eastAsia="Times New Roman" w:hAnsi="Times New Roman" w:cs="Times New Roman"/>
          <w:sz w:val="24"/>
          <w:szCs w:val="24"/>
        </w:rPr>
        <w:t>through</w:t>
      </w:r>
      <w:r>
        <w:rPr>
          <w:rFonts w:ascii="Times New Roman" w:eastAsia="Times New Roman" w:hAnsi="Times New Roman" w:cs="Times New Roman"/>
          <w:sz w:val="24"/>
          <w:szCs w:val="24"/>
        </w:rPr>
        <w:t xml:space="preserve"> a fund-by-fund approach to explore topics such as the access to funds by different stakeholders</w:t>
      </w:r>
      <w:r w:rsidR="00487CA9">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the funds’ rationale and design</w:t>
      </w:r>
      <w:r w:rsidR="00487CA9">
        <w:rPr>
          <w:rStyle w:val="FootnoteReference"/>
          <w:rFonts w:ascii="Times New Roman" w:eastAsia="Times New Roman" w:hAnsi="Times New Roman" w:cs="Times New Roman"/>
          <w:sz w:val="24"/>
          <w:szCs w:val="24"/>
        </w:rPr>
        <w:footnoteReference w:id="15"/>
      </w:r>
      <w:r>
        <w:rPr>
          <w:rFonts w:ascii="Times New Roman" w:eastAsia="Times New Roman" w:hAnsi="Times New Roman" w:cs="Times New Roman"/>
          <w:sz w:val="24"/>
          <w:szCs w:val="24"/>
        </w:rPr>
        <w:t>, the public sector’s role and priorities</w:t>
      </w:r>
      <w:r w:rsidR="00487CA9">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the translation of </w:t>
      </w:r>
      <w:r>
        <w:rPr>
          <w:rFonts w:ascii="Times New Roman" w:eastAsia="Times New Roman" w:hAnsi="Times New Roman" w:cs="Times New Roman"/>
          <w:sz w:val="24"/>
          <w:szCs w:val="24"/>
        </w:rPr>
        <w:lastRenderedPageBreak/>
        <w:t>adaptation finance into practice</w:t>
      </w:r>
      <w:r w:rsidR="00487CA9">
        <w:rPr>
          <w:rStyle w:val="FootnoteReference"/>
          <w:rFonts w:ascii="Times New Roman" w:eastAsia="Times New Roman" w:hAnsi="Times New Roman" w:cs="Times New Roman"/>
          <w:sz w:val="24"/>
          <w:szCs w:val="24"/>
        </w:rPr>
        <w:footnoteReference w:id="17"/>
      </w:r>
      <w:r>
        <w:rPr>
          <w:rFonts w:ascii="Times New Roman" w:eastAsia="Times New Roman" w:hAnsi="Times New Roman" w:cs="Times New Roman"/>
          <w:sz w:val="24"/>
          <w:szCs w:val="24"/>
        </w:rPr>
        <w:t>, as well as the</w:t>
      </w:r>
      <w:r>
        <w:t xml:space="preserve"> </w:t>
      </w:r>
      <w:r>
        <w:rPr>
          <w:rFonts w:ascii="Times New Roman" w:eastAsia="Times New Roman" w:hAnsi="Times New Roman" w:cs="Times New Roman"/>
          <w:sz w:val="24"/>
          <w:szCs w:val="24"/>
        </w:rPr>
        <w:t>synergies, conflicts and trade-offs associated with adaptation investments</w:t>
      </w:r>
      <w:r w:rsidR="00E41705">
        <w:rPr>
          <w:rFonts w:ascii="Times New Roman" w:eastAsia="Times New Roman" w:hAnsi="Times New Roman" w:cs="Times New Roman"/>
          <w:sz w:val="24"/>
          <w:szCs w:val="24"/>
        </w:rPr>
        <w:t>.</w:t>
      </w:r>
      <w:r w:rsidR="001C5C66">
        <w:rPr>
          <w:rStyle w:val="FootnoteReference"/>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 xml:space="preserve"> These analyses have portrayed a variegated </w:t>
      </w:r>
      <w:r w:rsidR="005222F7">
        <w:rPr>
          <w:rFonts w:ascii="Times New Roman" w:eastAsia="Times New Roman" w:hAnsi="Times New Roman" w:cs="Times New Roman"/>
          <w:sz w:val="24"/>
          <w:szCs w:val="24"/>
        </w:rPr>
        <w:t xml:space="preserve">CAF </w:t>
      </w:r>
      <w:r>
        <w:rPr>
          <w:rFonts w:ascii="Times New Roman" w:eastAsia="Times New Roman" w:hAnsi="Times New Roman" w:cs="Times New Roman"/>
          <w:sz w:val="24"/>
          <w:szCs w:val="24"/>
        </w:rPr>
        <w:t>landscape, showing  overlaps, differences, constraints and opportunities that constantly evolve based on international agreements and the changing nature of climate stakeholders</w:t>
      </w:r>
      <w:r w:rsidR="00E41705">
        <w:rPr>
          <w:rFonts w:ascii="Times New Roman" w:eastAsia="Times New Roman" w:hAnsi="Times New Roman" w:cs="Times New Roman"/>
          <w:sz w:val="24"/>
          <w:szCs w:val="24"/>
        </w:rPr>
        <w:t>.</w:t>
      </w:r>
      <w:r w:rsidR="001C5C66">
        <w:rPr>
          <w:rStyle w:val="FootnoteReference"/>
          <w:rFonts w:ascii="Times New Roman" w:eastAsia="Times New Roman" w:hAnsi="Times New Roman" w:cs="Times New Roman"/>
          <w:sz w:val="24"/>
          <w:szCs w:val="24"/>
        </w:rPr>
        <w:footnoteReference w:id="19"/>
      </w:r>
      <w:r>
        <w:rPr>
          <w:rFonts w:ascii="Times New Roman" w:eastAsia="Times New Roman" w:hAnsi="Times New Roman" w:cs="Times New Roman"/>
          <w:sz w:val="24"/>
          <w:szCs w:val="24"/>
        </w:rPr>
        <w:t xml:space="preserve"> </w:t>
      </w:r>
    </w:p>
    <w:p w14:paraId="52E04E1F" w14:textId="422517E2"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this</w:t>
      </w:r>
      <w:r w:rsidR="005222F7">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attention</w:t>
      </w:r>
      <w:r>
        <w:rPr>
          <w:rFonts w:ascii="Times New Roman" w:eastAsia="Times New Roman" w:hAnsi="Times New Roman" w:cs="Times New Roman"/>
          <w:sz w:val="24"/>
          <w:szCs w:val="24"/>
        </w:rPr>
        <w:t xml:space="preserve">, there </w:t>
      </w:r>
      <w:r w:rsidR="00FB3B86">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 xml:space="preserve"> limited analysis of how CAFs are addressing the urban </w:t>
      </w:r>
      <w:r w:rsidR="00FB3B86">
        <w:rPr>
          <w:rFonts w:ascii="Times New Roman" w:eastAsia="Times New Roman" w:hAnsi="Times New Roman" w:cs="Times New Roman"/>
          <w:sz w:val="24"/>
          <w:szCs w:val="24"/>
        </w:rPr>
        <w:t>aspects</w:t>
      </w:r>
      <w:r>
        <w:rPr>
          <w:rFonts w:ascii="Times New Roman" w:eastAsia="Times New Roman" w:hAnsi="Times New Roman" w:cs="Times New Roman"/>
          <w:sz w:val="24"/>
          <w:szCs w:val="24"/>
        </w:rPr>
        <w:t xml:space="preserve"> of adaptation. </w:t>
      </w:r>
      <w:r w:rsidR="00FB3B86">
        <w:rPr>
          <w:rFonts w:ascii="Times New Roman" w:eastAsia="Times New Roman" w:hAnsi="Times New Roman" w:cs="Times New Roman"/>
          <w:sz w:val="24"/>
          <w:szCs w:val="24"/>
        </w:rPr>
        <w:t>T</w:t>
      </w:r>
      <w:r>
        <w:rPr>
          <w:rFonts w:ascii="Times New Roman" w:eastAsia="Times New Roman" w:hAnsi="Times New Roman" w:cs="Times New Roman"/>
          <w:sz w:val="24"/>
          <w:szCs w:val="24"/>
        </w:rPr>
        <w:t>he complexity of urban areas as systems of intersecting economic, social, environmental, governance and technical elements, coupled with the distinctive requirements of funding adaptation, mean that urban climate is a policy challenge that requires collective responses from multiple stakeholders</w:t>
      </w:r>
      <w:r w:rsidR="00E41705">
        <w:rPr>
          <w:rFonts w:ascii="Times New Roman" w:eastAsia="Times New Roman" w:hAnsi="Times New Roman" w:cs="Times New Roman"/>
          <w:sz w:val="24"/>
          <w:szCs w:val="24"/>
        </w:rPr>
        <w:t>.</w:t>
      </w:r>
      <w:r w:rsidR="001C5C66">
        <w:rPr>
          <w:rStyle w:val="FootnoteReference"/>
          <w:rFonts w:ascii="Times New Roman" w:eastAsia="Times New Roman" w:hAnsi="Times New Roman" w:cs="Times New Roman"/>
          <w:sz w:val="24"/>
          <w:szCs w:val="24"/>
        </w:rPr>
        <w:footnoteReference w:id="20"/>
      </w:r>
      <w:r>
        <w:rPr>
          <w:rFonts w:ascii="Open Sans" w:eastAsia="Open Sans" w:hAnsi="Open Sans" w:cs="Open Sans"/>
          <w:color w:val="333333"/>
          <w:sz w:val="26"/>
          <w:szCs w:val="26"/>
        </w:rPr>
        <w:t xml:space="preserve"> </w:t>
      </w:r>
      <w:r>
        <w:rPr>
          <w:rFonts w:ascii="Times New Roman" w:eastAsia="Times New Roman" w:hAnsi="Times New Roman" w:cs="Times New Roman"/>
          <w:sz w:val="24"/>
          <w:szCs w:val="24"/>
        </w:rPr>
        <w:t>CAFs may not represent the largest flows of climate finance into urban areas, but they are important ‘signallers’ and catalysts for further investment by other actors. Analyses of CAFs for urban adaptation to date focus predominantly on the characteristics and direction of funding according to regions, sectors, themes, objectives, costs or timeframes</w:t>
      </w:r>
      <w:r w:rsidR="00E41705">
        <w:rPr>
          <w:rFonts w:ascii="Times New Roman" w:eastAsia="Times New Roman" w:hAnsi="Times New Roman" w:cs="Times New Roman"/>
          <w:sz w:val="24"/>
          <w:szCs w:val="24"/>
        </w:rPr>
        <w:t>.</w:t>
      </w:r>
      <w:r w:rsidR="001C5C66">
        <w:rPr>
          <w:rStyle w:val="FootnoteReference"/>
          <w:rFonts w:ascii="Times New Roman" w:eastAsia="Times New Roman" w:hAnsi="Times New Roman" w:cs="Times New Roman"/>
          <w:sz w:val="24"/>
          <w:szCs w:val="24"/>
        </w:rPr>
        <w:footnoteReference w:id="21"/>
      </w:r>
      <w:r>
        <w:rPr>
          <w:rFonts w:ascii="Times New Roman" w:eastAsia="Times New Roman" w:hAnsi="Times New Roman" w:cs="Times New Roman"/>
          <w:sz w:val="24"/>
          <w:szCs w:val="24"/>
        </w:rPr>
        <w:t xml:space="preserve"> These analyses find that a large part of CAF finance goes to urban areas </w:t>
      </w:r>
      <w:r w:rsidR="005222F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Latin America and the Caribbean, and to the infrastructure sector, in particular water and wastewater management. </w:t>
      </w:r>
      <w:r w:rsidR="005222F7">
        <w:rPr>
          <w:rFonts w:ascii="Times New Roman" w:eastAsia="Times New Roman" w:hAnsi="Times New Roman" w:cs="Times New Roman"/>
          <w:sz w:val="24"/>
          <w:szCs w:val="24"/>
        </w:rPr>
        <w:t>There has been scant attention,</w:t>
      </w:r>
      <w:r>
        <w:rPr>
          <w:rFonts w:ascii="Times New Roman" w:eastAsia="Times New Roman" w:hAnsi="Times New Roman" w:cs="Times New Roman"/>
          <w:sz w:val="24"/>
          <w:szCs w:val="24"/>
        </w:rPr>
        <w:t xml:space="preserve"> however, </w:t>
      </w:r>
      <w:r w:rsidR="005222F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how CAF projects address and consider the long-term, complex interactions and dynamics of urban systems and subsystems and climate change. Questions </w:t>
      </w:r>
      <w:r w:rsidR="005222F7">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remain</w:t>
      </w:r>
      <w:r w:rsidR="005222F7">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how </w:t>
      </w:r>
      <w:r w:rsidR="005222F7">
        <w:rPr>
          <w:rFonts w:ascii="Times New Roman" w:eastAsia="Times New Roman" w:hAnsi="Times New Roman" w:cs="Times New Roman"/>
          <w:sz w:val="24"/>
          <w:szCs w:val="24"/>
        </w:rPr>
        <w:t xml:space="preserve">successfully </w:t>
      </w:r>
      <w:r>
        <w:rPr>
          <w:rFonts w:ascii="Times New Roman" w:eastAsia="Times New Roman" w:hAnsi="Times New Roman" w:cs="Times New Roman"/>
          <w:sz w:val="24"/>
          <w:szCs w:val="24"/>
        </w:rPr>
        <w:t xml:space="preserve">CAF projects realise the transformative potential of </w:t>
      </w:r>
      <w:r w:rsidR="00710A78">
        <w:rPr>
          <w:rFonts w:ascii="Times New Roman" w:eastAsia="Times New Roman" w:hAnsi="Times New Roman" w:cs="Times New Roman"/>
          <w:sz w:val="24"/>
          <w:szCs w:val="24"/>
        </w:rPr>
        <w:t xml:space="preserve">urban </w:t>
      </w:r>
      <w:r>
        <w:rPr>
          <w:rFonts w:ascii="Times New Roman" w:eastAsia="Times New Roman" w:hAnsi="Times New Roman" w:cs="Times New Roman"/>
          <w:sz w:val="24"/>
          <w:szCs w:val="24"/>
        </w:rPr>
        <w:t xml:space="preserve">adaptation.  </w:t>
      </w:r>
    </w:p>
    <w:p w14:paraId="52E04E20" w14:textId="79EE4E86"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broader scope of CAF decision-making </w:t>
      </w:r>
      <w:r w:rsidR="00FB3B86">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urban adaptation is beyond the scope of this paper, </w:t>
      </w:r>
      <w:r w:rsidR="005222F7">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contribute</w:t>
      </w:r>
      <w:r w:rsidR="00FB3B86">
        <w:rPr>
          <w:rFonts w:ascii="Times New Roman" w:eastAsia="Times New Roman" w:hAnsi="Times New Roman" w:cs="Times New Roman"/>
          <w:sz w:val="24"/>
          <w:szCs w:val="24"/>
        </w:rPr>
        <w:t xml:space="preserve"> here</w:t>
      </w:r>
      <w:r>
        <w:rPr>
          <w:rFonts w:ascii="Times New Roman" w:eastAsia="Times New Roman" w:hAnsi="Times New Roman" w:cs="Times New Roman"/>
          <w:sz w:val="24"/>
          <w:szCs w:val="24"/>
        </w:rPr>
        <w:t xml:space="preserve"> by initiating a discussion</w:t>
      </w:r>
      <w:r w:rsidR="00FB3B86">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the potential for CAF projects to address the nature of urban adaptation challenges, with </w:t>
      </w:r>
      <w:proofErr w:type="gramStart"/>
      <w:r>
        <w:rPr>
          <w:rFonts w:ascii="Times New Roman" w:eastAsia="Times New Roman" w:hAnsi="Times New Roman" w:cs="Times New Roman"/>
          <w:sz w:val="24"/>
          <w:szCs w:val="24"/>
        </w:rPr>
        <w:t>particular reference</w:t>
      </w:r>
      <w:proofErr w:type="gramEnd"/>
      <w:r>
        <w:rPr>
          <w:rFonts w:ascii="Times New Roman" w:eastAsia="Times New Roman" w:hAnsi="Times New Roman" w:cs="Times New Roman"/>
          <w:sz w:val="24"/>
          <w:szCs w:val="24"/>
        </w:rPr>
        <w:t xml:space="preserve"> to the Global South, given the heightened vulnerability of urban areas in this context. To do this, we introduce a </w:t>
      </w:r>
      <w:r w:rsidR="00043537">
        <w:rPr>
          <w:rFonts w:ascii="Times New Roman" w:eastAsia="Times New Roman" w:hAnsi="Times New Roman" w:cs="Times New Roman"/>
          <w:sz w:val="24"/>
          <w:szCs w:val="24"/>
        </w:rPr>
        <w:t xml:space="preserve">conceptual </w:t>
      </w:r>
      <w:r>
        <w:rPr>
          <w:rFonts w:ascii="Times New Roman" w:eastAsia="Times New Roman" w:hAnsi="Times New Roman" w:cs="Times New Roman"/>
          <w:sz w:val="24"/>
          <w:szCs w:val="24"/>
        </w:rPr>
        <w:t xml:space="preserve">framework to unpack the dimensions of </w:t>
      </w:r>
      <w:r w:rsidR="005222F7">
        <w:rPr>
          <w:rFonts w:ascii="Times New Roman" w:eastAsia="Times New Roman" w:hAnsi="Times New Roman" w:cs="Times New Roman"/>
          <w:sz w:val="24"/>
          <w:szCs w:val="24"/>
        </w:rPr>
        <w:t xml:space="preserve">urban </w:t>
      </w:r>
      <w:r w:rsidRPr="00FB3B86">
        <w:rPr>
          <w:rFonts w:ascii="Times New Roman" w:eastAsia="Times New Roman" w:hAnsi="Times New Roman" w:cs="Times New Roman"/>
          <w:sz w:val="24"/>
          <w:szCs w:val="24"/>
        </w:rPr>
        <w:t>complexity</w:t>
      </w:r>
      <w:r w:rsidR="00FB3B86">
        <w:rPr>
          <w:rFonts w:ascii="Times New Roman" w:eastAsia="Times New Roman" w:hAnsi="Times New Roman" w:cs="Times New Roman"/>
          <w:sz w:val="24"/>
          <w:szCs w:val="24"/>
        </w:rPr>
        <w:t xml:space="preserve"> (</w:t>
      </w:r>
      <w:r w:rsidRPr="00FB3B86">
        <w:rPr>
          <w:rFonts w:ascii="Times New Roman" w:eastAsia="Times New Roman" w:hAnsi="Times New Roman" w:cs="Times New Roman"/>
          <w:sz w:val="24"/>
          <w:szCs w:val="24"/>
        </w:rPr>
        <w:t>including multi-stakeholder governance</w:t>
      </w:r>
      <w:r w:rsidR="00FB3B86">
        <w:rPr>
          <w:rFonts w:ascii="Times New Roman" w:eastAsia="Times New Roman" w:hAnsi="Times New Roman" w:cs="Times New Roman"/>
          <w:sz w:val="24"/>
          <w:szCs w:val="24"/>
        </w:rPr>
        <w:t>)</w:t>
      </w:r>
      <w:r w:rsidRPr="00FB3B86">
        <w:rPr>
          <w:rFonts w:ascii="Times New Roman" w:eastAsia="Times New Roman" w:hAnsi="Times New Roman" w:cs="Times New Roman"/>
          <w:sz w:val="24"/>
          <w:szCs w:val="24"/>
        </w:rPr>
        <w:t xml:space="preserve"> uncertainty, vulnerability and the potential for transformation</w:t>
      </w:r>
      <w:r>
        <w:rPr>
          <w:rFonts w:ascii="Times New Roman" w:eastAsia="Times New Roman" w:hAnsi="Times New Roman" w:cs="Times New Roman"/>
          <w:sz w:val="24"/>
          <w:szCs w:val="24"/>
        </w:rPr>
        <w:t>. As an initial exercise, we apply this framework to a subset of CAF projects, using this data to reflect on ways forward for urban adaptation finance and for much-needed critical, scholarly engagement with this endeavour, given the rising (if still insufficient) political momentum towards greater funding.</w:t>
      </w:r>
    </w:p>
    <w:p w14:paraId="52E04E21" w14:textId="77777777" w:rsidR="00B14EAB" w:rsidRDefault="004D572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AN EMERGENT FRAMEWORK FOR UNDERSTANDING URBAN ADAPTATION FINANCE </w:t>
      </w:r>
    </w:p>
    <w:p w14:paraId="52E04E22" w14:textId="0DFE39BA" w:rsidR="00B14EAB" w:rsidRPr="00A14193"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Urban areas are complex, non-deterministic, dynamic systems. They are diverse in their structure and stakeholders, varied in social, technical, governance and environmental components, and characterized by regular interactions and relationships across activity areas (e.g., district</w:t>
      </w:r>
      <w:r w:rsidR="005222F7">
        <w:rPr>
          <w:rFonts w:ascii="Times New Roman" w:eastAsia="Times New Roman" w:hAnsi="Times New Roman" w:cs="Times New Roman"/>
          <w:sz w:val="24"/>
          <w:szCs w:val="24"/>
        </w:rPr>
        <w:t>s</w:t>
      </w:r>
      <w:r>
        <w:rPr>
          <w:rFonts w:ascii="Times New Roman" w:eastAsia="Times New Roman" w:hAnsi="Times New Roman" w:cs="Times New Roman"/>
          <w:sz w:val="24"/>
          <w:szCs w:val="24"/>
        </w:rPr>
        <w:t>) or sub-systems (e.g., transportation, drainage or energy systems)</w:t>
      </w:r>
      <w:r w:rsidR="00CA0256">
        <w:rPr>
          <w:rFonts w:ascii="Times New Roman" w:eastAsia="Times New Roman" w:hAnsi="Times New Roman" w:cs="Times New Roman"/>
          <w:sz w:val="24"/>
          <w:szCs w:val="24"/>
        </w:rPr>
        <w:t>.</w:t>
      </w:r>
      <w:r w:rsidR="00E76236">
        <w:rPr>
          <w:rStyle w:val="FootnoteReference"/>
          <w:rFonts w:ascii="Times New Roman" w:eastAsia="Times New Roman" w:hAnsi="Times New Roman" w:cs="Times New Roman"/>
          <w:sz w:val="24"/>
          <w:szCs w:val="24"/>
        </w:rPr>
        <w:footnoteReference w:id="22"/>
      </w:r>
      <w:r>
        <w:rPr>
          <w:rFonts w:ascii="Times New Roman" w:eastAsia="Times New Roman" w:hAnsi="Times New Roman" w:cs="Times New Roman"/>
          <w:sz w:val="24"/>
          <w:szCs w:val="24"/>
        </w:rPr>
        <w:t xml:space="preserve"> In light of th</w:t>
      </w:r>
      <w:r w:rsidR="005222F7">
        <w:rPr>
          <w:rFonts w:ascii="Times New Roman" w:eastAsia="Times New Roman" w:hAnsi="Times New Roman" w:cs="Times New Roman"/>
          <w:sz w:val="24"/>
          <w:szCs w:val="24"/>
        </w:rPr>
        <w:t>ese characteristics</w:t>
      </w:r>
      <w:r>
        <w:rPr>
          <w:rFonts w:ascii="Times New Roman" w:eastAsia="Times New Roman" w:hAnsi="Times New Roman" w:cs="Times New Roman"/>
          <w:sz w:val="24"/>
          <w:szCs w:val="24"/>
        </w:rPr>
        <w:t xml:space="preserve">,  Brugmann (2012) articulates the need for a framework </w:t>
      </w:r>
      <w:r w:rsidR="005222F7">
        <w:rPr>
          <w:rFonts w:ascii="Times New Roman" w:eastAsia="Times New Roman" w:hAnsi="Times New Roman" w:cs="Times New Roman"/>
          <w:sz w:val="24"/>
          <w:szCs w:val="24"/>
        </w:rPr>
        <w:t>for the</w:t>
      </w:r>
      <w:r>
        <w:rPr>
          <w:rFonts w:ascii="Times New Roman" w:eastAsia="Times New Roman" w:hAnsi="Times New Roman" w:cs="Times New Roman"/>
          <w:sz w:val="24"/>
          <w:szCs w:val="24"/>
        </w:rPr>
        <w:t xml:space="preserve"> analy</w:t>
      </w:r>
      <w:r w:rsidR="005222F7">
        <w:rPr>
          <w:rFonts w:ascii="Times New Roman" w:eastAsia="Times New Roman" w:hAnsi="Times New Roman" w:cs="Times New Roman"/>
          <w:sz w:val="24"/>
          <w:szCs w:val="24"/>
        </w:rPr>
        <w:t>sis of</w:t>
      </w:r>
      <w:r>
        <w:rPr>
          <w:rFonts w:ascii="Times New Roman" w:eastAsia="Times New Roman" w:hAnsi="Times New Roman" w:cs="Times New Roman"/>
          <w:sz w:val="24"/>
          <w:szCs w:val="24"/>
        </w:rPr>
        <w:t xml:space="preserve"> urban adaptation finance based on the consideration that these interactions and relationships determine the functioning of urban areas, and in turn influence human activities. For example, to manage (and finance) adaptation in the context of urban complexity, </w:t>
      </w:r>
      <w:r w:rsidR="005222F7">
        <w:rPr>
          <w:rFonts w:ascii="Times New Roman" w:eastAsia="Times New Roman" w:hAnsi="Times New Roman" w:cs="Times New Roman"/>
          <w:sz w:val="24"/>
          <w:szCs w:val="24"/>
        </w:rPr>
        <w:t>and to deploy capacities and resources across governance dimensions and levels</w:t>
      </w:r>
      <w:r w:rsidR="00FB3B86">
        <w:rPr>
          <w:rFonts w:ascii="Times New Roman" w:eastAsia="Times New Roman" w:hAnsi="Times New Roman" w:cs="Times New Roman"/>
          <w:sz w:val="24"/>
          <w:szCs w:val="24"/>
        </w:rPr>
        <w:t>,</w:t>
      </w:r>
      <w:r w:rsidR="005222F7">
        <w:rPr>
          <w:rFonts w:ascii="Times New Roman" w:eastAsia="Times New Roman" w:hAnsi="Times New Roman" w:cs="Times New Roman"/>
          <w:sz w:val="24"/>
          <w:szCs w:val="24"/>
        </w:rPr>
        <w:t xml:space="preserve"> and address trans-boundary climate challenges, </w:t>
      </w:r>
      <w:r>
        <w:rPr>
          <w:rFonts w:ascii="Times New Roman" w:eastAsia="Times New Roman" w:hAnsi="Times New Roman" w:cs="Times New Roman"/>
          <w:sz w:val="24"/>
          <w:szCs w:val="24"/>
        </w:rPr>
        <w:t xml:space="preserve">a perspective </w:t>
      </w:r>
      <w:r w:rsidR="005222F7">
        <w:rPr>
          <w:rFonts w:ascii="Times New Roman" w:eastAsia="Times New Roman" w:hAnsi="Times New Roman" w:cs="Times New Roman"/>
          <w:sz w:val="24"/>
          <w:szCs w:val="24"/>
        </w:rPr>
        <w:t xml:space="preserve">is necessary that is </w:t>
      </w:r>
      <w:r>
        <w:rPr>
          <w:rFonts w:ascii="Times New Roman" w:eastAsia="Times New Roman" w:hAnsi="Times New Roman" w:cs="Times New Roman"/>
          <w:sz w:val="24"/>
          <w:szCs w:val="24"/>
        </w:rPr>
        <w:t>able to consider multi-</w:t>
      </w:r>
      <w:proofErr w:type="spellStart"/>
      <w:proofErr w:type="gramStart"/>
      <w:r>
        <w:rPr>
          <w:rFonts w:ascii="Times New Roman" w:eastAsia="Times New Roman" w:hAnsi="Times New Roman" w:cs="Times New Roman"/>
          <w:sz w:val="24"/>
          <w:szCs w:val="24"/>
        </w:rPr>
        <w:t>stakeh</w:t>
      </w:r>
      <w:r w:rsidR="00CA0256">
        <w:rPr>
          <w:rFonts w:ascii="Times New Roman" w:eastAsia="Times New Roman" w:hAnsi="Times New Roman" w:cs="Times New Roman"/>
          <w:sz w:val="24"/>
          <w:szCs w:val="24"/>
        </w:rPr>
        <w:t>.</w:t>
      </w:r>
      <w:r>
        <w:rPr>
          <w:rFonts w:ascii="Times New Roman" w:eastAsia="Times New Roman" w:hAnsi="Times New Roman" w:cs="Times New Roman"/>
          <w:sz w:val="24"/>
          <w:szCs w:val="24"/>
        </w:rPr>
        <w:t>older</w:t>
      </w:r>
      <w:proofErr w:type="spellEnd"/>
      <w:proofErr w:type="gramEnd"/>
      <w:r>
        <w:rPr>
          <w:rFonts w:ascii="Times New Roman" w:eastAsia="Times New Roman" w:hAnsi="Times New Roman" w:cs="Times New Roman"/>
          <w:sz w:val="24"/>
          <w:szCs w:val="24"/>
        </w:rPr>
        <w:t xml:space="preserve"> interactions</w:t>
      </w:r>
      <w:r w:rsidR="00CA0256">
        <w:rPr>
          <w:rFonts w:ascii="Times New Roman" w:eastAsia="Times New Roman" w:hAnsi="Times New Roman" w:cs="Times New Roman"/>
          <w:sz w:val="24"/>
          <w:szCs w:val="24"/>
        </w:rPr>
        <w:t>.</w:t>
      </w:r>
      <w:r w:rsidR="00F9502C">
        <w:rPr>
          <w:rStyle w:val="FootnoteReference"/>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 xml:space="preserve">  </w:t>
      </w:r>
    </w:p>
    <w:p w14:paraId="52E04E25" w14:textId="3AB31FAE" w:rsidR="00B14EAB" w:rsidRDefault="004D5725">
      <w:pPr>
        <w:spacing w:line="360" w:lineRule="auto"/>
        <w:jc w:val="both"/>
        <w:rPr>
          <w:rFonts w:ascii="Times New Roman" w:eastAsia="Times New Roman" w:hAnsi="Times New Roman" w:cs="Times New Roman"/>
          <w:sz w:val="24"/>
          <w:szCs w:val="24"/>
        </w:rPr>
      </w:pPr>
      <w:bookmarkStart w:id="1" w:name="_kz5aabi8sxfh" w:colFirst="0" w:colLast="0"/>
      <w:bookmarkEnd w:id="1"/>
      <w:r>
        <w:rPr>
          <w:rFonts w:ascii="Times New Roman" w:eastAsia="Times New Roman" w:hAnsi="Times New Roman" w:cs="Times New Roman"/>
          <w:sz w:val="24"/>
          <w:szCs w:val="24"/>
        </w:rPr>
        <w:t xml:space="preserve">In all these approaches, complex multi-stakeholder interactions deal with uncertainty </w:t>
      </w:r>
      <w:r w:rsidR="00FB3B86">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predictions, descriptions and analysis of climate change and its consequences. Rowe (1994) conceptualizes such uncertainty in relation to time, space, and measurement</w:t>
      </w:r>
      <w:r w:rsidR="00AB197D" w:rsidRPr="00762F7F">
        <w:rPr>
          <w:rFonts w:ascii="Times New Roman" w:eastAsia="Times New Roman" w:hAnsi="Times New Roman" w:cs="Times New Roman"/>
          <w:sz w:val="24"/>
          <w:szCs w:val="24"/>
        </w:rPr>
        <w:t xml:space="preserve">. </w:t>
      </w:r>
      <w:r w:rsidRPr="00762F7F">
        <w:rPr>
          <w:rFonts w:ascii="Times New Roman" w:eastAsia="Times New Roman" w:hAnsi="Times New Roman" w:cs="Times New Roman"/>
          <w:sz w:val="24"/>
          <w:szCs w:val="24"/>
        </w:rPr>
        <w:t xml:space="preserve">Time uncertainty is related </w:t>
      </w:r>
      <w:r w:rsidR="00FB3B86" w:rsidRPr="00762F7F">
        <w:rPr>
          <w:rFonts w:ascii="Times New Roman" w:eastAsia="Times New Roman" w:hAnsi="Times New Roman" w:cs="Times New Roman"/>
          <w:sz w:val="24"/>
          <w:szCs w:val="24"/>
        </w:rPr>
        <w:t>to</w:t>
      </w:r>
      <w:r w:rsidRPr="00762F7F">
        <w:rPr>
          <w:rFonts w:ascii="Times New Roman" w:eastAsia="Times New Roman" w:hAnsi="Times New Roman" w:cs="Times New Roman"/>
          <w:sz w:val="24"/>
          <w:szCs w:val="24"/>
        </w:rPr>
        <w:t xml:space="preserve"> uncertain future climatic conditions</w:t>
      </w:r>
      <w:r w:rsidR="00FB3B86" w:rsidRPr="000F6EBC">
        <w:rPr>
          <w:rFonts w:ascii="Times New Roman" w:eastAsia="Times New Roman" w:hAnsi="Times New Roman" w:cs="Times New Roman"/>
          <w:sz w:val="24"/>
          <w:szCs w:val="24"/>
          <w:highlight w:val="yellow"/>
        </w:rPr>
        <w:t>; sp</w:t>
      </w:r>
      <w:r>
        <w:rPr>
          <w:rFonts w:ascii="Times New Roman" w:eastAsia="Times New Roman" w:hAnsi="Times New Roman" w:cs="Times New Roman"/>
          <w:sz w:val="24"/>
          <w:szCs w:val="24"/>
        </w:rPr>
        <w:t xml:space="preserve">ace uncertainty to stakeholders’ limited knowledge </w:t>
      </w:r>
      <w:r w:rsidR="00FB3B86">
        <w:rPr>
          <w:rFonts w:ascii="Times New Roman" w:eastAsia="Times New Roman" w:hAnsi="Times New Roman" w:cs="Times New Roman"/>
          <w:sz w:val="24"/>
          <w:szCs w:val="24"/>
        </w:rPr>
        <w:t>of the</w:t>
      </w:r>
      <w:r>
        <w:rPr>
          <w:rFonts w:ascii="Times New Roman" w:eastAsia="Times New Roman" w:hAnsi="Times New Roman" w:cs="Times New Roman"/>
          <w:sz w:val="24"/>
          <w:szCs w:val="24"/>
        </w:rPr>
        <w:t xml:space="preserve"> extension, scale and location of </w:t>
      </w:r>
      <w:r w:rsidR="00FB3B86">
        <w:rPr>
          <w:rFonts w:ascii="Times New Roman" w:eastAsia="Times New Roman" w:hAnsi="Times New Roman" w:cs="Times New Roman"/>
          <w:sz w:val="24"/>
          <w:szCs w:val="24"/>
        </w:rPr>
        <w:t xml:space="preserve">climate-related </w:t>
      </w:r>
      <w:r>
        <w:rPr>
          <w:rFonts w:ascii="Times New Roman" w:eastAsia="Times New Roman" w:hAnsi="Times New Roman" w:cs="Times New Roman"/>
          <w:sz w:val="24"/>
          <w:szCs w:val="24"/>
        </w:rPr>
        <w:t>change</w:t>
      </w:r>
      <w:r w:rsidR="00FB3B86">
        <w:rPr>
          <w:rFonts w:ascii="Times New Roman" w:eastAsia="Times New Roman" w:hAnsi="Times New Roman" w:cs="Times New Roman"/>
          <w:sz w:val="24"/>
          <w:szCs w:val="24"/>
        </w:rPr>
        <w:t>; m</w:t>
      </w:r>
      <w:r>
        <w:rPr>
          <w:rFonts w:ascii="Times New Roman" w:eastAsia="Times New Roman" w:hAnsi="Times New Roman" w:cs="Times New Roman"/>
          <w:sz w:val="24"/>
          <w:szCs w:val="24"/>
        </w:rPr>
        <w:t xml:space="preserve">easurement uncertainty </w:t>
      </w:r>
      <w:r w:rsidR="00FB3B86">
        <w:rPr>
          <w:rFonts w:ascii="Times New Roman" w:eastAsia="Times New Roman" w:hAnsi="Times New Roman" w:cs="Times New Roman"/>
          <w:sz w:val="24"/>
          <w:szCs w:val="24"/>
        </w:rPr>
        <w:t>to the reliance of</w:t>
      </w:r>
      <w:r>
        <w:rPr>
          <w:rFonts w:ascii="Times New Roman" w:eastAsia="Times New Roman" w:hAnsi="Times New Roman" w:cs="Times New Roman"/>
          <w:sz w:val="24"/>
          <w:szCs w:val="24"/>
        </w:rPr>
        <w:t xml:space="preserve"> scenarios and modelling on specific parameters, techniques, tools</w:t>
      </w:r>
      <w:r w:rsidR="00CA0256">
        <w:rPr>
          <w:rFonts w:ascii="Times New Roman" w:eastAsia="Times New Roman" w:hAnsi="Times New Roman" w:cs="Times New Roman"/>
          <w:sz w:val="24"/>
          <w:szCs w:val="24"/>
        </w:rPr>
        <w:t>.</w:t>
      </w:r>
      <w:r w:rsidR="00032C16">
        <w:rPr>
          <w:rStyle w:val="FootnoteReference"/>
          <w:rFonts w:ascii="Times New Roman" w:eastAsia="Times New Roman" w:hAnsi="Times New Roman" w:cs="Times New Roman"/>
          <w:sz w:val="24"/>
          <w:szCs w:val="24"/>
        </w:rPr>
        <w:footnoteReference w:id="24"/>
      </w:r>
      <w:r>
        <w:rPr>
          <w:rFonts w:ascii="Times New Roman" w:eastAsia="Times New Roman" w:hAnsi="Times New Roman" w:cs="Times New Roman"/>
          <w:sz w:val="24"/>
          <w:szCs w:val="24"/>
        </w:rPr>
        <w:t xml:space="preserve"> </w:t>
      </w:r>
      <w:bookmarkStart w:id="2" w:name="_n6ltlvy0vhl9" w:colFirst="0" w:colLast="0"/>
      <w:bookmarkEnd w:id="2"/>
    </w:p>
    <w:p w14:paraId="52E04E26" w14:textId="56FE655F"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urban areas, uncertainty is heightened and shaped by social divisions </w:t>
      </w:r>
      <w:r w:rsidR="00FB3B86">
        <w:rPr>
          <w:rFonts w:ascii="Times New Roman" w:eastAsia="Times New Roman" w:hAnsi="Times New Roman" w:cs="Times New Roman"/>
          <w:sz w:val="24"/>
          <w:szCs w:val="24"/>
        </w:rPr>
        <w:t>based on</w:t>
      </w:r>
      <w:r>
        <w:rPr>
          <w:rFonts w:ascii="Times New Roman" w:eastAsia="Times New Roman" w:hAnsi="Times New Roman" w:cs="Times New Roman"/>
          <w:sz w:val="24"/>
          <w:szCs w:val="24"/>
        </w:rPr>
        <w:t xml:space="preserve"> </w:t>
      </w:r>
      <w:r w:rsidR="005222F7">
        <w:rPr>
          <w:rFonts w:ascii="Times New Roman" w:eastAsia="Times New Roman" w:hAnsi="Times New Roman" w:cs="Times New Roman"/>
          <w:sz w:val="24"/>
          <w:szCs w:val="24"/>
        </w:rPr>
        <w:t>such dimensions as</w:t>
      </w:r>
      <w:r>
        <w:rPr>
          <w:rFonts w:ascii="Times New Roman" w:eastAsia="Times New Roman" w:hAnsi="Times New Roman" w:cs="Times New Roman"/>
          <w:sz w:val="24"/>
          <w:szCs w:val="24"/>
        </w:rPr>
        <w:t xml:space="preserve"> gender, race, age, (dis)ability or class, that determine who is vulnerable and who has greater ability to adapt to climate change. </w:t>
      </w:r>
      <w:r w:rsidR="005222F7">
        <w:rPr>
          <w:rFonts w:ascii="Times New Roman" w:eastAsia="Times New Roman" w:hAnsi="Times New Roman" w:cs="Times New Roman"/>
          <w:sz w:val="24"/>
          <w:szCs w:val="24"/>
        </w:rPr>
        <w:t>U</w:t>
      </w:r>
      <w:r>
        <w:rPr>
          <w:rFonts w:ascii="Times New Roman" w:eastAsia="Times New Roman" w:hAnsi="Times New Roman" w:cs="Times New Roman"/>
          <w:sz w:val="24"/>
          <w:szCs w:val="24"/>
        </w:rPr>
        <w:t>rban adaptation might further exacerbate these social divisions and increase vulnerability of different individuals and groups. Inequality shapes urban adaptation and its impacts on vulnerability</w:t>
      </w:r>
      <w:r w:rsidR="00CA0256">
        <w:rPr>
          <w:rFonts w:ascii="Times New Roman" w:eastAsia="Times New Roman" w:hAnsi="Times New Roman" w:cs="Times New Roman"/>
          <w:sz w:val="24"/>
          <w:szCs w:val="24"/>
        </w:rPr>
        <w:t>.</w:t>
      </w:r>
      <w:r w:rsidR="00032C16">
        <w:rPr>
          <w:rStyle w:val="FootnoteReference"/>
          <w:rFonts w:ascii="Times New Roman" w:eastAsia="Times New Roman" w:hAnsi="Times New Roman" w:cs="Times New Roman"/>
          <w:sz w:val="24"/>
          <w:szCs w:val="24"/>
        </w:rPr>
        <w:footnoteReference w:id="25"/>
      </w:r>
    </w:p>
    <w:p w14:paraId="52E04E27" w14:textId="0563119E"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further aspect of complexity is the potential for transformation. Transformation involves a change in paradigms, perceptions and underlying norms and values, a reconfiguration of social networks, patterns, and powers, as well as the introduction of new institutional arrangements and frameworks</w:t>
      </w:r>
      <w:r w:rsidR="00CA0256">
        <w:rPr>
          <w:rFonts w:ascii="Times New Roman" w:eastAsia="Times New Roman" w:hAnsi="Times New Roman" w:cs="Times New Roman"/>
          <w:sz w:val="24"/>
          <w:szCs w:val="24"/>
        </w:rPr>
        <w:t>.</w:t>
      </w:r>
      <w:r w:rsidR="00BA7EEA">
        <w:rPr>
          <w:rStyle w:val="FootnoteReference"/>
          <w:rFonts w:ascii="Times New Roman" w:eastAsia="Times New Roman" w:hAnsi="Times New Roman" w:cs="Times New Roman"/>
          <w:sz w:val="24"/>
          <w:szCs w:val="24"/>
        </w:rPr>
        <w:footnoteReference w:id="26"/>
      </w:r>
      <w:r>
        <w:rPr>
          <w:rFonts w:ascii="Times New Roman" w:eastAsia="Times New Roman" w:hAnsi="Times New Roman" w:cs="Times New Roman"/>
          <w:sz w:val="24"/>
          <w:szCs w:val="24"/>
        </w:rPr>
        <w:t xml:space="preserve"> Transformational adaptation, therefore, includes strategies that deviate from </w:t>
      </w:r>
      <w:r>
        <w:rPr>
          <w:rFonts w:ascii="Times New Roman" w:eastAsia="Times New Roman" w:hAnsi="Times New Roman" w:cs="Times New Roman"/>
          <w:sz w:val="24"/>
          <w:szCs w:val="24"/>
        </w:rPr>
        <w:lastRenderedPageBreak/>
        <w:t>business-as-usual climate change response</w:t>
      </w:r>
      <w:r w:rsidR="005222F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reduce the root causes of vulnerabilities </w:t>
      </w:r>
      <w:r w:rsidR="00FB3B8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transform them into more just, sustainable, or resilient states</w:t>
      </w:r>
      <w:r w:rsidR="00CA0256">
        <w:rPr>
          <w:rFonts w:ascii="Times New Roman" w:eastAsia="Times New Roman" w:hAnsi="Times New Roman" w:cs="Times New Roman"/>
          <w:sz w:val="24"/>
          <w:szCs w:val="24"/>
        </w:rPr>
        <w:t>.</w:t>
      </w:r>
      <w:r w:rsidR="005D2C1C">
        <w:rPr>
          <w:rStyle w:val="FootnoteReference"/>
          <w:rFonts w:ascii="Times New Roman" w:eastAsia="Times New Roman" w:hAnsi="Times New Roman" w:cs="Times New Roman"/>
          <w:sz w:val="24"/>
          <w:szCs w:val="24"/>
        </w:rPr>
        <w:footnoteReference w:id="27"/>
      </w:r>
      <w:r>
        <w:rPr>
          <w:rFonts w:ascii="Times New Roman" w:eastAsia="Times New Roman" w:hAnsi="Times New Roman" w:cs="Times New Roman"/>
          <w:sz w:val="24"/>
          <w:szCs w:val="24"/>
        </w:rPr>
        <w:t xml:space="preserve"> </w:t>
      </w:r>
    </w:p>
    <w:p w14:paraId="52E04E28" w14:textId="258A5563"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Transformational adaptation also has catalytic and upscaling effects. Catalytic effects are those outside the immediate areas of interventions</w:t>
      </w:r>
      <w:r w:rsidR="00FB3B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influenc</w:t>
      </w:r>
      <w:r w:rsidR="00FB3B8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wider processes towards individual, collective, and institutional change</w:t>
      </w:r>
      <w:r w:rsidR="00CA0256">
        <w:rPr>
          <w:rFonts w:ascii="Times New Roman" w:eastAsia="Times New Roman" w:hAnsi="Times New Roman" w:cs="Times New Roman"/>
          <w:sz w:val="24"/>
          <w:szCs w:val="24"/>
        </w:rPr>
        <w:t>.</w:t>
      </w:r>
      <w:r w:rsidR="009D40FF">
        <w:rPr>
          <w:rStyle w:val="FootnoteReference"/>
          <w:rFonts w:ascii="Times New Roman" w:eastAsia="Times New Roman" w:hAnsi="Times New Roman" w:cs="Times New Roman"/>
          <w:sz w:val="24"/>
          <w:szCs w:val="24"/>
        </w:rPr>
        <w:footnoteReference w:id="28"/>
      </w:r>
      <w:r w:rsidR="00FB3B86">
        <w:rPr>
          <w:rFonts w:ascii="Times New Roman" w:eastAsia="Times New Roman" w:hAnsi="Times New Roman" w:cs="Times New Roman"/>
          <w:sz w:val="24"/>
          <w:szCs w:val="24"/>
        </w:rPr>
        <w:t xml:space="preserve"> These include, for instance, </w:t>
      </w:r>
      <w:r>
        <w:rPr>
          <w:rFonts w:ascii="Times New Roman" w:eastAsia="Times New Roman" w:hAnsi="Times New Roman" w:cs="Times New Roman"/>
          <w:sz w:val="24"/>
          <w:szCs w:val="24"/>
        </w:rPr>
        <w:t>identif</w:t>
      </w:r>
      <w:r w:rsidR="00FB3B86">
        <w:rPr>
          <w:rFonts w:ascii="Times New Roman" w:eastAsia="Times New Roman" w:hAnsi="Times New Roman" w:cs="Times New Roman"/>
          <w:sz w:val="24"/>
          <w:szCs w:val="24"/>
        </w:rPr>
        <w:t>ying</w:t>
      </w:r>
      <w:r>
        <w:rPr>
          <w:rFonts w:ascii="Times New Roman" w:eastAsia="Times New Roman" w:hAnsi="Times New Roman" w:cs="Times New Roman"/>
          <w:sz w:val="24"/>
          <w:szCs w:val="24"/>
        </w:rPr>
        <w:t xml:space="preserve"> key stakeholders to promote change and facilitate knowledge sharing;  promoti</w:t>
      </w:r>
      <w:r w:rsidR="00FB3B86">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and invest</w:t>
      </w:r>
      <w:r w:rsidR="00FB3B8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005222F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new or alternative adaptation options; deploy</w:t>
      </w:r>
      <w:r w:rsidR="00FB3B8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development opportunities; creati</w:t>
      </w:r>
      <w:r w:rsidR="00FB3B86">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cross-scale and multi-stakeholder partnerships, and multi-level governance arrangements; institutionalis</w:t>
      </w:r>
      <w:r w:rsidR="00FB3B8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new practices and frameworks; and </w:t>
      </w:r>
      <w:r w:rsidR="00FB3B86">
        <w:rPr>
          <w:rFonts w:ascii="Times New Roman" w:eastAsia="Times New Roman" w:hAnsi="Times New Roman" w:cs="Times New Roman"/>
          <w:sz w:val="24"/>
          <w:szCs w:val="24"/>
        </w:rPr>
        <w:t xml:space="preserve">providing </w:t>
      </w:r>
      <w:r>
        <w:rPr>
          <w:rFonts w:ascii="Times New Roman" w:eastAsia="Times New Roman" w:hAnsi="Times New Roman" w:cs="Times New Roman"/>
          <w:sz w:val="24"/>
          <w:szCs w:val="24"/>
        </w:rPr>
        <w:t>political and funding support to long-term actions</w:t>
      </w:r>
      <w:r w:rsidR="00CA0256">
        <w:rPr>
          <w:rFonts w:ascii="Times New Roman" w:eastAsia="Times New Roman" w:hAnsi="Times New Roman" w:cs="Times New Roman"/>
          <w:sz w:val="24"/>
          <w:szCs w:val="24"/>
        </w:rPr>
        <w:t>.</w:t>
      </w:r>
      <w:r w:rsidR="009D40FF">
        <w:rPr>
          <w:rStyle w:val="FootnoteReference"/>
          <w:rFonts w:ascii="Times New Roman" w:eastAsia="Times New Roman" w:hAnsi="Times New Roman" w:cs="Times New Roman"/>
          <w:sz w:val="24"/>
          <w:szCs w:val="24"/>
        </w:rPr>
        <w:footnoteReference w:id="29"/>
      </w:r>
      <w:r>
        <w:rPr>
          <w:rFonts w:ascii="Times New Roman" w:eastAsia="Times New Roman" w:hAnsi="Times New Roman" w:cs="Times New Roman"/>
          <w:sz w:val="24"/>
          <w:szCs w:val="24"/>
        </w:rPr>
        <w:t xml:space="preserve"> Upscaling effects, </w:t>
      </w:r>
      <w:r w:rsidR="00FB3B86">
        <w:rPr>
          <w:rFonts w:ascii="Times New Roman" w:eastAsia="Times New Roman" w:hAnsi="Times New Roman" w:cs="Times New Roman"/>
          <w:sz w:val="24"/>
          <w:szCs w:val="24"/>
        </w:rPr>
        <w:t>by contrast,</w:t>
      </w:r>
      <w:r>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ensure that interventions benefit large numbers of people outside the targeted ones, either directly or by influencing policies and institutions</w:t>
      </w:r>
      <w:r w:rsidR="00CA0256">
        <w:rPr>
          <w:rFonts w:ascii="Times New Roman" w:eastAsia="Times New Roman" w:hAnsi="Times New Roman" w:cs="Times New Roman"/>
          <w:sz w:val="24"/>
          <w:szCs w:val="24"/>
        </w:rPr>
        <w:t>.</w:t>
      </w:r>
      <w:r w:rsidR="009D40FF">
        <w:rPr>
          <w:rStyle w:val="FootnoteReference"/>
          <w:rFonts w:ascii="Times New Roman" w:eastAsia="Times New Roman" w:hAnsi="Times New Roman" w:cs="Times New Roman"/>
          <w:sz w:val="24"/>
          <w:szCs w:val="24"/>
        </w:rPr>
        <w:footnoteReference w:id="30"/>
      </w:r>
      <w:r>
        <w:rPr>
          <w:rFonts w:ascii="Times New Roman" w:eastAsia="Times New Roman" w:hAnsi="Times New Roman" w:cs="Times New Roman"/>
          <w:sz w:val="24"/>
          <w:szCs w:val="24"/>
        </w:rPr>
        <w:t xml:space="preserve"> Figure 1 summarizes the conceptual framework described above, highlighting the interactions across the four aspects and their specificities.</w:t>
      </w:r>
    </w:p>
    <w:p w14:paraId="52E04E29" w14:textId="77777777" w:rsidR="00B14EAB" w:rsidRDefault="00B14EAB">
      <w:pPr>
        <w:spacing w:line="360" w:lineRule="auto"/>
        <w:jc w:val="both"/>
        <w:rPr>
          <w:rFonts w:ascii="Times New Roman" w:eastAsia="Times New Roman" w:hAnsi="Times New Roman" w:cs="Times New Roman"/>
          <w:sz w:val="24"/>
          <w:szCs w:val="24"/>
        </w:rPr>
      </w:pPr>
    </w:p>
    <w:p w14:paraId="52E04E2A"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The conceptual framework to investigate urban adaptation finance. </w:t>
      </w:r>
    </w:p>
    <w:p w14:paraId="52E04E2B" w14:textId="3F94C470"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Certainly, </w:t>
      </w:r>
      <w:r w:rsidR="00762F7F">
        <w:rPr>
          <w:rFonts w:ascii="Times New Roman" w:eastAsia="Times New Roman" w:hAnsi="Times New Roman" w:cs="Times New Roman"/>
          <w:sz w:val="24"/>
          <w:szCs w:val="24"/>
        </w:rPr>
        <w:t xml:space="preserve">the state aim of </w:t>
      </w:r>
      <w:r>
        <w:rPr>
          <w:rFonts w:ascii="Times New Roman" w:eastAsia="Times New Roman" w:hAnsi="Times New Roman" w:cs="Times New Roman"/>
          <w:sz w:val="24"/>
          <w:szCs w:val="24"/>
        </w:rPr>
        <w:t xml:space="preserve">CAFs aim </w:t>
      </w:r>
      <w:r w:rsidR="00762F7F">
        <w:rPr>
          <w:rFonts w:ascii="Times New Roman" w:eastAsia="Times New Roman" w:hAnsi="Times New Roman" w:cs="Times New Roman"/>
          <w:sz w:val="24"/>
          <w:szCs w:val="24"/>
        </w:rPr>
        <w:t xml:space="preserve">is </w:t>
      </w:r>
      <w:proofErr w:type="gramStart"/>
      <w:r w:rsidR="00762F7F">
        <w:rPr>
          <w:rFonts w:ascii="Times New Roman" w:eastAsia="Times New Roman" w:hAnsi="Times New Roman" w:cs="Times New Roman"/>
          <w:sz w:val="24"/>
          <w:szCs w:val="24"/>
        </w:rPr>
        <w:t>to</w:t>
      </w:r>
      <w:proofErr w:type="gramEnd"/>
      <w:r w:rsidR="00762F7F">
        <w:rPr>
          <w:rFonts w:ascii="Times New Roman" w:eastAsia="Times New Roman" w:hAnsi="Times New Roman" w:cs="Times New Roman"/>
          <w:sz w:val="24"/>
          <w:szCs w:val="24"/>
        </w:rPr>
        <w:t xml:space="preserve"> upscale their</w:t>
      </w:r>
      <w:r>
        <w:rPr>
          <w:rFonts w:ascii="Times New Roman" w:eastAsia="Times New Roman" w:hAnsi="Times New Roman" w:cs="Times New Roman"/>
          <w:sz w:val="24"/>
          <w:szCs w:val="24"/>
        </w:rPr>
        <w:t xml:space="preserve"> effects in other urban areas, nationally and internationally</w:t>
      </w:r>
      <w:r w:rsidR="004252F5">
        <w:rPr>
          <w:rStyle w:val="FootnoteReference"/>
          <w:rFonts w:ascii="Times New Roman" w:eastAsia="Times New Roman" w:hAnsi="Times New Roman" w:cs="Times New Roman"/>
          <w:sz w:val="24"/>
          <w:szCs w:val="24"/>
        </w:rPr>
        <w:footnoteReference w:id="31"/>
      </w:r>
      <w:r>
        <w:rPr>
          <w:rFonts w:ascii="Times New Roman" w:eastAsia="Times New Roman" w:hAnsi="Times New Roman" w:cs="Times New Roman"/>
          <w:sz w:val="24"/>
          <w:szCs w:val="24"/>
        </w:rPr>
        <w:t>, and generat</w:t>
      </w:r>
      <w:r w:rsidR="004A6B7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catalytic effects on stakeholders and sectors different than the project foci</w:t>
      </w:r>
      <w:r w:rsidR="00CA0256">
        <w:rPr>
          <w:rFonts w:ascii="Times New Roman" w:eastAsia="Times New Roman" w:hAnsi="Times New Roman" w:cs="Times New Roman"/>
          <w:sz w:val="24"/>
          <w:szCs w:val="24"/>
        </w:rPr>
        <w:t>.</w:t>
      </w:r>
      <w:r w:rsidR="004252F5">
        <w:rPr>
          <w:rStyle w:val="FootnoteReference"/>
          <w:rFonts w:ascii="Times New Roman" w:eastAsia="Times New Roman" w:hAnsi="Times New Roman" w:cs="Times New Roman"/>
          <w:sz w:val="24"/>
          <w:szCs w:val="24"/>
        </w:rPr>
        <w:footnoteReference w:id="32"/>
      </w:r>
      <w:r>
        <w:rPr>
          <w:rFonts w:ascii="Times New Roman" w:eastAsia="Times New Roman" w:hAnsi="Times New Roman" w:cs="Times New Roman"/>
          <w:sz w:val="24"/>
          <w:szCs w:val="24"/>
        </w:rPr>
        <w:t xml:space="preserve"> </w:t>
      </w:r>
      <w:r w:rsidR="004A6B7D">
        <w:rPr>
          <w:rFonts w:ascii="Times New Roman" w:eastAsia="Times New Roman" w:hAnsi="Times New Roman" w:cs="Times New Roman"/>
          <w:sz w:val="24"/>
          <w:szCs w:val="24"/>
        </w:rPr>
        <w:t xml:space="preserve">Likewise, </w:t>
      </w:r>
      <w:r>
        <w:rPr>
          <w:rFonts w:ascii="Times New Roman" w:eastAsia="Times New Roman" w:hAnsi="Times New Roman" w:cs="Times New Roman"/>
          <w:sz w:val="24"/>
          <w:szCs w:val="24"/>
        </w:rPr>
        <w:t xml:space="preserve">CAFs </w:t>
      </w:r>
      <w:r w:rsidR="004A6B7D">
        <w:rPr>
          <w:rFonts w:ascii="Times New Roman" w:eastAsia="Times New Roman" w:hAnsi="Times New Roman" w:cs="Times New Roman"/>
          <w:sz w:val="24"/>
          <w:szCs w:val="24"/>
        </w:rPr>
        <w:t>are already reported to</w:t>
      </w:r>
      <w:r>
        <w:rPr>
          <w:rFonts w:ascii="Times New Roman" w:eastAsia="Times New Roman" w:hAnsi="Times New Roman" w:cs="Times New Roman"/>
          <w:sz w:val="24"/>
          <w:szCs w:val="24"/>
        </w:rPr>
        <w:t xml:space="preserve"> aim </w:t>
      </w:r>
      <w:r w:rsidR="00FB3B86">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tackl</w:t>
      </w:r>
      <w:r w:rsidR="00FB3B8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vulnerability by addressing climate change impacts on vulnerable groups</w:t>
      </w:r>
      <w:r w:rsidR="00CA0256">
        <w:rPr>
          <w:rFonts w:ascii="Times New Roman" w:eastAsia="Times New Roman" w:hAnsi="Times New Roman" w:cs="Times New Roman"/>
          <w:sz w:val="24"/>
          <w:szCs w:val="24"/>
        </w:rPr>
        <w:t>.</w:t>
      </w:r>
      <w:r w:rsidR="004252F5">
        <w:rPr>
          <w:rStyle w:val="FootnoteReference"/>
          <w:rFonts w:ascii="Times New Roman" w:eastAsia="Times New Roman" w:hAnsi="Times New Roman" w:cs="Times New Roman"/>
          <w:sz w:val="24"/>
          <w:szCs w:val="24"/>
        </w:rPr>
        <w:footnoteReference w:id="33"/>
      </w:r>
      <w:r>
        <w:rPr>
          <w:rFonts w:ascii="Times New Roman" w:eastAsia="Times New Roman" w:hAnsi="Times New Roman" w:cs="Times New Roman"/>
          <w:sz w:val="24"/>
          <w:szCs w:val="24"/>
        </w:rPr>
        <w:t xml:space="preserve"> </w:t>
      </w:r>
      <w:r w:rsidR="00930F93">
        <w:rPr>
          <w:rFonts w:ascii="Times New Roman" w:eastAsia="Times New Roman" w:hAnsi="Times New Roman" w:cs="Times New Roman"/>
          <w:sz w:val="24"/>
          <w:szCs w:val="24"/>
        </w:rPr>
        <w:t>Some</w:t>
      </w:r>
      <w:r w:rsidR="0006370D">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articular CAFs aim </w:t>
      </w:r>
      <w:r w:rsidR="0006370D">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innovat</w:t>
      </w:r>
      <w:r w:rsidR="0006370D">
        <w:rPr>
          <w:rFonts w:ascii="Times New Roman" w:eastAsia="Times New Roman" w:hAnsi="Times New Roman" w:cs="Times New Roman"/>
          <w:sz w:val="24"/>
          <w:szCs w:val="24"/>
        </w:rPr>
        <w:t>i</w:t>
      </w:r>
      <w:r w:rsidR="00FB3B86">
        <w:rPr>
          <w:rFonts w:ascii="Times New Roman" w:eastAsia="Times New Roman" w:hAnsi="Times New Roman" w:cs="Times New Roman"/>
          <w:sz w:val="24"/>
          <w:szCs w:val="24"/>
        </w:rPr>
        <w:t>ons</w:t>
      </w:r>
      <w:r>
        <w:rPr>
          <w:rFonts w:ascii="Times New Roman" w:eastAsia="Times New Roman" w:hAnsi="Times New Roman" w:cs="Times New Roman"/>
          <w:sz w:val="24"/>
          <w:szCs w:val="24"/>
        </w:rPr>
        <w:t xml:space="preserve"> for</w:t>
      </w:r>
      <w:r w:rsidR="00FB3B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urban adaptation and resilience. </w:t>
      </w:r>
      <w:r w:rsidR="004A6B7D">
        <w:rPr>
          <w:rFonts w:ascii="Times New Roman" w:eastAsia="Times New Roman" w:hAnsi="Times New Roman" w:cs="Times New Roman"/>
          <w:sz w:val="24"/>
          <w:szCs w:val="24"/>
        </w:rPr>
        <w:t>T</w:t>
      </w:r>
      <w:r>
        <w:rPr>
          <w:rFonts w:ascii="Times New Roman" w:eastAsia="Times New Roman" w:hAnsi="Times New Roman" w:cs="Times New Roman"/>
          <w:sz w:val="24"/>
          <w:szCs w:val="24"/>
        </w:rPr>
        <w:t>he Pilot Program for Climate Resilience (PPCR)</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(a program of the Strategic Climate Fund administered by the World Bank) integrat</w:t>
      </w:r>
      <w:r w:rsidR="00FB3B8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 xml:space="preserve">a focus on </w:t>
      </w:r>
      <w:r>
        <w:rPr>
          <w:rFonts w:ascii="Times New Roman" w:eastAsia="Times New Roman" w:hAnsi="Times New Roman" w:cs="Times New Roman"/>
          <w:sz w:val="24"/>
          <w:szCs w:val="24"/>
        </w:rPr>
        <w:t xml:space="preserve">climate risk and resilience into development projects and </w:t>
      </w:r>
      <w:r w:rsidR="004A6B7D">
        <w:rPr>
          <w:rFonts w:ascii="Times New Roman" w:eastAsia="Times New Roman" w:hAnsi="Times New Roman" w:cs="Times New Roman"/>
          <w:sz w:val="24"/>
          <w:szCs w:val="24"/>
        </w:rPr>
        <w:t xml:space="preserve">purports to </w:t>
      </w:r>
      <w:r>
        <w:rPr>
          <w:rFonts w:ascii="Times New Roman" w:eastAsia="Times New Roman" w:hAnsi="Times New Roman" w:cs="Times New Roman"/>
          <w:sz w:val="24"/>
          <w:szCs w:val="24"/>
        </w:rPr>
        <w:t xml:space="preserve">provide incentives for upscaling actions and catalysing transformational change. </w:t>
      </w:r>
      <w:r w:rsidR="004A6B7D">
        <w:rPr>
          <w:rFonts w:ascii="Times New Roman" w:eastAsia="Times New Roman" w:hAnsi="Times New Roman" w:cs="Times New Roman"/>
          <w:sz w:val="24"/>
          <w:szCs w:val="24"/>
        </w:rPr>
        <w:t>T</w:t>
      </w:r>
      <w:r>
        <w:rPr>
          <w:rFonts w:ascii="Times New Roman" w:eastAsia="Times New Roman" w:hAnsi="Times New Roman" w:cs="Times New Roman"/>
          <w:sz w:val="24"/>
          <w:szCs w:val="24"/>
        </w:rPr>
        <w:t>he Global Platform for Sustainable Cities (GPSC)</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part of the Sustainable Cities Integrated Approach Pilot </w:t>
      </w:r>
      <w:proofErr w:type="gramStart"/>
      <w:r>
        <w:rPr>
          <w:rFonts w:ascii="Times New Roman" w:eastAsia="Times New Roman" w:hAnsi="Times New Roman" w:cs="Times New Roman"/>
          <w:sz w:val="24"/>
          <w:szCs w:val="24"/>
        </w:rPr>
        <w:t>project,  gathers</w:t>
      </w:r>
      <w:proofErr w:type="gramEnd"/>
      <w:r>
        <w:rPr>
          <w:rFonts w:ascii="Times New Roman" w:eastAsia="Times New Roman" w:hAnsi="Times New Roman" w:cs="Times New Roman"/>
          <w:sz w:val="24"/>
          <w:szCs w:val="24"/>
        </w:rPr>
        <w:t xml:space="preserve"> 30 urban governments interested in sustainability issues. Unlike CAFs that use </w:t>
      </w:r>
      <w:r>
        <w:rPr>
          <w:rFonts w:ascii="Times New Roman" w:eastAsia="Times New Roman" w:hAnsi="Times New Roman" w:cs="Times New Roman"/>
          <w:sz w:val="24"/>
          <w:szCs w:val="24"/>
        </w:rPr>
        <w:lastRenderedPageBreak/>
        <w:t>sectoral or “project by project” approaches, GPSC</w:t>
      </w:r>
      <w:r w:rsidR="00FB3B8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more comprehensive approach to urban development and sustainability </w:t>
      </w:r>
      <w:r w:rsidR="004A6B7D">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includ</w:t>
      </w:r>
      <w:r w:rsidR="00FB3B8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both mitigation and adaptation. </w:t>
      </w:r>
    </w:p>
    <w:p w14:paraId="52E04E31" w14:textId="1520FB64"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these aims, CAFs are mainly designed by national governments and development agencies that channel top-down investments into urban areas </w:t>
      </w:r>
      <w:r w:rsidR="00FB3B86">
        <w:rPr>
          <w:rFonts w:ascii="Times New Roman" w:eastAsia="Times New Roman" w:hAnsi="Times New Roman" w:cs="Times New Roman"/>
          <w:sz w:val="24"/>
          <w:szCs w:val="24"/>
        </w:rPr>
        <w:t>to support their climate agendas</w:t>
      </w:r>
      <w:r w:rsidR="00C51C20">
        <w:rPr>
          <w:rStyle w:val="FootnoteReference"/>
          <w:rFonts w:ascii="Times New Roman" w:eastAsia="Times New Roman" w:hAnsi="Times New Roman" w:cs="Times New Roman"/>
          <w:sz w:val="24"/>
          <w:szCs w:val="24"/>
        </w:rPr>
        <w:footnoteReference w:id="36"/>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B3B86">
        <w:rPr>
          <w:rFonts w:ascii="Times New Roman" w:eastAsia="Times New Roman" w:hAnsi="Times New Roman" w:cs="Times New Roman"/>
          <w:sz w:val="24"/>
          <w:szCs w:val="24"/>
        </w:rPr>
        <w:t>with only a small proportion of resources  channelled to the local level</w:t>
      </w:r>
      <w:r w:rsidR="00FB3B86" w:rsidRPr="00FB3B86">
        <w:rPr>
          <w:rFonts w:ascii="Times New Roman" w:eastAsia="Times New Roman" w:hAnsi="Times New Roman" w:cs="Times New Roman"/>
          <w:sz w:val="24"/>
          <w:szCs w:val="24"/>
        </w:rPr>
        <w:t>, or to responses</w:t>
      </w:r>
      <w:r w:rsidR="00FB3B86">
        <w:rPr>
          <w:rFonts w:ascii="Times New Roman" w:eastAsia="Times New Roman" w:hAnsi="Times New Roman" w:cs="Times New Roman"/>
          <w:sz w:val="24"/>
          <w:szCs w:val="24"/>
        </w:rPr>
        <w:t xml:space="preserve"> they have designed</w:t>
      </w:r>
      <w:r w:rsidR="00735D79">
        <w:rPr>
          <w:rFonts w:ascii="Times New Roman" w:eastAsia="Times New Roman" w:hAnsi="Times New Roman" w:cs="Times New Roman"/>
          <w:sz w:val="24"/>
          <w:szCs w:val="24"/>
        </w:rPr>
        <w:t>.</w:t>
      </w:r>
      <w:r w:rsidR="00CF705F">
        <w:rPr>
          <w:rStyle w:val="FootnoteReference"/>
          <w:rFonts w:ascii="Times New Roman" w:eastAsia="Times New Roman" w:hAnsi="Times New Roman" w:cs="Times New Roman"/>
          <w:sz w:val="24"/>
          <w:szCs w:val="24"/>
        </w:rPr>
        <w:footnoteReference w:id="37"/>
      </w:r>
      <w:r>
        <w:rPr>
          <w:rFonts w:ascii="Times New Roman" w:eastAsia="Times New Roman" w:hAnsi="Times New Roman" w:cs="Times New Roman"/>
          <w:sz w:val="24"/>
          <w:szCs w:val="24"/>
        </w:rPr>
        <w:t xml:space="preserve"> Therefore, through CAFs, powerful groups may allocate resources without a full understanding of complex, local urban issues</w:t>
      </w:r>
      <w:r w:rsidR="00CF705F">
        <w:rPr>
          <w:rStyle w:val="FootnoteReference"/>
          <w:rFonts w:ascii="Times New Roman" w:eastAsia="Times New Roman" w:hAnsi="Times New Roman" w:cs="Times New Roman"/>
          <w:sz w:val="24"/>
          <w:szCs w:val="24"/>
        </w:rPr>
        <w:footnoteReference w:id="38"/>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run</w:t>
      </w:r>
      <w:r w:rsidR="00FB3B86">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the risk of reproducing, rather than challenging, some of the social, political and economic processes that create and sustain urban inequalities</w:t>
      </w:r>
      <w:r w:rsidR="00735D79">
        <w:rPr>
          <w:rFonts w:ascii="Times New Roman" w:eastAsia="Times New Roman" w:hAnsi="Times New Roman" w:cs="Times New Roman"/>
          <w:sz w:val="24"/>
          <w:szCs w:val="24"/>
        </w:rPr>
        <w:t>.</w:t>
      </w:r>
      <w:r w:rsidR="00CF705F">
        <w:rPr>
          <w:rStyle w:val="FootnoteReference"/>
          <w:rFonts w:ascii="Times New Roman" w:eastAsia="Times New Roman" w:hAnsi="Times New Roman" w:cs="Times New Roman"/>
          <w:sz w:val="24"/>
          <w:szCs w:val="24"/>
        </w:rPr>
        <w:footnoteReference w:id="39"/>
      </w:r>
      <w:r>
        <w:rPr>
          <w:rFonts w:ascii="Times New Roman" w:eastAsia="Times New Roman" w:hAnsi="Times New Roman" w:cs="Times New Roman"/>
          <w:sz w:val="24"/>
          <w:szCs w:val="24"/>
        </w:rPr>
        <w:t xml:space="preserve"> Local institutions and communities, in particular in low-income and vulnerable countries, may remain  on the margins of deliberations</w:t>
      </w:r>
      <w:r w:rsidR="00735D79">
        <w:rPr>
          <w:rFonts w:ascii="Times New Roman" w:eastAsia="Times New Roman" w:hAnsi="Times New Roman" w:cs="Times New Roman"/>
          <w:sz w:val="24"/>
          <w:szCs w:val="24"/>
        </w:rPr>
        <w:t>.</w:t>
      </w:r>
      <w:r w:rsidR="00492CFF">
        <w:rPr>
          <w:rStyle w:val="FootnoteReference"/>
          <w:rFonts w:ascii="Times New Roman" w:eastAsia="Times New Roman" w:hAnsi="Times New Roman" w:cs="Times New Roman"/>
          <w:sz w:val="24"/>
          <w:szCs w:val="24"/>
        </w:rPr>
        <w:footnoteReference w:id="40"/>
      </w:r>
      <w:r>
        <w:rPr>
          <w:rFonts w:ascii="Times New Roman" w:eastAsia="Times New Roman" w:hAnsi="Times New Roman" w:cs="Times New Roman"/>
          <w:sz w:val="24"/>
          <w:szCs w:val="24"/>
        </w:rPr>
        <w:t xml:space="preserve"> Questions remain about whether increased innovation for urban investments through particular CAFs (e.g., the GPSC) can counter this bias against local level responsiveness, and </w:t>
      </w:r>
      <w:r w:rsidR="00FB3B86">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CAFs are in fact able to respond </w:t>
      </w:r>
      <w:r w:rsidR="00FB3B86">
        <w:rPr>
          <w:rFonts w:ascii="Times New Roman" w:eastAsia="Times New Roman" w:hAnsi="Times New Roman" w:cs="Times New Roman"/>
          <w:sz w:val="24"/>
          <w:szCs w:val="24"/>
        </w:rPr>
        <w:t xml:space="preserve">flexibly </w:t>
      </w:r>
      <w:r>
        <w:rPr>
          <w:rFonts w:ascii="Times New Roman" w:eastAsia="Times New Roman" w:hAnsi="Times New Roman" w:cs="Times New Roman"/>
          <w:sz w:val="24"/>
          <w:szCs w:val="24"/>
        </w:rPr>
        <w:t xml:space="preserve">to other key features of urban systems. With this </w:t>
      </w:r>
      <w:r w:rsidR="00FB3B86">
        <w:rPr>
          <w:rFonts w:ascii="Times New Roman" w:eastAsia="Times New Roman" w:hAnsi="Times New Roman" w:cs="Times New Roman"/>
          <w:sz w:val="24"/>
          <w:szCs w:val="24"/>
        </w:rPr>
        <w:t>concern</w:t>
      </w:r>
      <w:r>
        <w:rPr>
          <w:rFonts w:ascii="Times New Roman" w:eastAsia="Times New Roman" w:hAnsi="Times New Roman" w:cs="Times New Roman"/>
          <w:sz w:val="24"/>
          <w:szCs w:val="24"/>
        </w:rPr>
        <w:t xml:space="preserve"> only partially addressed by the literature to date,</w:t>
      </w:r>
      <w:r w:rsidR="008C53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is a need to bring these elements together into a common framework to examine the overall</w:t>
      </w:r>
      <w:r w:rsidR="00FB3B86">
        <w:rPr>
          <w:rFonts w:ascii="Times New Roman" w:eastAsia="Times New Roman" w:hAnsi="Times New Roman" w:cs="Times New Roman"/>
          <w:sz w:val="24"/>
          <w:szCs w:val="24"/>
        </w:rPr>
        <w:t xml:space="preserve"> adaptive and transformational</w:t>
      </w:r>
      <w:r>
        <w:rPr>
          <w:rFonts w:ascii="Times New Roman" w:eastAsia="Times New Roman" w:hAnsi="Times New Roman" w:cs="Times New Roman"/>
          <w:sz w:val="24"/>
          <w:szCs w:val="24"/>
        </w:rPr>
        <w:t xml:space="preserve"> potential of CAF projects for urban areas.</w:t>
      </w:r>
      <w:r w:rsidRPr="004D5725">
        <w:rPr>
          <w:rFonts w:ascii="Times New Roman" w:eastAsia="Times New Roman" w:hAnsi="Times New Roman" w:cs="Times New Roman"/>
          <w:sz w:val="24"/>
          <w:szCs w:val="24"/>
          <w:highlight w:val="white"/>
        </w:rPr>
        <w:t xml:space="preserve"> </w:t>
      </w:r>
      <w:r w:rsidR="00FB3B86">
        <w:rPr>
          <w:rFonts w:ascii="Times New Roman" w:eastAsia="Times New Roman" w:hAnsi="Times New Roman" w:cs="Times New Roman"/>
          <w:sz w:val="24"/>
          <w:szCs w:val="24"/>
          <w:highlight w:val="white"/>
        </w:rPr>
        <w:t>S</w:t>
      </w:r>
      <w:r w:rsidRPr="004D5725">
        <w:rPr>
          <w:rFonts w:ascii="Times New Roman" w:eastAsia="Times New Roman" w:hAnsi="Times New Roman" w:cs="Times New Roman"/>
          <w:sz w:val="24"/>
          <w:szCs w:val="24"/>
          <w:highlight w:val="white"/>
        </w:rPr>
        <w:t xml:space="preserve">uch a framework also has the potential </w:t>
      </w:r>
      <w:r w:rsidR="00FB3B86">
        <w:rPr>
          <w:rFonts w:ascii="Times New Roman" w:eastAsia="Times New Roman" w:hAnsi="Times New Roman" w:cs="Times New Roman"/>
          <w:sz w:val="24"/>
          <w:szCs w:val="24"/>
          <w:highlight w:val="white"/>
        </w:rPr>
        <w:t>to deepen scholarship and support a</w:t>
      </w:r>
      <w:r w:rsidRPr="004D5725">
        <w:rPr>
          <w:rFonts w:ascii="Times New Roman" w:eastAsia="Times New Roman" w:hAnsi="Times New Roman" w:cs="Times New Roman"/>
          <w:sz w:val="24"/>
          <w:szCs w:val="24"/>
          <w:highlight w:val="white"/>
        </w:rPr>
        <w:t xml:space="preserve"> set of design principles and learning criteria for urban adaptation projects. Without a full view of the interacting climatic and social implications of adaptation investments, such projects run the risk of maladaptation, potentially increasing rather than decreasing both risks and vulnerabilities</w:t>
      </w:r>
      <w:r w:rsidR="00735D79">
        <w:rPr>
          <w:rFonts w:ascii="Times New Roman" w:eastAsia="Times New Roman" w:hAnsi="Times New Roman" w:cs="Times New Roman"/>
          <w:sz w:val="24"/>
          <w:szCs w:val="24"/>
          <w:highlight w:val="white"/>
        </w:rPr>
        <w:t>.</w:t>
      </w:r>
      <w:r w:rsidR="00492CFF">
        <w:rPr>
          <w:rStyle w:val="FootnoteReference"/>
          <w:rFonts w:ascii="Times New Roman" w:eastAsia="Times New Roman" w:hAnsi="Times New Roman" w:cs="Times New Roman"/>
          <w:sz w:val="24"/>
          <w:szCs w:val="24"/>
          <w:highlight w:val="white"/>
        </w:rPr>
        <w:footnoteReference w:id="41"/>
      </w:r>
      <w:r w:rsidRPr="004D5725">
        <w:rPr>
          <w:rFonts w:ascii="Times New Roman" w:eastAsia="Times New Roman" w:hAnsi="Times New Roman" w:cs="Times New Roman"/>
          <w:sz w:val="24"/>
          <w:szCs w:val="24"/>
          <w:highlight w:val="white"/>
        </w:rPr>
        <w:t xml:space="preserve"> </w:t>
      </w:r>
    </w:p>
    <w:p w14:paraId="52E04E32" w14:textId="77777777" w:rsidR="00B14EAB" w:rsidRDefault="004D572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METHODOLOGY</w:t>
      </w:r>
    </w:p>
    <w:p w14:paraId="52E04E33" w14:textId="5D5C6658" w:rsidR="00B14EAB" w:rsidRDefault="004D5725">
      <w:pPr>
        <w:spacing w:line="360" w:lineRule="auto"/>
        <w:jc w:val="both"/>
      </w:pPr>
      <w:bookmarkStart w:id="3" w:name="_1fob9te" w:colFirst="0" w:colLast="0"/>
      <w:bookmarkEnd w:id="3"/>
      <w:r>
        <w:rPr>
          <w:rFonts w:ascii="Times New Roman" w:eastAsia="Times New Roman" w:hAnsi="Times New Roman" w:cs="Times New Roman"/>
          <w:sz w:val="24"/>
          <w:szCs w:val="24"/>
        </w:rPr>
        <w:t xml:space="preserve">This paper </w:t>
      </w:r>
      <w:r w:rsidR="005222F7">
        <w:rPr>
          <w:rFonts w:ascii="Times New Roman" w:eastAsia="Times New Roman" w:hAnsi="Times New Roman" w:cs="Times New Roman"/>
          <w:sz w:val="24"/>
          <w:szCs w:val="24"/>
        </w:rPr>
        <w:t>draws</w:t>
      </w:r>
      <w:r>
        <w:rPr>
          <w:rFonts w:ascii="Times New Roman" w:eastAsia="Times New Roman" w:hAnsi="Times New Roman" w:cs="Times New Roman"/>
          <w:sz w:val="24"/>
          <w:szCs w:val="24"/>
        </w:rPr>
        <w:t xml:space="preserve"> on a desk-based review and analysis of 39 urban adaptation projects in the Global South financed by five CAFs</w:t>
      </w:r>
      <w:r w:rsidR="00FB3B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Adaptation Fund (AF)</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Green Climate Fund (GCF)</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Special Climate Change Fund (SCCF)</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and the previously mentioned PPCR and GPSC. AF, GCF and SCCF have similar characteristics. They operate under the</w:t>
      </w:r>
      <w:r w:rsidR="008E4A64">
        <w:rPr>
          <w:rFonts w:ascii="Times New Roman" w:eastAsia="Times New Roman" w:hAnsi="Times New Roman" w:cs="Times New Roman"/>
          <w:sz w:val="24"/>
          <w:szCs w:val="24"/>
        </w:rPr>
        <w:t xml:space="preserve"> </w:t>
      </w:r>
      <w:r w:rsidR="005051EB" w:rsidRPr="005051EB">
        <w:rPr>
          <w:rFonts w:ascii="Times New Roman" w:eastAsia="Times New Roman" w:hAnsi="Times New Roman" w:cs="Times New Roman"/>
          <w:sz w:val="24"/>
          <w:szCs w:val="24"/>
        </w:rPr>
        <w:t>United Nations Framework Convention on Climate Change</w:t>
      </w:r>
      <w:r>
        <w:rPr>
          <w:rFonts w:ascii="Times New Roman" w:eastAsia="Times New Roman" w:hAnsi="Times New Roman" w:cs="Times New Roman"/>
          <w:sz w:val="24"/>
          <w:szCs w:val="24"/>
        </w:rPr>
        <w:t xml:space="preserve"> </w:t>
      </w:r>
      <w:r w:rsidR="008E4A64">
        <w:rPr>
          <w:rFonts w:ascii="Times New Roman" w:eastAsia="Times New Roman" w:hAnsi="Times New Roman" w:cs="Times New Roman"/>
          <w:sz w:val="24"/>
          <w:szCs w:val="24"/>
        </w:rPr>
        <w:t>(</w:t>
      </w:r>
      <w:r>
        <w:rPr>
          <w:rFonts w:ascii="Times New Roman" w:eastAsia="Times New Roman" w:hAnsi="Times New Roman" w:cs="Times New Roman"/>
          <w:sz w:val="24"/>
          <w:szCs w:val="24"/>
        </w:rPr>
        <w:t>UNFCCC</w:t>
      </w:r>
      <w:r w:rsidR="008E4A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finance concrete adaptation </w:t>
      </w:r>
      <w:r>
        <w:rPr>
          <w:rFonts w:ascii="Times New Roman" w:eastAsia="Times New Roman" w:hAnsi="Times New Roman" w:cs="Times New Roman"/>
          <w:sz w:val="24"/>
          <w:szCs w:val="24"/>
        </w:rPr>
        <w:lastRenderedPageBreak/>
        <w:t>projects and programmes in low-income countries. PPCR and the GPSC are different in origin and approach. PPCR has a particular approach to incorporate climate risk and resilience in both urban and rural areas, while GPSC promotes integrated solutions and cutting-edge support for sustainable urban growth. They adopt a complementary perspective on urban adaptation</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worthy of exploration in our sample.</w:t>
      </w:r>
      <w:r>
        <w:t xml:space="preserve"> </w:t>
      </w:r>
      <w:r w:rsidR="005222F7">
        <w:rPr>
          <w:rFonts w:ascii="Times New Roman" w:eastAsia="Times New Roman" w:hAnsi="Times New Roman" w:cs="Times New Roman"/>
          <w:sz w:val="24"/>
          <w:szCs w:val="24"/>
        </w:rPr>
        <w:t>W</w:t>
      </w:r>
      <w:r>
        <w:rPr>
          <w:rFonts w:ascii="Times New Roman" w:eastAsia="Times New Roman" w:hAnsi="Times New Roman" w:cs="Times New Roman"/>
          <w:sz w:val="24"/>
          <w:szCs w:val="24"/>
        </w:rPr>
        <w:t>e excluded from our sample the Least Developed Countries Fund (LDCF)</w:t>
      </w:r>
      <w:r w:rsidR="005222F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although highly relevant to adaptation, it does not have a specific urban focus. Table 1 summarizes the main characteristics of the CAFs that were included.</w:t>
      </w:r>
    </w:p>
    <w:p w14:paraId="016430B9" w14:textId="77777777" w:rsidR="0046463B" w:rsidRDefault="0046463B" w:rsidP="0046463B">
      <w:pPr>
        <w:keepNext/>
        <w:pBdr>
          <w:top w:val="nil"/>
          <w:left w:val="nil"/>
          <w:bottom w:val="nil"/>
          <w:right w:val="nil"/>
          <w:between w:val="nil"/>
        </w:pBdr>
        <w:spacing w:before="120" w:after="480" w:line="240" w:lineRule="auto"/>
        <w:rPr>
          <w:i/>
          <w:color w:val="44546A"/>
          <w:sz w:val="20"/>
          <w:szCs w:val="20"/>
        </w:rPr>
      </w:pPr>
      <w:bookmarkStart w:id="4" w:name="_3znysh7" w:colFirst="0" w:colLast="0"/>
      <w:bookmarkEnd w:id="4"/>
      <w:r>
        <w:rPr>
          <w:i/>
          <w:color w:val="44546A"/>
          <w:sz w:val="20"/>
          <w:szCs w:val="20"/>
        </w:rPr>
        <w:t>Table 1 Main characteristics of selected CAFs</w:t>
      </w:r>
    </w:p>
    <w:p w14:paraId="52E04E34" w14:textId="430BEE01"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obtain the list of suitable projects funded by the five CAFs, we reviewed their publicly accessible online databases and collected relevant project documents </w:t>
      </w:r>
      <w:r w:rsidR="005222F7">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March 2019</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identify</w:t>
      </w:r>
      <w:r w:rsidR="00FB3B8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those clearly focusing on urban adaptation.</w:t>
      </w:r>
      <w:r>
        <w:t xml:space="preserve"> </w:t>
      </w:r>
      <w:r>
        <w:rPr>
          <w:rFonts w:ascii="Times New Roman" w:eastAsia="Times New Roman" w:hAnsi="Times New Roman" w:cs="Times New Roman"/>
          <w:sz w:val="24"/>
          <w:szCs w:val="24"/>
        </w:rPr>
        <w:t>Two criteria were established</w:t>
      </w:r>
      <w:r w:rsidR="005222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222F7">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irst, a selected project should target </w:t>
      </w:r>
      <w:r w:rsidR="005222F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country</w:t>
      </w:r>
      <w:proofErr w:type="gramEnd"/>
      <w:r>
        <w:rPr>
          <w:rFonts w:ascii="Times New Roman" w:eastAsia="Times New Roman" w:hAnsi="Times New Roman" w:cs="Times New Roman"/>
          <w:sz w:val="24"/>
          <w:szCs w:val="24"/>
        </w:rPr>
        <w:t xml:space="preserve"> or countries located in the Global South</w:t>
      </w:r>
      <w:r w:rsidR="005222F7">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econd, </w:t>
      </w:r>
      <w:r w:rsidR="00FB3B86">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should include measures touch</w:t>
      </w:r>
      <w:r w:rsidR="00FB3B8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upon specific urban and/or peri-urban areas, even if they also touch upon rural areas</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latter case, only the measures anticipated to have an effect in urban and/or peri-urban areas were analysed. </w:t>
      </w:r>
    </w:p>
    <w:p w14:paraId="52E04E35" w14:textId="6DE8174E" w:rsidR="00B14EAB" w:rsidRDefault="005222F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Thirty</w:t>
      </w:r>
      <w:r w:rsidR="00C91C99">
        <w:rPr>
          <w:rFonts w:ascii="Times New Roman" w:eastAsia="Times New Roman" w:hAnsi="Times New Roman" w:cs="Times New Roman"/>
          <w:sz w:val="24"/>
          <w:szCs w:val="24"/>
        </w:rPr>
        <w:t>-</w:t>
      </w:r>
      <w:r>
        <w:rPr>
          <w:rFonts w:ascii="Times New Roman" w:eastAsia="Times New Roman" w:hAnsi="Times New Roman" w:cs="Times New Roman"/>
          <w:sz w:val="24"/>
          <w:szCs w:val="24"/>
        </w:rPr>
        <w:t>nine</w:t>
      </w:r>
      <w:r w:rsidR="004D5725">
        <w:rPr>
          <w:rFonts w:ascii="Times New Roman" w:eastAsia="Times New Roman" w:hAnsi="Times New Roman" w:cs="Times New Roman"/>
          <w:sz w:val="24"/>
          <w:szCs w:val="24"/>
        </w:rPr>
        <w:t xml:space="preserve"> projects met the criteria and were selected for our analysis (Table 2). Some were funded in the early 2010s, but most were funded between 2015 and 2018 and usually lasted for 4</w:t>
      </w:r>
      <w:r>
        <w:rPr>
          <w:rFonts w:ascii="Times New Roman" w:eastAsia="Times New Roman" w:hAnsi="Times New Roman" w:cs="Times New Roman"/>
          <w:sz w:val="24"/>
          <w:szCs w:val="24"/>
        </w:rPr>
        <w:t xml:space="preserve"> to </w:t>
      </w:r>
      <w:r w:rsidR="004D5725">
        <w:rPr>
          <w:rFonts w:ascii="Times New Roman" w:eastAsia="Times New Roman" w:hAnsi="Times New Roman" w:cs="Times New Roman"/>
          <w:sz w:val="24"/>
          <w:szCs w:val="24"/>
        </w:rPr>
        <w:t>6 years. Most projects received between USD 3 and 10 million in funding, although some receiv</w:t>
      </w:r>
      <w:r>
        <w:rPr>
          <w:rFonts w:ascii="Times New Roman" w:eastAsia="Times New Roman" w:hAnsi="Times New Roman" w:cs="Times New Roman"/>
          <w:sz w:val="24"/>
          <w:szCs w:val="24"/>
        </w:rPr>
        <w:t>ed</w:t>
      </w:r>
      <w:r w:rsidR="004D5725">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more</w:t>
      </w:r>
      <w:r w:rsidR="004D5725">
        <w:rPr>
          <w:rFonts w:ascii="Times New Roman" w:eastAsia="Times New Roman" w:hAnsi="Times New Roman" w:cs="Times New Roman"/>
          <w:sz w:val="24"/>
          <w:szCs w:val="24"/>
        </w:rPr>
        <w:t xml:space="preserve">, </w:t>
      </w:r>
      <w:proofErr w:type="gramStart"/>
      <w:r w:rsidR="004D5725">
        <w:rPr>
          <w:rFonts w:ascii="Times New Roman" w:eastAsia="Times New Roman" w:hAnsi="Times New Roman" w:cs="Times New Roman"/>
          <w:sz w:val="24"/>
          <w:szCs w:val="24"/>
        </w:rPr>
        <w:t>in particular among</w:t>
      </w:r>
      <w:proofErr w:type="gramEnd"/>
      <w:r w:rsidR="004D5725">
        <w:rPr>
          <w:rFonts w:ascii="Times New Roman" w:eastAsia="Times New Roman" w:hAnsi="Times New Roman" w:cs="Times New Roman"/>
          <w:sz w:val="24"/>
          <w:szCs w:val="24"/>
        </w:rPr>
        <w:t xml:space="preserve"> PPCR, GCF, and GPSC projects. The projects mainly focused on urban areas </w:t>
      </w:r>
      <w:r>
        <w:rPr>
          <w:rFonts w:ascii="Times New Roman" w:eastAsia="Times New Roman" w:hAnsi="Times New Roman" w:cs="Times New Roman"/>
          <w:sz w:val="24"/>
          <w:szCs w:val="24"/>
        </w:rPr>
        <w:t xml:space="preserve">of different sizes </w:t>
      </w:r>
      <w:r w:rsidR="004D5725">
        <w:rPr>
          <w:rFonts w:ascii="Times New Roman" w:eastAsia="Times New Roman" w:hAnsi="Times New Roman" w:cs="Times New Roman"/>
          <w:sz w:val="24"/>
          <w:szCs w:val="24"/>
        </w:rPr>
        <w:t>in Latin America, the Caribbean, and Asia</w:t>
      </w:r>
      <w:r>
        <w:rPr>
          <w:rFonts w:ascii="Times New Roman" w:eastAsia="Times New Roman" w:hAnsi="Times New Roman" w:cs="Times New Roman"/>
          <w:sz w:val="24"/>
          <w:szCs w:val="24"/>
        </w:rPr>
        <w:t xml:space="preserve"> </w:t>
      </w:r>
      <w:r w:rsidR="004D5725">
        <w:rPr>
          <w:rFonts w:ascii="Times New Roman" w:eastAsia="Times New Roman" w:hAnsi="Times New Roman" w:cs="Times New Roman"/>
          <w:sz w:val="24"/>
          <w:szCs w:val="24"/>
        </w:rPr>
        <w:t>(e.g., Honiara, 85,000 inhabitants; Durban, 3.5 million inhabitants) and topographies (e.g. Saint Vincent and the Grenadines</w:t>
      </w:r>
      <w:r>
        <w:rPr>
          <w:rFonts w:ascii="Times New Roman" w:eastAsia="Times New Roman" w:hAnsi="Times New Roman" w:cs="Times New Roman"/>
          <w:sz w:val="24"/>
          <w:szCs w:val="24"/>
        </w:rPr>
        <w:t xml:space="preserve"> are coastal</w:t>
      </w:r>
      <w:r w:rsidR="004D5725">
        <w:rPr>
          <w:rFonts w:ascii="Times New Roman" w:eastAsia="Times New Roman" w:hAnsi="Times New Roman" w:cs="Times New Roman"/>
          <w:sz w:val="24"/>
          <w:szCs w:val="24"/>
        </w:rPr>
        <w:t>; Ulaanbaatar</w:t>
      </w:r>
      <w:r>
        <w:rPr>
          <w:rFonts w:ascii="Times New Roman" w:eastAsia="Times New Roman" w:hAnsi="Times New Roman" w:cs="Times New Roman"/>
          <w:sz w:val="24"/>
          <w:szCs w:val="24"/>
        </w:rPr>
        <w:t xml:space="preserve"> is landlocked</w:t>
      </w:r>
      <w:r w:rsidR="004D572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Thirty two</w:t>
      </w:r>
      <w:proofErr w:type="gramEnd"/>
      <w:r w:rsidR="004D5725">
        <w:rPr>
          <w:rFonts w:ascii="Times New Roman" w:eastAsia="Times New Roman" w:hAnsi="Times New Roman" w:cs="Times New Roman"/>
          <w:sz w:val="24"/>
          <w:szCs w:val="24"/>
        </w:rPr>
        <w:t xml:space="preserve"> projects received a </w:t>
      </w:r>
      <w:r>
        <w:rPr>
          <w:rFonts w:ascii="Times New Roman" w:eastAsia="Times New Roman" w:hAnsi="Times New Roman" w:cs="Times New Roman"/>
          <w:sz w:val="24"/>
          <w:szCs w:val="24"/>
        </w:rPr>
        <w:t xml:space="preserve">non-repayable </w:t>
      </w:r>
      <w:r w:rsidR="004D5725">
        <w:rPr>
          <w:rFonts w:ascii="Times New Roman" w:eastAsia="Times New Roman" w:hAnsi="Times New Roman" w:cs="Times New Roman"/>
          <w:sz w:val="24"/>
          <w:szCs w:val="24"/>
        </w:rPr>
        <w:t xml:space="preserve">grant, while just seven projects were financed through mixed funding (grant and loan). AF, GPSC, and SCCF provided </w:t>
      </w:r>
      <w:r>
        <w:rPr>
          <w:rFonts w:ascii="Times New Roman" w:eastAsia="Times New Roman" w:hAnsi="Times New Roman" w:cs="Times New Roman"/>
          <w:sz w:val="24"/>
          <w:szCs w:val="24"/>
        </w:rPr>
        <w:t xml:space="preserve">grants </w:t>
      </w:r>
      <w:r w:rsidR="004D5725">
        <w:rPr>
          <w:rFonts w:ascii="Times New Roman" w:eastAsia="Times New Roman" w:hAnsi="Times New Roman" w:cs="Times New Roman"/>
          <w:sz w:val="24"/>
          <w:szCs w:val="24"/>
        </w:rPr>
        <w:t>exclusively, while GCF and PPCR provided mixed funding.</w:t>
      </w:r>
    </w:p>
    <w:p w14:paraId="52E04E37" w14:textId="77777777" w:rsidR="00B14EAB" w:rsidRDefault="004D5725">
      <w:pPr>
        <w:keepNext/>
        <w:pBdr>
          <w:top w:val="nil"/>
          <w:left w:val="nil"/>
          <w:bottom w:val="nil"/>
          <w:right w:val="nil"/>
          <w:between w:val="nil"/>
        </w:pBdr>
        <w:spacing w:before="120" w:after="480" w:line="240" w:lineRule="auto"/>
        <w:jc w:val="both"/>
        <w:rPr>
          <w:rFonts w:ascii="Times New Roman" w:eastAsia="Times New Roman" w:hAnsi="Times New Roman" w:cs="Times New Roman"/>
          <w:sz w:val="24"/>
          <w:szCs w:val="24"/>
        </w:rPr>
      </w:pPr>
      <w:r>
        <w:rPr>
          <w:i/>
          <w:color w:val="44546A"/>
          <w:sz w:val="20"/>
          <w:szCs w:val="20"/>
        </w:rPr>
        <w:t>Table 2</w:t>
      </w:r>
      <w:r>
        <w:rPr>
          <w:rFonts w:ascii="Times New Roman" w:eastAsia="Times New Roman" w:hAnsi="Times New Roman" w:cs="Times New Roman"/>
          <w:i/>
          <w:color w:val="000000"/>
          <w:sz w:val="24"/>
          <w:szCs w:val="24"/>
        </w:rPr>
        <w:t xml:space="preserve"> </w:t>
      </w:r>
      <w:r>
        <w:rPr>
          <w:i/>
          <w:color w:val="44546A"/>
          <w:sz w:val="20"/>
          <w:szCs w:val="20"/>
        </w:rPr>
        <w:t>Information provided by each CAF about the investigated projects, including title, length, and investment.</w:t>
      </w:r>
    </w:p>
    <w:p w14:paraId="7F745D87" w14:textId="779E77C3" w:rsidR="00520A97"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COVID-19 pandemic, funding for completion of our analysis was suspended in 2020 and for most of 2021</w:t>
      </w:r>
      <w:r w:rsidR="00FB3B86">
        <w:rPr>
          <w:rFonts w:ascii="Times New Roman" w:eastAsia="Times New Roman" w:hAnsi="Times New Roman" w:cs="Times New Roman"/>
          <w:sz w:val="24"/>
          <w:szCs w:val="24"/>
        </w:rPr>
        <w:t>, and a</w:t>
      </w:r>
      <w:r>
        <w:rPr>
          <w:rFonts w:ascii="Times New Roman" w:eastAsia="Times New Roman" w:hAnsi="Times New Roman" w:cs="Times New Roman"/>
          <w:sz w:val="24"/>
          <w:szCs w:val="24"/>
        </w:rPr>
        <w:t xml:space="preserve">nalysis was mostly conducted in the second half of 2021. </w:t>
      </w:r>
      <w:proofErr w:type="gramStart"/>
      <w:r>
        <w:rPr>
          <w:rFonts w:ascii="Times New Roman" w:eastAsia="Times New Roman" w:hAnsi="Times New Roman" w:cs="Times New Roman"/>
          <w:sz w:val="24"/>
          <w:szCs w:val="24"/>
        </w:rPr>
        <w:t>All  projects</w:t>
      </w:r>
      <w:proofErr w:type="gramEnd"/>
      <w:r>
        <w:rPr>
          <w:rFonts w:ascii="Times New Roman" w:eastAsia="Times New Roman" w:hAnsi="Times New Roman" w:cs="Times New Roman"/>
          <w:sz w:val="24"/>
          <w:szCs w:val="24"/>
        </w:rPr>
        <w:t xml:space="preserve"> were analysed using their publicly available</w:t>
      </w:r>
      <w:r>
        <w:t xml:space="preserve"> </w:t>
      </w:r>
      <w:r>
        <w:rPr>
          <w:rFonts w:ascii="Times New Roman" w:eastAsia="Times New Roman" w:hAnsi="Times New Roman" w:cs="Times New Roman"/>
          <w:sz w:val="24"/>
          <w:szCs w:val="24"/>
        </w:rPr>
        <w:t xml:space="preserve">Project Identification Forms (PIFs)  </w:t>
      </w:r>
      <w:r>
        <w:rPr>
          <w:rFonts w:ascii="Times New Roman" w:eastAsia="Times New Roman" w:hAnsi="Times New Roman" w:cs="Times New Roman"/>
          <w:sz w:val="24"/>
          <w:szCs w:val="24"/>
        </w:rPr>
        <w:lastRenderedPageBreak/>
        <w:t>submitted by project proponents to each CAF for review and approval. PIF</w:t>
      </w:r>
      <w:r w:rsidR="0018534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provide all the necessary information</w:t>
      </w:r>
      <w:r w:rsidR="005222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the CAF to assess, review, and eventually approve the proposed project</w:t>
      </w:r>
      <w:r w:rsidR="005222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w:t>
      </w:r>
      <w:r w:rsidR="005222F7">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project background, objectives, outputs and targets, financing, and justification. </w:t>
      </w:r>
      <w:r w:rsidR="00FB3B86">
        <w:rPr>
          <w:rFonts w:ascii="Times New Roman" w:eastAsia="Times New Roman" w:hAnsi="Times New Roman" w:cs="Times New Roman"/>
          <w:sz w:val="24"/>
          <w:szCs w:val="24"/>
        </w:rPr>
        <w:t>This meant they</w:t>
      </w:r>
      <w:r>
        <w:rPr>
          <w:rFonts w:ascii="Times New Roman" w:eastAsia="Times New Roman" w:hAnsi="Times New Roman" w:cs="Times New Roman"/>
          <w:sz w:val="24"/>
          <w:szCs w:val="24"/>
        </w:rPr>
        <w:t xml:space="preserve"> include</w:t>
      </w:r>
      <w:r w:rsidR="00FB3B8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w:t>
      </w:r>
      <w:r w:rsidR="005222F7">
        <w:rPr>
          <w:rFonts w:ascii="Times New Roman" w:eastAsia="Times New Roman" w:hAnsi="Times New Roman" w:cs="Times New Roman"/>
          <w:sz w:val="24"/>
          <w:szCs w:val="24"/>
        </w:rPr>
        <w:t xml:space="preserve">kind of </w:t>
      </w:r>
      <w:proofErr w:type="gramStart"/>
      <w:r>
        <w:rPr>
          <w:rFonts w:ascii="Times New Roman" w:eastAsia="Times New Roman" w:hAnsi="Times New Roman" w:cs="Times New Roman"/>
          <w:sz w:val="24"/>
          <w:szCs w:val="24"/>
        </w:rPr>
        <w:t xml:space="preserve">information </w:t>
      </w:r>
      <w:r w:rsidR="006E02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necessary</w:t>
      </w:r>
      <w:proofErr w:type="gramEnd"/>
      <w:r>
        <w:rPr>
          <w:rFonts w:ascii="Times New Roman" w:eastAsia="Times New Roman" w:hAnsi="Times New Roman" w:cs="Times New Roman"/>
          <w:sz w:val="24"/>
          <w:szCs w:val="24"/>
        </w:rPr>
        <w:t xml:space="preserve"> to explore and unpack </w:t>
      </w:r>
      <w:r w:rsidR="00FB3B86">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investigated topics</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involved stakeholders and their role, the scientific</w:t>
      </w:r>
      <w:r w:rsidR="001056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baseline, the targeted issue</w:t>
      </w:r>
      <w:r w:rsidR="001056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groups, the expected impacts. </w:t>
      </w:r>
      <w:r w:rsidR="00FB3B86">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hen more information or details were necessary, other documents were consulted, including execution and action plans, annexes, updates, partner endorsements. </w:t>
      </w:r>
    </w:p>
    <w:p w14:paraId="52E04E38" w14:textId="1A3D22AD" w:rsidR="00B14EAB" w:rsidRDefault="004D5725" w:rsidP="00F769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investigate the PIFs and other project documents. A coding frame was built around key concepts that aligned </w:t>
      </w:r>
      <w:r w:rsidR="005222F7">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our conceptual framework, </w:t>
      </w:r>
      <w:proofErr w:type="gramStart"/>
      <w:r>
        <w:rPr>
          <w:rFonts w:ascii="Times New Roman" w:eastAsia="Times New Roman" w:hAnsi="Times New Roman" w:cs="Times New Roman"/>
          <w:sz w:val="24"/>
          <w:szCs w:val="24"/>
        </w:rPr>
        <w:t>including:</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complexity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uncertainty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vulnerability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scaling up</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upscaling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replication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catalyst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catalytic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actors/stakeholders</w:t>
      </w:r>
      <w:r>
        <w:rPr>
          <w:rFonts w:ascii="Times New Roman" w:eastAsia="Times New Roman" w:hAnsi="Times New Roman" w:cs="Times New Roman"/>
          <w:sz w:val="24"/>
          <w:szCs w:val="24"/>
        </w:rPr>
        <w:t xml:space="preserve">. The coding frame was then refined by breaking down the elements that were relevant for examining how, in practice, projects for urban areas funded by the CAFs were operationalizing these terms, </w:t>
      </w:r>
      <w:r w:rsidR="005222F7">
        <w:rPr>
          <w:rFonts w:ascii="Times New Roman" w:eastAsia="Times New Roman" w:hAnsi="Times New Roman" w:cs="Times New Roman"/>
          <w:sz w:val="24"/>
          <w:szCs w:val="24"/>
        </w:rPr>
        <w:t>that is,</w:t>
      </w:r>
      <w:r>
        <w:rPr>
          <w:rFonts w:ascii="Times New Roman" w:eastAsia="Times New Roman" w:hAnsi="Times New Roman" w:cs="Times New Roman"/>
          <w:sz w:val="24"/>
          <w:szCs w:val="24"/>
        </w:rPr>
        <w:t xml:space="preserve"> the involvement of different sectoral actors as relevant to managing complexity.</w:t>
      </w:r>
    </w:p>
    <w:p w14:paraId="52E04E39" w14:textId="0BAE79AA"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method certainly presents limitations.</w:t>
      </w:r>
      <w:r w:rsidR="00FB3B86">
        <w:rPr>
          <w:rFonts w:ascii="Times New Roman" w:eastAsia="Times New Roman" w:hAnsi="Times New Roman" w:cs="Times New Roman"/>
          <w:sz w:val="24"/>
          <w:szCs w:val="24"/>
        </w:rPr>
        <w:t xml:space="preserve"> First, because it</w:t>
      </w:r>
      <w:r>
        <w:rPr>
          <w:rFonts w:ascii="Times New Roman" w:eastAsia="Times New Roman" w:hAnsi="Times New Roman" w:cs="Times New Roman"/>
          <w:sz w:val="24"/>
          <w:szCs w:val="24"/>
        </w:rPr>
        <w:t xml:space="preserve"> relies on a limited number of projects in the Global South</w:t>
      </w:r>
      <w:r w:rsidR="00FB3B86">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can only be considered an illustrative exercise. </w:t>
      </w:r>
      <w:proofErr w:type="gramStart"/>
      <w:r w:rsidR="00FB3B86">
        <w:rPr>
          <w:rFonts w:ascii="Times New Roman" w:eastAsia="Times New Roman" w:hAnsi="Times New Roman" w:cs="Times New Roman"/>
          <w:sz w:val="24"/>
          <w:szCs w:val="24"/>
        </w:rPr>
        <w:t xml:space="preserve">Second, </w:t>
      </w:r>
      <w:r>
        <w:rPr>
          <w:rFonts w:ascii="Times New Roman" w:eastAsia="Times New Roman" w:hAnsi="Times New Roman" w:cs="Times New Roman"/>
          <w:sz w:val="24"/>
          <w:szCs w:val="24"/>
        </w:rPr>
        <w:t xml:space="preserve"> PIFs</w:t>
      </w:r>
      <w:proofErr w:type="gramEnd"/>
      <w:r w:rsidR="00FB3B86">
        <w:rPr>
          <w:rFonts w:ascii="Times New Roman" w:eastAsia="Times New Roman" w:hAnsi="Times New Roman" w:cs="Times New Roman"/>
          <w:sz w:val="24"/>
          <w:szCs w:val="24"/>
        </w:rPr>
        <w:t>, while</w:t>
      </w:r>
      <w:r>
        <w:rPr>
          <w:rFonts w:ascii="Times New Roman" w:eastAsia="Times New Roman" w:hAnsi="Times New Roman" w:cs="Times New Roman"/>
          <w:sz w:val="24"/>
          <w:szCs w:val="24"/>
        </w:rPr>
        <w:t xml:space="preserve"> substantially consistent</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might differ across the five CAFs in terms of outline, depth of description and meaning assigned to specific term</w:t>
      </w:r>
      <w:r w:rsidR="00FB3B8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(e.g., catalytic, upscaling). Third, the analysis focuses on documents produced for review and approval at the project submission stage, including plans for execution, </w:t>
      </w:r>
      <w:r w:rsidR="005222F7">
        <w:rPr>
          <w:rFonts w:ascii="Times New Roman" w:eastAsia="Times New Roman" w:hAnsi="Times New Roman" w:cs="Times New Roman"/>
          <w:sz w:val="24"/>
          <w:szCs w:val="24"/>
        </w:rPr>
        <w:t>and so</w:t>
      </w:r>
      <w:r>
        <w:rPr>
          <w:rFonts w:ascii="Times New Roman" w:eastAsia="Times New Roman" w:hAnsi="Times New Roman" w:cs="Times New Roman"/>
          <w:sz w:val="24"/>
          <w:szCs w:val="24"/>
        </w:rPr>
        <w:t xml:space="preserve"> does not provide insights </w:t>
      </w:r>
      <w:r w:rsidR="00FB3B86">
        <w:rPr>
          <w:rFonts w:ascii="Times New Roman" w:eastAsia="Times New Roman" w:hAnsi="Times New Roman" w:cs="Times New Roman"/>
          <w:sz w:val="24"/>
          <w:szCs w:val="24"/>
        </w:rPr>
        <w:t xml:space="preserve">on actual </w:t>
      </w:r>
      <w:r>
        <w:rPr>
          <w:rFonts w:ascii="Times New Roman" w:eastAsia="Times New Roman" w:hAnsi="Times New Roman" w:cs="Times New Roman"/>
          <w:sz w:val="24"/>
          <w:szCs w:val="24"/>
        </w:rPr>
        <w:t>implement</w:t>
      </w:r>
      <w:r w:rsidR="00C91C99">
        <w:rPr>
          <w:rFonts w:ascii="Times New Roman" w:eastAsia="Times New Roman" w:hAnsi="Times New Roman" w:cs="Times New Roman"/>
          <w:sz w:val="24"/>
          <w:szCs w:val="24"/>
        </w:rPr>
        <w:t>at</w:t>
      </w:r>
      <w:r w:rsidR="00FB3B86">
        <w:rPr>
          <w:rFonts w:ascii="Times New Roman" w:eastAsia="Times New Roman" w:hAnsi="Times New Roman" w:cs="Times New Roman"/>
          <w:sz w:val="24"/>
          <w:szCs w:val="24"/>
        </w:rPr>
        <w:t xml:space="preserve">ion </w:t>
      </w:r>
      <w:proofErr w:type="gramStart"/>
      <w:r w:rsidR="00FB3B86">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 stakeholder</w:t>
      </w:r>
      <w:proofErr w:type="gramEnd"/>
      <w:r>
        <w:rPr>
          <w:rFonts w:ascii="Times New Roman" w:eastAsia="Times New Roman" w:hAnsi="Times New Roman" w:cs="Times New Roman"/>
          <w:sz w:val="24"/>
          <w:szCs w:val="24"/>
        </w:rPr>
        <w:t xml:space="preserve"> perspectives on implementation</w:t>
      </w:r>
      <w:r w:rsidR="001848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Notwithstanding these limitations, we were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xml:space="preserve"> able to analyse the main components of our framework </w:t>
      </w:r>
      <w:r w:rsidR="005222F7">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a comparative perspective. </w:t>
      </w:r>
      <w:r w:rsidR="005222F7">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hether </w:t>
      </w:r>
      <w:r w:rsidR="005222F7">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projects actually achieve</w:t>
      </w:r>
      <w:r w:rsidR="00FB3B8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their goals and met the expectations of </w:t>
      </w:r>
      <w:proofErr w:type="gramStart"/>
      <w:r>
        <w:rPr>
          <w:rFonts w:ascii="Times New Roman" w:eastAsia="Times New Roman" w:hAnsi="Times New Roman" w:cs="Times New Roman"/>
          <w:sz w:val="24"/>
          <w:szCs w:val="24"/>
        </w:rPr>
        <w:t>CAFs</w:t>
      </w:r>
      <w:proofErr w:type="gramEnd"/>
      <w:r>
        <w:rPr>
          <w:rFonts w:ascii="Times New Roman" w:eastAsia="Times New Roman" w:hAnsi="Times New Roman" w:cs="Times New Roman"/>
          <w:sz w:val="24"/>
          <w:szCs w:val="24"/>
        </w:rPr>
        <w:t xml:space="preserve"> and other stakeholders is an open question for future analysis.</w:t>
      </w:r>
    </w:p>
    <w:p w14:paraId="52E04E3A" w14:textId="77777777" w:rsidR="00B14EAB" w:rsidRDefault="004D572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FINDINGS</w:t>
      </w:r>
    </w:p>
    <w:p w14:paraId="52E04E3B" w14:textId="3F7E349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sections display our findings based on the key dimensions of our framework: complexity, uncertainty, vulnerability and transformation. </w:t>
      </w:r>
    </w:p>
    <w:p w14:paraId="52E04E3C" w14:textId="77777777" w:rsidR="00B14EAB" w:rsidRDefault="004D572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Complexity</w:t>
      </w:r>
    </w:p>
    <w:p w14:paraId="52E04E3D" w14:textId="4504D8A0"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222F7">
        <w:rPr>
          <w:rFonts w:ascii="Times New Roman" w:eastAsia="Times New Roman" w:hAnsi="Times New Roman" w:cs="Times New Roman"/>
          <w:sz w:val="24"/>
          <w:szCs w:val="24"/>
        </w:rPr>
        <w:t>nalysis</w:t>
      </w:r>
      <w:r>
        <w:rPr>
          <w:rFonts w:ascii="Times New Roman" w:eastAsia="Times New Roman" w:hAnsi="Times New Roman" w:cs="Times New Roman"/>
          <w:sz w:val="24"/>
          <w:szCs w:val="24"/>
        </w:rPr>
        <w:t xml:space="preserve"> </w:t>
      </w:r>
      <w:r w:rsidR="005222F7">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 xml:space="preserve">stakeholders involved in CAF projects </w:t>
      </w:r>
      <w:r w:rsidR="00982F03">
        <w:rPr>
          <w:rFonts w:ascii="Times New Roman" w:eastAsia="Times New Roman" w:hAnsi="Times New Roman" w:cs="Times New Roman"/>
          <w:sz w:val="24"/>
          <w:szCs w:val="24"/>
        </w:rPr>
        <w:t>provides</w:t>
      </w:r>
      <w:r>
        <w:rPr>
          <w:rFonts w:ascii="Times New Roman" w:eastAsia="Times New Roman" w:hAnsi="Times New Roman" w:cs="Times New Roman"/>
          <w:sz w:val="24"/>
          <w:szCs w:val="24"/>
        </w:rPr>
        <w:t xml:space="preserve"> a better understanding of how CAFs address complexity in urban adaptation. We looked at this </w:t>
      </w:r>
      <w:r w:rsidR="005222F7">
        <w:rPr>
          <w:rFonts w:ascii="Times New Roman" w:eastAsia="Times New Roman" w:hAnsi="Times New Roman" w:cs="Times New Roman"/>
          <w:sz w:val="24"/>
          <w:szCs w:val="24"/>
        </w:rPr>
        <w:t xml:space="preserve">issue </w:t>
      </w:r>
      <w:r>
        <w:rPr>
          <w:rFonts w:ascii="Times New Roman" w:eastAsia="Times New Roman" w:hAnsi="Times New Roman" w:cs="Times New Roman"/>
          <w:sz w:val="24"/>
          <w:szCs w:val="24"/>
        </w:rPr>
        <w:t>across two dimensions</w:t>
      </w:r>
      <w:r w:rsidR="005222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might be considered as proxy indicat</w:t>
      </w:r>
      <w:r w:rsidR="005222F7">
        <w:rPr>
          <w:rFonts w:ascii="Times New Roman" w:eastAsia="Times New Roman" w:hAnsi="Times New Roman" w:cs="Times New Roman"/>
          <w:sz w:val="24"/>
          <w:szCs w:val="24"/>
        </w:rPr>
        <w:t>ors</w:t>
      </w:r>
      <w:r>
        <w:rPr>
          <w:rFonts w:ascii="Times New Roman" w:eastAsia="Times New Roman" w:hAnsi="Times New Roman" w:cs="Times New Roman"/>
          <w:sz w:val="24"/>
          <w:szCs w:val="24"/>
        </w:rPr>
        <w:t xml:space="preserve"> for urban complexity: institutional complexity, that is</w:t>
      </w:r>
      <w:r w:rsidR="005222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involvement across multiple stakeholder types and scales</w:t>
      </w:r>
      <w:r w:rsidR="005222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inter-sectoral </w:t>
      </w:r>
      <w:r>
        <w:rPr>
          <w:rFonts w:ascii="Times New Roman" w:eastAsia="Times New Roman" w:hAnsi="Times New Roman" w:cs="Times New Roman"/>
          <w:sz w:val="24"/>
          <w:szCs w:val="24"/>
        </w:rPr>
        <w:lastRenderedPageBreak/>
        <w:t>complexity, that is</w:t>
      </w:r>
      <w:r w:rsidR="005222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t>
      </w:r>
      <w:r w:rsidR="000C1810">
        <w:rPr>
          <w:rFonts w:ascii="Times New Roman" w:eastAsia="Times New Roman" w:hAnsi="Times New Roman" w:cs="Times New Roman"/>
          <w:sz w:val="24"/>
          <w:szCs w:val="24"/>
        </w:rPr>
        <w:t xml:space="preserve">sectoral </w:t>
      </w:r>
      <w:r>
        <w:rPr>
          <w:rFonts w:ascii="Times New Roman" w:eastAsia="Times New Roman" w:hAnsi="Times New Roman" w:cs="Times New Roman"/>
          <w:sz w:val="24"/>
          <w:szCs w:val="24"/>
        </w:rPr>
        <w:t xml:space="preserve">orientation of projects, considered across actors, project focus and the type of investment. </w:t>
      </w:r>
    </w:p>
    <w:p w14:paraId="52E04E3E" w14:textId="77777777" w:rsidR="00B14EAB" w:rsidRDefault="004D572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Institutional complexity</w:t>
      </w:r>
    </w:p>
    <w:p w14:paraId="52E04E3F" w14:textId="13A33CD4" w:rsidR="00B14EAB" w:rsidRDefault="005222F7">
      <w:pPr>
        <w:spacing w:line="360" w:lineRule="auto"/>
        <w:jc w:val="both"/>
      </w:pPr>
      <w:r>
        <w:rPr>
          <w:rFonts w:ascii="Times New Roman" w:eastAsia="Times New Roman" w:hAnsi="Times New Roman" w:cs="Times New Roman"/>
          <w:sz w:val="24"/>
          <w:szCs w:val="24"/>
        </w:rPr>
        <w:t>W</w:t>
      </w:r>
      <w:r w:rsidR="004D5725">
        <w:rPr>
          <w:rFonts w:ascii="Times New Roman" w:eastAsia="Times New Roman" w:hAnsi="Times New Roman" w:cs="Times New Roman"/>
          <w:sz w:val="24"/>
          <w:szCs w:val="24"/>
        </w:rPr>
        <w:t xml:space="preserve">e </w:t>
      </w:r>
      <w:proofErr w:type="gramStart"/>
      <w:r>
        <w:rPr>
          <w:rFonts w:ascii="Times New Roman" w:eastAsia="Times New Roman" w:hAnsi="Times New Roman" w:cs="Times New Roman"/>
          <w:sz w:val="24"/>
          <w:szCs w:val="24"/>
        </w:rPr>
        <w:t xml:space="preserve">considered </w:t>
      </w:r>
      <w:r w:rsidR="004D5725">
        <w:rPr>
          <w:rFonts w:ascii="Times New Roman" w:eastAsia="Times New Roman" w:hAnsi="Times New Roman" w:cs="Times New Roman"/>
          <w:sz w:val="24"/>
          <w:szCs w:val="24"/>
        </w:rPr>
        <w:t xml:space="preserve"> the</w:t>
      </w:r>
      <w:proofErr w:type="gramEnd"/>
      <w:r w:rsidR="004D5725">
        <w:rPr>
          <w:rFonts w:ascii="Times New Roman" w:eastAsia="Times New Roman" w:hAnsi="Times New Roman" w:cs="Times New Roman"/>
          <w:sz w:val="24"/>
          <w:szCs w:val="24"/>
        </w:rPr>
        <w:t xml:space="preserve"> stakeholders involved in six different aspects of the CAF funding and project cycle:</w:t>
      </w:r>
      <w:r w:rsidR="004D5725">
        <w:t xml:space="preserve"> </w:t>
      </w:r>
    </w:p>
    <w:p w14:paraId="52E04E40" w14:textId="77777777" w:rsidR="00B14EAB" w:rsidRDefault="004D5725">
      <w:pPr>
        <w:numPr>
          <w:ilvl w:val="0"/>
          <w:numId w:val="2"/>
        </w:numPr>
        <w:pBdr>
          <w:top w:val="nil"/>
          <w:left w:val="nil"/>
          <w:bottom w:val="nil"/>
          <w:right w:val="nil"/>
          <w:between w:val="nil"/>
        </w:pBdr>
        <w:spacing w:after="0" w:line="360" w:lineRule="auto"/>
        <w:jc w:val="both"/>
      </w:pPr>
      <w:bookmarkStart w:id="5" w:name="_2et92p0" w:colFirst="0" w:colLast="0"/>
      <w:bookmarkEnd w:id="5"/>
      <w:r>
        <w:rPr>
          <w:rFonts w:ascii="Times New Roman" w:eastAsia="Times New Roman" w:hAnsi="Times New Roman" w:cs="Times New Roman"/>
          <w:color w:val="000000"/>
          <w:sz w:val="24"/>
          <w:szCs w:val="24"/>
        </w:rPr>
        <w:t xml:space="preserve">Who applied for funding? </w:t>
      </w:r>
    </w:p>
    <w:p w14:paraId="52E04E41" w14:textId="78614E27" w:rsidR="00B14EAB" w:rsidRPr="000F6EBC" w:rsidRDefault="004D5725">
      <w:pPr>
        <w:numPr>
          <w:ilvl w:val="0"/>
          <w:numId w:val="2"/>
        </w:numPr>
        <w:pBdr>
          <w:top w:val="nil"/>
          <w:left w:val="nil"/>
          <w:bottom w:val="nil"/>
          <w:right w:val="nil"/>
          <w:between w:val="nil"/>
        </w:pBdr>
        <w:spacing w:after="0" w:line="360" w:lineRule="auto"/>
        <w:jc w:val="both"/>
        <w:rPr>
          <w:highlight w:val="yellow"/>
        </w:rPr>
      </w:pPr>
      <w:r w:rsidRPr="000F6EBC">
        <w:rPr>
          <w:rFonts w:ascii="Times New Roman" w:eastAsia="Times New Roman" w:hAnsi="Times New Roman" w:cs="Times New Roman"/>
          <w:color w:val="000000"/>
          <w:sz w:val="24"/>
          <w:szCs w:val="24"/>
          <w:highlight w:val="yellow"/>
        </w:rPr>
        <w:t>Wh</w:t>
      </w:r>
      <w:r w:rsidR="005222F7" w:rsidRPr="000F6EBC">
        <w:rPr>
          <w:rFonts w:ascii="Times New Roman" w:eastAsia="Times New Roman" w:hAnsi="Times New Roman" w:cs="Times New Roman"/>
          <w:color w:val="000000"/>
          <w:sz w:val="24"/>
          <w:szCs w:val="24"/>
          <w:highlight w:val="yellow"/>
        </w:rPr>
        <w:t>at</w:t>
      </w:r>
      <w:r w:rsidRPr="000F6EBC">
        <w:rPr>
          <w:rFonts w:ascii="Times New Roman" w:eastAsia="Times New Roman" w:hAnsi="Times New Roman" w:cs="Times New Roman"/>
          <w:color w:val="000000"/>
          <w:sz w:val="24"/>
          <w:szCs w:val="24"/>
          <w:highlight w:val="yellow"/>
        </w:rPr>
        <w:t xml:space="preserve"> were the accredited organizations</w:t>
      </w:r>
      <w:r w:rsidR="000C1810">
        <w:rPr>
          <w:rFonts w:ascii="Times New Roman" w:eastAsia="Times New Roman" w:hAnsi="Times New Roman" w:cs="Times New Roman"/>
          <w:color w:val="000000"/>
          <w:sz w:val="24"/>
          <w:szCs w:val="24"/>
          <w:highlight w:val="yellow"/>
        </w:rPr>
        <w:t xml:space="preserve"> applying for funding</w:t>
      </w:r>
      <w:r w:rsidRPr="000F6EBC">
        <w:rPr>
          <w:rFonts w:ascii="Times New Roman" w:eastAsia="Times New Roman" w:hAnsi="Times New Roman" w:cs="Times New Roman"/>
          <w:color w:val="000000"/>
          <w:sz w:val="24"/>
          <w:szCs w:val="24"/>
          <w:highlight w:val="yellow"/>
        </w:rPr>
        <w:t>?</w:t>
      </w:r>
      <w:r w:rsidRPr="000F6EBC">
        <w:rPr>
          <w:rFonts w:ascii="Times New Roman" w:eastAsia="Times New Roman" w:hAnsi="Times New Roman" w:cs="Times New Roman"/>
          <w:color w:val="000000"/>
          <w:sz w:val="24"/>
          <w:szCs w:val="24"/>
          <w:highlight w:val="yellow"/>
        </w:rPr>
        <w:tab/>
      </w:r>
    </w:p>
    <w:p w14:paraId="52E04E42" w14:textId="77777777" w:rsidR="00B14EAB" w:rsidRDefault="004D5725">
      <w:pPr>
        <w:numPr>
          <w:ilvl w:val="0"/>
          <w:numId w:val="2"/>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Who provided funding?</w:t>
      </w:r>
    </w:p>
    <w:p w14:paraId="52E04E43" w14:textId="77777777" w:rsidR="00B14EAB" w:rsidRDefault="004D5725">
      <w:pPr>
        <w:numPr>
          <w:ilvl w:val="0"/>
          <w:numId w:val="2"/>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Who received funding?</w:t>
      </w:r>
    </w:p>
    <w:p w14:paraId="52E04E44" w14:textId="77777777" w:rsidR="00B14EAB" w:rsidRDefault="004D5725">
      <w:pPr>
        <w:numPr>
          <w:ilvl w:val="0"/>
          <w:numId w:val="2"/>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Who planned the project?</w:t>
      </w:r>
    </w:p>
    <w:p w14:paraId="52E04E45" w14:textId="77777777" w:rsidR="00B14EAB" w:rsidRDefault="004D5725">
      <w:pPr>
        <w:numPr>
          <w:ilvl w:val="0"/>
          <w:numId w:val="2"/>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Who executed the project?</w:t>
      </w:r>
    </w:p>
    <w:p w14:paraId="52E04E46" w14:textId="72C81960"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calculated the frequency of each stakeholder</w:t>
      </w:r>
      <w:r w:rsidR="005222F7">
        <w:rPr>
          <w:rFonts w:ascii="Times New Roman" w:eastAsia="Times New Roman" w:hAnsi="Times New Roman" w:cs="Times New Roman"/>
          <w:sz w:val="24"/>
          <w:szCs w:val="24"/>
        </w:rPr>
        <w:t>’s involvement</w:t>
      </w:r>
      <w:r>
        <w:rPr>
          <w:rFonts w:ascii="Times New Roman" w:eastAsia="Times New Roman" w:hAnsi="Times New Roman" w:cs="Times New Roman"/>
          <w:sz w:val="24"/>
          <w:szCs w:val="24"/>
        </w:rPr>
        <w:t xml:space="preserve"> for each question, as Table 3 summarizes. </w:t>
      </w:r>
      <w:r w:rsidR="005222F7">
        <w:rPr>
          <w:rFonts w:ascii="Times New Roman" w:eastAsia="Times New Roman" w:hAnsi="Times New Roman" w:cs="Times New Roman"/>
          <w:sz w:val="24"/>
          <w:szCs w:val="24"/>
        </w:rPr>
        <w:t>Differences that emerged in the roles of different stakeholders in the CAF projects were an indication also of possible power differentials within and between stakeholders.</w:t>
      </w:r>
    </w:p>
    <w:p w14:paraId="52E04E47" w14:textId="77777777" w:rsidR="00B14EAB" w:rsidRDefault="004D5725">
      <w:pPr>
        <w:keepNext/>
        <w:pBdr>
          <w:top w:val="nil"/>
          <w:left w:val="nil"/>
          <w:bottom w:val="nil"/>
          <w:right w:val="nil"/>
          <w:between w:val="nil"/>
        </w:pBdr>
        <w:spacing w:before="120" w:after="480" w:line="240" w:lineRule="auto"/>
        <w:rPr>
          <w:i/>
          <w:color w:val="44546A"/>
          <w:sz w:val="20"/>
          <w:szCs w:val="20"/>
        </w:rPr>
      </w:pPr>
      <w:r>
        <w:rPr>
          <w:i/>
          <w:color w:val="44546A"/>
          <w:sz w:val="20"/>
          <w:szCs w:val="20"/>
        </w:rPr>
        <w:t>Table 3: Frequency of stakeholders per each stakeholder category in the selected projects.</w:t>
      </w:r>
    </w:p>
    <w:p w14:paraId="52E04E48" w14:textId="77777777" w:rsidR="00B14EAB" w:rsidRDefault="004D5725">
      <w:pPr>
        <w:spacing w:line="360" w:lineRule="auto"/>
        <w:jc w:val="both"/>
        <w:rPr>
          <w:rFonts w:ascii="Times New Roman" w:eastAsia="Times New Roman" w:hAnsi="Times New Roman" w:cs="Times New Roman"/>
          <w:b/>
          <w:i/>
          <w:sz w:val="24"/>
          <w:szCs w:val="24"/>
        </w:rPr>
      </w:pPr>
      <w:bookmarkStart w:id="6" w:name="_tyjcwt" w:colFirst="0" w:colLast="0"/>
      <w:bookmarkEnd w:id="6"/>
      <w:r>
        <w:rPr>
          <w:rFonts w:ascii="Times New Roman" w:eastAsia="Times New Roman" w:hAnsi="Times New Roman" w:cs="Times New Roman"/>
          <w:b/>
          <w:i/>
          <w:sz w:val="24"/>
          <w:szCs w:val="24"/>
        </w:rPr>
        <w:t xml:space="preserve">Who applied for funding? </w:t>
      </w:r>
    </w:p>
    <w:p w14:paraId="45AA8389" w14:textId="09F08466" w:rsidR="005222F7" w:rsidRDefault="005222F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T</w:t>
      </w:r>
      <w:r w:rsidR="004D5725" w:rsidRPr="009A0C3F">
        <w:rPr>
          <w:rFonts w:ascii="Times New Roman" w:eastAsia="Times New Roman" w:hAnsi="Times New Roman" w:cs="Times New Roman"/>
          <w:bCs/>
          <w:iCs/>
          <w:sz w:val="24"/>
          <w:szCs w:val="24"/>
        </w:rPr>
        <w:t>he stakeholders who applied for CAF funding were predominantly at the national level: national government</w:t>
      </w:r>
      <w:r w:rsidR="004D5725">
        <w:rPr>
          <w:rFonts w:ascii="Times New Roman" w:eastAsia="Times New Roman" w:hAnsi="Times New Roman" w:cs="Times New Roman"/>
          <w:sz w:val="24"/>
          <w:szCs w:val="24"/>
        </w:rPr>
        <w:t xml:space="preserve"> ministries (e.g., finance, environment, urbanisation, or planning) or national banks (e.g., Development Bank of South Africa, Mexico National Bank) (33 projects). </w:t>
      </w:r>
      <w:r>
        <w:rPr>
          <w:rFonts w:ascii="Times New Roman" w:eastAsia="Times New Roman" w:hAnsi="Times New Roman" w:cs="Times New Roman"/>
          <w:bCs/>
          <w:iCs/>
          <w:sz w:val="24"/>
          <w:szCs w:val="24"/>
        </w:rPr>
        <w:t>This c</w:t>
      </w:r>
      <w:r w:rsidRPr="009A0C3F">
        <w:rPr>
          <w:rFonts w:ascii="Times New Roman" w:eastAsia="Times New Roman" w:hAnsi="Times New Roman" w:cs="Times New Roman"/>
          <w:bCs/>
          <w:iCs/>
          <w:sz w:val="24"/>
          <w:szCs w:val="24"/>
        </w:rPr>
        <w:t>onfirm</w:t>
      </w:r>
      <w:r>
        <w:rPr>
          <w:rFonts w:ascii="Times New Roman" w:eastAsia="Times New Roman" w:hAnsi="Times New Roman" w:cs="Times New Roman"/>
          <w:bCs/>
          <w:iCs/>
          <w:sz w:val="24"/>
          <w:szCs w:val="24"/>
        </w:rPr>
        <w:t>ed</w:t>
      </w:r>
      <w:r w:rsidRPr="009A0C3F">
        <w:rPr>
          <w:rFonts w:ascii="Times New Roman" w:eastAsia="Times New Roman" w:hAnsi="Times New Roman" w:cs="Times New Roman"/>
          <w:bCs/>
          <w:iCs/>
          <w:sz w:val="24"/>
          <w:szCs w:val="24"/>
        </w:rPr>
        <w:t xml:space="preserve"> previous analyses of climate funding for urban adaptation</w:t>
      </w:r>
      <w:r>
        <w:rPr>
          <w:rFonts w:ascii="Times New Roman" w:eastAsia="Times New Roman" w:hAnsi="Times New Roman" w:cs="Times New Roman"/>
          <w:bCs/>
          <w:iCs/>
          <w:sz w:val="24"/>
          <w:szCs w:val="24"/>
        </w:rPr>
        <w:t>,</w:t>
      </w:r>
      <w:r w:rsidRPr="009A0C3F">
        <w:rPr>
          <w:rFonts w:ascii="Times New Roman" w:eastAsia="Times New Roman" w:hAnsi="Times New Roman" w:cs="Times New Roman"/>
          <w:bCs/>
          <w:iCs/>
          <w:sz w:val="24"/>
          <w:szCs w:val="24"/>
        </w:rPr>
        <w:t xml:space="preserve"> which indicate high levels of centralisation of urban climate finance</w:t>
      </w:r>
      <w:r w:rsidR="00280E5E">
        <w:rPr>
          <w:rFonts w:ascii="Times New Roman" w:eastAsia="Times New Roman" w:hAnsi="Times New Roman" w:cs="Times New Roman"/>
          <w:bCs/>
          <w:iCs/>
          <w:sz w:val="24"/>
          <w:szCs w:val="24"/>
        </w:rPr>
        <w:t>.</w:t>
      </w:r>
      <w:r w:rsidR="00280E5E">
        <w:rPr>
          <w:rStyle w:val="FootnoteReference"/>
          <w:rFonts w:ascii="Times New Roman" w:eastAsia="Times New Roman" w:hAnsi="Times New Roman" w:cs="Times New Roman"/>
          <w:bCs/>
          <w:iCs/>
          <w:sz w:val="24"/>
          <w:szCs w:val="24"/>
        </w:rPr>
        <w:footnoteReference w:id="46"/>
      </w:r>
      <w:r>
        <w:rPr>
          <w:rFonts w:ascii="Times New Roman" w:eastAsia="Times New Roman" w:hAnsi="Times New Roman" w:cs="Times New Roman"/>
          <w:bCs/>
          <w:iCs/>
          <w:sz w:val="24"/>
          <w:szCs w:val="24"/>
        </w:rPr>
        <w:t xml:space="preserve"> </w:t>
      </w:r>
      <w:r w:rsidR="004D5725">
        <w:rPr>
          <w:rFonts w:ascii="Times New Roman" w:eastAsia="Times New Roman" w:hAnsi="Times New Roman" w:cs="Times New Roman"/>
          <w:sz w:val="24"/>
          <w:szCs w:val="24"/>
        </w:rPr>
        <w:t>Very few stakeholders applied from other categories</w:t>
      </w:r>
      <w:r>
        <w:rPr>
          <w:rFonts w:ascii="Times New Roman" w:eastAsia="Times New Roman" w:hAnsi="Times New Roman" w:cs="Times New Roman"/>
          <w:sz w:val="24"/>
          <w:szCs w:val="24"/>
        </w:rPr>
        <w:t xml:space="preserve">. Two projects </w:t>
      </w:r>
      <w:proofErr w:type="gramStart"/>
      <w:r>
        <w:rPr>
          <w:rFonts w:ascii="Times New Roman" w:eastAsia="Times New Roman" w:hAnsi="Times New Roman" w:cs="Times New Roman"/>
          <w:sz w:val="24"/>
          <w:szCs w:val="24"/>
        </w:rPr>
        <w:t xml:space="preserve">applied </w:t>
      </w:r>
      <w:r w:rsidR="004D57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w:t>
      </w:r>
      <w:r w:rsidR="004D5725">
        <w:rPr>
          <w:rFonts w:ascii="Times New Roman" w:eastAsia="Times New Roman" w:hAnsi="Times New Roman" w:cs="Times New Roman"/>
          <w:sz w:val="24"/>
          <w:szCs w:val="24"/>
        </w:rPr>
        <w:t xml:space="preserve">development banks (e.g., EBRD for SCCF6) </w:t>
      </w:r>
      <w:r>
        <w:rPr>
          <w:rFonts w:ascii="Times New Roman" w:eastAsia="Times New Roman" w:hAnsi="Times New Roman" w:cs="Times New Roman"/>
          <w:sz w:val="24"/>
          <w:szCs w:val="24"/>
        </w:rPr>
        <w:t xml:space="preserve"> and two from</w:t>
      </w:r>
      <w:r w:rsidR="004D5725">
        <w:rPr>
          <w:rFonts w:ascii="Times New Roman" w:eastAsia="Times New Roman" w:hAnsi="Times New Roman" w:cs="Times New Roman"/>
          <w:sz w:val="24"/>
          <w:szCs w:val="24"/>
        </w:rPr>
        <w:t xml:space="preserve"> UN agencies (e.g., UNDP for GPSC2). There was just one </w:t>
      </w:r>
      <w:r>
        <w:rPr>
          <w:rFonts w:ascii="Times New Roman" w:eastAsia="Times New Roman" w:hAnsi="Times New Roman" w:cs="Times New Roman"/>
          <w:sz w:val="24"/>
          <w:szCs w:val="24"/>
        </w:rPr>
        <w:t xml:space="preserve">city council </w:t>
      </w:r>
      <w:r w:rsidR="004D5725">
        <w:rPr>
          <w:rFonts w:ascii="Times New Roman" w:eastAsia="Times New Roman" w:hAnsi="Times New Roman" w:cs="Times New Roman"/>
          <w:sz w:val="24"/>
          <w:szCs w:val="24"/>
        </w:rPr>
        <w:t>applicant (Honiara City Council for AF5) and one private trader association (Sialkot Tannery Association Guarantee Ltd. for SCCF2)</w:t>
      </w:r>
      <w:r>
        <w:rPr>
          <w:rFonts w:ascii="Times New Roman" w:eastAsia="Times New Roman" w:hAnsi="Times New Roman" w:cs="Times New Roman"/>
          <w:sz w:val="24"/>
          <w:szCs w:val="24"/>
        </w:rPr>
        <w:t xml:space="preserve">. </w:t>
      </w:r>
    </w:p>
    <w:p w14:paraId="52E04E49" w14:textId="6B40C7B3" w:rsidR="00B14EAB" w:rsidRDefault="00FB3B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222F7">
        <w:rPr>
          <w:rFonts w:ascii="Times New Roman" w:eastAsia="Times New Roman" w:hAnsi="Times New Roman" w:cs="Times New Roman"/>
          <w:sz w:val="24"/>
          <w:szCs w:val="24"/>
        </w:rPr>
        <w:t>lthough</w:t>
      </w:r>
      <w:r w:rsidR="004D5725">
        <w:rPr>
          <w:rFonts w:ascii="Times New Roman" w:eastAsia="Times New Roman" w:hAnsi="Times New Roman" w:cs="Times New Roman"/>
          <w:sz w:val="24"/>
          <w:szCs w:val="24"/>
        </w:rPr>
        <w:t xml:space="preserve"> multi-scalar relationships are </w:t>
      </w:r>
      <w:r w:rsidR="005222F7">
        <w:rPr>
          <w:rFonts w:ascii="Times New Roman" w:eastAsia="Times New Roman" w:hAnsi="Times New Roman" w:cs="Times New Roman"/>
          <w:sz w:val="24"/>
          <w:szCs w:val="24"/>
        </w:rPr>
        <w:t xml:space="preserve">certainly </w:t>
      </w:r>
      <w:r w:rsidR="004D5725">
        <w:rPr>
          <w:rFonts w:ascii="Times New Roman" w:eastAsia="Times New Roman" w:hAnsi="Times New Roman" w:cs="Times New Roman"/>
          <w:sz w:val="24"/>
          <w:szCs w:val="24"/>
        </w:rPr>
        <w:t>important to enabl</w:t>
      </w:r>
      <w:r w:rsidR="005222F7">
        <w:rPr>
          <w:rFonts w:ascii="Times New Roman" w:eastAsia="Times New Roman" w:hAnsi="Times New Roman" w:cs="Times New Roman"/>
          <w:sz w:val="24"/>
          <w:szCs w:val="24"/>
        </w:rPr>
        <w:t>e</w:t>
      </w:r>
      <w:r w:rsidR="004D5725">
        <w:rPr>
          <w:rFonts w:ascii="Times New Roman" w:eastAsia="Times New Roman" w:hAnsi="Times New Roman" w:cs="Times New Roman"/>
          <w:sz w:val="24"/>
          <w:szCs w:val="24"/>
        </w:rPr>
        <w:t xml:space="preserve"> the cross-scalar drivers and climate impacts to be addressed</w:t>
      </w:r>
      <w:r>
        <w:rPr>
          <w:rFonts w:ascii="Times New Roman" w:eastAsia="Times New Roman" w:hAnsi="Times New Roman" w:cs="Times New Roman"/>
          <w:sz w:val="24"/>
          <w:szCs w:val="24"/>
        </w:rPr>
        <w:t>, we do not imply that institutional complexity is a necessary feature of all CAF projects,</w:t>
      </w:r>
      <w:r w:rsidR="004D5725">
        <w:rPr>
          <w:rFonts w:ascii="Times New Roman" w:eastAsia="Times New Roman" w:hAnsi="Times New Roman" w:cs="Times New Roman"/>
          <w:sz w:val="24"/>
          <w:szCs w:val="24"/>
        </w:rPr>
        <w:t xml:space="preserve"> </w:t>
      </w:r>
      <w:proofErr w:type="gramStart"/>
      <w:r w:rsidR="004D5725">
        <w:rPr>
          <w:rFonts w:ascii="Times New Roman" w:eastAsia="Times New Roman" w:hAnsi="Times New Roman" w:cs="Times New Roman"/>
          <w:sz w:val="24"/>
          <w:szCs w:val="24"/>
        </w:rPr>
        <w:t>We</w:t>
      </w:r>
      <w:proofErr w:type="gramEnd"/>
      <w:r w:rsidR="004D5725">
        <w:rPr>
          <w:rFonts w:ascii="Times New Roman" w:eastAsia="Times New Roman" w:hAnsi="Times New Roman" w:cs="Times New Roman"/>
          <w:sz w:val="24"/>
          <w:szCs w:val="24"/>
        </w:rPr>
        <w:t xml:space="preserve"> also could not ‘see’ through this research process how local actors might have been involved in the informal preparation of funding applications. </w:t>
      </w:r>
      <w:r w:rsidR="004D5725">
        <w:rPr>
          <w:rFonts w:ascii="Times New Roman" w:eastAsia="Times New Roman" w:hAnsi="Times New Roman" w:cs="Times New Roman"/>
          <w:sz w:val="24"/>
          <w:szCs w:val="24"/>
        </w:rPr>
        <w:lastRenderedPageBreak/>
        <w:t xml:space="preserve">However, </w:t>
      </w:r>
      <w:bookmarkStart w:id="7" w:name="_Hlk114571895"/>
      <w:r w:rsidR="004D5725">
        <w:rPr>
          <w:rFonts w:ascii="Times New Roman" w:eastAsia="Times New Roman" w:hAnsi="Times New Roman" w:cs="Times New Roman"/>
          <w:sz w:val="24"/>
          <w:szCs w:val="24"/>
        </w:rPr>
        <w:t>capacitating more local actors to apply directly for funding would seem to be critical to addressing urban and context-specific complexities</w:t>
      </w:r>
      <w:bookmarkEnd w:id="7"/>
      <w:r w:rsidR="004D5725">
        <w:rPr>
          <w:rFonts w:ascii="Times New Roman" w:eastAsia="Times New Roman" w:hAnsi="Times New Roman" w:cs="Times New Roman"/>
          <w:sz w:val="24"/>
          <w:szCs w:val="24"/>
        </w:rPr>
        <w:t xml:space="preserve">.  </w:t>
      </w:r>
    </w:p>
    <w:p w14:paraId="52E04E4A" w14:textId="02CC01A8" w:rsidR="00B14EAB" w:rsidRDefault="004D5725">
      <w:pPr>
        <w:spacing w:line="360" w:lineRule="auto"/>
        <w:jc w:val="both"/>
        <w:rPr>
          <w:b/>
          <w:i/>
        </w:rPr>
      </w:pPr>
      <w:r>
        <w:rPr>
          <w:rFonts w:ascii="Times New Roman" w:eastAsia="Times New Roman" w:hAnsi="Times New Roman" w:cs="Times New Roman"/>
          <w:b/>
          <w:i/>
          <w:sz w:val="24"/>
          <w:szCs w:val="24"/>
        </w:rPr>
        <w:t>Wh</w:t>
      </w:r>
      <w:r w:rsidR="005222F7">
        <w:rPr>
          <w:rFonts w:ascii="Times New Roman" w:eastAsia="Times New Roman" w:hAnsi="Times New Roman" w:cs="Times New Roman"/>
          <w:b/>
          <w:i/>
          <w:sz w:val="24"/>
          <w:szCs w:val="24"/>
        </w:rPr>
        <w:t>at</w:t>
      </w:r>
      <w:r>
        <w:rPr>
          <w:rFonts w:ascii="Times New Roman" w:eastAsia="Times New Roman" w:hAnsi="Times New Roman" w:cs="Times New Roman"/>
          <w:b/>
          <w:i/>
          <w:sz w:val="24"/>
          <w:szCs w:val="24"/>
        </w:rPr>
        <w:t xml:space="preserve"> were the accredited organizations?</w:t>
      </w:r>
      <w:r>
        <w:rPr>
          <w:rFonts w:ascii="Times New Roman" w:eastAsia="Times New Roman" w:hAnsi="Times New Roman" w:cs="Times New Roman"/>
          <w:b/>
          <w:i/>
          <w:sz w:val="24"/>
          <w:szCs w:val="24"/>
        </w:rPr>
        <w:tab/>
      </w:r>
    </w:p>
    <w:p w14:paraId="52E04E4B" w14:textId="11A39F20" w:rsidR="00B14EAB" w:rsidRDefault="004D5725">
      <w:pPr>
        <w:spacing w:line="360" w:lineRule="auto"/>
        <w:jc w:val="both"/>
        <w:rPr>
          <w:rFonts w:ascii="Times New Roman" w:eastAsia="Times New Roman" w:hAnsi="Times New Roman" w:cs="Times New Roman"/>
          <w:sz w:val="24"/>
          <w:szCs w:val="24"/>
        </w:rPr>
      </w:pPr>
      <w:r w:rsidRPr="001D6BE9">
        <w:rPr>
          <w:rFonts w:ascii="Times New Roman" w:hAnsi="Times New Roman" w:cs="Times New Roman"/>
          <w:bCs/>
          <w:iCs/>
          <w:sz w:val="24"/>
          <w:szCs w:val="24"/>
        </w:rPr>
        <w:t>As expected given the funding structures of CAFs</w:t>
      </w:r>
      <w:r w:rsidRPr="001D6BE9">
        <w:rPr>
          <w:rFonts w:ascii="Times New Roman" w:eastAsia="Times New Roman" w:hAnsi="Times New Roman" w:cs="Times New Roman"/>
          <w:bCs/>
          <w:iCs/>
          <w:sz w:val="24"/>
          <w:szCs w:val="24"/>
        </w:rPr>
        <w:t>, accredited organizations were mainly</w:t>
      </w:r>
      <w:r>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 xml:space="preserve">such </w:t>
      </w:r>
      <w:r>
        <w:rPr>
          <w:rFonts w:ascii="Times New Roman" w:eastAsia="Times New Roman" w:hAnsi="Times New Roman" w:cs="Times New Roman"/>
          <w:sz w:val="24"/>
          <w:szCs w:val="24"/>
        </w:rPr>
        <w:t>stakeholders as development banks (e.g., ADB for PPCR1 and GCF1; AFD for GCF2, and</w:t>
      </w:r>
      <w:r>
        <w:t xml:space="preserve"> </w:t>
      </w:r>
      <w:r>
        <w:rPr>
          <w:rFonts w:ascii="Times New Roman" w:eastAsia="Times New Roman" w:hAnsi="Times New Roman" w:cs="Times New Roman"/>
          <w:sz w:val="24"/>
          <w:szCs w:val="24"/>
        </w:rPr>
        <w:t xml:space="preserve">IBRD for PPCR2) (21 projects), supra-national organizations (UN agencies, both focusing on development (e.g., UNDP for GPSC2 and AF2; UNIDO for GPSC3) or </w:t>
      </w:r>
      <w:r w:rsidR="005222F7">
        <w:rPr>
          <w:rFonts w:ascii="Times New Roman" w:eastAsia="Times New Roman" w:hAnsi="Times New Roman" w:cs="Times New Roman"/>
          <w:sz w:val="24"/>
          <w:szCs w:val="24"/>
        </w:rPr>
        <w:t xml:space="preserve">organizations </w:t>
      </w:r>
      <w:r>
        <w:rPr>
          <w:rFonts w:ascii="Times New Roman" w:eastAsia="Times New Roman" w:hAnsi="Times New Roman" w:cs="Times New Roman"/>
          <w:sz w:val="24"/>
          <w:szCs w:val="24"/>
        </w:rPr>
        <w:t xml:space="preserve">specifically </w:t>
      </w:r>
      <w:r w:rsidR="005222F7">
        <w:rPr>
          <w:rFonts w:ascii="Times New Roman" w:eastAsia="Times New Roman" w:hAnsi="Times New Roman" w:cs="Times New Roman"/>
          <w:sz w:val="24"/>
          <w:szCs w:val="24"/>
        </w:rPr>
        <w:t xml:space="preserve">focusing </w:t>
      </w:r>
      <w:r>
        <w:rPr>
          <w:rFonts w:ascii="Times New Roman" w:eastAsia="Times New Roman" w:hAnsi="Times New Roman" w:cs="Times New Roman"/>
          <w:sz w:val="24"/>
          <w:szCs w:val="24"/>
        </w:rPr>
        <w:t>on urban issues (e.g., UN-Habitat for AF5) (15 projects), and the World Bank (2 projects) (for GPSC6 and GPSC7). There was also a bilateral donor (</w:t>
      </w:r>
      <w:proofErr w:type="spellStart"/>
      <w:r>
        <w:rPr>
          <w:rFonts w:ascii="Times New Roman" w:eastAsia="Times New Roman" w:hAnsi="Times New Roman" w:cs="Times New Roman"/>
          <w:sz w:val="24"/>
          <w:szCs w:val="24"/>
        </w:rPr>
        <w:t>KfW</w:t>
      </w:r>
      <w:proofErr w:type="spellEnd"/>
      <w:r>
        <w:rPr>
          <w:rFonts w:ascii="Times New Roman" w:eastAsia="Times New Roman" w:hAnsi="Times New Roman" w:cs="Times New Roman"/>
          <w:sz w:val="24"/>
          <w:szCs w:val="24"/>
        </w:rPr>
        <w:t xml:space="preserve"> for GCF5). While the accreditation process constrains the ability of other actors to directly access finance, it could also</w:t>
      </w:r>
      <w:r w:rsidR="005222F7">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 xml:space="preserve"> scope to build cross-stakeholder relationships and learning, which w</w:t>
      </w:r>
      <w:r w:rsidR="005222F7">
        <w:rPr>
          <w:rFonts w:ascii="Times New Roman" w:eastAsia="Times New Roman" w:hAnsi="Times New Roman" w:cs="Times New Roman"/>
          <w:sz w:val="24"/>
          <w:szCs w:val="24"/>
        </w:rPr>
        <w:t>ould</w:t>
      </w:r>
      <w:r>
        <w:rPr>
          <w:rFonts w:ascii="Times New Roman" w:eastAsia="Times New Roman" w:hAnsi="Times New Roman" w:cs="Times New Roman"/>
          <w:sz w:val="24"/>
          <w:szCs w:val="24"/>
        </w:rPr>
        <w:t xml:space="preserve"> largely depend on the nature of the partnerships involved.</w:t>
      </w:r>
    </w:p>
    <w:p w14:paraId="52E04E4C" w14:textId="77777777" w:rsidR="00B14EAB" w:rsidRDefault="004D572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Who provided funding?</w:t>
      </w:r>
    </w:p>
    <w:p w14:paraId="25DBD05D" w14:textId="240BE55B" w:rsidR="005222F7" w:rsidRDefault="005222F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D5725">
        <w:rPr>
          <w:rFonts w:ascii="Times New Roman" w:eastAsia="Times New Roman" w:hAnsi="Times New Roman" w:cs="Times New Roman"/>
          <w:sz w:val="24"/>
          <w:szCs w:val="24"/>
        </w:rPr>
        <w:t>ach investigated project had one of the selected CAFs as funding provider. However, other stakeholders co-financed the projects, including development banks and multi</w:t>
      </w:r>
      <w:r>
        <w:rPr>
          <w:rFonts w:ascii="Times New Roman" w:eastAsia="Times New Roman" w:hAnsi="Times New Roman" w:cs="Times New Roman"/>
          <w:sz w:val="24"/>
          <w:szCs w:val="24"/>
        </w:rPr>
        <w:t xml:space="preserve">ple </w:t>
      </w:r>
      <w:r w:rsidR="004D5725">
        <w:rPr>
          <w:rFonts w:ascii="Times New Roman" w:eastAsia="Times New Roman" w:hAnsi="Times New Roman" w:cs="Times New Roman"/>
          <w:sz w:val="24"/>
          <w:szCs w:val="24"/>
        </w:rPr>
        <w:t>level</w:t>
      </w:r>
      <w:r>
        <w:rPr>
          <w:rFonts w:ascii="Times New Roman" w:eastAsia="Times New Roman" w:hAnsi="Times New Roman" w:cs="Times New Roman"/>
          <w:sz w:val="24"/>
          <w:szCs w:val="24"/>
        </w:rPr>
        <w:t>s</w:t>
      </w:r>
      <w:r w:rsidR="004D57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4D5725">
        <w:rPr>
          <w:rFonts w:ascii="Times New Roman" w:eastAsia="Times New Roman" w:hAnsi="Times New Roman" w:cs="Times New Roman"/>
          <w:sz w:val="24"/>
          <w:szCs w:val="24"/>
        </w:rPr>
        <w:t>government. Development banks and agencies were the most frequent co-</w:t>
      </w:r>
      <w:proofErr w:type="spellStart"/>
      <w:r w:rsidR="004D5725">
        <w:rPr>
          <w:rFonts w:ascii="Times New Roman" w:eastAsia="Times New Roman" w:hAnsi="Times New Roman" w:cs="Times New Roman"/>
          <w:sz w:val="24"/>
          <w:szCs w:val="24"/>
        </w:rPr>
        <w:t>funders</w:t>
      </w:r>
      <w:proofErr w:type="spellEnd"/>
      <w:r>
        <w:rPr>
          <w:rFonts w:ascii="Times New Roman" w:eastAsia="Times New Roman" w:hAnsi="Times New Roman" w:cs="Times New Roman"/>
          <w:sz w:val="24"/>
          <w:szCs w:val="24"/>
        </w:rPr>
        <w:t>,</w:t>
      </w:r>
      <w:r w:rsidR="004D5725">
        <w:rPr>
          <w:rFonts w:ascii="Times New Roman" w:eastAsia="Times New Roman" w:hAnsi="Times New Roman" w:cs="Times New Roman"/>
          <w:sz w:val="24"/>
          <w:szCs w:val="24"/>
        </w:rPr>
        <w:t xml:space="preserve"> with 22 co-financed projects (e.g., GCF2, PPCR2, PPCR6). National governments co-financed 18 projects (e.g., Government of Bangladesh, PPCR1; Fiji Government, GCF1</w:t>
      </w:r>
      <w:proofErr w:type="gramStart"/>
      <w:r w:rsidR="004D5725">
        <w:rPr>
          <w:rFonts w:ascii="Times New Roman" w:eastAsia="Times New Roman" w:hAnsi="Times New Roman" w:cs="Times New Roman"/>
          <w:sz w:val="24"/>
          <w:szCs w:val="24"/>
        </w:rPr>
        <w:t>),  regional</w:t>
      </w:r>
      <w:proofErr w:type="gramEnd"/>
      <w:r w:rsidR="004D5725">
        <w:rPr>
          <w:rFonts w:ascii="Times New Roman" w:eastAsia="Times New Roman" w:hAnsi="Times New Roman" w:cs="Times New Roman"/>
          <w:sz w:val="24"/>
          <w:szCs w:val="24"/>
        </w:rPr>
        <w:t xml:space="preserve"> governments 11 projects and local governments 10 projects. The private sector contributed </w:t>
      </w:r>
      <w:r>
        <w:rPr>
          <w:rFonts w:ascii="Times New Roman" w:eastAsia="Times New Roman" w:hAnsi="Times New Roman" w:cs="Times New Roman"/>
          <w:sz w:val="24"/>
          <w:szCs w:val="24"/>
        </w:rPr>
        <w:t xml:space="preserve">funding to </w:t>
      </w:r>
      <w:r w:rsidR="001D6BE9">
        <w:rPr>
          <w:rFonts w:ascii="Times New Roman" w:eastAsia="Times New Roman" w:hAnsi="Times New Roman" w:cs="Times New Roman"/>
          <w:sz w:val="24"/>
          <w:szCs w:val="24"/>
        </w:rPr>
        <w:t>4</w:t>
      </w:r>
      <w:r w:rsidR="004D5725">
        <w:rPr>
          <w:rFonts w:ascii="Times New Roman" w:eastAsia="Times New Roman" w:hAnsi="Times New Roman" w:cs="Times New Roman"/>
          <w:sz w:val="24"/>
          <w:szCs w:val="24"/>
        </w:rPr>
        <w:t xml:space="preserve"> projects (e.g., Sialkot Tannery Association Guar</w:t>
      </w:r>
      <w:r w:rsidR="00FB3B86">
        <w:rPr>
          <w:rFonts w:ascii="Times New Roman" w:eastAsia="Times New Roman" w:hAnsi="Times New Roman" w:cs="Times New Roman"/>
          <w:sz w:val="24"/>
          <w:szCs w:val="24"/>
        </w:rPr>
        <w:t>a</w:t>
      </w:r>
      <w:r w:rsidR="004D5725">
        <w:rPr>
          <w:rFonts w:ascii="Times New Roman" w:eastAsia="Times New Roman" w:hAnsi="Times New Roman" w:cs="Times New Roman"/>
          <w:sz w:val="24"/>
          <w:szCs w:val="24"/>
        </w:rPr>
        <w:t xml:space="preserve">ntee Limited in SCCF2 and a series of enterprises working on public-private partnerships in GPSC3), while civil society contributed to one </w:t>
      </w:r>
      <w:r w:rsidR="001D6BE9">
        <w:rPr>
          <w:rFonts w:ascii="Times New Roman" w:eastAsia="Times New Roman" w:hAnsi="Times New Roman" w:cs="Times New Roman"/>
          <w:sz w:val="24"/>
          <w:szCs w:val="24"/>
        </w:rPr>
        <w:t xml:space="preserve">project </w:t>
      </w:r>
      <w:proofErr w:type="gramStart"/>
      <w:r w:rsidR="004D5725">
        <w:rPr>
          <w:rFonts w:ascii="Times New Roman" w:eastAsia="Times New Roman" w:hAnsi="Times New Roman" w:cs="Times New Roman"/>
          <w:sz w:val="24"/>
          <w:szCs w:val="24"/>
        </w:rPr>
        <w:t>( Federation</w:t>
      </w:r>
      <w:proofErr w:type="gramEnd"/>
      <w:r w:rsidR="004D5725">
        <w:rPr>
          <w:rFonts w:ascii="Times New Roman" w:eastAsia="Times New Roman" w:hAnsi="Times New Roman" w:cs="Times New Roman"/>
          <w:sz w:val="24"/>
          <w:szCs w:val="24"/>
        </w:rPr>
        <w:t xml:space="preserve"> of Neighbourhood in GPSC2). </w:t>
      </w:r>
    </w:p>
    <w:p w14:paraId="52E04E4D" w14:textId="253CE765" w:rsidR="00B14EAB" w:rsidRDefault="005222F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Funders, then,</w:t>
      </w:r>
      <w:r w:rsidR="004D5725">
        <w:rPr>
          <w:rFonts w:ascii="Times New Roman" w:eastAsia="Times New Roman" w:hAnsi="Times New Roman" w:cs="Times New Roman"/>
          <w:sz w:val="24"/>
          <w:szCs w:val="24"/>
        </w:rPr>
        <w:t xml:space="preserve"> present a more diverse stakeholder picture than applicants, even if the contribution</w:t>
      </w:r>
      <w:r>
        <w:rPr>
          <w:rFonts w:ascii="Times New Roman" w:eastAsia="Times New Roman" w:hAnsi="Times New Roman" w:cs="Times New Roman"/>
          <w:sz w:val="24"/>
          <w:szCs w:val="24"/>
        </w:rPr>
        <w:t>s</w:t>
      </w:r>
      <w:r w:rsidR="004D5725">
        <w:rPr>
          <w:rFonts w:ascii="Times New Roman" w:eastAsia="Times New Roman" w:hAnsi="Times New Roman" w:cs="Times New Roman"/>
          <w:sz w:val="24"/>
          <w:szCs w:val="24"/>
        </w:rPr>
        <w:t xml:space="preserve"> of local governments, the private sector </w:t>
      </w:r>
      <w:proofErr w:type="gramStart"/>
      <w:r w:rsidR="004D5725">
        <w:rPr>
          <w:rFonts w:ascii="Times New Roman" w:eastAsia="Times New Roman" w:hAnsi="Times New Roman" w:cs="Times New Roman"/>
          <w:sz w:val="24"/>
          <w:szCs w:val="24"/>
        </w:rPr>
        <w:t>and  civil</w:t>
      </w:r>
      <w:proofErr w:type="gramEnd"/>
      <w:r w:rsidR="004D5725">
        <w:rPr>
          <w:rFonts w:ascii="Times New Roman" w:eastAsia="Times New Roman" w:hAnsi="Times New Roman" w:cs="Times New Roman"/>
          <w:sz w:val="24"/>
          <w:szCs w:val="24"/>
        </w:rPr>
        <w:t xml:space="preserve"> society is still relatively </w:t>
      </w:r>
      <w:r>
        <w:rPr>
          <w:rFonts w:ascii="Times New Roman" w:eastAsia="Times New Roman" w:hAnsi="Times New Roman" w:cs="Times New Roman"/>
          <w:sz w:val="24"/>
          <w:szCs w:val="24"/>
        </w:rPr>
        <w:t>low. I</w:t>
      </w:r>
      <w:r w:rsidR="004D5725">
        <w:rPr>
          <w:rFonts w:ascii="Times New Roman" w:eastAsia="Times New Roman" w:hAnsi="Times New Roman" w:cs="Times New Roman"/>
          <w:sz w:val="24"/>
          <w:szCs w:val="24"/>
        </w:rPr>
        <w:t xml:space="preserve">n part </w:t>
      </w:r>
      <w:r>
        <w:rPr>
          <w:rFonts w:ascii="Times New Roman" w:eastAsia="Times New Roman" w:hAnsi="Times New Roman" w:cs="Times New Roman"/>
          <w:sz w:val="24"/>
          <w:szCs w:val="24"/>
        </w:rPr>
        <w:t xml:space="preserve">this is </w:t>
      </w:r>
      <w:r w:rsidR="004D5725">
        <w:rPr>
          <w:rFonts w:ascii="Times New Roman" w:eastAsia="Times New Roman" w:hAnsi="Times New Roman" w:cs="Times New Roman"/>
          <w:sz w:val="24"/>
          <w:szCs w:val="24"/>
        </w:rPr>
        <w:t xml:space="preserve">likely due to resource constraints, although we did not break down information about relative funding totals. This could indicate more diverse sets of relationships operating around CAF funding, which could be potentially beneficial for adaptation, although we cannot comment on the full nature of these power relationships.     </w:t>
      </w:r>
    </w:p>
    <w:p w14:paraId="52E04E4E" w14:textId="77777777" w:rsidR="00B14EAB" w:rsidRDefault="004D5725">
      <w:pPr>
        <w:spacing w:line="360" w:lineRule="auto"/>
        <w:jc w:val="both"/>
        <w:rPr>
          <w:b/>
          <w:i/>
        </w:rPr>
      </w:pPr>
      <w:r>
        <w:rPr>
          <w:rFonts w:ascii="Times New Roman" w:eastAsia="Times New Roman" w:hAnsi="Times New Roman" w:cs="Times New Roman"/>
          <w:b/>
          <w:i/>
          <w:sz w:val="24"/>
          <w:szCs w:val="24"/>
        </w:rPr>
        <w:t>Who received funding?</w:t>
      </w:r>
    </w:p>
    <w:p w14:paraId="52E04E4F" w14:textId="655F45C9" w:rsidR="00B14EAB" w:rsidRDefault="004D5725">
      <w:pPr>
        <w:spacing w:line="360" w:lineRule="auto"/>
        <w:jc w:val="both"/>
        <w:rPr>
          <w:rFonts w:ascii="Times New Roman" w:eastAsia="Times New Roman" w:hAnsi="Times New Roman" w:cs="Times New Roman"/>
          <w:sz w:val="24"/>
          <w:szCs w:val="24"/>
        </w:rPr>
      </w:pPr>
      <w:r w:rsidRPr="00A70669">
        <w:rPr>
          <w:rFonts w:ascii="Times New Roman" w:hAnsi="Times New Roman" w:cs="Times New Roman"/>
          <w:bCs/>
          <w:iCs/>
          <w:sz w:val="24"/>
          <w:szCs w:val="24"/>
        </w:rPr>
        <w:t>As the principal CAF applicants, g</w:t>
      </w:r>
      <w:r w:rsidRPr="00A70669">
        <w:rPr>
          <w:rFonts w:ascii="Times New Roman" w:eastAsia="Times New Roman" w:hAnsi="Times New Roman" w:cs="Times New Roman"/>
          <w:bCs/>
          <w:iCs/>
          <w:sz w:val="24"/>
          <w:szCs w:val="24"/>
        </w:rPr>
        <w:t xml:space="preserve">overnments were also the </w:t>
      </w:r>
      <w:proofErr w:type="gramStart"/>
      <w:r w:rsidRPr="00A70669">
        <w:rPr>
          <w:rFonts w:ascii="Times New Roman" w:eastAsia="Times New Roman" w:hAnsi="Times New Roman" w:cs="Times New Roman"/>
          <w:bCs/>
          <w:iCs/>
          <w:sz w:val="24"/>
          <w:szCs w:val="24"/>
        </w:rPr>
        <w:t>main  rec</w:t>
      </w:r>
      <w:r w:rsidR="00FB3B86">
        <w:rPr>
          <w:rFonts w:ascii="Times New Roman" w:eastAsia="Times New Roman" w:hAnsi="Times New Roman" w:cs="Times New Roman"/>
          <w:bCs/>
          <w:iCs/>
          <w:sz w:val="24"/>
          <w:szCs w:val="24"/>
        </w:rPr>
        <w:t>ipients</w:t>
      </w:r>
      <w:proofErr w:type="gramEnd"/>
      <w:r>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funding. </w:t>
      </w:r>
      <w:r w:rsidR="00912ED2">
        <w:rPr>
          <w:rFonts w:ascii="Times New Roman" w:eastAsia="Times New Roman" w:hAnsi="Times New Roman" w:cs="Times New Roman"/>
          <w:sz w:val="24"/>
          <w:szCs w:val="24"/>
        </w:rPr>
        <w:t>N</w:t>
      </w:r>
      <w:r>
        <w:rPr>
          <w:rFonts w:ascii="Times New Roman" w:eastAsia="Times New Roman" w:hAnsi="Times New Roman" w:cs="Times New Roman"/>
          <w:sz w:val="24"/>
          <w:szCs w:val="24"/>
        </w:rPr>
        <w:t>ational governments received funding in 25</w:t>
      </w:r>
      <w:r w:rsidR="00912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projects. However, </w:t>
      </w:r>
      <w:r w:rsidR="00912ED2">
        <w:rPr>
          <w:rFonts w:ascii="Times New Roman" w:eastAsia="Times New Roman" w:hAnsi="Times New Roman" w:cs="Times New Roman"/>
          <w:sz w:val="24"/>
          <w:szCs w:val="24"/>
        </w:rPr>
        <w:t>in contrast to</w:t>
      </w:r>
      <w:r>
        <w:rPr>
          <w:rFonts w:ascii="Times New Roman" w:eastAsia="Times New Roman" w:hAnsi="Times New Roman" w:cs="Times New Roman"/>
          <w:sz w:val="24"/>
          <w:szCs w:val="24"/>
        </w:rPr>
        <w:t xml:space="preserve"> previous </w:t>
      </w:r>
      <w:r w:rsidR="00912ED2">
        <w:rPr>
          <w:rFonts w:ascii="Times New Roman" w:eastAsia="Times New Roman" w:hAnsi="Times New Roman" w:cs="Times New Roman"/>
          <w:sz w:val="24"/>
          <w:szCs w:val="24"/>
        </w:rPr>
        <w:lastRenderedPageBreak/>
        <w:t>categories</w:t>
      </w:r>
      <w:r>
        <w:rPr>
          <w:rFonts w:ascii="Times New Roman" w:eastAsia="Times New Roman" w:hAnsi="Times New Roman" w:cs="Times New Roman"/>
          <w:sz w:val="24"/>
          <w:szCs w:val="24"/>
        </w:rPr>
        <w:t xml:space="preserve">, funding was also allocated more consistently </w:t>
      </w:r>
      <w:r w:rsidR="00912ED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local governments (18 projects) and regional governments (7 projects). Stakeholders from civil society received funding </w:t>
      </w:r>
      <w:r w:rsidR="00912ED2">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00A7066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projects (GPSC2, GCF4, GCF6, AF7). Again, although funding is predominantly centralised, this illustrates </w:t>
      </w:r>
      <w:bookmarkStart w:id="8" w:name="_Hlk114572719"/>
      <w:r>
        <w:rPr>
          <w:rFonts w:ascii="Times New Roman" w:eastAsia="Times New Roman" w:hAnsi="Times New Roman" w:cs="Times New Roman"/>
          <w:sz w:val="24"/>
          <w:szCs w:val="24"/>
        </w:rPr>
        <w:t>some diversity and the potential to catalyse cross-scalar relationships through CAF funding</w:t>
      </w:r>
      <w:bookmarkEnd w:id="8"/>
      <w:r>
        <w:rPr>
          <w:rFonts w:ascii="Times New Roman" w:eastAsia="Times New Roman" w:hAnsi="Times New Roman" w:cs="Times New Roman"/>
          <w:sz w:val="24"/>
          <w:szCs w:val="24"/>
        </w:rPr>
        <w:t>.</w:t>
      </w:r>
    </w:p>
    <w:p w14:paraId="52E04E50" w14:textId="77777777" w:rsidR="00B14EAB" w:rsidRDefault="004D572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Who planned the project?</w:t>
      </w:r>
    </w:p>
    <w:p w14:paraId="52E04E51" w14:textId="0BC375DD" w:rsidR="00B14EAB" w:rsidRDefault="00A7603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To</w:t>
      </w:r>
      <w:r w:rsidR="004D5725" w:rsidRPr="00A70669">
        <w:rPr>
          <w:rFonts w:ascii="Times New Roman" w:eastAsia="Times New Roman" w:hAnsi="Times New Roman" w:cs="Times New Roman"/>
          <w:bCs/>
          <w:iCs/>
          <w:sz w:val="24"/>
          <w:szCs w:val="24"/>
        </w:rPr>
        <w:t xml:space="preserve"> even greater degree t</w:t>
      </w:r>
      <w:r w:rsidR="00912ED2">
        <w:rPr>
          <w:rFonts w:ascii="Times New Roman" w:eastAsia="Times New Roman" w:hAnsi="Times New Roman" w:cs="Times New Roman"/>
          <w:bCs/>
          <w:iCs/>
          <w:sz w:val="24"/>
          <w:szCs w:val="24"/>
        </w:rPr>
        <w:t>han in the receipt of</w:t>
      </w:r>
      <w:r w:rsidR="004D5725" w:rsidRPr="00A70669">
        <w:rPr>
          <w:rFonts w:ascii="Times New Roman" w:eastAsia="Times New Roman" w:hAnsi="Times New Roman" w:cs="Times New Roman"/>
          <w:bCs/>
          <w:iCs/>
          <w:sz w:val="24"/>
          <w:szCs w:val="24"/>
        </w:rPr>
        <w:t xml:space="preserve"> funding, the</w:t>
      </w:r>
      <w:r w:rsidR="00FB3B86">
        <w:rPr>
          <w:rFonts w:ascii="Times New Roman" w:eastAsia="Times New Roman" w:hAnsi="Times New Roman" w:cs="Times New Roman"/>
          <w:bCs/>
          <w:iCs/>
          <w:sz w:val="24"/>
          <w:szCs w:val="24"/>
        </w:rPr>
        <w:t xml:space="preserve"> </w:t>
      </w:r>
      <w:r w:rsidR="004D5725" w:rsidRPr="00A70669">
        <w:rPr>
          <w:rFonts w:ascii="Times New Roman" w:eastAsia="Times New Roman" w:hAnsi="Times New Roman" w:cs="Times New Roman"/>
          <w:bCs/>
          <w:iCs/>
          <w:sz w:val="24"/>
          <w:szCs w:val="24"/>
        </w:rPr>
        <w:t>stakeholders</w:t>
      </w:r>
      <w:r w:rsidR="004D5725">
        <w:rPr>
          <w:rFonts w:ascii="Times New Roman" w:eastAsia="Times New Roman" w:hAnsi="Times New Roman" w:cs="Times New Roman"/>
          <w:sz w:val="24"/>
          <w:szCs w:val="24"/>
        </w:rPr>
        <w:t xml:space="preserve"> </w:t>
      </w:r>
      <w:r w:rsidR="00912ED2">
        <w:rPr>
          <w:rFonts w:ascii="Times New Roman" w:eastAsia="Times New Roman" w:hAnsi="Times New Roman" w:cs="Times New Roman"/>
          <w:sz w:val="24"/>
          <w:szCs w:val="24"/>
        </w:rPr>
        <w:t>involved in</w:t>
      </w:r>
      <w:r w:rsidR="004D5725">
        <w:rPr>
          <w:rFonts w:ascii="Times New Roman" w:eastAsia="Times New Roman" w:hAnsi="Times New Roman" w:cs="Times New Roman"/>
          <w:sz w:val="24"/>
          <w:szCs w:val="24"/>
        </w:rPr>
        <w:t xml:space="preserve"> CAF project planning were </w:t>
      </w:r>
      <w:r w:rsidR="00FB3B86">
        <w:rPr>
          <w:rFonts w:ascii="Times New Roman" w:eastAsia="Times New Roman" w:hAnsi="Times New Roman" w:cs="Times New Roman"/>
          <w:sz w:val="24"/>
          <w:szCs w:val="24"/>
        </w:rPr>
        <w:t>diverse</w:t>
      </w:r>
      <w:r w:rsidR="004D5725">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N</w:t>
      </w:r>
      <w:r w:rsidR="004D5725">
        <w:rPr>
          <w:rFonts w:ascii="Times New Roman" w:eastAsia="Times New Roman" w:hAnsi="Times New Roman" w:cs="Times New Roman"/>
          <w:sz w:val="24"/>
          <w:szCs w:val="24"/>
        </w:rPr>
        <w:t xml:space="preserve">ational governments appeared in 24 projects, followed by local governments (15 projects) and regional governments (9 projects). </w:t>
      </w:r>
      <w:r w:rsidR="00912ED2">
        <w:rPr>
          <w:rFonts w:ascii="Times New Roman" w:eastAsia="Times New Roman" w:hAnsi="Times New Roman" w:cs="Times New Roman"/>
          <w:sz w:val="24"/>
          <w:szCs w:val="24"/>
        </w:rPr>
        <w:t>C</w:t>
      </w:r>
      <w:r w:rsidR="004D5725">
        <w:rPr>
          <w:rFonts w:ascii="Times New Roman" w:eastAsia="Times New Roman" w:hAnsi="Times New Roman" w:cs="Times New Roman"/>
          <w:sz w:val="24"/>
          <w:szCs w:val="24"/>
        </w:rPr>
        <w:t xml:space="preserve">ivil society </w:t>
      </w:r>
      <w:r w:rsidR="00FB3B86">
        <w:rPr>
          <w:rFonts w:ascii="Times New Roman" w:eastAsia="Times New Roman" w:hAnsi="Times New Roman" w:cs="Times New Roman"/>
          <w:sz w:val="24"/>
          <w:szCs w:val="24"/>
        </w:rPr>
        <w:t xml:space="preserve">was </w:t>
      </w:r>
      <w:r w:rsidR="00912ED2">
        <w:rPr>
          <w:rFonts w:ascii="Times New Roman" w:eastAsia="Times New Roman" w:hAnsi="Times New Roman" w:cs="Times New Roman"/>
          <w:sz w:val="24"/>
          <w:szCs w:val="24"/>
        </w:rPr>
        <w:t>involve</w:t>
      </w:r>
      <w:r w:rsidR="00FB3B86">
        <w:rPr>
          <w:rFonts w:ascii="Times New Roman" w:eastAsia="Times New Roman" w:hAnsi="Times New Roman" w:cs="Times New Roman"/>
          <w:sz w:val="24"/>
          <w:szCs w:val="24"/>
        </w:rPr>
        <w:t>d</w:t>
      </w:r>
      <w:r w:rsidR="00912ED2">
        <w:rPr>
          <w:rFonts w:ascii="Times New Roman" w:eastAsia="Times New Roman" w:hAnsi="Times New Roman" w:cs="Times New Roman"/>
          <w:sz w:val="24"/>
          <w:szCs w:val="24"/>
        </w:rPr>
        <w:t xml:space="preserve"> in</w:t>
      </w:r>
      <w:r w:rsidR="004D5725">
        <w:rPr>
          <w:rFonts w:ascii="Times New Roman" w:eastAsia="Times New Roman" w:hAnsi="Times New Roman" w:cs="Times New Roman"/>
          <w:sz w:val="24"/>
          <w:szCs w:val="24"/>
        </w:rPr>
        <w:t xml:space="preserve"> 19 projects, the private sector in six projects</w:t>
      </w:r>
      <w:r w:rsidR="00FB3B86">
        <w:rPr>
          <w:rFonts w:ascii="Times New Roman" w:eastAsia="Times New Roman" w:hAnsi="Times New Roman" w:cs="Times New Roman"/>
          <w:sz w:val="24"/>
          <w:szCs w:val="24"/>
        </w:rPr>
        <w:t>, d</w:t>
      </w:r>
      <w:r w:rsidR="004D5725">
        <w:rPr>
          <w:rFonts w:ascii="Times New Roman" w:eastAsia="Times New Roman" w:hAnsi="Times New Roman" w:cs="Times New Roman"/>
          <w:sz w:val="24"/>
          <w:szCs w:val="24"/>
        </w:rPr>
        <w:t xml:space="preserve">evelopment banks in five projects, and supra-national organizations in </w:t>
      </w:r>
      <w:r w:rsidR="00FB3B86">
        <w:rPr>
          <w:rFonts w:ascii="Times New Roman" w:eastAsia="Times New Roman" w:hAnsi="Times New Roman" w:cs="Times New Roman"/>
          <w:sz w:val="24"/>
          <w:szCs w:val="24"/>
        </w:rPr>
        <w:t xml:space="preserve">six. </w:t>
      </w:r>
      <w:r w:rsidR="004D5725">
        <w:rPr>
          <w:rFonts w:ascii="Times New Roman" w:eastAsia="Times New Roman" w:hAnsi="Times New Roman" w:cs="Times New Roman"/>
          <w:sz w:val="24"/>
          <w:szCs w:val="24"/>
        </w:rPr>
        <w:t xml:space="preserve"> Again, we cannot comment on the nature of the</w:t>
      </w:r>
      <w:r w:rsidR="00FB3B86">
        <w:rPr>
          <w:rFonts w:ascii="Times New Roman" w:eastAsia="Times New Roman" w:hAnsi="Times New Roman" w:cs="Times New Roman"/>
          <w:sz w:val="24"/>
          <w:szCs w:val="24"/>
        </w:rPr>
        <w:t>ir</w:t>
      </w:r>
      <w:r w:rsidR="004D5725">
        <w:rPr>
          <w:rFonts w:ascii="Times New Roman" w:eastAsia="Times New Roman" w:hAnsi="Times New Roman" w:cs="Times New Roman"/>
          <w:sz w:val="24"/>
          <w:szCs w:val="24"/>
        </w:rPr>
        <w:t xml:space="preserve"> involvement or the potential for co-option between powerful and less powerful actors</w:t>
      </w:r>
      <w:r w:rsidR="00912ED2">
        <w:rPr>
          <w:rFonts w:ascii="Times New Roman" w:eastAsia="Times New Roman" w:hAnsi="Times New Roman" w:cs="Times New Roman"/>
          <w:sz w:val="24"/>
          <w:szCs w:val="24"/>
        </w:rPr>
        <w:t>. However,</w:t>
      </w:r>
      <w:r w:rsidR="004D5725">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 xml:space="preserve">we underscore </w:t>
      </w:r>
      <w:r w:rsidR="004D5725">
        <w:rPr>
          <w:rFonts w:ascii="Times New Roman" w:eastAsia="Times New Roman" w:hAnsi="Times New Roman" w:cs="Times New Roman"/>
          <w:sz w:val="24"/>
          <w:szCs w:val="24"/>
        </w:rPr>
        <w:t xml:space="preserve">the potential for diverse actors to be </w:t>
      </w:r>
      <w:proofErr w:type="gramStart"/>
      <w:r w:rsidR="004D5725">
        <w:rPr>
          <w:rFonts w:ascii="Times New Roman" w:eastAsia="Times New Roman" w:hAnsi="Times New Roman" w:cs="Times New Roman"/>
          <w:sz w:val="24"/>
          <w:szCs w:val="24"/>
        </w:rPr>
        <w:t>involved  and</w:t>
      </w:r>
      <w:proofErr w:type="gramEnd"/>
      <w:r w:rsidR="004D5725">
        <w:rPr>
          <w:rFonts w:ascii="Times New Roman" w:eastAsia="Times New Roman" w:hAnsi="Times New Roman" w:cs="Times New Roman"/>
          <w:sz w:val="24"/>
          <w:szCs w:val="24"/>
        </w:rPr>
        <w:t xml:space="preserve"> to relate </w:t>
      </w:r>
      <w:r w:rsidR="00912ED2">
        <w:rPr>
          <w:rFonts w:ascii="Times New Roman" w:eastAsia="Times New Roman" w:hAnsi="Times New Roman" w:cs="Times New Roman"/>
          <w:sz w:val="24"/>
          <w:szCs w:val="24"/>
        </w:rPr>
        <w:t>to one another</w:t>
      </w:r>
      <w:r w:rsidR="00FB3B86">
        <w:rPr>
          <w:rFonts w:ascii="Times New Roman" w:eastAsia="Times New Roman" w:hAnsi="Times New Roman" w:cs="Times New Roman"/>
          <w:sz w:val="24"/>
          <w:szCs w:val="24"/>
        </w:rPr>
        <w:t>.</w:t>
      </w:r>
    </w:p>
    <w:p w14:paraId="52E04E52" w14:textId="77777777" w:rsidR="00B14EAB" w:rsidRDefault="004D572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Who executed the project?</w:t>
      </w:r>
    </w:p>
    <w:p w14:paraId="52E04E53" w14:textId="1C503FCA"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variety of stakeholders were </w:t>
      </w:r>
      <w:r w:rsidR="00A76033">
        <w:rPr>
          <w:rFonts w:ascii="Times New Roman" w:eastAsia="Times New Roman" w:hAnsi="Times New Roman" w:cs="Times New Roman"/>
          <w:sz w:val="24"/>
          <w:szCs w:val="24"/>
        </w:rPr>
        <w:t>reported</w:t>
      </w:r>
      <w:r>
        <w:rPr>
          <w:rFonts w:ascii="Times New Roman" w:eastAsia="Times New Roman" w:hAnsi="Times New Roman" w:cs="Times New Roman"/>
          <w:sz w:val="24"/>
          <w:szCs w:val="24"/>
        </w:rPr>
        <w:t xml:space="preserve"> to be involved in </w:t>
      </w:r>
      <w:r w:rsidR="00FB3B86">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 xml:space="preserve"> execution. As </w:t>
      </w:r>
      <w:r w:rsidR="00A76033">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other aspects, the role of national governments appeared prominent (33 projects)</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followed by local governments (22) and regional governments (12). Interestingly, supra-national organizations (such as UN-Habitat for AF1 and GPSC3, UNDP for AF2, UNFCCC for PPCR4) appear in 19 projects. Stakeholders from civil society appear in 13 </w:t>
      </w:r>
      <w:proofErr w:type="gramStart"/>
      <w:r>
        <w:rPr>
          <w:rFonts w:ascii="Times New Roman" w:eastAsia="Times New Roman" w:hAnsi="Times New Roman" w:cs="Times New Roman"/>
          <w:sz w:val="24"/>
          <w:szCs w:val="24"/>
        </w:rPr>
        <w:t xml:space="preserve">projects, </w:t>
      </w:r>
      <w:r w:rsidR="00FB0E87">
        <w:rPr>
          <w:rFonts w:ascii="Times New Roman" w:eastAsia="Times New Roman" w:hAnsi="Times New Roman" w:cs="Times New Roman"/>
          <w:sz w:val="24"/>
          <w:szCs w:val="24"/>
        </w:rPr>
        <w:t xml:space="preserve"> the</w:t>
      </w:r>
      <w:proofErr w:type="gramEnd"/>
      <w:r w:rsidR="00FB0E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private sector in </w:t>
      </w:r>
      <w:r w:rsidR="00FB3B86">
        <w:rPr>
          <w:rFonts w:ascii="Times New Roman" w:eastAsia="Times New Roman" w:hAnsi="Times New Roman" w:cs="Times New Roman"/>
          <w:sz w:val="24"/>
          <w:szCs w:val="24"/>
        </w:rPr>
        <w:t>seven</w:t>
      </w:r>
      <w:r>
        <w:rPr>
          <w:rFonts w:ascii="Times New Roman" w:eastAsia="Times New Roman" w:hAnsi="Times New Roman" w:cs="Times New Roman"/>
          <w:sz w:val="24"/>
          <w:szCs w:val="24"/>
        </w:rPr>
        <w:t>, and</w:t>
      </w:r>
      <w:r w:rsidR="00FB0E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development banks in </w:t>
      </w:r>
      <w:r w:rsidR="00FB3B86">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w:t>
      </w:r>
    </w:p>
    <w:p w14:paraId="52E04E55" w14:textId="162031C3" w:rsidR="00B14EAB" w:rsidRPr="00E025DD" w:rsidRDefault="00FB3B86">
      <w:pPr>
        <w:spacing w:line="360" w:lineRule="auto"/>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With regard to</w:t>
      </w:r>
      <w:proofErr w:type="gramEnd"/>
      <w:r>
        <w:rPr>
          <w:rFonts w:ascii="Times New Roman" w:eastAsia="Times New Roman" w:hAnsi="Times New Roman" w:cs="Times New Roman"/>
          <w:bCs/>
          <w:iCs/>
          <w:sz w:val="24"/>
          <w:szCs w:val="24"/>
        </w:rPr>
        <w:t xml:space="preserve"> the capacity of </w:t>
      </w:r>
      <w:r w:rsidR="00FB0E87" w:rsidRPr="00E025DD">
        <w:rPr>
          <w:rFonts w:ascii="Times New Roman" w:eastAsia="Times New Roman" w:hAnsi="Times New Roman" w:cs="Times New Roman"/>
          <w:bCs/>
          <w:iCs/>
          <w:sz w:val="24"/>
          <w:szCs w:val="24"/>
        </w:rPr>
        <w:t xml:space="preserve">CAF finance </w:t>
      </w:r>
      <w:r>
        <w:rPr>
          <w:rFonts w:ascii="Times New Roman" w:eastAsia="Times New Roman" w:hAnsi="Times New Roman" w:cs="Times New Roman"/>
          <w:bCs/>
          <w:iCs/>
          <w:sz w:val="24"/>
          <w:szCs w:val="24"/>
        </w:rPr>
        <w:t xml:space="preserve">to </w:t>
      </w:r>
      <w:r w:rsidR="00FB0E87">
        <w:rPr>
          <w:rFonts w:ascii="Times New Roman" w:eastAsia="Times New Roman" w:hAnsi="Times New Roman" w:cs="Times New Roman"/>
          <w:bCs/>
          <w:iCs/>
          <w:sz w:val="24"/>
          <w:szCs w:val="24"/>
        </w:rPr>
        <w:t xml:space="preserve">mobilize </w:t>
      </w:r>
      <w:r w:rsidR="004D5725" w:rsidRPr="00E025DD">
        <w:rPr>
          <w:rFonts w:ascii="Times New Roman" w:eastAsia="Times New Roman" w:hAnsi="Times New Roman" w:cs="Times New Roman"/>
          <w:bCs/>
          <w:iCs/>
          <w:sz w:val="24"/>
          <w:szCs w:val="24"/>
        </w:rPr>
        <w:t>cross-scale and multi-stakeholder institutional relationships and partnerships</w:t>
      </w:r>
      <w:r w:rsidR="00FB0E87">
        <w:rPr>
          <w:rFonts w:ascii="Times New Roman" w:eastAsia="Times New Roman" w:hAnsi="Times New Roman" w:cs="Times New Roman"/>
          <w:bCs/>
          <w:iCs/>
          <w:sz w:val="24"/>
          <w:szCs w:val="24"/>
        </w:rPr>
        <w:t>, t</w:t>
      </w:r>
      <w:r w:rsidR="004D5725" w:rsidRPr="00E025DD">
        <w:rPr>
          <w:rFonts w:ascii="Times New Roman" w:eastAsia="Times New Roman" w:hAnsi="Times New Roman" w:cs="Times New Roman"/>
          <w:bCs/>
          <w:iCs/>
          <w:sz w:val="24"/>
          <w:szCs w:val="24"/>
        </w:rPr>
        <w:t>he overall analysis</w:t>
      </w:r>
      <w:r w:rsidR="00FB0E87">
        <w:rPr>
          <w:rFonts w:ascii="Times New Roman" w:eastAsia="Times New Roman" w:hAnsi="Times New Roman" w:cs="Times New Roman"/>
          <w:bCs/>
          <w:iCs/>
          <w:sz w:val="24"/>
          <w:szCs w:val="24"/>
        </w:rPr>
        <w:t xml:space="preserve"> points </w:t>
      </w:r>
      <w:proofErr w:type="spellStart"/>
      <w:r w:rsidR="00FB0E87">
        <w:rPr>
          <w:rFonts w:ascii="Times New Roman" w:eastAsia="Times New Roman" w:hAnsi="Times New Roman" w:cs="Times New Roman"/>
          <w:bCs/>
          <w:iCs/>
          <w:sz w:val="24"/>
          <w:szCs w:val="24"/>
        </w:rPr>
        <w:t>to</w:t>
      </w:r>
      <w:r w:rsidR="004D5725" w:rsidRPr="00E025DD">
        <w:rPr>
          <w:rFonts w:ascii="Times New Roman" w:eastAsia="Times New Roman" w:hAnsi="Times New Roman" w:cs="Times New Roman"/>
          <w:bCs/>
          <w:iCs/>
          <w:sz w:val="24"/>
          <w:szCs w:val="24"/>
        </w:rPr>
        <w:t>the</w:t>
      </w:r>
      <w:proofErr w:type="spellEnd"/>
      <w:r w:rsidR="004D5725" w:rsidRPr="00E025DD">
        <w:rPr>
          <w:rFonts w:ascii="Times New Roman" w:eastAsia="Times New Roman" w:hAnsi="Times New Roman" w:cs="Times New Roman"/>
          <w:bCs/>
          <w:iCs/>
          <w:sz w:val="24"/>
          <w:szCs w:val="24"/>
        </w:rPr>
        <w:t xml:space="preserve"> existence of quite multi-faceted institutional relationships. </w:t>
      </w:r>
    </w:p>
    <w:p w14:paraId="52E04E57" w14:textId="7F20711F"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 banks mainly appear as accrediting organizations or funding providers, and more attention might be paid in future studies to their role in co-finance. UN agencies appear almost exclusively as accredited </w:t>
      </w:r>
      <w:proofErr w:type="gramStart"/>
      <w:r>
        <w:rPr>
          <w:rFonts w:ascii="Times New Roman" w:eastAsia="Times New Roman" w:hAnsi="Times New Roman" w:cs="Times New Roman"/>
          <w:sz w:val="24"/>
          <w:szCs w:val="24"/>
        </w:rPr>
        <w:t>organizations, but</w:t>
      </w:r>
      <w:proofErr w:type="gramEnd"/>
      <w:r>
        <w:rPr>
          <w:rFonts w:ascii="Times New Roman" w:eastAsia="Times New Roman" w:hAnsi="Times New Roman" w:cs="Times New Roman"/>
          <w:sz w:val="24"/>
          <w:szCs w:val="24"/>
        </w:rPr>
        <w:t xml:space="preserve"> </w:t>
      </w:r>
      <w:r w:rsidR="00FB0E87">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also </w:t>
      </w:r>
      <w:r w:rsidR="00FB0E87">
        <w:rPr>
          <w:rFonts w:ascii="Times New Roman" w:eastAsia="Times New Roman" w:hAnsi="Times New Roman" w:cs="Times New Roman"/>
          <w:sz w:val="24"/>
          <w:szCs w:val="24"/>
        </w:rPr>
        <w:t xml:space="preserve">present </w:t>
      </w:r>
      <w:r>
        <w:rPr>
          <w:rFonts w:ascii="Times New Roman" w:eastAsia="Times New Roman" w:hAnsi="Times New Roman" w:cs="Times New Roman"/>
          <w:sz w:val="24"/>
          <w:szCs w:val="24"/>
        </w:rPr>
        <w:t xml:space="preserve">in planning </w:t>
      </w:r>
      <w:r w:rsidR="00FB0E8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executi</w:t>
      </w:r>
      <w:r w:rsidR="00FB0E87">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National governments emerge as the principal interlocutors across these webs of institutional relationships and are </w:t>
      </w:r>
      <w:r w:rsidR="00FB0E8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predominant actors </w:t>
      </w:r>
      <w:r w:rsidR="00FB0E87">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every step of the project from application to execution, to some extent confirming the centralisation of finance relative to urban jurisdictions. However, they rarely </w:t>
      </w:r>
      <w:r w:rsidR="00FB0E87">
        <w:rPr>
          <w:rFonts w:ascii="Times New Roman" w:eastAsia="Times New Roman" w:hAnsi="Times New Roman" w:cs="Times New Roman"/>
          <w:sz w:val="24"/>
          <w:szCs w:val="24"/>
        </w:rPr>
        <w:t xml:space="preserve">function </w:t>
      </w:r>
      <w:r>
        <w:rPr>
          <w:rFonts w:ascii="Times New Roman" w:eastAsia="Times New Roman" w:hAnsi="Times New Roman" w:cs="Times New Roman"/>
          <w:sz w:val="24"/>
          <w:szCs w:val="24"/>
        </w:rPr>
        <w:t>alone</w:t>
      </w:r>
      <w:r w:rsidR="00FB3B86">
        <w:rPr>
          <w:rFonts w:ascii="Times New Roman" w:eastAsia="Times New Roman" w:hAnsi="Times New Roman" w:cs="Times New Roman"/>
          <w:sz w:val="24"/>
          <w:szCs w:val="24"/>
        </w:rPr>
        <w:t>, but</w:t>
      </w:r>
      <w:r>
        <w:rPr>
          <w:rFonts w:ascii="Times New Roman" w:eastAsia="Times New Roman" w:hAnsi="Times New Roman" w:cs="Times New Roman"/>
          <w:sz w:val="24"/>
          <w:szCs w:val="24"/>
        </w:rPr>
        <w:t xml:space="preserve"> operate in conjunction with other stakeholders, in particular local governments and, less frequent</w:t>
      </w:r>
      <w:r w:rsidR="00FB0E87">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regional governments. </w:t>
      </w:r>
      <w:r w:rsidR="00FB0E87">
        <w:rPr>
          <w:rFonts w:ascii="Times New Roman" w:eastAsia="Times New Roman" w:hAnsi="Times New Roman" w:cs="Times New Roman"/>
          <w:sz w:val="24"/>
          <w:szCs w:val="24"/>
        </w:rPr>
        <w:lastRenderedPageBreak/>
        <w:t>O</w:t>
      </w:r>
      <w:r>
        <w:rPr>
          <w:rFonts w:ascii="Times New Roman" w:eastAsia="Times New Roman" w:hAnsi="Times New Roman" w:cs="Times New Roman"/>
          <w:sz w:val="24"/>
          <w:szCs w:val="24"/>
        </w:rPr>
        <w:t>perational functions</w:t>
      </w:r>
      <w:r w:rsidR="00FB0E87">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are more prominent at the local level (</w:t>
      </w:r>
      <w:r w:rsidR="00FB0E87">
        <w:rPr>
          <w:rFonts w:ascii="Times New Roman" w:eastAsia="Times New Roman" w:hAnsi="Times New Roman" w:cs="Times New Roman"/>
          <w:sz w:val="24"/>
          <w:szCs w:val="24"/>
        </w:rPr>
        <w:t xml:space="preserve">that is, </w:t>
      </w:r>
      <w:r>
        <w:rPr>
          <w:rFonts w:ascii="Times New Roman" w:eastAsia="Times New Roman" w:hAnsi="Times New Roman" w:cs="Times New Roman"/>
          <w:sz w:val="24"/>
          <w:szCs w:val="24"/>
        </w:rPr>
        <w:t xml:space="preserve">local governments and civil society), although exceptions in this regard merit further exploration. Regional and local governments mainly receive funding and plan or execute the projects. Civil society stakeholders are not involved </w:t>
      </w:r>
      <w:r w:rsidR="00FB0E87">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the application stage and rarely receive funding. They are more prominent </w:t>
      </w:r>
      <w:r w:rsidR="00FB0E8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planning and executi</w:t>
      </w:r>
      <w:r w:rsidR="00FB0E87">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w:t>
      </w:r>
      <w:r w:rsidR="00FB0E87">
        <w:rPr>
          <w:rFonts w:ascii="Times New Roman" w:eastAsia="Times New Roman" w:hAnsi="Times New Roman" w:cs="Times New Roman"/>
          <w:sz w:val="24"/>
          <w:szCs w:val="24"/>
        </w:rPr>
        <w:t xml:space="preserve">ways that </w:t>
      </w:r>
      <w:r>
        <w:rPr>
          <w:rFonts w:ascii="Times New Roman" w:eastAsia="Times New Roman" w:hAnsi="Times New Roman" w:cs="Times New Roman"/>
          <w:sz w:val="24"/>
          <w:szCs w:val="24"/>
        </w:rPr>
        <w:t xml:space="preserve">projects bring together complex multi-stakeholder networks respond </w:t>
      </w:r>
      <w:r w:rsidR="00FB0E87">
        <w:rPr>
          <w:rFonts w:ascii="Times New Roman" w:eastAsia="Times New Roman" w:hAnsi="Times New Roman" w:cs="Times New Roman"/>
          <w:sz w:val="24"/>
          <w:szCs w:val="24"/>
        </w:rPr>
        <w:t xml:space="preserve">partly </w:t>
      </w:r>
      <w:r>
        <w:rPr>
          <w:rFonts w:ascii="Times New Roman" w:eastAsia="Times New Roman" w:hAnsi="Times New Roman" w:cs="Times New Roman"/>
          <w:sz w:val="24"/>
          <w:szCs w:val="24"/>
        </w:rPr>
        <w:t>to the structure of CAF financing</w:t>
      </w:r>
      <w:r w:rsidR="00FB3B86">
        <w:rPr>
          <w:rFonts w:ascii="Times New Roman" w:eastAsia="Times New Roman" w:hAnsi="Times New Roman" w:cs="Times New Roman"/>
          <w:sz w:val="24"/>
          <w:szCs w:val="24"/>
        </w:rPr>
        <w:t>. W</w:t>
      </w:r>
      <w:r>
        <w:rPr>
          <w:rFonts w:ascii="Times New Roman" w:eastAsia="Times New Roman" w:hAnsi="Times New Roman" w:cs="Times New Roman"/>
          <w:sz w:val="24"/>
          <w:szCs w:val="24"/>
        </w:rPr>
        <w:t xml:space="preserve">e </w:t>
      </w:r>
      <w:r w:rsidR="00FB3B86">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suggest, </w:t>
      </w:r>
      <w:r w:rsidR="00FB3B86">
        <w:rPr>
          <w:rFonts w:ascii="Times New Roman" w:eastAsia="Times New Roman" w:hAnsi="Times New Roman" w:cs="Times New Roman"/>
          <w:sz w:val="24"/>
          <w:szCs w:val="24"/>
        </w:rPr>
        <w:t xml:space="preserve">they have the potential both to </w:t>
      </w:r>
      <w:r>
        <w:rPr>
          <w:rFonts w:ascii="Times New Roman" w:eastAsia="Times New Roman" w:hAnsi="Times New Roman" w:cs="Times New Roman"/>
          <w:sz w:val="24"/>
          <w:szCs w:val="24"/>
        </w:rPr>
        <w:t xml:space="preserve">reinforce power imbalances </w:t>
      </w:r>
      <w:r w:rsidR="00FB0E8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to operationalise multi-scale and multi-stakeholder solutions to complex problems.</w:t>
      </w:r>
      <w:r w:rsidR="00CA2237">
        <w:rPr>
          <w:rFonts w:ascii="Times New Roman" w:eastAsia="Times New Roman" w:hAnsi="Times New Roman" w:cs="Times New Roman"/>
          <w:sz w:val="24"/>
          <w:szCs w:val="24"/>
        </w:rPr>
        <w:t xml:space="preserve"> </w:t>
      </w:r>
    </w:p>
    <w:p w14:paraId="52E04E58" w14:textId="77777777" w:rsidR="00B14EAB" w:rsidRDefault="004D572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i/>
          <w:sz w:val="24"/>
          <w:szCs w:val="24"/>
        </w:rPr>
        <w:t>Inter-sectoral complexity</w:t>
      </w:r>
    </w:p>
    <w:p w14:paraId="52E04E59" w14:textId="60B8BC3E" w:rsidR="00B14EAB" w:rsidRDefault="004D572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Institutional affiliation</w:t>
      </w:r>
      <w:r w:rsidR="004002DA">
        <w:rPr>
          <w:rFonts w:ascii="Times New Roman" w:eastAsia="Times New Roman" w:hAnsi="Times New Roman" w:cs="Times New Roman"/>
          <w:b/>
          <w:i/>
          <w:sz w:val="24"/>
          <w:szCs w:val="24"/>
        </w:rPr>
        <w:t xml:space="preserve"> by sector</w:t>
      </w:r>
    </w:p>
    <w:p w14:paraId="19680E82" w14:textId="721AD33F" w:rsidR="00FB3B86" w:rsidRPr="003071CE" w:rsidRDefault="00FB3B86">
      <w:pPr>
        <w:spacing w:line="360" w:lineRule="auto"/>
        <w:jc w:val="both"/>
        <w:rPr>
          <w:rFonts w:ascii="Times New Roman" w:eastAsia="Times New Roman" w:hAnsi="Times New Roman" w:cs="Times New Roman"/>
          <w:sz w:val="24"/>
          <w:szCs w:val="24"/>
        </w:rPr>
      </w:pPr>
      <w:bookmarkStart w:id="9" w:name="_3dy6vkm" w:colFirst="0" w:colLast="0"/>
      <w:bookmarkEnd w:id="9"/>
      <w:r w:rsidRPr="003071CE">
        <w:rPr>
          <w:rFonts w:ascii="Times New Roman" w:eastAsia="Times New Roman" w:hAnsi="Times New Roman" w:cs="Times New Roman"/>
          <w:sz w:val="24"/>
          <w:szCs w:val="24"/>
        </w:rPr>
        <w:t xml:space="preserve">At both national and regional ministry levels, inter-sectoral involvement is relatively </w:t>
      </w:r>
      <w:r w:rsidR="004002DA" w:rsidRPr="000F6EBC">
        <w:rPr>
          <w:rFonts w:ascii="Times New Roman" w:eastAsia="Times New Roman" w:hAnsi="Times New Roman" w:cs="Times New Roman"/>
          <w:sz w:val="24"/>
          <w:szCs w:val="24"/>
        </w:rPr>
        <w:t>prominent</w:t>
      </w:r>
      <w:r w:rsidR="00A973A7" w:rsidRPr="000F6EBC">
        <w:rPr>
          <w:rFonts w:ascii="Times New Roman" w:eastAsia="Times New Roman" w:hAnsi="Times New Roman" w:cs="Times New Roman"/>
          <w:sz w:val="24"/>
          <w:szCs w:val="24"/>
        </w:rPr>
        <w:t xml:space="preserve">. </w:t>
      </w:r>
      <w:proofErr w:type="gramStart"/>
      <w:r w:rsidR="00A973A7" w:rsidRPr="000F6EBC">
        <w:rPr>
          <w:rFonts w:ascii="Times New Roman" w:eastAsia="Times New Roman" w:hAnsi="Times New Roman" w:cs="Times New Roman"/>
          <w:sz w:val="24"/>
          <w:szCs w:val="24"/>
        </w:rPr>
        <w:t>Indeed</w:t>
      </w:r>
      <w:proofErr w:type="gramEnd"/>
      <w:r w:rsidR="004002DA" w:rsidRPr="000F6EBC">
        <w:rPr>
          <w:rFonts w:ascii="Times New Roman" w:eastAsia="Times New Roman" w:hAnsi="Times New Roman" w:cs="Times New Roman"/>
          <w:sz w:val="24"/>
          <w:szCs w:val="24"/>
        </w:rPr>
        <w:t xml:space="preserve"> at national level,</w:t>
      </w:r>
      <w:r w:rsidRPr="003071CE">
        <w:rPr>
          <w:rFonts w:ascii="Times New Roman" w:eastAsia="Times New Roman" w:hAnsi="Times New Roman" w:cs="Times New Roman"/>
          <w:sz w:val="24"/>
          <w:szCs w:val="24"/>
        </w:rPr>
        <w:t xml:space="preserve"> eight projects involved five or more ministries in conjunction</w:t>
      </w:r>
      <w:r w:rsidR="008A6430" w:rsidRPr="000F6EBC">
        <w:rPr>
          <w:rFonts w:ascii="Times New Roman" w:eastAsia="Times New Roman" w:hAnsi="Times New Roman" w:cs="Times New Roman"/>
          <w:sz w:val="24"/>
          <w:szCs w:val="24"/>
        </w:rPr>
        <w:t>, although 7 involved just one ministry</w:t>
      </w:r>
      <w:r w:rsidRPr="003071CE">
        <w:rPr>
          <w:rFonts w:ascii="Times New Roman" w:eastAsia="Times New Roman" w:hAnsi="Times New Roman" w:cs="Times New Roman"/>
          <w:sz w:val="24"/>
          <w:szCs w:val="24"/>
        </w:rPr>
        <w:t xml:space="preserve">. National ministries are more heavily involved than regional ministries </w:t>
      </w:r>
      <w:r w:rsidR="004002DA" w:rsidRPr="000F6EBC">
        <w:rPr>
          <w:rFonts w:ascii="Times New Roman" w:eastAsia="Times New Roman" w:hAnsi="Times New Roman" w:cs="Times New Roman"/>
          <w:sz w:val="24"/>
          <w:szCs w:val="24"/>
        </w:rPr>
        <w:t>in inter-sectoral projects</w:t>
      </w:r>
      <w:r w:rsidR="008A6430" w:rsidRPr="000F6EBC">
        <w:rPr>
          <w:rFonts w:ascii="Times New Roman" w:eastAsia="Times New Roman" w:hAnsi="Times New Roman" w:cs="Times New Roman"/>
          <w:sz w:val="24"/>
          <w:szCs w:val="24"/>
        </w:rPr>
        <w:t>.</w:t>
      </w:r>
    </w:p>
    <w:p w14:paraId="52E04E5B" w14:textId="2E4C6374" w:rsidR="00B14EAB" w:rsidRDefault="008A6430" w:rsidP="00FB3B86">
      <w:pPr>
        <w:spacing w:line="360" w:lineRule="auto"/>
        <w:jc w:val="both"/>
        <w:rPr>
          <w:rFonts w:ascii="Times New Roman" w:eastAsia="Times New Roman" w:hAnsi="Times New Roman" w:cs="Times New Roman"/>
          <w:sz w:val="24"/>
          <w:szCs w:val="24"/>
        </w:rPr>
      </w:pPr>
      <w:r w:rsidRPr="000F6EBC">
        <w:rPr>
          <w:rFonts w:ascii="Times New Roman" w:eastAsia="Times New Roman" w:hAnsi="Times New Roman" w:cs="Times New Roman"/>
          <w:sz w:val="24"/>
          <w:szCs w:val="24"/>
        </w:rPr>
        <w:t>More pronounced</w:t>
      </w:r>
      <w:r w:rsidR="00FB3B86" w:rsidRPr="003071CE">
        <w:rPr>
          <w:rFonts w:ascii="Times New Roman" w:eastAsia="Times New Roman" w:hAnsi="Times New Roman" w:cs="Times New Roman"/>
          <w:sz w:val="24"/>
          <w:szCs w:val="24"/>
        </w:rPr>
        <w:t xml:space="preserve"> at national level, certain patterns emerge in terms of the partnerships among ministries. </w:t>
      </w:r>
      <w:r w:rsidR="003071CE" w:rsidRPr="000F6EBC">
        <w:rPr>
          <w:rFonts w:ascii="Times New Roman" w:eastAsia="Times New Roman" w:hAnsi="Times New Roman" w:cs="Times New Roman"/>
          <w:sz w:val="24"/>
          <w:szCs w:val="24"/>
        </w:rPr>
        <w:t>T</w:t>
      </w:r>
      <w:r w:rsidR="004D5725" w:rsidRPr="003071CE">
        <w:rPr>
          <w:rFonts w:ascii="Times New Roman" w:eastAsia="Times New Roman" w:hAnsi="Times New Roman" w:cs="Times New Roman"/>
          <w:sz w:val="24"/>
          <w:szCs w:val="24"/>
        </w:rPr>
        <w:t xml:space="preserve">he sectors </w:t>
      </w:r>
      <w:r w:rsidR="004D5725" w:rsidRPr="000F6EBC">
        <w:rPr>
          <w:rFonts w:ascii="Times New Roman" w:eastAsia="Times New Roman" w:hAnsi="Times New Roman" w:cs="Times New Roman"/>
          <w:i/>
          <w:iCs/>
          <w:sz w:val="24"/>
          <w:szCs w:val="24"/>
        </w:rPr>
        <w:t>Finance</w:t>
      </w:r>
      <w:r w:rsidR="004D5725" w:rsidRPr="003071CE">
        <w:rPr>
          <w:rFonts w:ascii="Times New Roman" w:eastAsia="Times New Roman" w:hAnsi="Times New Roman" w:cs="Times New Roman"/>
          <w:sz w:val="24"/>
          <w:szCs w:val="24"/>
        </w:rPr>
        <w:t xml:space="preserve"> and/or </w:t>
      </w:r>
      <w:r w:rsidR="004D5725" w:rsidRPr="000F6EBC">
        <w:rPr>
          <w:rFonts w:ascii="Times New Roman" w:eastAsia="Times New Roman" w:hAnsi="Times New Roman" w:cs="Times New Roman"/>
          <w:i/>
          <w:iCs/>
          <w:sz w:val="24"/>
          <w:szCs w:val="24"/>
        </w:rPr>
        <w:t>Economy</w:t>
      </w:r>
      <w:r w:rsidR="004D5725" w:rsidRPr="003071CE">
        <w:rPr>
          <w:rFonts w:ascii="Times New Roman" w:eastAsia="Times New Roman" w:hAnsi="Times New Roman" w:cs="Times New Roman"/>
          <w:sz w:val="24"/>
          <w:szCs w:val="24"/>
        </w:rPr>
        <w:t xml:space="preserve"> appear 13 </w:t>
      </w:r>
      <w:r w:rsidR="00850309" w:rsidRPr="003071CE">
        <w:rPr>
          <w:rFonts w:ascii="Times New Roman" w:eastAsia="Times New Roman" w:hAnsi="Times New Roman" w:cs="Times New Roman"/>
          <w:sz w:val="24"/>
          <w:szCs w:val="24"/>
        </w:rPr>
        <w:t>times</w:t>
      </w:r>
      <w:r w:rsidR="004D5725" w:rsidRPr="003071CE">
        <w:rPr>
          <w:rFonts w:ascii="Times New Roman" w:eastAsia="Times New Roman" w:hAnsi="Times New Roman" w:cs="Times New Roman"/>
          <w:sz w:val="24"/>
          <w:szCs w:val="24"/>
        </w:rPr>
        <w:t xml:space="preserve"> in conjunction with </w:t>
      </w:r>
      <w:r w:rsidR="004D5725" w:rsidRPr="000F6EBC">
        <w:rPr>
          <w:rFonts w:ascii="Times New Roman" w:eastAsia="Times New Roman" w:hAnsi="Times New Roman" w:cs="Times New Roman"/>
          <w:i/>
          <w:iCs/>
          <w:sz w:val="24"/>
          <w:szCs w:val="24"/>
        </w:rPr>
        <w:t xml:space="preserve">Environment and </w:t>
      </w:r>
      <w:r w:rsidR="00982F03" w:rsidRPr="000F6EBC">
        <w:rPr>
          <w:rFonts w:ascii="Times New Roman" w:eastAsia="Times New Roman" w:hAnsi="Times New Roman" w:cs="Times New Roman"/>
          <w:i/>
          <w:iCs/>
          <w:sz w:val="24"/>
          <w:szCs w:val="24"/>
        </w:rPr>
        <w:t>n</w:t>
      </w:r>
      <w:r w:rsidR="004D5725" w:rsidRPr="000F6EBC">
        <w:rPr>
          <w:rFonts w:ascii="Times New Roman" w:eastAsia="Times New Roman" w:hAnsi="Times New Roman" w:cs="Times New Roman"/>
          <w:i/>
          <w:iCs/>
          <w:sz w:val="24"/>
          <w:szCs w:val="24"/>
        </w:rPr>
        <w:t xml:space="preserve">ature </w:t>
      </w:r>
      <w:r w:rsidR="00982F03" w:rsidRPr="000F6EBC">
        <w:rPr>
          <w:rFonts w:ascii="Times New Roman" w:eastAsia="Times New Roman" w:hAnsi="Times New Roman" w:cs="Times New Roman"/>
          <w:i/>
          <w:iCs/>
          <w:sz w:val="24"/>
          <w:szCs w:val="24"/>
        </w:rPr>
        <w:t>p</w:t>
      </w:r>
      <w:r w:rsidR="004D5725" w:rsidRPr="000F6EBC">
        <w:rPr>
          <w:rFonts w:ascii="Times New Roman" w:eastAsia="Times New Roman" w:hAnsi="Times New Roman" w:cs="Times New Roman"/>
          <w:i/>
          <w:iCs/>
          <w:sz w:val="24"/>
          <w:szCs w:val="24"/>
        </w:rPr>
        <w:t>rotection</w:t>
      </w:r>
      <w:r w:rsidR="00FB3B86" w:rsidRPr="003071CE">
        <w:rPr>
          <w:rFonts w:ascii="Times New Roman" w:eastAsia="Times New Roman" w:hAnsi="Times New Roman" w:cs="Times New Roman"/>
          <w:sz w:val="24"/>
          <w:szCs w:val="24"/>
        </w:rPr>
        <w:t>, which in turn cooperates</w:t>
      </w:r>
      <w:r w:rsidR="004D5725" w:rsidRPr="003071CE">
        <w:rPr>
          <w:rFonts w:ascii="Times New Roman" w:eastAsia="Times New Roman" w:hAnsi="Times New Roman" w:cs="Times New Roman"/>
          <w:sz w:val="24"/>
          <w:szCs w:val="24"/>
        </w:rPr>
        <w:t xml:space="preserve"> 10 times </w:t>
      </w:r>
      <w:proofErr w:type="gramStart"/>
      <w:r w:rsidR="004D5725" w:rsidRPr="003071CE">
        <w:rPr>
          <w:rFonts w:ascii="Times New Roman" w:eastAsia="Times New Roman" w:hAnsi="Times New Roman" w:cs="Times New Roman"/>
          <w:sz w:val="24"/>
          <w:szCs w:val="24"/>
        </w:rPr>
        <w:t xml:space="preserve">with  </w:t>
      </w:r>
      <w:r w:rsidR="004D5725" w:rsidRPr="000F6EBC">
        <w:rPr>
          <w:rFonts w:ascii="Times New Roman" w:eastAsia="Times New Roman" w:hAnsi="Times New Roman" w:cs="Times New Roman"/>
          <w:i/>
          <w:iCs/>
          <w:sz w:val="24"/>
          <w:szCs w:val="24"/>
        </w:rPr>
        <w:t>Construction</w:t>
      </w:r>
      <w:proofErr w:type="gramEnd"/>
      <w:r w:rsidR="004D5725" w:rsidRPr="000F6EBC">
        <w:rPr>
          <w:rFonts w:ascii="Times New Roman" w:eastAsia="Times New Roman" w:hAnsi="Times New Roman" w:cs="Times New Roman"/>
          <w:i/>
          <w:iCs/>
          <w:sz w:val="24"/>
          <w:szCs w:val="24"/>
        </w:rPr>
        <w:t xml:space="preserve">, </w:t>
      </w:r>
      <w:r w:rsidR="00982F03" w:rsidRPr="000F6EBC">
        <w:rPr>
          <w:rFonts w:ascii="Times New Roman" w:eastAsia="Times New Roman" w:hAnsi="Times New Roman" w:cs="Times New Roman"/>
          <w:i/>
          <w:iCs/>
          <w:sz w:val="24"/>
          <w:szCs w:val="24"/>
        </w:rPr>
        <w:t>i</w:t>
      </w:r>
      <w:r w:rsidR="004D5725" w:rsidRPr="000F6EBC">
        <w:rPr>
          <w:rFonts w:ascii="Times New Roman" w:eastAsia="Times New Roman" w:hAnsi="Times New Roman" w:cs="Times New Roman"/>
          <w:i/>
          <w:iCs/>
          <w:sz w:val="24"/>
          <w:szCs w:val="24"/>
        </w:rPr>
        <w:t xml:space="preserve">nfrastructure and </w:t>
      </w:r>
      <w:r w:rsidR="00982F03" w:rsidRPr="000F6EBC">
        <w:rPr>
          <w:rFonts w:ascii="Times New Roman" w:eastAsia="Times New Roman" w:hAnsi="Times New Roman" w:cs="Times New Roman"/>
          <w:i/>
          <w:iCs/>
          <w:sz w:val="24"/>
          <w:szCs w:val="24"/>
        </w:rPr>
        <w:t>u</w:t>
      </w:r>
      <w:r w:rsidR="004D5725" w:rsidRPr="000F6EBC">
        <w:rPr>
          <w:rFonts w:ascii="Times New Roman" w:eastAsia="Times New Roman" w:hAnsi="Times New Roman" w:cs="Times New Roman"/>
          <w:i/>
          <w:iCs/>
          <w:sz w:val="24"/>
          <w:szCs w:val="24"/>
        </w:rPr>
        <w:t>tilities</w:t>
      </w:r>
      <w:r w:rsidR="004D5725" w:rsidRPr="003071CE">
        <w:rPr>
          <w:rFonts w:ascii="Times New Roman" w:eastAsia="Times New Roman" w:hAnsi="Times New Roman" w:cs="Times New Roman"/>
          <w:sz w:val="24"/>
          <w:szCs w:val="24"/>
        </w:rPr>
        <w:t>.</w:t>
      </w:r>
      <w:r w:rsidR="00FB3B86" w:rsidRPr="003071CE">
        <w:rPr>
          <w:rFonts w:ascii="Times New Roman" w:eastAsia="Times New Roman" w:hAnsi="Times New Roman" w:cs="Times New Roman"/>
          <w:sz w:val="24"/>
          <w:szCs w:val="24"/>
        </w:rPr>
        <w:t xml:space="preserve"> T</w:t>
      </w:r>
      <w:r w:rsidR="004D5725" w:rsidRPr="003071CE">
        <w:rPr>
          <w:rFonts w:ascii="Times New Roman" w:eastAsia="Times New Roman" w:hAnsi="Times New Roman" w:cs="Times New Roman"/>
          <w:sz w:val="24"/>
          <w:szCs w:val="24"/>
        </w:rPr>
        <w:t xml:space="preserve">hese four sectors appear all together </w:t>
      </w:r>
      <w:r w:rsidR="00FB3B86" w:rsidRPr="003071CE">
        <w:rPr>
          <w:rFonts w:ascii="Times New Roman" w:eastAsia="Times New Roman" w:hAnsi="Times New Roman" w:cs="Times New Roman"/>
          <w:sz w:val="24"/>
          <w:szCs w:val="24"/>
        </w:rPr>
        <w:t>seven</w:t>
      </w:r>
      <w:r w:rsidR="004D5725" w:rsidRPr="003071CE">
        <w:rPr>
          <w:rFonts w:ascii="Times New Roman" w:eastAsia="Times New Roman" w:hAnsi="Times New Roman" w:cs="Times New Roman"/>
          <w:sz w:val="24"/>
          <w:szCs w:val="24"/>
        </w:rPr>
        <w:t xml:space="preserve"> times. </w:t>
      </w:r>
      <w:r w:rsidR="00FB3B86" w:rsidRPr="003071CE">
        <w:rPr>
          <w:rFonts w:ascii="Times New Roman" w:eastAsia="Times New Roman" w:hAnsi="Times New Roman" w:cs="Times New Roman"/>
          <w:sz w:val="24"/>
          <w:szCs w:val="24"/>
        </w:rPr>
        <w:t xml:space="preserve">This </w:t>
      </w:r>
      <w:bookmarkStart w:id="10" w:name="_1t3h5sf" w:colFirst="0" w:colLast="0"/>
      <w:bookmarkEnd w:id="10"/>
      <w:r w:rsidR="004D5725" w:rsidRPr="003071CE">
        <w:rPr>
          <w:rFonts w:ascii="Times New Roman" w:eastAsia="Times New Roman" w:hAnsi="Times New Roman" w:cs="Times New Roman"/>
          <w:sz w:val="24"/>
          <w:szCs w:val="24"/>
        </w:rPr>
        <w:t xml:space="preserve">multi-sectoral coordination brings management challenges, </w:t>
      </w:r>
      <w:r w:rsidR="00FB3B86" w:rsidRPr="003071CE">
        <w:rPr>
          <w:rFonts w:ascii="Times New Roman" w:eastAsia="Times New Roman" w:hAnsi="Times New Roman" w:cs="Times New Roman"/>
          <w:sz w:val="24"/>
          <w:szCs w:val="24"/>
        </w:rPr>
        <w:t xml:space="preserve">and a salient issue is how these are handled. </w:t>
      </w:r>
      <w:r w:rsidR="00982F03" w:rsidRPr="003071CE">
        <w:rPr>
          <w:rFonts w:ascii="Times New Roman" w:eastAsia="Times New Roman" w:hAnsi="Times New Roman" w:cs="Times New Roman"/>
          <w:sz w:val="24"/>
          <w:szCs w:val="24"/>
        </w:rPr>
        <w:t>Our m</w:t>
      </w:r>
      <w:r w:rsidR="004D5725" w:rsidRPr="003071CE">
        <w:rPr>
          <w:rFonts w:ascii="Times New Roman" w:eastAsia="Times New Roman" w:hAnsi="Times New Roman" w:cs="Times New Roman"/>
          <w:sz w:val="24"/>
          <w:szCs w:val="24"/>
        </w:rPr>
        <w:t>ethod</w:t>
      </w:r>
      <w:r w:rsidR="00982F03" w:rsidRPr="003071CE">
        <w:rPr>
          <w:rFonts w:ascii="Times New Roman" w:eastAsia="Times New Roman" w:hAnsi="Times New Roman" w:cs="Times New Roman"/>
          <w:sz w:val="24"/>
          <w:szCs w:val="24"/>
        </w:rPr>
        <w:t>s</w:t>
      </w:r>
      <w:r w:rsidR="00FB3B86" w:rsidRPr="003071CE">
        <w:rPr>
          <w:rFonts w:ascii="Times New Roman" w:eastAsia="Times New Roman" w:hAnsi="Times New Roman" w:cs="Times New Roman"/>
          <w:sz w:val="24"/>
          <w:szCs w:val="24"/>
        </w:rPr>
        <w:t>, however,</w:t>
      </w:r>
      <w:r w:rsidR="004D5725" w:rsidRPr="003071CE">
        <w:rPr>
          <w:rFonts w:ascii="Times New Roman" w:eastAsia="Times New Roman" w:hAnsi="Times New Roman" w:cs="Times New Roman"/>
          <w:sz w:val="24"/>
          <w:szCs w:val="24"/>
        </w:rPr>
        <w:t xml:space="preserve"> limit our assessment of the depth and nature of these relationships</w:t>
      </w:r>
      <w:r w:rsidR="00FB3B86" w:rsidRPr="003071CE">
        <w:rPr>
          <w:rFonts w:ascii="Times New Roman" w:eastAsia="Times New Roman" w:hAnsi="Times New Roman" w:cs="Times New Roman"/>
          <w:sz w:val="24"/>
          <w:szCs w:val="24"/>
        </w:rPr>
        <w:t>.</w:t>
      </w:r>
      <w:r w:rsidR="004D5725" w:rsidRPr="003071CE">
        <w:rPr>
          <w:rFonts w:ascii="Times New Roman" w:eastAsia="Times New Roman" w:hAnsi="Times New Roman" w:cs="Times New Roman"/>
          <w:sz w:val="24"/>
          <w:szCs w:val="24"/>
        </w:rPr>
        <w:t xml:space="preserve"> </w:t>
      </w:r>
    </w:p>
    <w:p w14:paraId="52E04E5C" w14:textId="073FAB22" w:rsidR="00B14EAB" w:rsidRDefault="003071CE">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Sectoral labelling</w:t>
      </w:r>
      <w:r w:rsidR="004D5725">
        <w:rPr>
          <w:rFonts w:ascii="Times New Roman" w:eastAsia="Times New Roman" w:hAnsi="Times New Roman" w:cs="Times New Roman"/>
          <w:b/>
          <w:i/>
          <w:sz w:val="24"/>
          <w:szCs w:val="24"/>
        </w:rPr>
        <w:t xml:space="preserve"> of the projects</w:t>
      </w:r>
    </w:p>
    <w:p w14:paraId="52E04E5F" w14:textId="2C9E68F2" w:rsidR="00B14EAB" w:rsidRDefault="004D5725" w:rsidP="00FB3B86">
      <w:pPr>
        <w:spacing w:line="360" w:lineRule="auto"/>
        <w:jc w:val="both"/>
        <w:rPr>
          <w:rFonts w:ascii="Times New Roman" w:eastAsia="Times New Roman" w:hAnsi="Times New Roman" w:cs="Times New Roman"/>
          <w:sz w:val="24"/>
          <w:szCs w:val="24"/>
        </w:rPr>
      </w:pPr>
      <w:r w:rsidRPr="00850309">
        <w:rPr>
          <w:rFonts w:ascii="Times New Roman" w:eastAsia="Times New Roman" w:hAnsi="Times New Roman" w:cs="Times New Roman"/>
          <w:bCs/>
          <w:iCs/>
          <w:sz w:val="24"/>
          <w:szCs w:val="24"/>
        </w:rPr>
        <w:t xml:space="preserve">To complement this analysis, we examined the </w:t>
      </w:r>
      <w:r w:rsidR="003071CE">
        <w:rPr>
          <w:rFonts w:ascii="Times New Roman" w:eastAsia="Times New Roman" w:hAnsi="Times New Roman" w:cs="Times New Roman"/>
          <w:bCs/>
          <w:iCs/>
          <w:sz w:val="24"/>
          <w:szCs w:val="24"/>
        </w:rPr>
        <w:t>overall sectoral labelling</w:t>
      </w:r>
      <w:r w:rsidRPr="00850309">
        <w:rPr>
          <w:rFonts w:ascii="Times New Roman" w:eastAsia="Times New Roman" w:hAnsi="Times New Roman" w:cs="Times New Roman"/>
          <w:bCs/>
          <w:iCs/>
          <w:sz w:val="24"/>
          <w:szCs w:val="24"/>
        </w:rPr>
        <w:t xml:space="preserve"> of the projects. </w:t>
      </w:r>
      <w:r w:rsidR="00FB3B86">
        <w:rPr>
          <w:rFonts w:ascii="Times New Roman" w:eastAsia="Times New Roman" w:hAnsi="Times New Roman" w:cs="Times New Roman"/>
          <w:bCs/>
          <w:iCs/>
          <w:sz w:val="24"/>
          <w:szCs w:val="24"/>
        </w:rPr>
        <w:t xml:space="preserve">A focus on </w:t>
      </w:r>
      <w:r w:rsidRPr="000F6EBC">
        <w:rPr>
          <w:rFonts w:ascii="Times New Roman" w:eastAsia="Times New Roman" w:hAnsi="Times New Roman" w:cs="Times New Roman"/>
          <w:bCs/>
          <w:i/>
          <w:sz w:val="24"/>
          <w:szCs w:val="24"/>
        </w:rPr>
        <w:t>Water and other infrastructure and services</w:t>
      </w:r>
      <w:r w:rsidRPr="00850309">
        <w:rPr>
          <w:rFonts w:ascii="Times New Roman" w:eastAsia="Times New Roman" w:hAnsi="Times New Roman" w:cs="Times New Roman"/>
          <w:bCs/>
          <w:iCs/>
          <w:sz w:val="24"/>
          <w:szCs w:val="24"/>
        </w:rPr>
        <w:t xml:space="preserve"> </w:t>
      </w:r>
      <w:r w:rsidR="00FB3B86">
        <w:rPr>
          <w:rFonts w:ascii="Times New Roman" w:eastAsia="Times New Roman" w:hAnsi="Times New Roman" w:cs="Times New Roman"/>
          <w:bCs/>
          <w:iCs/>
          <w:sz w:val="24"/>
          <w:szCs w:val="24"/>
        </w:rPr>
        <w:t>wa</w:t>
      </w:r>
      <w:r w:rsidRPr="00850309">
        <w:rPr>
          <w:rFonts w:ascii="Times New Roman" w:eastAsia="Times New Roman" w:hAnsi="Times New Roman" w:cs="Times New Roman"/>
          <w:bCs/>
          <w:iCs/>
          <w:sz w:val="24"/>
          <w:szCs w:val="24"/>
        </w:rPr>
        <w:t>s included in almost all the</w:t>
      </w:r>
      <w:r>
        <w:rPr>
          <w:rFonts w:ascii="Times New Roman" w:eastAsia="Times New Roman" w:hAnsi="Times New Roman" w:cs="Times New Roman"/>
          <w:sz w:val="24"/>
          <w:szCs w:val="24"/>
        </w:rPr>
        <w:t xml:space="preserve"> projects (38), mainly because </w:t>
      </w:r>
      <w:r w:rsidR="00982F03">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projects target urban areas that are coastal or at risk of flood. </w:t>
      </w:r>
      <w:r w:rsidR="00FB3B86">
        <w:rPr>
          <w:rFonts w:ascii="Times New Roman" w:eastAsia="Times New Roman" w:hAnsi="Times New Roman" w:cs="Times New Roman"/>
          <w:sz w:val="24"/>
          <w:szCs w:val="24"/>
        </w:rPr>
        <w:t xml:space="preserve">As </w:t>
      </w:r>
      <w:r w:rsidR="003071CE">
        <w:rPr>
          <w:rFonts w:ascii="Times New Roman" w:eastAsia="Times New Roman" w:hAnsi="Times New Roman" w:cs="Times New Roman"/>
          <w:sz w:val="24"/>
          <w:szCs w:val="24"/>
        </w:rPr>
        <w:t>for</w:t>
      </w:r>
      <w:r w:rsidR="00FB3B86">
        <w:rPr>
          <w:rFonts w:ascii="Times New Roman" w:eastAsia="Times New Roman" w:hAnsi="Times New Roman" w:cs="Times New Roman"/>
          <w:sz w:val="24"/>
          <w:szCs w:val="24"/>
        </w:rPr>
        <w:t xml:space="preserve"> institutional affiliation, the orientation of the projects can cross sectors</w:t>
      </w:r>
      <w:r w:rsidR="003071CE">
        <w:rPr>
          <w:rFonts w:ascii="Times New Roman" w:eastAsia="Times New Roman" w:hAnsi="Times New Roman" w:cs="Times New Roman"/>
          <w:sz w:val="24"/>
          <w:szCs w:val="24"/>
        </w:rPr>
        <w:t>, and over half the projects address more than one sectoral concern</w:t>
      </w:r>
      <w:r w:rsidR="00FB3B86">
        <w:rPr>
          <w:rFonts w:ascii="Times New Roman" w:eastAsia="Times New Roman" w:hAnsi="Times New Roman" w:cs="Times New Roman"/>
          <w:sz w:val="24"/>
          <w:szCs w:val="24"/>
        </w:rPr>
        <w:t xml:space="preserve">. </w:t>
      </w:r>
      <w:r w:rsidR="00FB3B86" w:rsidRPr="007F1274">
        <w:rPr>
          <w:rFonts w:ascii="Times New Roman" w:eastAsia="Times New Roman" w:hAnsi="Times New Roman" w:cs="Times New Roman"/>
          <w:bCs/>
          <w:i/>
          <w:sz w:val="24"/>
          <w:szCs w:val="24"/>
        </w:rPr>
        <w:t>Water and other infrastructure and services</w:t>
      </w:r>
      <w:r w:rsidR="00FB3B86">
        <w:rPr>
          <w:rFonts w:ascii="Times New Roman" w:eastAsia="Times New Roman" w:hAnsi="Times New Roman" w:cs="Times New Roman"/>
          <w:bCs/>
          <w:i/>
          <w:sz w:val="24"/>
          <w:szCs w:val="24"/>
        </w:rPr>
        <w:t xml:space="preserve">, </w:t>
      </w:r>
      <w:r w:rsidR="00FB3B86" w:rsidRPr="000F6EBC">
        <w:rPr>
          <w:rFonts w:ascii="Times New Roman" w:eastAsia="Times New Roman" w:hAnsi="Times New Roman" w:cs="Times New Roman"/>
          <w:bCs/>
          <w:iCs/>
          <w:sz w:val="24"/>
          <w:szCs w:val="24"/>
        </w:rPr>
        <w:t>for instance,</w:t>
      </w:r>
      <w:r w:rsidR="00FB3B86">
        <w:rPr>
          <w:rFonts w:ascii="Times New Roman" w:eastAsia="Times New Roman" w:hAnsi="Times New Roman" w:cs="Times New Roman"/>
          <w:sz w:val="24"/>
          <w:szCs w:val="24"/>
        </w:rPr>
        <w:t xml:space="preserve"> appeared in conjunction with </w:t>
      </w:r>
      <w:r w:rsidR="00FB3B86" w:rsidRPr="000F6EBC">
        <w:rPr>
          <w:rFonts w:ascii="Times New Roman" w:eastAsia="Times New Roman" w:hAnsi="Times New Roman" w:cs="Times New Roman"/>
          <w:i/>
          <w:iCs/>
          <w:sz w:val="24"/>
          <w:szCs w:val="24"/>
        </w:rPr>
        <w:t>Energy</w:t>
      </w:r>
      <w:r w:rsidR="00FB3B86">
        <w:rPr>
          <w:rFonts w:ascii="Times New Roman" w:eastAsia="Times New Roman" w:hAnsi="Times New Roman" w:cs="Times New Roman"/>
          <w:sz w:val="24"/>
          <w:szCs w:val="24"/>
        </w:rPr>
        <w:t xml:space="preserve"> five times, and with </w:t>
      </w:r>
      <w:r w:rsidR="00FB3B86" w:rsidRPr="000F6EBC">
        <w:rPr>
          <w:rFonts w:ascii="Times New Roman" w:eastAsia="Times New Roman" w:hAnsi="Times New Roman" w:cs="Times New Roman"/>
          <w:i/>
          <w:iCs/>
          <w:sz w:val="24"/>
          <w:szCs w:val="24"/>
        </w:rPr>
        <w:t>Transport</w:t>
      </w:r>
      <w:r w:rsidR="00FB3B86">
        <w:rPr>
          <w:rFonts w:ascii="Times New Roman" w:eastAsia="Times New Roman" w:hAnsi="Times New Roman" w:cs="Times New Roman"/>
          <w:sz w:val="24"/>
          <w:szCs w:val="24"/>
        </w:rPr>
        <w:t xml:space="preserve"> (three times), among others.</w:t>
      </w:r>
      <w:r w:rsidR="003071CE">
        <w:rPr>
          <w:rFonts w:ascii="Times New Roman" w:eastAsia="Times New Roman" w:hAnsi="Times New Roman" w:cs="Times New Roman"/>
          <w:sz w:val="24"/>
          <w:szCs w:val="24"/>
        </w:rPr>
        <w:t xml:space="preserve"> The sectoral range was, however, </w:t>
      </w:r>
      <w:proofErr w:type="gramStart"/>
      <w:r w:rsidR="003071CE">
        <w:rPr>
          <w:rFonts w:ascii="Times New Roman" w:eastAsia="Times New Roman" w:hAnsi="Times New Roman" w:cs="Times New Roman"/>
          <w:sz w:val="24"/>
          <w:szCs w:val="24"/>
        </w:rPr>
        <w:t>fairly limited</w:t>
      </w:r>
      <w:proofErr w:type="gramEnd"/>
      <w:r w:rsidR="003071CE">
        <w:rPr>
          <w:rFonts w:ascii="Times New Roman" w:eastAsia="Times New Roman" w:hAnsi="Times New Roman" w:cs="Times New Roman"/>
          <w:sz w:val="24"/>
          <w:szCs w:val="24"/>
        </w:rPr>
        <w:t>. In terms of type of investment in these sectors,</w:t>
      </w:r>
      <w:r w:rsidR="00FB3B86">
        <w:rPr>
          <w:rFonts w:ascii="Times New Roman" w:eastAsia="Times New Roman" w:hAnsi="Times New Roman" w:cs="Times New Roman"/>
          <w:sz w:val="24"/>
          <w:szCs w:val="24"/>
        </w:rPr>
        <w:t xml:space="preserve"> </w:t>
      </w:r>
      <w:r w:rsidR="00FB3B86" w:rsidRPr="000F6EBC">
        <w:rPr>
          <w:rFonts w:ascii="Times New Roman" w:eastAsia="Times New Roman" w:hAnsi="Times New Roman" w:cs="Times New Roman"/>
          <w:i/>
          <w:iCs/>
          <w:sz w:val="24"/>
          <w:szCs w:val="24"/>
        </w:rPr>
        <w:t>Construction</w:t>
      </w:r>
      <w:r w:rsidR="00FB3B86">
        <w:rPr>
          <w:rFonts w:ascii="Times New Roman" w:eastAsia="Times New Roman" w:hAnsi="Times New Roman" w:cs="Times New Roman"/>
          <w:sz w:val="24"/>
          <w:szCs w:val="24"/>
        </w:rPr>
        <w:t xml:space="preserve"> was a very common focus (25 projects), appearing in 12 cases in conjunction with </w:t>
      </w:r>
      <w:r w:rsidR="00FB3B86" w:rsidRPr="000F6EBC">
        <w:rPr>
          <w:rFonts w:ascii="Times New Roman" w:eastAsia="Times New Roman" w:hAnsi="Times New Roman" w:cs="Times New Roman"/>
          <w:i/>
          <w:iCs/>
          <w:sz w:val="24"/>
          <w:szCs w:val="24"/>
        </w:rPr>
        <w:t>Procurement and Rehabilitation</w:t>
      </w:r>
      <w:r w:rsidR="00FB3B86">
        <w:rPr>
          <w:rFonts w:ascii="Times New Roman" w:eastAsia="Times New Roman" w:hAnsi="Times New Roman" w:cs="Times New Roman"/>
          <w:sz w:val="24"/>
          <w:szCs w:val="24"/>
        </w:rPr>
        <w:t xml:space="preserve">. </w:t>
      </w:r>
    </w:p>
    <w:p w14:paraId="52E04E60" w14:textId="5896B8DF" w:rsidR="00B14EAB" w:rsidRDefault="00982F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is evident in</w:t>
      </w:r>
      <w:r w:rsidR="004D5725">
        <w:rPr>
          <w:rFonts w:ascii="Times New Roman" w:eastAsia="Times New Roman" w:hAnsi="Times New Roman" w:cs="Times New Roman"/>
          <w:sz w:val="24"/>
          <w:szCs w:val="24"/>
        </w:rPr>
        <w:t xml:space="preserve"> the focus on construction, infrastructure and utilities and planning, projects are </w:t>
      </w:r>
      <w:r w:rsidR="003071CE">
        <w:rPr>
          <w:rFonts w:ascii="Times New Roman" w:eastAsia="Times New Roman" w:hAnsi="Times New Roman" w:cs="Times New Roman"/>
          <w:sz w:val="24"/>
          <w:szCs w:val="24"/>
        </w:rPr>
        <w:t xml:space="preserve">therefore </w:t>
      </w:r>
      <w:r w:rsidR="004D5725">
        <w:rPr>
          <w:rFonts w:ascii="Times New Roman" w:eastAsia="Times New Roman" w:hAnsi="Times New Roman" w:cs="Times New Roman"/>
          <w:sz w:val="24"/>
          <w:szCs w:val="24"/>
        </w:rPr>
        <w:t>mainly oriented towards “hard” adaptation measures, exclusively or in combination with other broadly defined hard measures. Meanwhile, there is limited focus on “soft” adaptation skills (e.g., public sector or education) or the social sectors. Finally, the investigated projects devoted investments more to new structural measures than to adapting existing regulations, infrastructure</w:t>
      </w:r>
      <w:r w:rsidR="000F2332">
        <w:rPr>
          <w:rFonts w:ascii="Times New Roman" w:eastAsia="Times New Roman" w:hAnsi="Times New Roman" w:cs="Times New Roman"/>
          <w:sz w:val="24"/>
          <w:szCs w:val="24"/>
        </w:rPr>
        <w:t>,</w:t>
      </w:r>
      <w:r w:rsidR="004D5725">
        <w:rPr>
          <w:rFonts w:ascii="Times New Roman" w:eastAsia="Times New Roman" w:hAnsi="Times New Roman" w:cs="Times New Roman"/>
          <w:sz w:val="24"/>
          <w:szCs w:val="24"/>
        </w:rPr>
        <w:t xml:space="preserve"> and environments.</w:t>
      </w:r>
    </w:p>
    <w:p w14:paraId="52E04E61" w14:textId="77777777" w:rsidR="00B14EAB" w:rsidRDefault="004D572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Climatic, temporal and spatial uncertainty</w:t>
      </w:r>
    </w:p>
    <w:p w14:paraId="52E04E64" w14:textId="775F108D" w:rsidR="00B14EAB" w:rsidRDefault="004D5725">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Most projects consider the long-term changes that can occur in key climate variables such as high temperatures, sea level, ocean acidification, and extreme rainfall (e.g., GCF1; AF1; SCCF2; GCF2). Just 13 projects, however, explicitly acknowledge that the intensity of changes and the frequency of climate-related extreme events are still uncertain, and even </w:t>
      </w:r>
      <w:r w:rsidR="00215DC5">
        <w:rPr>
          <w:rFonts w:ascii="Times New Roman" w:eastAsia="Times New Roman" w:hAnsi="Times New Roman" w:cs="Times New Roman"/>
          <w:sz w:val="24"/>
          <w:szCs w:val="24"/>
        </w:rPr>
        <w:t>fewer</w:t>
      </w:r>
      <w:r>
        <w:rPr>
          <w:rFonts w:ascii="Times New Roman" w:eastAsia="Times New Roman" w:hAnsi="Times New Roman" w:cs="Times New Roman"/>
          <w:sz w:val="24"/>
          <w:szCs w:val="24"/>
        </w:rPr>
        <w:t xml:space="preserve"> (11 projects) consider explicit strategies for managing this. </w:t>
      </w:r>
      <w:bookmarkStart w:id="11" w:name="_4d34og8" w:colFirst="0" w:colLast="0"/>
      <w:bookmarkEnd w:id="11"/>
      <w:r>
        <w:rPr>
          <w:rFonts w:ascii="Times New Roman" w:eastAsia="Times New Roman" w:hAnsi="Times New Roman" w:cs="Times New Roman"/>
          <w:sz w:val="24"/>
          <w:szCs w:val="24"/>
        </w:rPr>
        <w:t xml:space="preserve">Sixteen projects mention temporal and spatial uncertainty. They mainly rely on projections and scenarios formulated at global and national scale, given the lack of applicable regional and local scale scenarios. Some projects use global projections from international organizations. For example, SCCF2 uses projections based on the Special Report on Extreme Events by the IPCC (Field et al., 2012). Meanwhile, GCF3 relies on scenarios by the Australian Commonwealth Scientific and Industrial Research Organization (CSIRO). Other projects (e.g., AF1, AF2, AF6 and GCF2) rely on projections from national reports. </w:t>
      </w:r>
    </w:p>
    <w:p w14:paraId="52E04E66" w14:textId="3328A65A"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Twenty-eight of </w:t>
      </w:r>
      <w:r w:rsidR="00215DC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39 projects do not incorporate any specific strategy for dealing with uncertainties. Nine projects, however, mention no-regret/low-regret options for addressing uncertainties. </w:t>
      </w:r>
      <w:r w:rsidR="00215DC5">
        <w:rPr>
          <w:rFonts w:ascii="Times New Roman" w:eastAsia="Times New Roman" w:hAnsi="Times New Roman" w:cs="Times New Roman"/>
          <w:sz w:val="24"/>
          <w:szCs w:val="24"/>
        </w:rPr>
        <w:t>These</w:t>
      </w:r>
      <w:r>
        <w:rPr>
          <w:rFonts w:ascii="Times New Roman" w:eastAsia="Times New Roman" w:hAnsi="Times New Roman" w:cs="Times New Roman"/>
          <w:sz w:val="24"/>
          <w:szCs w:val="24"/>
        </w:rPr>
        <w:t xml:space="preserve"> are cost-effective actions under current climate conditions that allow organisations to implement short-term adaptation actions instead of adopting a ‘wait and see approach’</w:t>
      </w:r>
      <w:r w:rsidR="00BB4805">
        <w:rPr>
          <w:rFonts w:ascii="Times New Roman" w:eastAsia="Times New Roman" w:hAnsi="Times New Roman" w:cs="Times New Roman"/>
          <w:sz w:val="24"/>
          <w:szCs w:val="24"/>
        </w:rPr>
        <w:t>.</w:t>
      </w:r>
      <w:r w:rsidR="000B5487">
        <w:rPr>
          <w:rStyle w:val="FootnoteReference"/>
          <w:rFonts w:ascii="Times New Roman" w:eastAsia="Times New Roman" w:hAnsi="Times New Roman" w:cs="Times New Roman"/>
          <w:sz w:val="24"/>
          <w:szCs w:val="24"/>
        </w:rPr>
        <w:footnoteReference w:id="47"/>
      </w:r>
      <w:r>
        <w:rPr>
          <w:rFonts w:ascii="Times New Roman" w:eastAsia="Times New Roman" w:hAnsi="Times New Roman" w:cs="Times New Roman"/>
          <w:sz w:val="24"/>
          <w:szCs w:val="24"/>
        </w:rPr>
        <w:t xml:space="preserve"> Most of the projects that mention no-regret options do not explain what these options mean and how they can be operationalized (PPCR3, PPCR4). Just two projects (GPSC1 and SCCF1) claim that no-regret options are meant to increase resilience and “have other benefits”, but do not specify these options and their benefits. Table 4 summarizes the details of these options where they were provided. These appear to be standard adaptation measures that have been framed as no-regrets options, but do not appear to have been linked in design to </w:t>
      </w:r>
      <w:proofErr w:type="gramStart"/>
      <w:r>
        <w:rPr>
          <w:rFonts w:ascii="Times New Roman" w:eastAsia="Times New Roman" w:hAnsi="Times New Roman" w:cs="Times New Roman"/>
          <w:sz w:val="24"/>
          <w:szCs w:val="24"/>
        </w:rPr>
        <w:t>particular parameters</w:t>
      </w:r>
      <w:proofErr w:type="gramEnd"/>
      <w:r>
        <w:rPr>
          <w:rFonts w:ascii="Times New Roman" w:eastAsia="Times New Roman" w:hAnsi="Times New Roman" w:cs="Times New Roman"/>
          <w:sz w:val="24"/>
          <w:szCs w:val="24"/>
        </w:rPr>
        <w:t xml:space="preserve"> or types of uncertainty.  </w:t>
      </w:r>
    </w:p>
    <w:p w14:paraId="52E04E67" w14:textId="77777777" w:rsidR="00B14EAB" w:rsidRDefault="004D5725">
      <w:pPr>
        <w:keepNext/>
        <w:pBdr>
          <w:top w:val="nil"/>
          <w:left w:val="nil"/>
          <w:bottom w:val="nil"/>
          <w:right w:val="nil"/>
          <w:between w:val="nil"/>
        </w:pBdr>
        <w:spacing w:before="120" w:after="480" w:line="240" w:lineRule="auto"/>
        <w:rPr>
          <w:i/>
          <w:color w:val="44546A"/>
          <w:sz w:val="20"/>
          <w:szCs w:val="20"/>
        </w:rPr>
      </w:pPr>
      <w:r>
        <w:rPr>
          <w:i/>
          <w:color w:val="44546A"/>
          <w:sz w:val="20"/>
          <w:szCs w:val="20"/>
        </w:rPr>
        <w:lastRenderedPageBreak/>
        <w:t>Table 4: No-regret options in the investigated projects (where considered).</w:t>
      </w:r>
    </w:p>
    <w:p w14:paraId="52E04E68" w14:textId="77777777" w:rsidR="00B14EAB" w:rsidRDefault="004D5725">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Transforming adaptation </w:t>
      </w:r>
    </w:p>
    <w:p w14:paraId="52E04E69" w14:textId="77777777" w:rsidR="00B14EAB" w:rsidRDefault="00B14EAB">
      <w:pPr>
        <w:spacing w:line="360" w:lineRule="auto"/>
        <w:jc w:val="both"/>
        <w:rPr>
          <w:rFonts w:ascii="Times New Roman" w:eastAsia="Times New Roman" w:hAnsi="Times New Roman" w:cs="Times New Roman"/>
          <w:b/>
          <w:i/>
          <w:sz w:val="24"/>
          <w:szCs w:val="24"/>
        </w:rPr>
      </w:pPr>
    </w:p>
    <w:p w14:paraId="52E04E6A" w14:textId="77777777" w:rsidR="00B14EAB" w:rsidRDefault="004D572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Catalytic effects</w:t>
      </w:r>
    </w:p>
    <w:p w14:paraId="52E04E6B" w14:textId="12E85D07" w:rsidR="00B14EAB" w:rsidRDefault="00E25B11">
      <w:pPr>
        <w:spacing w:line="360" w:lineRule="auto"/>
        <w:jc w:val="both"/>
        <w:rPr>
          <w:rFonts w:ascii="Times New Roman" w:eastAsia="Times New Roman" w:hAnsi="Times New Roman" w:cs="Times New Roman"/>
          <w:sz w:val="24"/>
          <w:szCs w:val="24"/>
        </w:rPr>
      </w:pPr>
      <w:bookmarkStart w:id="12" w:name="_2s8eyo1" w:colFirst="0" w:colLast="0"/>
      <w:bookmarkStart w:id="13" w:name="_Hlk110670209"/>
      <w:bookmarkEnd w:id="12"/>
      <w:r>
        <w:rPr>
          <w:rFonts w:ascii="Times New Roman" w:eastAsia="Times New Roman" w:hAnsi="Times New Roman" w:cs="Times New Roman"/>
          <w:sz w:val="24"/>
          <w:szCs w:val="24"/>
        </w:rPr>
        <w:t>C</w:t>
      </w:r>
      <w:r w:rsidR="004D5725">
        <w:rPr>
          <w:rFonts w:ascii="Times New Roman" w:eastAsia="Times New Roman" w:hAnsi="Times New Roman" w:cs="Times New Roman"/>
          <w:sz w:val="24"/>
          <w:szCs w:val="24"/>
        </w:rPr>
        <w:t>atalytic effects</w:t>
      </w:r>
      <w:bookmarkEnd w:id="13"/>
      <w:r w:rsidR="004D572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re</w:t>
      </w:r>
      <w:r w:rsidR="004D5725">
        <w:rPr>
          <w:rFonts w:ascii="Times New Roman" w:eastAsia="Times New Roman" w:hAnsi="Times New Roman" w:cs="Times New Roman"/>
          <w:sz w:val="24"/>
          <w:szCs w:val="24"/>
        </w:rPr>
        <w:t xml:space="preserve"> those able to extend the impact of the projects in sectors outside the immediate areas of intervention. </w:t>
      </w:r>
      <w:r w:rsidR="00FB3B86">
        <w:rPr>
          <w:rFonts w:ascii="Times New Roman" w:eastAsia="Times New Roman" w:hAnsi="Times New Roman" w:cs="Times New Roman"/>
          <w:sz w:val="24"/>
          <w:szCs w:val="24"/>
        </w:rPr>
        <w:t>J</w:t>
      </w:r>
      <w:r w:rsidRPr="00E25B11">
        <w:rPr>
          <w:rFonts w:ascii="Times New Roman" w:eastAsia="Times New Roman" w:hAnsi="Times New Roman" w:cs="Times New Roman"/>
          <w:sz w:val="24"/>
          <w:szCs w:val="24"/>
        </w:rPr>
        <w:t>ust eleven projects mention catalytic effects</w:t>
      </w:r>
      <w:r>
        <w:rPr>
          <w:rFonts w:ascii="Times New Roman" w:eastAsia="Times New Roman" w:hAnsi="Times New Roman" w:cs="Times New Roman"/>
          <w:sz w:val="24"/>
          <w:szCs w:val="24"/>
        </w:rPr>
        <w:t xml:space="preserve">. </w:t>
      </w:r>
      <w:r w:rsidR="00215DC5">
        <w:rPr>
          <w:rFonts w:ascii="Times New Roman" w:eastAsia="Times New Roman" w:hAnsi="Times New Roman" w:cs="Times New Roman"/>
          <w:sz w:val="24"/>
          <w:szCs w:val="24"/>
        </w:rPr>
        <w:t>I</w:t>
      </w:r>
      <w:r>
        <w:rPr>
          <w:rFonts w:ascii="Times New Roman" w:eastAsia="Times New Roman" w:hAnsi="Times New Roman" w:cs="Times New Roman"/>
          <w:sz w:val="24"/>
          <w:szCs w:val="24"/>
        </w:rPr>
        <w:t>n this regard,</w:t>
      </w:r>
      <w:r w:rsidRPr="00E25B11">
        <w:rPr>
          <w:rFonts w:ascii="Times New Roman" w:eastAsia="Times New Roman" w:hAnsi="Times New Roman" w:cs="Times New Roman"/>
          <w:sz w:val="24"/>
          <w:szCs w:val="24"/>
        </w:rPr>
        <w:t xml:space="preserve"> </w:t>
      </w:r>
      <w:r w:rsidR="004D5725">
        <w:rPr>
          <w:rFonts w:ascii="Times New Roman" w:eastAsia="Times New Roman" w:hAnsi="Times New Roman" w:cs="Times New Roman"/>
          <w:sz w:val="24"/>
          <w:szCs w:val="24"/>
        </w:rPr>
        <w:t>Table 5 shows</w:t>
      </w:r>
      <w:r>
        <w:rPr>
          <w:rFonts w:ascii="Times New Roman" w:eastAsia="Times New Roman" w:hAnsi="Times New Roman" w:cs="Times New Roman"/>
          <w:sz w:val="24"/>
          <w:szCs w:val="24"/>
        </w:rPr>
        <w:t xml:space="preserve"> </w:t>
      </w:r>
      <w:r w:rsidR="004D5725">
        <w:rPr>
          <w:rFonts w:ascii="Times New Roman" w:eastAsia="Times New Roman" w:hAnsi="Times New Roman" w:cs="Times New Roman"/>
          <w:sz w:val="24"/>
          <w:szCs w:val="24"/>
        </w:rPr>
        <w:t xml:space="preserve">the four mechanisms mentioned by the projects, including: financial mechanisms and investments; planning tools; adaptation training and guidelines; and communication and dissemination. The projects promoting catalytic effects therefore mostly rely on soft mechanisms for investments, wider stakeholder involvement, and the integration of project outcomes into development planning. </w:t>
      </w:r>
      <w:r w:rsidR="00FB3B86">
        <w:rPr>
          <w:rFonts w:ascii="Times New Roman" w:eastAsia="Times New Roman" w:hAnsi="Times New Roman" w:cs="Times New Roman"/>
          <w:sz w:val="24"/>
          <w:szCs w:val="24"/>
        </w:rPr>
        <w:t>I</w:t>
      </w:r>
      <w:r w:rsidR="004D5725">
        <w:rPr>
          <w:rFonts w:ascii="Times New Roman" w:eastAsia="Times New Roman" w:hAnsi="Times New Roman" w:cs="Times New Roman"/>
          <w:sz w:val="24"/>
          <w:szCs w:val="24"/>
        </w:rPr>
        <w:t>nteresting innovation</w:t>
      </w:r>
      <w:r w:rsidR="00FB3B86">
        <w:rPr>
          <w:rFonts w:ascii="Times New Roman" w:eastAsia="Times New Roman" w:hAnsi="Times New Roman" w:cs="Times New Roman"/>
          <w:sz w:val="24"/>
          <w:szCs w:val="24"/>
        </w:rPr>
        <w:t>s include</w:t>
      </w:r>
      <w:r w:rsidR="004D5725">
        <w:rPr>
          <w:rFonts w:ascii="Times New Roman" w:eastAsia="Times New Roman" w:hAnsi="Times New Roman" w:cs="Times New Roman"/>
          <w:sz w:val="24"/>
          <w:szCs w:val="24"/>
        </w:rPr>
        <w:t xml:space="preserve"> us</w:t>
      </w:r>
      <w:r w:rsidR="00FB3B86">
        <w:rPr>
          <w:rFonts w:ascii="Times New Roman" w:eastAsia="Times New Roman" w:hAnsi="Times New Roman" w:cs="Times New Roman"/>
          <w:sz w:val="24"/>
          <w:szCs w:val="24"/>
        </w:rPr>
        <w:t>ing</w:t>
      </w:r>
      <w:r w:rsidR="004D5725">
        <w:rPr>
          <w:rFonts w:ascii="Times New Roman" w:eastAsia="Times New Roman" w:hAnsi="Times New Roman" w:cs="Times New Roman"/>
          <w:sz w:val="24"/>
          <w:szCs w:val="24"/>
        </w:rPr>
        <w:t xml:space="preserve"> narration to share memor</w:t>
      </w:r>
      <w:r w:rsidR="00FB3B86">
        <w:rPr>
          <w:rFonts w:ascii="Times New Roman" w:eastAsia="Times New Roman" w:hAnsi="Times New Roman" w:cs="Times New Roman"/>
          <w:sz w:val="24"/>
          <w:szCs w:val="24"/>
        </w:rPr>
        <w:t>ies</w:t>
      </w:r>
      <w:r w:rsidR="004F6B54">
        <w:rPr>
          <w:rFonts w:ascii="Times New Roman" w:eastAsia="Times New Roman" w:hAnsi="Times New Roman" w:cs="Times New Roman"/>
          <w:sz w:val="24"/>
          <w:szCs w:val="24"/>
        </w:rPr>
        <w:t xml:space="preserve"> (AF8</w:t>
      </w:r>
      <w:proofErr w:type="gramStart"/>
      <w:r w:rsidR="004F6B54">
        <w:rPr>
          <w:rFonts w:ascii="Times New Roman" w:eastAsia="Times New Roman" w:hAnsi="Times New Roman" w:cs="Times New Roman"/>
          <w:sz w:val="24"/>
          <w:szCs w:val="24"/>
        </w:rPr>
        <w:t>)</w:t>
      </w:r>
      <w:r w:rsidR="004D5725">
        <w:rPr>
          <w:rFonts w:ascii="Times New Roman" w:eastAsia="Times New Roman" w:hAnsi="Times New Roman" w:cs="Times New Roman"/>
          <w:sz w:val="24"/>
          <w:szCs w:val="24"/>
        </w:rPr>
        <w:t xml:space="preserve">, </w:t>
      </w:r>
      <w:r w:rsidR="00FB3B86">
        <w:rPr>
          <w:rFonts w:ascii="Times New Roman" w:eastAsia="Times New Roman" w:hAnsi="Times New Roman" w:cs="Times New Roman"/>
          <w:sz w:val="24"/>
          <w:szCs w:val="24"/>
        </w:rPr>
        <w:t>and</w:t>
      </w:r>
      <w:proofErr w:type="gramEnd"/>
      <w:r w:rsidR="004D5725">
        <w:rPr>
          <w:rFonts w:ascii="Times New Roman" w:eastAsia="Times New Roman" w:hAnsi="Times New Roman" w:cs="Times New Roman"/>
          <w:sz w:val="24"/>
          <w:szCs w:val="24"/>
        </w:rPr>
        <w:t xml:space="preserve"> using funds to promote leadership for urban adaptation</w:t>
      </w:r>
      <w:r w:rsidR="00341229">
        <w:rPr>
          <w:rFonts w:ascii="Times New Roman" w:eastAsia="Times New Roman" w:hAnsi="Times New Roman" w:cs="Times New Roman"/>
          <w:sz w:val="24"/>
          <w:szCs w:val="24"/>
        </w:rPr>
        <w:t xml:space="preserve"> (SCCF1)</w:t>
      </w:r>
      <w:r w:rsidR="00FB3B86">
        <w:rPr>
          <w:rFonts w:ascii="Times New Roman" w:eastAsia="Times New Roman" w:hAnsi="Times New Roman" w:cs="Times New Roman"/>
          <w:sz w:val="24"/>
          <w:szCs w:val="24"/>
        </w:rPr>
        <w:t xml:space="preserve"> (see table 5)</w:t>
      </w:r>
      <w:r w:rsidR="004D5725">
        <w:rPr>
          <w:rFonts w:ascii="Times New Roman" w:eastAsia="Times New Roman" w:hAnsi="Times New Roman" w:cs="Times New Roman"/>
          <w:sz w:val="24"/>
          <w:szCs w:val="24"/>
        </w:rPr>
        <w:t xml:space="preserve">. </w:t>
      </w:r>
    </w:p>
    <w:p w14:paraId="52E04E6C" w14:textId="77777777" w:rsidR="00B14EAB" w:rsidRDefault="004D5725">
      <w:pPr>
        <w:keepNext/>
        <w:pBdr>
          <w:top w:val="nil"/>
          <w:left w:val="nil"/>
          <w:bottom w:val="nil"/>
          <w:right w:val="nil"/>
          <w:between w:val="nil"/>
        </w:pBdr>
        <w:spacing w:before="120" w:after="480" w:line="240" w:lineRule="auto"/>
        <w:rPr>
          <w:i/>
          <w:color w:val="44546A"/>
          <w:sz w:val="20"/>
          <w:szCs w:val="20"/>
        </w:rPr>
      </w:pPr>
      <w:bookmarkStart w:id="14" w:name="_17dp8vu" w:colFirst="0" w:colLast="0"/>
      <w:bookmarkEnd w:id="14"/>
      <w:r>
        <w:rPr>
          <w:i/>
          <w:color w:val="44546A"/>
          <w:sz w:val="20"/>
          <w:szCs w:val="20"/>
        </w:rPr>
        <w:t>Table 5: Catalytic effects of the selected projects.</w:t>
      </w:r>
    </w:p>
    <w:p w14:paraId="52E04E6D" w14:textId="77777777" w:rsidR="00B14EAB" w:rsidRDefault="004D5725">
      <w:pPr>
        <w:spacing w:line="360" w:lineRule="auto"/>
        <w:jc w:val="both"/>
        <w:rPr>
          <w:b/>
          <w:i/>
        </w:rPr>
      </w:pPr>
      <w:r>
        <w:rPr>
          <w:rFonts w:ascii="Times New Roman" w:eastAsia="Times New Roman" w:hAnsi="Times New Roman" w:cs="Times New Roman"/>
          <w:b/>
          <w:i/>
          <w:sz w:val="24"/>
          <w:szCs w:val="24"/>
        </w:rPr>
        <w:t>Upscaling effects</w:t>
      </w:r>
    </w:p>
    <w:p w14:paraId="52E04E6E" w14:textId="7DF2C52F" w:rsidR="00B14EAB" w:rsidRPr="00341229" w:rsidRDefault="004D5725">
      <w:pPr>
        <w:spacing w:line="360" w:lineRule="auto"/>
        <w:jc w:val="both"/>
        <w:rPr>
          <w:rFonts w:ascii="Times New Roman" w:hAnsi="Times New Roman" w:cs="Times New Roman"/>
          <w:bCs/>
          <w:iCs/>
          <w:sz w:val="24"/>
          <w:szCs w:val="24"/>
        </w:rPr>
      </w:pPr>
      <w:r w:rsidRPr="00341229">
        <w:rPr>
          <w:rFonts w:ascii="Times New Roman" w:hAnsi="Times New Roman" w:cs="Times New Roman"/>
          <w:bCs/>
          <w:iCs/>
          <w:sz w:val="24"/>
          <w:szCs w:val="24"/>
        </w:rPr>
        <w:t>All the investigated projects mention upscaling effects into other urban areas, in some cases at nationwide and continental level, for example across urban areas in the Caribbean (e.g., SCCF5), South-East Asia (e.g., GPSC1) or across Oceanian islands (e.g.</w:t>
      </w:r>
      <w:r w:rsidR="00FE192F">
        <w:rPr>
          <w:rFonts w:ascii="Times New Roman" w:hAnsi="Times New Roman" w:cs="Times New Roman"/>
          <w:bCs/>
          <w:iCs/>
          <w:sz w:val="24"/>
          <w:szCs w:val="24"/>
        </w:rPr>
        <w:t>,</w:t>
      </w:r>
      <w:r w:rsidRPr="00341229">
        <w:rPr>
          <w:rFonts w:ascii="Times New Roman" w:hAnsi="Times New Roman" w:cs="Times New Roman"/>
          <w:bCs/>
          <w:iCs/>
          <w:sz w:val="24"/>
          <w:szCs w:val="24"/>
        </w:rPr>
        <w:t xml:space="preserve"> GCF1). While in 25 projects upscaling is just mentioned</w:t>
      </w:r>
      <w:r w:rsidR="00215DC5">
        <w:rPr>
          <w:rFonts w:ascii="Times New Roman" w:hAnsi="Times New Roman" w:cs="Times New Roman"/>
          <w:bCs/>
          <w:iCs/>
          <w:sz w:val="24"/>
          <w:szCs w:val="24"/>
        </w:rPr>
        <w:t xml:space="preserve"> with</w:t>
      </w:r>
      <w:r w:rsidRPr="00341229">
        <w:rPr>
          <w:rFonts w:ascii="Times New Roman" w:hAnsi="Times New Roman" w:cs="Times New Roman"/>
          <w:bCs/>
          <w:iCs/>
          <w:sz w:val="24"/>
          <w:szCs w:val="24"/>
        </w:rPr>
        <w:t xml:space="preserve"> no explanation</w:t>
      </w:r>
      <w:r w:rsidR="00FB3B86">
        <w:rPr>
          <w:rFonts w:ascii="Times New Roman" w:hAnsi="Times New Roman" w:cs="Times New Roman"/>
          <w:bCs/>
          <w:iCs/>
          <w:sz w:val="24"/>
          <w:szCs w:val="24"/>
        </w:rPr>
        <w:t>,</w:t>
      </w:r>
      <w:r w:rsidRPr="00341229">
        <w:rPr>
          <w:rFonts w:ascii="Times New Roman" w:hAnsi="Times New Roman" w:cs="Times New Roman"/>
          <w:bCs/>
          <w:iCs/>
          <w:sz w:val="24"/>
          <w:szCs w:val="24"/>
        </w:rPr>
        <w:t xml:space="preserve"> (e.g., AF4 and AF8), </w:t>
      </w:r>
      <w:r w:rsidR="00215DC5">
        <w:rPr>
          <w:rFonts w:ascii="Times New Roman" w:hAnsi="Times New Roman" w:cs="Times New Roman"/>
          <w:bCs/>
          <w:iCs/>
          <w:sz w:val="24"/>
          <w:szCs w:val="24"/>
        </w:rPr>
        <w:t xml:space="preserve">the </w:t>
      </w:r>
      <w:r w:rsidRPr="00341229">
        <w:rPr>
          <w:rFonts w:ascii="Times New Roman" w:hAnsi="Times New Roman" w:cs="Times New Roman"/>
          <w:bCs/>
          <w:iCs/>
          <w:sz w:val="24"/>
          <w:szCs w:val="24"/>
        </w:rPr>
        <w:t>other 14 projects provide details. Table 6 summarizes the mechanisms described in these 14 projects</w:t>
      </w:r>
      <w:r w:rsidR="00FB3B86">
        <w:rPr>
          <w:rFonts w:ascii="Times New Roman" w:hAnsi="Times New Roman" w:cs="Times New Roman"/>
          <w:bCs/>
          <w:iCs/>
          <w:sz w:val="24"/>
          <w:szCs w:val="24"/>
        </w:rPr>
        <w:t>,</w:t>
      </w:r>
      <w:r w:rsidRPr="00341229">
        <w:rPr>
          <w:rFonts w:ascii="Times New Roman" w:hAnsi="Times New Roman" w:cs="Times New Roman"/>
          <w:bCs/>
          <w:iCs/>
          <w:sz w:val="24"/>
          <w:szCs w:val="24"/>
        </w:rPr>
        <w:t xml:space="preserve"> includ</w:t>
      </w:r>
      <w:r w:rsidR="00FB3B86">
        <w:rPr>
          <w:rFonts w:ascii="Times New Roman" w:hAnsi="Times New Roman" w:cs="Times New Roman"/>
          <w:bCs/>
          <w:iCs/>
          <w:sz w:val="24"/>
          <w:szCs w:val="24"/>
        </w:rPr>
        <w:t>ing</w:t>
      </w:r>
      <w:r w:rsidRPr="00341229">
        <w:rPr>
          <w:rFonts w:ascii="Times New Roman" w:hAnsi="Times New Roman" w:cs="Times New Roman"/>
          <w:bCs/>
          <w:iCs/>
          <w:sz w:val="24"/>
          <w:szCs w:val="24"/>
        </w:rPr>
        <w:t xml:space="preserve"> a heavy focus on knowledge production and sharing</w:t>
      </w:r>
      <w:r w:rsidR="00FB3B86">
        <w:rPr>
          <w:rFonts w:ascii="Times New Roman" w:hAnsi="Times New Roman" w:cs="Times New Roman"/>
          <w:bCs/>
          <w:iCs/>
          <w:sz w:val="24"/>
          <w:szCs w:val="24"/>
        </w:rPr>
        <w:t>,</w:t>
      </w:r>
      <w:r w:rsidRPr="00341229">
        <w:rPr>
          <w:rFonts w:ascii="Times New Roman" w:hAnsi="Times New Roman" w:cs="Times New Roman"/>
          <w:bCs/>
          <w:iCs/>
          <w:sz w:val="24"/>
          <w:szCs w:val="24"/>
        </w:rPr>
        <w:t xml:space="preserve"> as well as a variety of financial mechanisms</w:t>
      </w:r>
      <w:r w:rsidR="00FB3B86">
        <w:rPr>
          <w:rFonts w:ascii="Times New Roman" w:hAnsi="Times New Roman" w:cs="Times New Roman"/>
          <w:bCs/>
          <w:iCs/>
          <w:sz w:val="24"/>
          <w:szCs w:val="24"/>
        </w:rPr>
        <w:t xml:space="preserve"> (see table 6).</w:t>
      </w:r>
    </w:p>
    <w:p w14:paraId="52E04E6F" w14:textId="77777777" w:rsidR="00B14EAB" w:rsidRDefault="00B14EAB">
      <w:pPr>
        <w:spacing w:line="360" w:lineRule="auto"/>
        <w:jc w:val="both"/>
        <w:rPr>
          <w:b/>
          <w:i/>
        </w:rPr>
      </w:pPr>
    </w:p>
    <w:p w14:paraId="52E04E71" w14:textId="77777777" w:rsidR="00B14EAB" w:rsidRDefault="004D5725">
      <w:pPr>
        <w:keepNext/>
        <w:pBdr>
          <w:top w:val="nil"/>
          <w:left w:val="nil"/>
          <w:bottom w:val="nil"/>
          <w:right w:val="nil"/>
          <w:between w:val="nil"/>
        </w:pBdr>
        <w:spacing w:before="120" w:after="480" w:line="240" w:lineRule="auto"/>
        <w:rPr>
          <w:i/>
          <w:color w:val="44546A"/>
          <w:sz w:val="20"/>
          <w:szCs w:val="20"/>
        </w:rPr>
      </w:pPr>
      <w:r>
        <w:rPr>
          <w:i/>
          <w:color w:val="44546A"/>
          <w:sz w:val="20"/>
          <w:szCs w:val="20"/>
        </w:rPr>
        <w:t>Table 6 Upscaling in the investigated projects.</w:t>
      </w:r>
    </w:p>
    <w:p w14:paraId="52E04E72" w14:textId="77777777" w:rsidR="00B14EAB" w:rsidRDefault="004D572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Addressing vulnerabilities</w:t>
      </w:r>
    </w:p>
    <w:p w14:paraId="52E04E73" w14:textId="508890AC"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investigated projects (33) consider vulnerability reduction. Eleven projects include vulnerability assessments, while others (18</w:t>
      </w:r>
      <w:r w:rsidR="00FE192F">
        <w:rPr>
          <w:rFonts w:ascii="Times New Roman" w:eastAsia="Times New Roman" w:hAnsi="Times New Roman" w:cs="Times New Roman"/>
          <w:sz w:val="24"/>
          <w:szCs w:val="24"/>
        </w:rPr>
        <w:t xml:space="preserve"> projects</w:t>
      </w:r>
      <w:r>
        <w:rPr>
          <w:rFonts w:ascii="Times New Roman" w:eastAsia="Times New Roman" w:hAnsi="Times New Roman" w:cs="Times New Roman"/>
          <w:sz w:val="24"/>
          <w:szCs w:val="24"/>
        </w:rPr>
        <w:t xml:space="preserve">) include the consultation of vulnerable groups in execution and/or planning. Targeted groups are mainly women and indigenous groups </w:t>
      </w:r>
      <w:r w:rsidR="00FB3B86">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risk of being marginalized in community decision-making. Table 7 summarizes how </w:t>
      </w:r>
      <w:r>
        <w:rPr>
          <w:rFonts w:ascii="Times New Roman" w:eastAsia="Times New Roman" w:hAnsi="Times New Roman" w:cs="Times New Roman"/>
          <w:sz w:val="24"/>
          <w:szCs w:val="24"/>
        </w:rPr>
        <w:lastRenderedPageBreak/>
        <w:t xml:space="preserve">the projects expect to address vulnerability. </w:t>
      </w:r>
      <w:r w:rsidR="00FE192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ommunity consultation is </w:t>
      </w:r>
      <w:r w:rsidR="00215DC5">
        <w:rPr>
          <w:rFonts w:ascii="Times New Roman" w:eastAsia="Times New Roman" w:hAnsi="Times New Roman" w:cs="Times New Roman"/>
          <w:sz w:val="24"/>
          <w:szCs w:val="24"/>
        </w:rPr>
        <w:t xml:space="preserve">frequently </w:t>
      </w:r>
      <w:r>
        <w:rPr>
          <w:rFonts w:ascii="Times New Roman" w:eastAsia="Times New Roman" w:hAnsi="Times New Roman" w:cs="Times New Roman"/>
          <w:sz w:val="24"/>
          <w:szCs w:val="24"/>
        </w:rPr>
        <w:t>mentioned, although we cannot deduce how widespread or deep this consultation would be</w:t>
      </w:r>
      <w:r w:rsidR="00215DC5">
        <w:rPr>
          <w:rFonts w:ascii="Times New Roman" w:eastAsia="Times New Roman" w:hAnsi="Times New Roman" w:cs="Times New Roman"/>
          <w:sz w:val="24"/>
          <w:szCs w:val="24"/>
        </w:rPr>
        <w:t>. I</w:t>
      </w:r>
      <w:r>
        <w:rPr>
          <w:rFonts w:ascii="Times New Roman" w:eastAsia="Times New Roman" w:hAnsi="Times New Roman" w:cs="Times New Roman"/>
          <w:sz w:val="24"/>
          <w:szCs w:val="24"/>
        </w:rPr>
        <w:t>n at least 2 projects it involve</w:t>
      </w:r>
      <w:r w:rsidR="00FB3B8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gaining feedback on project proposals and identifying the issues to be addressed, not simply ratifying pre-defined investments. Where vulnerability is considered, there is also a strong emphasis on women’s inclusion, including in project design processes (GCF5, GCF6, GPSC3, GPSC4)</w:t>
      </w:r>
      <w:r w:rsidR="00215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although </w:t>
      </w:r>
      <w:r w:rsidR="00FB3B86">
        <w:rPr>
          <w:rFonts w:ascii="Times New Roman" w:eastAsia="Times New Roman" w:hAnsi="Times New Roman" w:cs="Times New Roman"/>
          <w:sz w:val="24"/>
          <w:szCs w:val="24"/>
        </w:rPr>
        <w:t xml:space="preserve">there is </w:t>
      </w:r>
      <w:r>
        <w:rPr>
          <w:rFonts w:ascii="Times New Roman" w:eastAsia="Times New Roman" w:hAnsi="Times New Roman" w:cs="Times New Roman"/>
          <w:sz w:val="24"/>
          <w:szCs w:val="24"/>
        </w:rPr>
        <w:t>less on gender as a construct and on women’s wider empowerment within and through adaptation initiatives.</w:t>
      </w:r>
    </w:p>
    <w:p w14:paraId="52E04E74" w14:textId="4AC2D162" w:rsidR="00B14EAB" w:rsidRDefault="004D5725">
      <w:pPr>
        <w:keepNext/>
        <w:pBdr>
          <w:top w:val="nil"/>
          <w:left w:val="nil"/>
          <w:bottom w:val="nil"/>
          <w:right w:val="nil"/>
          <w:between w:val="nil"/>
        </w:pBdr>
        <w:spacing w:before="120" w:after="480" w:line="240" w:lineRule="auto"/>
        <w:rPr>
          <w:i/>
          <w:color w:val="44546A"/>
          <w:sz w:val="20"/>
          <w:szCs w:val="20"/>
        </w:rPr>
      </w:pPr>
      <w:bookmarkStart w:id="15" w:name="_3rdcrjn" w:colFirst="0" w:colLast="0"/>
      <w:bookmarkEnd w:id="15"/>
      <w:r>
        <w:rPr>
          <w:i/>
          <w:color w:val="44546A"/>
          <w:sz w:val="20"/>
          <w:szCs w:val="20"/>
        </w:rPr>
        <w:t>Table 7: Vulnerability considerations in relevant projects.</w:t>
      </w:r>
    </w:p>
    <w:p w14:paraId="52E04E75" w14:textId="77777777" w:rsidR="00B14EAB" w:rsidRDefault="004D572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w:t>
      </w:r>
    </w:p>
    <w:p w14:paraId="52E04E76" w14:textId="1AC9301F"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sidR="00215DC5">
        <w:rPr>
          <w:rFonts w:ascii="Times New Roman" w:eastAsia="Times New Roman" w:hAnsi="Times New Roman" w:cs="Times New Roman"/>
          <w:sz w:val="24"/>
          <w:szCs w:val="24"/>
        </w:rPr>
        <w:t xml:space="preserve">this is </w:t>
      </w:r>
      <w:r>
        <w:rPr>
          <w:rFonts w:ascii="Times New Roman" w:eastAsia="Times New Roman" w:hAnsi="Times New Roman" w:cs="Times New Roman"/>
          <w:sz w:val="24"/>
          <w:szCs w:val="24"/>
        </w:rPr>
        <w:t xml:space="preserve">an exploratory desk study, limited to the information available in PIF documents at a particular moment of time, several points for discussion can be raised from our findings. </w:t>
      </w:r>
    </w:p>
    <w:p w14:paraId="44EB6DD5" w14:textId="046F899E" w:rsidR="00381121"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in terms of institutional complexity, a dual perspective emerges from our stakeholder analysis. </w:t>
      </w:r>
      <w:r w:rsidR="00FB3B8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takeholders from different institutions (supra-national organizations, national banks, development banks), different government levels (national, regional, local), and non-governmental organizations (e.g., civil society and the private sector) ostensibly take part in different steps of the investigated projects. By breaking down the different roles of these organisations in this way, the analysis </w:t>
      </w:r>
      <w:r w:rsidR="00215DC5">
        <w:rPr>
          <w:rFonts w:ascii="Times New Roman" w:eastAsia="Times New Roman" w:hAnsi="Times New Roman" w:cs="Times New Roman"/>
          <w:sz w:val="24"/>
          <w:szCs w:val="24"/>
        </w:rPr>
        <w:t xml:space="preserve">adds </w:t>
      </w:r>
      <w:r>
        <w:rPr>
          <w:rFonts w:ascii="Times New Roman" w:eastAsia="Times New Roman" w:hAnsi="Times New Roman" w:cs="Times New Roman"/>
          <w:sz w:val="24"/>
          <w:szCs w:val="24"/>
        </w:rPr>
        <w:t>nuance</w:t>
      </w:r>
      <w:r w:rsidR="00215DC5">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existing critiques of CAF structures, showing how different forms of multi-stakeholder networks are mobilised by CAF financing, w</w:t>
      </w:r>
      <w:r w:rsidR="00FB3B86">
        <w:rPr>
          <w:rFonts w:ascii="Times New Roman" w:eastAsia="Times New Roman" w:hAnsi="Times New Roman" w:cs="Times New Roman"/>
          <w:sz w:val="24"/>
          <w:szCs w:val="24"/>
        </w:rPr>
        <w:t>ith</w:t>
      </w:r>
      <w:r>
        <w:rPr>
          <w:rFonts w:ascii="Times New Roman" w:eastAsia="Times New Roman" w:hAnsi="Times New Roman" w:cs="Times New Roman"/>
          <w:sz w:val="24"/>
          <w:szCs w:val="24"/>
        </w:rPr>
        <w:t xml:space="preserve"> </w:t>
      </w:r>
      <w:r w:rsidR="00215DC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potential to address complex, cross-scalar issues. This qualitative work reveals cases - such as that of Honiara City Council</w:t>
      </w:r>
      <w:r w:rsidR="00070209">
        <w:rPr>
          <w:rFonts w:ascii="Times New Roman" w:eastAsia="Times New Roman" w:hAnsi="Times New Roman" w:cs="Times New Roman"/>
          <w:sz w:val="24"/>
          <w:szCs w:val="24"/>
        </w:rPr>
        <w:t xml:space="preserve"> (AF5) and </w:t>
      </w:r>
      <w:r w:rsidR="00C93398">
        <w:rPr>
          <w:rFonts w:ascii="Times New Roman" w:eastAsia="Times New Roman" w:hAnsi="Times New Roman" w:cs="Times New Roman"/>
          <w:sz w:val="24"/>
          <w:szCs w:val="24"/>
        </w:rPr>
        <w:t xml:space="preserve">a private trader association such as </w:t>
      </w:r>
      <w:r w:rsidR="00F9783B" w:rsidRPr="00F9783B">
        <w:rPr>
          <w:rFonts w:ascii="Times New Roman" w:eastAsia="Times New Roman" w:hAnsi="Times New Roman" w:cs="Times New Roman"/>
          <w:sz w:val="24"/>
          <w:szCs w:val="24"/>
        </w:rPr>
        <w:t xml:space="preserve">Sialkot Tannery Association </w:t>
      </w:r>
      <w:proofErr w:type="spellStart"/>
      <w:r w:rsidR="00F9783B" w:rsidRPr="00F9783B">
        <w:rPr>
          <w:rFonts w:ascii="Times New Roman" w:eastAsia="Times New Roman" w:hAnsi="Times New Roman" w:cs="Times New Roman"/>
          <w:sz w:val="24"/>
          <w:szCs w:val="24"/>
        </w:rPr>
        <w:t>Guarentee</w:t>
      </w:r>
      <w:proofErr w:type="spellEnd"/>
      <w:r w:rsidR="00F9783B" w:rsidRPr="00F9783B">
        <w:rPr>
          <w:rFonts w:ascii="Times New Roman" w:eastAsia="Times New Roman" w:hAnsi="Times New Roman" w:cs="Times New Roman"/>
          <w:sz w:val="24"/>
          <w:szCs w:val="24"/>
        </w:rPr>
        <w:t xml:space="preserve"> Limited </w:t>
      </w:r>
      <w:r w:rsidR="00C93398">
        <w:rPr>
          <w:rFonts w:ascii="Times New Roman" w:eastAsia="Times New Roman" w:hAnsi="Times New Roman" w:cs="Times New Roman"/>
          <w:sz w:val="24"/>
          <w:szCs w:val="24"/>
        </w:rPr>
        <w:t>(</w:t>
      </w:r>
      <w:r w:rsidR="00F9783B" w:rsidRPr="00F9783B">
        <w:rPr>
          <w:rFonts w:ascii="Times New Roman" w:eastAsia="Times New Roman" w:hAnsi="Times New Roman" w:cs="Times New Roman"/>
          <w:sz w:val="24"/>
          <w:szCs w:val="24"/>
        </w:rPr>
        <w:t>SCCF2</w:t>
      </w:r>
      <w:proofErr w:type="gramStart"/>
      <w:r w:rsidR="00C933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apply</w:t>
      </w:r>
      <w:r w:rsidR="00215DC5">
        <w:rPr>
          <w:rFonts w:ascii="Times New Roman" w:eastAsia="Times New Roman" w:hAnsi="Times New Roman" w:cs="Times New Roman"/>
          <w:sz w:val="24"/>
          <w:szCs w:val="24"/>
        </w:rPr>
        <w:t>ing</w:t>
      </w:r>
      <w:proofErr w:type="gramEnd"/>
      <w:r>
        <w:rPr>
          <w:rFonts w:ascii="Times New Roman" w:eastAsia="Times New Roman" w:hAnsi="Times New Roman" w:cs="Times New Roman"/>
          <w:sz w:val="24"/>
          <w:szCs w:val="24"/>
        </w:rPr>
        <w:t xml:space="preserve"> for CAF funds - that buck predominant trends and deserve further analysis. </w:t>
      </w:r>
    </w:p>
    <w:p w14:paraId="52E04E77" w14:textId="4F2BA4FD"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appears to be little relationship between </w:t>
      </w:r>
      <w:proofErr w:type="gramStart"/>
      <w:r>
        <w:rPr>
          <w:rFonts w:ascii="Times New Roman" w:eastAsia="Times New Roman" w:hAnsi="Times New Roman" w:cs="Times New Roman"/>
          <w:sz w:val="24"/>
          <w:szCs w:val="24"/>
        </w:rPr>
        <w:t>particular innovations</w:t>
      </w:r>
      <w:proofErr w:type="gramEnd"/>
      <w:r>
        <w:rPr>
          <w:rFonts w:ascii="Times New Roman" w:eastAsia="Times New Roman" w:hAnsi="Times New Roman" w:cs="Times New Roman"/>
          <w:sz w:val="24"/>
          <w:szCs w:val="24"/>
        </w:rPr>
        <w:t xml:space="preserve"> and particular CAFs, despite attempts by </w:t>
      </w:r>
      <w:r w:rsidR="00FB3B86">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 xml:space="preserve">CAFs </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such as the GPSC</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remodel their structures to address systemic urban issues. t remains the case that in all the projects, with</w:t>
      </w:r>
      <w:r w:rsidR="00FB3B86">
        <w:rPr>
          <w:rFonts w:ascii="Times New Roman" w:eastAsia="Times New Roman" w:hAnsi="Times New Roman" w:cs="Times New Roman"/>
          <w:sz w:val="24"/>
          <w:szCs w:val="24"/>
        </w:rPr>
        <w:t>out</w:t>
      </w:r>
      <w:r>
        <w:rPr>
          <w:rFonts w:ascii="Times New Roman" w:eastAsia="Times New Roman" w:hAnsi="Times New Roman" w:cs="Times New Roman"/>
          <w:sz w:val="24"/>
          <w:szCs w:val="24"/>
        </w:rPr>
        <w:t xml:space="preserve"> exception, national governments are more dominant than local governments and other actors across almost all project stages and at critical stages of initiation and conception. Although the involvement of national government is critical to addressing the multiple scale</w:t>
      </w:r>
      <w:r w:rsidR="00215DC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at which risks arise for urban areas, the findings echo previous evidence of </w:t>
      </w:r>
      <w:r w:rsidR="00FB3B8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lack of local-level responsiveness</w:t>
      </w:r>
      <w:r w:rsidR="00B80625">
        <w:rPr>
          <w:rFonts w:ascii="Times New Roman" w:eastAsia="Times New Roman" w:hAnsi="Times New Roman" w:cs="Times New Roman"/>
          <w:sz w:val="24"/>
          <w:szCs w:val="24"/>
        </w:rPr>
        <w:t>.</w:t>
      </w:r>
      <w:r w:rsidR="00254BAB">
        <w:rPr>
          <w:rStyle w:val="FootnoteReference"/>
          <w:rFonts w:ascii="Times New Roman" w:eastAsia="Times New Roman" w:hAnsi="Times New Roman" w:cs="Times New Roman"/>
          <w:sz w:val="24"/>
          <w:szCs w:val="24"/>
        </w:rPr>
        <w:footnoteReference w:id="48"/>
      </w:r>
      <w:r>
        <w:rPr>
          <w:rFonts w:ascii="Times New Roman" w:eastAsia="Times New Roman" w:hAnsi="Times New Roman" w:cs="Times New Roman"/>
          <w:sz w:val="24"/>
          <w:szCs w:val="24"/>
        </w:rPr>
        <w:t xml:space="preserve"> Findings </w:t>
      </w:r>
      <w:r>
        <w:rPr>
          <w:rFonts w:ascii="Times New Roman" w:eastAsia="Times New Roman" w:hAnsi="Times New Roman" w:cs="Times New Roman"/>
          <w:sz w:val="24"/>
          <w:szCs w:val="24"/>
        </w:rPr>
        <w:lastRenderedPageBreak/>
        <w:t xml:space="preserve">suggest that, despite innovation by CAFs to bring about greater direct access, there is risk of concentrating concepts and strategies around high-level priorities, </w:t>
      </w:r>
      <w:r w:rsidR="00FB3B8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hence </w:t>
      </w:r>
      <w:r w:rsidR="00215DC5">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missing important perspectives from local organizations and marginalizing local voices. </w:t>
      </w:r>
    </w:p>
    <w:p w14:paraId="52E04E78" w14:textId="5361573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in terms of inter-sectoral </w:t>
      </w:r>
      <w:proofErr w:type="gramStart"/>
      <w:r>
        <w:rPr>
          <w:rFonts w:ascii="Times New Roman" w:eastAsia="Times New Roman" w:hAnsi="Times New Roman" w:cs="Times New Roman"/>
          <w:sz w:val="24"/>
          <w:szCs w:val="24"/>
        </w:rPr>
        <w:t>complexity</w:t>
      </w:r>
      <w:r w:rsidR="00215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w:t>
      </w:r>
      <w:proofErr w:type="gramEnd"/>
      <w:r>
        <w:rPr>
          <w:rFonts w:ascii="Times New Roman" w:eastAsia="Times New Roman" w:hAnsi="Times New Roman" w:cs="Times New Roman"/>
          <w:sz w:val="24"/>
          <w:szCs w:val="24"/>
        </w:rPr>
        <w:t xml:space="preserve"> investigated projects include different ministries that operate in different sectors and</w:t>
      </w:r>
      <w:r w:rsidR="00215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425D">
        <w:rPr>
          <w:rFonts w:ascii="Times New Roman" w:eastAsia="Times New Roman" w:hAnsi="Times New Roman" w:cs="Times New Roman"/>
          <w:sz w:val="24"/>
          <w:szCs w:val="24"/>
        </w:rPr>
        <w:t>particularly at national level</w:t>
      </w:r>
      <w:r w:rsidR="00215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conjunction with each </w:t>
      </w:r>
      <w:r w:rsidRPr="00E47496">
        <w:rPr>
          <w:rFonts w:ascii="Times New Roman" w:eastAsia="Times New Roman" w:hAnsi="Times New Roman" w:cs="Times New Roman"/>
          <w:sz w:val="24"/>
          <w:szCs w:val="24"/>
        </w:rPr>
        <w:t xml:space="preserve">other, </w:t>
      </w:r>
      <w:r w:rsidRPr="008A0C8C">
        <w:rPr>
          <w:rFonts w:ascii="Times New Roman" w:eastAsia="Times New Roman" w:hAnsi="Times New Roman" w:cs="Times New Roman"/>
          <w:sz w:val="24"/>
          <w:szCs w:val="24"/>
        </w:rPr>
        <w:t>e.g.</w:t>
      </w:r>
      <w:r w:rsidRPr="00E47496">
        <w:rPr>
          <w:rFonts w:ascii="Times New Roman" w:eastAsia="Times New Roman" w:hAnsi="Times New Roman" w:cs="Times New Roman"/>
          <w:sz w:val="24"/>
          <w:szCs w:val="24"/>
        </w:rPr>
        <w:t xml:space="preserve"> </w:t>
      </w:r>
      <w:r w:rsidR="003D7728" w:rsidRPr="00E47496">
        <w:rPr>
          <w:rFonts w:ascii="Times New Roman" w:eastAsia="Times New Roman" w:hAnsi="Times New Roman" w:cs="Times New Roman"/>
          <w:sz w:val="24"/>
          <w:szCs w:val="24"/>
        </w:rPr>
        <w:t>the</w:t>
      </w:r>
      <w:r w:rsidR="003D7728" w:rsidRPr="003D7728">
        <w:rPr>
          <w:rFonts w:ascii="Times New Roman" w:eastAsia="Times New Roman" w:hAnsi="Times New Roman" w:cs="Times New Roman"/>
          <w:sz w:val="24"/>
          <w:szCs w:val="24"/>
        </w:rPr>
        <w:t xml:space="preserve"> </w:t>
      </w:r>
      <w:r w:rsidR="0053713C">
        <w:rPr>
          <w:rFonts w:ascii="Times New Roman" w:eastAsia="Times New Roman" w:hAnsi="Times New Roman" w:cs="Times New Roman"/>
          <w:sz w:val="24"/>
          <w:szCs w:val="24"/>
        </w:rPr>
        <w:t>ministries for sectors such as</w:t>
      </w:r>
      <w:r w:rsidR="003D7728" w:rsidRPr="003D7728">
        <w:rPr>
          <w:rFonts w:ascii="Times New Roman" w:eastAsia="Times New Roman" w:hAnsi="Times New Roman" w:cs="Times New Roman"/>
          <w:sz w:val="24"/>
          <w:szCs w:val="24"/>
        </w:rPr>
        <w:t xml:space="preserve"> Environment and nature protection</w:t>
      </w:r>
      <w:r w:rsidR="0053713C">
        <w:rPr>
          <w:rFonts w:ascii="Times New Roman" w:eastAsia="Times New Roman" w:hAnsi="Times New Roman" w:cs="Times New Roman"/>
          <w:sz w:val="24"/>
          <w:szCs w:val="24"/>
        </w:rPr>
        <w:t>, Co</w:t>
      </w:r>
      <w:r w:rsidR="00E47496">
        <w:rPr>
          <w:rFonts w:ascii="Times New Roman" w:eastAsia="Times New Roman" w:hAnsi="Times New Roman" w:cs="Times New Roman"/>
          <w:sz w:val="24"/>
          <w:szCs w:val="24"/>
        </w:rPr>
        <w:t>n</w:t>
      </w:r>
      <w:r w:rsidR="003D7728" w:rsidRPr="003D7728">
        <w:rPr>
          <w:rFonts w:ascii="Times New Roman" w:eastAsia="Times New Roman" w:hAnsi="Times New Roman" w:cs="Times New Roman"/>
          <w:sz w:val="24"/>
          <w:szCs w:val="24"/>
        </w:rPr>
        <w:t>struction, infrastructure and utilities</w:t>
      </w:r>
      <w:r w:rsidR="0053713C">
        <w:rPr>
          <w:rFonts w:ascii="Times New Roman" w:eastAsia="Times New Roman" w:hAnsi="Times New Roman" w:cs="Times New Roman"/>
          <w:sz w:val="24"/>
          <w:szCs w:val="24"/>
        </w:rPr>
        <w:t>,</w:t>
      </w:r>
      <w:r w:rsidR="003D7728" w:rsidRPr="003D7728">
        <w:rPr>
          <w:rFonts w:ascii="Times New Roman" w:eastAsia="Times New Roman" w:hAnsi="Times New Roman" w:cs="Times New Roman"/>
          <w:sz w:val="24"/>
          <w:szCs w:val="24"/>
        </w:rPr>
        <w:t xml:space="preserve"> Finance</w:t>
      </w:r>
      <w:r w:rsidR="0053713C">
        <w:rPr>
          <w:rFonts w:ascii="Times New Roman" w:eastAsia="Times New Roman" w:hAnsi="Times New Roman" w:cs="Times New Roman"/>
          <w:sz w:val="24"/>
          <w:szCs w:val="24"/>
        </w:rPr>
        <w:t>,</w:t>
      </w:r>
      <w:r w:rsidR="003D7728" w:rsidRPr="003D7728">
        <w:rPr>
          <w:rFonts w:ascii="Times New Roman" w:eastAsia="Times New Roman" w:hAnsi="Times New Roman" w:cs="Times New Roman"/>
          <w:sz w:val="24"/>
          <w:szCs w:val="24"/>
        </w:rPr>
        <w:t xml:space="preserve"> and Economy</w:t>
      </w:r>
      <w:r w:rsidR="002E2CC4">
        <w:rPr>
          <w:rFonts w:ascii="Times New Roman" w:eastAsia="Times New Roman" w:hAnsi="Times New Roman" w:cs="Times New Roman"/>
          <w:sz w:val="24"/>
          <w:szCs w:val="24"/>
        </w:rPr>
        <w:t>.</w:t>
      </w:r>
      <w:r w:rsidR="003D7728" w:rsidRPr="003D7728">
        <w:rPr>
          <w:rFonts w:ascii="Times New Roman" w:eastAsia="Times New Roman" w:hAnsi="Times New Roman" w:cs="Times New Roman"/>
          <w:sz w:val="24"/>
          <w:szCs w:val="24"/>
        </w:rPr>
        <w:t xml:space="preserve"> </w:t>
      </w:r>
      <w:r w:rsidR="00215DC5">
        <w:rPr>
          <w:rFonts w:ascii="Times New Roman" w:eastAsia="Times New Roman" w:hAnsi="Times New Roman" w:cs="Times New Roman"/>
          <w:sz w:val="24"/>
          <w:szCs w:val="24"/>
        </w:rPr>
        <w:t>This suggests the potential for innovation by institutions</w:t>
      </w:r>
      <w:r w:rsidR="0066425D">
        <w:rPr>
          <w:rFonts w:ascii="Times New Roman" w:eastAsia="Times New Roman" w:hAnsi="Times New Roman" w:cs="Times New Roman"/>
          <w:sz w:val="24"/>
          <w:szCs w:val="24"/>
        </w:rPr>
        <w:t xml:space="preserve"> to address the complexity of adaptation</w:t>
      </w:r>
      <w:r w:rsidR="00215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the analysis of </w:t>
      </w:r>
      <w:r w:rsidR="00FB3B86">
        <w:rPr>
          <w:rFonts w:ascii="Times New Roman" w:eastAsia="Times New Roman" w:hAnsi="Times New Roman" w:cs="Times New Roman"/>
          <w:sz w:val="24"/>
          <w:szCs w:val="24"/>
        </w:rPr>
        <w:t>projects’</w:t>
      </w:r>
      <w:r>
        <w:rPr>
          <w:rFonts w:ascii="Times New Roman" w:eastAsia="Times New Roman" w:hAnsi="Times New Roman" w:cs="Times New Roman"/>
          <w:sz w:val="24"/>
          <w:szCs w:val="24"/>
        </w:rPr>
        <w:t xml:space="preserve"> orientation </w:t>
      </w:r>
      <w:r w:rsidR="0066425D">
        <w:rPr>
          <w:rFonts w:ascii="Times New Roman" w:eastAsia="Times New Roman" w:hAnsi="Times New Roman" w:cs="Times New Roman"/>
          <w:sz w:val="24"/>
          <w:szCs w:val="24"/>
        </w:rPr>
        <w:t>shows</w:t>
      </w:r>
      <w:r>
        <w:rPr>
          <w:rFonts w:ascii="Times New Roman" w:eastAsia="Times New Roman" w:hAnsi="Times New Roman" w:cs="Times New Roman"/>
          <w:sz w:val="24"/>
          <w:szCs w:val="24"/>
        </w:rPr>
        <w:t xml:space="preserve"> limited</w:t>
      </w:r>
      <w:r w:rsidR="00FB3B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sectoral range, even though at least half of the projects fund two or more sectors in conjunction. Th</w:t>
      </w:r>
      <w:r w:rsidR="00215DC5">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appears to reflect</w:t>
      </w:r>
      <w:r w:rsidR="00837F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other studies have also revealed</w:t>
      </w:r>
      <w:r w:rsidR="004E1100">
        <w:rPr>
          <w:rStyle w:val="FootnoteReference"/>
          <w:rFonts w:ascii="Times New Roman" w:eastAsia="Times New Roman" w:hAnsi="Times New Roman" w:cs="Times New Roman"/>
          <w:sz w:val="24"/>
          <w:szCs w:val="24"/>
        </w:rPr>
        <w:footnoteReference w:id="49"/>
      </w:r>
      <w:r w:rsidR="00837F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ongoing bias towards structural and hard adaptation measures (e.g., infrastructure and resource management) rather than soft measures (e.g., public administration and education) and the involvement of the social sectors. Investigated projects </w:t>
      </w:r>
      <w:r w:rsidR="00FB3B86">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aim</w:t>
      </w:r>
      <w:r w:rsidR="00FB3B86">
        <w:rPr>
          <w:rFonts w:ascii="Times New Roman" w:eastAsia="Times New Roman" w:hAnsi="Times New Roman" w:cs="Times New Roman"/>
          <w:sz w:val="24"/>
          <w:szCs w:val="24"/>
        </w:rPr>
        <w:t>, as noted,</w:t>
      </w:r>
      <w:r>
        <w:rPr>
          <w:rFonts w:ascii="Times New Roman" w:eastAsia="Times New Roman" w:hAnsi="Times New Roman" w:cs="Times New Roman"/>
          <w:sz w:val="24"/>
          <w:szCs w:val="24"/>
        </w:rPr>
        <w:t xml:space="preserve"> more at developing new structures and infrastructures for adaptation purposes than integrating adaptation into the regulatory aspects of public administration or into existing structures and infrastructures. </w:t>
      </w:r>
    </w:p>
    <w:p w14:paraId="52E04E79" w14:textId="0A4BBC74"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addressing uncertainty, it is remarkable how few projects report any commitment to addressing climate change uncertainty in the design of specific adaptive options, including no-regret options. While this may reflect the weakness of PIF documents</w:t>
      </w:r>
      <w:r w:rsidR="00215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regard this as indicative of the </w:t>
      </w:r>
      <w:r w:rsidR="00FB3B86">
        <w:rPr>
          <w:rFonts w:ascii="Times New Roman" w:eastAsia="Times New Roman" w:hAnsi="Times New Roman" w:cs="Times New Roman"/>
          <w:sz w:val="24"/>
          <w:szCs w:val="24"/>
        </w:rPr>
        <w:t xml:space="preserve">practical </w:t>
      </w:r>
      <w:r>
        <w:rPr>
          <w:rFonts w:ascii="Times New Roman" w:eastAsia="Times New Roman" w:hAnsi="Times New Roman" w:cs="Times New Roman"/>
          <w:sz w:val="24"/>
          <w:szCs w:val="24"/>
        </w:rPr>
        <w:t xml:space="preserve">functioning of projects as well. Where particular actions are </w:t>
      </w:r>
      <w:proofErr w:type="gramStart"/>
      <w:r>
        <w:rPr>
          <w:rFonts w:ascii="Times New Roman" w:eastAsia="Times New Roman" w:hAnsi="Times New Roman" w:cs="Times New Roman"/>
          <w:sz w:val="24"/>
          <w:szCs w:val="24"/>
        </w:rPr>
        <w:t>labelled  ‘</w:t>
      </w:r>
      <w:proofErr w:type="gramEnd"/>
      <w:r>
        <w:rPr>
          <w:rFonts w:ascii="Times New Roman" w:eastAsia="Times New Roman" w:hAnsi="Times New Roman" w:cs="Times New Roman"/>
          <w:sz w:val="24"/>
          <w:szCs w:val="24"/>
        </w:rPr>
        <w:t xml:space="preserve">no-regrets’ options, there is limited explanation </w:t>
      </w:r>
      <w:r w:rsidR="00FB3B86">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how to create the conditions for sustainable, socially effective and just implementation</w:t>
      </w:r>
      <w:r w:rsidR="00215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how long-term issues </w:t>
      </w:r>
      <w:r w:rsidR="00FB3B86">
        <w:rPr>
          <w:rFonts w:ascii="Times New Roman" w:eastAsia="Times New Roman" w:hAnsi="Times New Roman" w:cs="Times New Roman"/>
          <w:sz w:val="24"/>
          <w:szCs w:val="24"/>
        </w:rPr>
        <w:t>can be addressed</w:t>
      </w:r>
      <w:r w:rsidR="00B80625">
        <w:rPr>
          <w:rFonts w:ascii="Times New Roman" w:eastAsia="Times New Roman" w:hAnsi="Times New Roman" w:cs="Times New Roman"/>
          <w:sz w:val="24"/>
          <w:szCs w:val="24"/>
        </w:rPr>
        <w:t>.</w:t>
      </w:r>
      <w:r w:rsidR="00837F10">
        <w:rPr>
          <w:rStyle w:val="FootnoteReference"/>
          <w:rFonts w:ascii="Times New Roman" w:eastAsia="Times New Roman" w:hAnsi="Times New Roman" w:cs="Times New Roman"/>
          <w:sz w:val="24"/>
          <w:szCs w:val="24"/>
        </w:rPr>
        <w:footnoteReference w:id="50"/>
      </w:r>
      <w:r>
        <w:rPr>
          <w:rFonts w:ascii="Times New Roman" w:eastAsia="Times New Roman" w:hAnsi="Times New Roman" w:cs="Times New Roman"/>
          <w:sz w:val="24"/>
          <w:szCs w:val="24"/>
        </w:rPr>
        <w:t xml:space="preserve">. For example, in GCF2, new water infrastructure is proposed as a no-regret option in a vulnerable area of Dakar, together with the planned displacement and resettlement of 700 people. However, it is not clear whether </w:t>
      </w:r>
      <w:r w:rsidR="00215DC5">
        <w:rPr>
          <w:rFonts w:ascii="Times New Roman" w:eastAsia="Times New Roman" w:hAnsi="Times New Roman" w:cs="Times New Roman"/>
          <w:sz w:val="24"/>
          <w:szCs w:val="24"/>
        </w:rPr>
        <w:t>th</w:t>
      </w:r>
      <w:r w:rsidR="00FB3B86">
        <w:rPr>
          <w:rFonts w:ascii="Times New Roman" w:eastAsia="Times New Roman" w:hAnsi="Times New Roman" w:cs="Times New Roman"/>
          <w:sz w:val="24"/>
          <w:szCs w:val="24"/>
        </w:rPr>
        <w:t>ose</w:t>
      </w:r>
      <w:r w:rsidR="00215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people have been involved in the decision-making, </w:t>
      </w:r>
      <w:r w:rsidR="00215DC5">
        <w:rPr>
          <w:rFonts w:ascii="Times New Roman" w:eastAsia="Times New Roman" w:hAnsi="Times New Roman" w:cs="Times New Roman"/>
          <w:sz w:val="24"/>
          <w:szCs w:val="24"/>
        </w:rPr>
        <w:t xml:space="preserve">and whether </w:t>
      </w:r>
      <w:r>
        <w:rPr>
          <w:rFonts w:ascii="Times New Roman" w:eastAsia="Times New Roman" w:hAnsi="Times New Roman" w:cs="Times New Roman"/>
          <w:sz w:val="24"/>
          <w:szCs w:val="24"/>
        </w:rPr>
        <w:t>more viable housing and adaptation options have been discussed, and livelihood impacts considered. While no-regret options aim at promoting adaptation, they also need to be evaluated against</w:t>
      </w:r>
      <w:r w:rsidR="00FB3B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other local issues to avoid maladapt</w:t>
      </w:r>
      <w:r w:rsidR="00EE3F81">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ion. </w:t>
      </w:r>
    </w:p>
    <w:p w14:paraId="52E04E7B" w14:textId="0245B1DF"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in terms of transformative impacts, there are efforts among some of the investigated projects (but not the majority) to </w:t>
      </w:r>
      <w:proofErr w:type="gramStart"/>
      <w:r>
        <w:rPr>
          <w:rFonts w:ascii="Times New Roman" w:eastAsia="Times New Roman" w:hAnsi="Times New Roman" w:cs="Times New Roman"/>
          <w:sz w:val="24"/>
          <w:szCs w:val="24"/>
        </w:rPr>
        <w:t>disseminate</w:t>
      </w:r>
      <w:r w:rsidR="00FB3B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project</w:t>
      </w:r>
      <w:proofErr w:type="gramEnd"/>
      <w:r>
        <w:rPr>
          <w:rFonts w:ascii="Times New Roman" w:eastAsia="Times New Roman" w:hAnsi="Times New Roman" w:cs="Times New Roman"/>
          <w:sz w:val="24"/>
          <w:szCs w:val="24"/>
        </w:rPr>
        <w:t xml:space="preserve">-related lessons and knowledge to promote </w:t>
      </w:r>
      <w:r>
        <w:rPr>
          <w:rFonts w:ascii="Times New Roman" w:eastAsia="Times New Roman" w:hAnsi="Times New Roman" w:cs="Times New Roman"/>
          <w:sz w:val="24"/>
          <w:szCs w:val="24"/>
        </w:rPr>
        <w:lastRenderedPageBreak/>
        <w:t xml:space="preserve">upscaling and catalysing. The qualitative analysis reveals a few interesting innovations for doing this. For example, in SCCF1, financial incentives are considered crucial for building climate resilience in target urban areas of Vietnam and </w:t>
      </w:r>
      <w:r w:rsidR="00FB3B86">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upscaling and catalysing project effects to strengthen climate resilience capacity in other urban areas. However, the project does not clarify whether </w:t>
      </w:r>
      <w:r w:rsidR="00215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w:t>
      </w:r>
      <w:r w:rsidR="00215DC5">
        <w:rPr>
          <w:rFonts w:ascii="Times New Roman" w:eastAsia="Times New Roman" w:hAnsi="Times New Roman" w:cs="Times New Roman"/>
          <w:sz w:val="24"/>
          <w:szCs w:val="24"/>
        </w:rPr>
        <w:t xml:space="preserve">if so, </w:t>
      </w:r>
      <w:r>
        <w:rPr>
          <w:rFonts w:ascii="Times New Roman" w:eastAsia="Times New Roman" w:hAnsi="Times New Roman" w:cs="Times New Roman"/>
          <w:sz w:val="24"/>
          <w:szCs w:val="24"/>
        </w:rPr>
        <w:t>how</w:t>
      </w:r>
      <w:r w:rsidR="00215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is awareness of the challenges faced by the other urban areas that are supposed beneficiaries. Indeed, </w:t>
      </w:r>
      <w:r w:rsidR="00FB3B86">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beneficiaries might lack </w:t>
      </w:r>
      <w:proofErr w:type="gramStart"/>
      <w:r>
        <w:rPr>
          <w:rFonts w:ascii="Times New Roman" w:eastAsia="Times New Roman" w:hAnsi="Times New Roman" w:cs="Times New Roman"/>
          <w:sz w:val="24"/>
          <w:szCs w:val="24"/>
        </w:rPr>
        <w:t>the  policies</w:t>
      </w:r>
      <w:proofErr w:type="gramEnd"/>
      <w:r>
        <w:rPr>
          <w:rFonts w:ascii="Times New Roman" w:eastAsia="Times New Roman" w:hAnsi="Times New Roman" w:cs="Times New Roman"/>
          <w:sz w:val="24"/>
          <w:szCs w:val="24"/>
        </w:rPr>
        <w:t xml:space="preserve"> and environment that support an understanding of climate change challenges or have limited implementation capacity for a successful knowledge transfer</w:t>
      </w:r>
      <w:r w:rsidR="00B80625">
        <w:rPr>
          <w:rFonts w:ascii="Times New Roman" w:eastAsia="Times New Roman" w:hAnsi="Times New Roman" w:cs="Times New Roman"/>
          <w:sz w:val="24"/>
          <w:szCs w:val="24"/>
        </w:rPr>
        <w:t>.</w:t>
      </w:r>
      <w:r w:rsidR="007C6C35">
        <w:rPr>
          <w:rStyle w:val="FootnoteReference"/>
          <w:rFonts w:ascii="Times New Roman" w:eastAsia="Times New Roman" w:hAnsi="Times New Roman" w:cs="Times New Roman"/>
          <w:sz w:val="24"/>
          <w:szCs w:val="24"/>
        </w:rPr>
        <w:footnoteReference w:id="51"/>
      </w:r>
      <w:r>
        <w:rPr>
          <w:rFonts w:ascii="Times New Roman" w:eastAsia="Times New Roman" w:hAnsi="Times New Roman" w:cs="Times New Roman"/>
          <w:sz w:val="24"/>
          <w:szCs w:val="24"/>
        </w:rPr>
        <w:t xml:space="preserve"> This lack of clarity is consistent across almost all the investigated projects. In terms of vulnerability reduction, most of the projects state a high degree of commitment to vulnerable groups and their engagement, which may</w:t>
      </w:r>
      <w:r w:rsidR="00FB3B86">
        <w:rPr>
          <w:rFonts w:ascii="Times New Roman" w:eastAsia="Times New Roman" w:hAnsi="Times New Roman" w:cs="Times New Roman"/>
          <w:sz w:val="24"/>
          <w:szCs w:val="24"/>
        </w:rPr>
        <w:t>, if effective,</w:t>
      </w:r>
      <w:r>
        <w:rPr>
          <w:rFonts w:ascii="Times New Roman" w:eastAsia="Times New Roman" w:hAnsi="Times New Roman" w:cs="Times New Roman"/>
          <w:sz w:val="24"/>
          <w:szCs w:val="24"/>
        </w:rPr>
        <w:t xml:space="preserve"> counter some of the power imbalance in the </w:t>
      </w:r>
      <w:r w:rsidR="00FB3B86">
        <w:rPr>
          <w:rFonts w:ascii="Times New Roman" w:eastAsia="Times New Roman" w:hAnsi="Times New Roman" w:cs="Times New Roman"/>
          <w:sz w:val="24"/>
          <w:szCs w:val="24"/>
        </w:rPr>
        <w:t xml:space="preserve">project </w:t>
      </w:r>
      <w:r>
        <w:rPr>
          <w:rFonts w:ascii="Times New Roman" w:eastAsia="Times New Roman" w:hAnsi="Times New Roman" w:cs="Times New Roman"/>
          <w:sz w:val="24"/>
          <w:szCs w:val="24"/>
        </w:rPr>
        <w:t xml:space="preserve">funding structures. The investigated projects engage vulnerable groups (mainly women, youth, ethnic groups) to different degrees (from inclusion to participation) in all project steps, based on </w:t>
      </w:r>
      <w:r w:rsidR="00FB3B86">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needs. GPSC and GCF projects include consideration of women</w:t>
      </w:r>
      <w:r w:rsidR="00FB3B8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represent</w:t>
      </w:r>
      <w:r w:rsidR="00FB3B86">
        <w:rPr>
          <w:rFonts w:ascii="Times New Roman" w:eastAsia="Times New Roman" w:hAnsi="Times New Roman" w:cs="Times New Roman"/>
          <w:sz w:val="24"/>
          <w:szCs w:val="24"/>
        </w:rPr>
        <w:t>ation</w:t>
      </w:r>
      <w:r>
        <w:rPr>
          <w:rFonts w:ascii="Times New Roman" w:eastAsia="Times New Roman" w:hAnsi="Times New Roman" w:cs="Times New Roman"/>
          <w:sz w:val="24"/>
          <w:szCs w:val="24"/>
        </w:rPr>
        <w:t xml:space="preserve"> in project structures, and, in one case, in public institutions. However, vulnerability is often vaguely or narrowly defined, with limited information on the drivers to be addressed and the characteristics of the different forms of deliberation to be expected</w:t>
      </w:r>
      <w:r w:rsidR="00B80625">
        <w:rPr>
          <w:rFonts w:ascii="Times New Roman" w:eastAsia="Times New Roman" w:hAnsi="Times New Roman" w:cs="Times New Roman"/>
          <w:sz w:val="24"/>
          <w:szCs w:val="24"/>
        </w:rPr>
        <w:t>.</w:t>
      </w:r>
      <w:r w:rsidR="007C6C35">
        <w:rPr>
          <w:rStyle w:val="FootnoteReference"/>
          <w:rFonts w:ascii="Times New Roman" w:eastAsia="Times New Roman" w:hAnsi="Times New Roman" w:cs="Times New Roman"/>
          <w:sz w:val="24"/>
          <w:szCs w:val="24"/>
        </w:rPr>
        <w:footnoteReference w:id="52"/>
      </w:r>
      <w:r>
        <w:rPr>
          <w:rFonts w:ascii="Times New Roman" w:eastAsia="Times New Roman" w:hAnsi="Times New Roman" w:cs="Times New Roman"/>
          <w:sz w:val="24"/>
          <w:szCs w:val="24"/>
        </w:rPr>
        <w:t xml:space="preserve"> In addition, the investigated projects </w:t>
      </w:r>
      <w:r w:rsidR="00215DC5">
        <w:rPr>
          <w:rFonts w:ascii="Times New Roman" w:eastAsia="Times New Roman" w:hAnsi="Times New Roman" w:cs="Times New Roman"/>
          <w:sz w:val="24"/>
          <w:szCs w:val="24"/>
        </w:rPr>
        <w:t xml:space="preserve">focus </w:t>
      </w:r>
      <w:r>
        <w:rPr>
          <w:rFonts w:ascii="Times New Roman" w:eastAsia="Times New Roman" w:hAnsi="Times New Roman" w:cs="Times New Roman"/>
          <w:sz w:val="24"/>
          <w:szCs w:val="24"/>
        </w:rPr>
        <w:t xml:space="preserve">specifically on climate-related vulnerabilities but provide limited evidence </w:t>
      </w:r>
      <w:r w:rsidR="00215DC5">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how to address their root and long-term causes</w:t>
      </w:r>
      <w:r w:rsidR="00B80625">
        <w:rPr>
          <w:rFonts w:ascii="Times New Roman" w:eastAsia="Times New Roman" w:hAnsi="Times New Roman" w:cs="Times New Roman"/>
          <w:sz w:val="24"/>
          <w:szCs w:val="24"/>
        </w:rPr>
        <w:t>.</w:t>
      </w:r>
      <w:r w:rsidR="007C6C35">
        <w:rPr>
          <w:rStyle w:val="FootnoteReference"/>
          <w:rFonts w:ascii="Times New Roman" w:eastAsia="Times New Roman" w:hAnsi="Times New Roman" w:cs="Times New Roman"/>
          <w:sz w:val="24"/>
          <w:szCs w:val="24"/>
        </w:rPr>
        <w:footnoteReference w:id="53"/>
      </w:r>
    </w:p>
    <w:p w14:paraId="52E04E7C" w14:textId="1E2CB20B"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 despite recent innovation (including considering mitigation and adaptation options together), the changing landscape of adaptation funding, and a now extensive history of research into adaptation finance in general to inform policy learning, </w:t>
      </w:r>
      <w:bookmarkStart w:id="16" w:name="_Hlk110672817"/>
      <w:r>
        <w:rPr>
          <w:rFonts w:ascii="Times New Roman" w:eastAsia="Times New Roman" w:hAnsi="Times New Roman" w:cs="Times New Roman"/>
          <w:sz w:val="24"/>
          <w:szCs w:val="24"/>
        </w:rPr>
        <w:t xml:space="preserve">the findings stress the need for CAFs to address urban adaptation in a more systemic way. This might include adopting adaptation finance mechanisms that can </w:t>
      </w:r>
      <w:r w:rsidR="00FB3B86">
        <w:rPr>
          <w:rFonts w:ascii="Times New Roman" w:eastAsia="Times New Roman" w:hAnsi="Times New Roman" w:cs="Times New Roman"/>
          <w:sz w:val="24"/>
          <w:szCs w:val="24"/>
        </w:rPr>
        <w:t xml:space="preserve">to a greater extent </w:t>
      </w:r>
      <w:r>
        <w:rPr>
          <w:rFonts w:ascii="Times New Roman" w:eastAsia="Times New Roman" w:hAnsi="Times New Roman" w:cs="Times New Roman"/>
          <w:sz w:val="24"/>
          <w:szCs w:val="24"/>
        </w:rPr>
        <w:t>be driven by</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support the mobilization of</w:t>
      </w:r>
      <w:r w:rsidR="00FB3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local resource and capacities</w:t>
      </w:r>
      <w:r w:rsidR="007C6C35">
        <w:rPr>
          <w:rStyle w:val="FootnoteReference"/>
          <w:rFonts w:ascii="Times New Roman" w:eastAsia="Times New Roman" w:hAnsi="Times New Roman" w:cs="Times New Roman"/>
          <w:sz w:val="24"/>
          <w:szCs w:val="24"/>
        </w:rPr>
        <w:footnoteReference w:id="54"/>
      </w:r>
      <w:r>
        <w:rPr>
          <w:rFonts w:ascii="Times New Roman" w:eastAsia="Times New Roman" w:hAnsi="Times New Roman" w:cs="Times New Roman"/>
          <w:sz w:val="24"/>
          <w:szCs w:val="24"/>
        </w:rPr>
        <w:t>, even while retaining multi-stakeholder and multi-scalar involvement to address the complexities of urban risk and</w:t>
      </w:r>
      <w:r w:rsidR="00FB3B86">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inequalities and injustice at the urban scale</w:t>
      </w:r>
      <w:r w:rsidR="00B80625">
        <w:rPr>
          <w:rFonts w:ascii="Times New Roman" w:eastAsia="Times New Roman" w:hAnsi="Times New Roman" w:cs="Times New Roman"/>
          <w:sz w:val="24"/>
          <w:szCs w:val="24"/>
        </w:rPr>
        <w:t>.</w:t>
      </w:r>
      <w:r w:rsidR="007C6C35">
        <w:rPr>
          <w:rStyle w:val="FootnoteReference"/>
          <w:rFonts w:ascii="Times New Roman" w:eastAsia="Times New Roman" w:hAnsi="Times New Roman" w:cs="Times New Roman"/>
          <w:sz w:val="24"/>
          <w:szCs w:val="24"/>
        </w:rPr>
        <w:footnoteReference w:id="55"/>
      </w:r>
      <w:r>
        <w:rPr>
          <w:rFonts w:ascii="Times New Roman" w:eastAsia="Times New Roman" w:hAnsi="Times New Roman" w:cs="Times New Roman"/>
          <w:sz w:val="24"/>
          <w:szCs w:val="24"/>
        </w:rPr>
        <w:t xml:space="preserve">. The context of urban complexity and uncertainty may also demand a more resilience-driven approach to urban adaptation finance, that more strongly considers multi-stakeholders and inter-sectoral interactions, climatic, temporal, and spatial </w:t>
      </w:r>
      <w:r>
        <w:rPr>
          <w:rFonts w:ascii="Times New Roman" w:eastAsia="Times New Roman" w:hAnsi="Times New Roman" w:cs="Times New Roman"/>
          <w:sz w:val="24"/>
          <w:szCs w:val="24"/>
        </w:rPr>
        <w:lastRenderedPageBreak/>
        <w:t xml:space="preserve">uncertainties and the trade-offs and win-wins from approaches such as no-regrets options. These recommendations might support the operationalization of CAFs as potential tools to design, develop and implement transformative solutions that enlarge the decision-making arena and address the needs of those more affected </w:t>
      </w:r>
      <w:r w:rsidR="00215DC5">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climate challenge</w:t>
      </w:r>
      <w:r w:rsidR="00215DC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52E04E7D" w14:textId="6B36389A"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CAFs role as catalysers of increased and longer-term funding, both public and private, more attention is needed </w:t>
      </w:r>
      <w:r w:rsidR="00FB3B86">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‘how’ of urban adaptation finance. </w:t>
      </w:r>
      <w:r w:rsidR="00215DC5">
        <w:rPr>
          <w:rFonts w:ascii="Times New Roman" w:eastAsia="Times New Roman" w:hAnsi="Times New Roman" w:cs="Times New Roman"/>
          <w:sz w:val="24"/>
          <w:szCs w:val="24"/>
        </w:rPr>
        <w:t>In addition to</w:t>
      </w:r>
      <w:r>
        <w:rPr>
          <w:rFonts w:ascii="Times New Roman" w:eastAsia="Times New Roman" w:hAnsi="Times New Roman" w:cs="Times New Roman"/>
          <w:sz w:val="24"/>
          <w:szCs w:val="24"/>
        </w:rPr>
        <w:t xml:space="preserve"> the substantive findings, this paper has offered a renewed methodological framework for more detailed investigation into the ways the adaptive aspects of projects can be further investigated, especially </w:t>
      </w:r>
      <w:r w:rsidR="00FB3B86">
        <w:rPr>
          <w:rFonts w:ascii="Times New Roman" w:eastAsia="Times New Roman" w:hAnsi="Times New Roman" w:cs="Times New Roman"/>
          <w:sz w:val="24"/>
          <w:szCs w:val="24"/>
        </w:rPr>
        <w:t>given</w:t>
      </w:r>
      <w:r>
        <w:rPr>
          <w:rFonts w:ascii="Times New Roman" w:eastAsia="Times New Roman" w:hAnsi="Times New Roman" w:cs="Times New Roman"/>
          <w:sz w:val="24"/>
          <w:szCs w:val="24"/>
        </w:rPr>
        <w:t xml:space="preserve"> the potential for maladaptation</w:t>
      </w:r>
      <w:r w:rsidR="00B80625">
        <w:rPr>
          <w:rFonts w:ascii="Times New Roman" w:eastAsia="Times New Roman" w:hAnsi="Times New Roman" w:cs="Times New Roman"/>
          <w:sz w:val="24"/>
          <w:szCs w:val="24"/>
        </w:rPr>
        <w:t>.</w:t>
      </w:r>
      <w:r w:rsidR="007C6C35">
        <w:rPr>
          <w:rStyle w:val="FootnoteReference"/>
          <w:rFonts w:ascii="Times New Roman" w:eastAsia="Times New Roman" w:hAnsi="Times New Roman" w:cs="Times New Roman"/>
          <w:sz w:val="24"/>
          <w:szCs w:val="24"/>
        </w:rPr>
        <w:footnoteReference w:id="56"/>
      </w:r>
      <w:r>
        <w:rPr>
          <w:rFonts w:ascii="Times New Roman" w:eastAsia="Times New Roman" w:hAnsi="Times New Roman" w:cs="Times New Roman"/>
          <w:sz w:val="24"/>
          <w:szCs w:val="24"/>
        </w:rPr>
        <w:t>. Moving forward</w:t>
      </w:r>
      <w:r w:rsidR="00215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will be important to engage case study-based analysis, using political economy framings to understand questions of power / knowledge, but also </w:t>
      </w:r>
      <w:r w:rsidR="00FB3B86">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synthesi</w:t>
      </w:r>
      <w:r w:rsidR="00215DC5">
        <w:rPr>
          <w:rFonts w:ascii="Times New Roman" w:eastAsia="Times New Roman" w:hAnsi="Times New Roman" w:cs="Times New Roman"/>
          <w:sz w:val="24"/>
          <w:szCs w:val="24"/>
        </w:rPr>
        <w:t>z</w:t>
      </w:r>
      <w:r w:rsidR="00FB3B8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across projects </w:t>
      </w:r>
      <w:r w:rsidR="00FB3B86">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 more comprehensive view. The lack of transparency and the fragmentation of the adaptation finance architecture and institutions complicates </w:t>
      </w:r>
      <w:proofErr w:type="gramStart"/>
      <w:r>
        <w:rPr>
          <w:rFonts w:ascii="Times New Roman" w:eastAsia="Times New Roman" w:hAnsi="Times New Roman" w:cs="Times New Roman"/>
          <w:sz w:val="24"/>
          <w:szCs w:val="24"/>
        </w:rPr>
        <w:t>synthesis, but</w:t>
      </w:r>
      <w:proofErr w:type="gramEnd"/>
      <w:r>
        <w:rPr>
          <w:rFonts w:ascii="Times New Roman" w:eastAsia="Times New Roman" w:hAnsi="Times New Roman" w:cs="Times New Roman"/>
          <w:sz w:val="24"/>
          <w:szCs w:val="24"/>
        </w:rPr>
        <w:t xml:space="preserve"> makes it all the more important. Documents such as PIFs can still be used as heuristic devices for understanding. In turn, developing frameworks such as ours - and </w:t>
      </w:r>
      <w:proofErr w:type="gramStart"/>
      <w:r>
        <w:rPr>
          <w:rFonts w:ascii="Times New Roman" w:eastAsia="Times New Roman" w:hAnsi="Times New Roman" w:cs="Times New Roman"/>
          <w:sz w:val="24"/>
          <w:szCs w:val="24"/>
        </w:rPr>
        <w:t>in particular through</w:t>
      </w:r>
      <w:proofErr w:type="gramEnd"/>
      <w:r>
        <w:rPr>
          <w:rFonts w:ascii="Times New Roman" w:eastAsia="Times New Roman" w:hAnsi="Times New Roman" w:cs="Times New Roman"/>
          <w:sz w:val="24"/>
          <w:szCs w:val="24"/>
        </w:rPr>
        <w:t xml:space="preserve"> understanding how the dimensions of complexity and transformation might be operationalised in different ways - could also help support greater learning and shared knowledge between CAFs. By unpacking the different dimensions of the 39 projects, we revealed niches of innovation that deserve wider discussion and possible take-up.  </w:t>
      </w:r>
    </w:p>
    <w:bookmarkEnd w:id="16"/>
    <w:p w14:paraId="52E04E7E" w14:textId="77777777" w:rsidR="00B14EAB" w:rsidRDefault="004D572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CONCLUSION </w:t>
      </w:r>
    </w:p>
    <w:p w14:paraId="52E04E7F" w14:textId="00D4E9EC"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215DC5">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paper </w:t>
      </w:r>
      <w:r w:rsidR="00215DC5">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developed and employed a conceptual framework built around the complexity, uncertainty, vulnerability and transformation imperatives of urban adaptation to investigate the adaptive</w:t>
      </w:r>
      <w:r w:rsidR="00E7418E">
        <w:rPr>
          <w:rFonts w:ascii="Times New Roman" w:eastAsia="Times New Roman" w:hAnsi="Times New Roman" w:cs="Times New Roman"/>
          <w:sz w:val="24"/>
          <w:szCs w:val="24"/>
        </w:rPr>
        <w:t xml:space="preserve"> potential</w:t>
      </w:r>
      <w:r>
        <w:rPr>
          <w:rFonts w:ascii="Times New Roman" w:eastAsia="Times New Roman" w:hAnsi="Times New Roman" w:cs="Times New Roman"/>
          <w:sz w:val="24"/>
          <w:szCs w:val="24"/>
        </w:rPr>
        <w:t xml:space="preserve"> of CAF-financed projects. More specific studies are still needed that investigate the role </w:t>
      </w:r>
      <w:proofErr w:type="gramStart"/>
      <w:r>
        <w:rPr>
          <w:rFonts w:ascii="Times New Roman" w:eastAsia="Times New Roman" w:hAnsi="Times New Roman" w:cs="Times New Roman"/>
          <w:sz w:val="24"/>
          <w:szCs w:val="24"/>
        </w:rPr>
        <w:t>of  CAFs</w:t>
      </w:r>
      <w:proofErr w:type="gramEnd"/>
      <w:r>
        <w:rPr>
          <w:rFonts w:ascii="Times New Roman" w:eastAsia="Times New Roman" w:hAnsi="Times New Roman" w:cs="Times New Roman"/>
          <w:sz w:val="24"/>
          <w:szCs w:val="24"/>
        </w:rPr>
        <w:t xml:space="preserve"> in financing urban adaptation in particular contexts, and that adopt a stronger comparative perspective across CAFs within urban areas. The framework could be further translated to apply it to the larger range of adaptation finance mechanisms being deployed in urban areas in conjunction with CAF funding, </w:t>
      </w:r>
      <w:r w:rsidR="00FB3B86">
        <w:rPr>
          <w:rFonts w:ascii="Times New Roman" w:eastAsia="Times New Roman" w:hAnsi="Times New Roman" w:cs="Times New Roman"/>
          <w:sz w:val="24"/>
          <w:szCs w:val="24"/>
        </w:rPr>
        <w:t>including</w:t>
      </w:r>
      <w:r>
        <w:rPr>
          <w:rFonts w:ascii="Times New Roman" w:eastAsia="Times New Roman" w:hAnsi="Times New Roman" w:cs="Times New Roman"/>
          <w:sz w:val="24"/>
          <w:szCs w:val="24"/>
        </w:rPr>
        <w:t xml:space="preserve"> bilateral and multilateral initiatives, private partnerships, and community-driven initiatives. As the mechanisms for delivering the Glasgow Climate Pact are developed, and </w:t>
      </w:r>
      <w:r w:rsidR="00215DC5">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climate adaptation funders grapple with the increasing urgency of releasing adaptation finance at the urban scale, we highlight the need for increased learning over time about how different funding modalities are actually able </w:t>
      </w:r>
      <w:r>
        <w:rPr>
          <w:rFonts w:ascii="Times New Roman" w:eastAsia="Times New Roman" w:hAnsi="Times New Roman" w:cs="Times New Roman"/>
          <w:sz w:val="24"/>
          <w:szCs w:val="24"/>
        </w:rPr>
        <w:lastRenderedPageBreak/>
        <w:t xml:space="preserve">to address the complexities of urban </w:t>
      </w:r>
      <w:proofErr w:type="gramStart"/>
      <w:r>
        <w:rPr>
          <w:rFonts w:ascii="Times New Roman" w:eastAsia="Times New Roman" w:hAnsi="Times New Roman" w:cs="Times New Roman"/>
          <w:sz w:val="24"/>
          <w:szCs w:val="24"/>
        </w:rPr>
        <w:t>adaptation,  encompassing</w:t>
      </w:r>
      <w:proofErr w:type="gramEnd"/>
      <w:r>
        <w:rPr>
          <w:rFonts w:ascii="Times New Roman" w:eastAsia="Times New Roman" w:hAnsi="Times New Roman" w:cs="Times New Roman"/>
          <w:sz w:val="24"/>
          <w:szCs w:val="24"/>
        </w:rPr>
        <w:t xml:space="preserve"> </w:t>
      </w:r>
      <w:r w:rsidR="00215DC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physical, infrastructural and social specificities of urban realities.  </w:t>
      </w:r>
    </w:p>
    <w:p w14:paraId="52E04E80" w14:textId="77777777" w:rsidR="00B14EAB" w:rsidRDefault="004D572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2E04E81" w14:textId="77777777" w:rsidR="00B14EAB" w:rsidRDefault="004D5725">
      <w:pPr>
        <w:spacing w:line="360" w:lineRule="auto"/>
        <w:jc w:val="both"/>
        <w:rPr>
          <w:rFonts w:ascii="Times New Roman" w:eastAsia="Times New Roman" w:hAnsi="Times New Roman" w:cs="Times New Roman"/>
          <w:sz w:val="24"/>
          <w:szCs w:val="24"/>
        </w:rPr>
      </w:pPr>
      <w:bookmarkStart w:id="17" w:name="_26in1rg" w:colFirst="0" w:colLast="0"/>
      <w:bookmarkEnd w:id="17"/>
      <w:proofErr w:type="spellStart"/>
      <w:r>
        <w:rPr>
          <w:rFonts w:ascii="Times New Roman" w:eastAsia="Times New Roman" w:hAnsi="Times New Roman" w:cs="Times New Roman"/>
          <w:sz w:val="24"/>
          <w:szCs w:val="24"/>
        </w:rPr>
        <w:t>AdaptationWatch</w:t>
      </w:r>
      <w:proofErr w:type="spellEnd"/>
      <w:r>
        <w:rPr>
          <w:rFonts w:ascii="Times New Roman" w:eastAsia="Times New Roman" w:hAnsi="Times New Roman" w:cs="Times New Roman"/>
          <w:sz w:val="24"/>
          <w:szCs w:val="24"/>
        </w:rPr>
        <w:t xml:space="preserve"> (2017). Toward Implementation: </w:t>
      </w:r>
      <w:r>
        <w:rPr>
          <w:rFonts w:ascii="Times New Roman" w:eastAsia="Times New Roman" w:hAnsi="Times New Roman" w:cs="Times New Roman"/>
          <w:i/>
          <w:sz w:val="24"/>
          <w:szCs w:val="24"/>
        </w:rPr>
        <w:t xml:space="preserve">The 2017 </w:t>
      </w:r>
      <w:proofErr w:type="spellStart"/>
      <w:r>
        <w:rPr>
          <w:rFonts w:ascii="Times New Roman" w:eastAsia="Times New Roman" w:hAnsi="Times New Roman" w:cs="Times New Roman"/>
          <w:i/>
          <w:sz w:val="24"/>
          <w:szCs w:val="24"/>
        </w:rPr>
        <w:t>AdaptationWatch</w:t>
      </w:r>
      <w:proofErr w:type="spellEnd"/>
      <w:r>
        <w:rPr>
          <w:rFonts w:ascii="Times New Roman" w:eastAsia="Times New Roman" w:hAnsi="Times New Roman" w:cs="Times New Roman"/>
          <w:i/>
          <w:sz w:val="24"/>
          <w:szCs w:val="24"/>
        </w:rPr>
        <w:t xml:space="preserve"> Report</w:t>
      </w:r>
      <w:r>
        <w:rPr>
          <w:rFonts w:ascii="Times New Roman" w:eastAsia="Times New Roman" w:hAnsi="Times New Roman" w:cs="Times New Roman"/>
          <w:sz w:val="24"/>
          <w:szCs w:val="24"/>
        </w:rPr>
        <w:t xml:space="preserve">. Eds. Kevin Adams and Danielle Falzon. White Paper, </w:t>
      </w:r>
      <w:hyperlink r:id="rId8">
        <w:r>
          <w:rPr>
            <w:rFonts w:ascii="Times New Roman" w:eastAsia="Times New Roman" w:hAnsi="Times New Roman" w:cs="Times New Roman"/>
            <w:color w:val="0563C1"/>
            <w:sz w:val="24"/>
            <w:szCs w:val="24"/>
            <w:u w:val="single"/>
          </w:rPr>
          <w:t>www.adaptationwatch.org</w:t>
        </w:r>
      </w:hyperlink>
      <w:r>
        <w:rPr>
          <w:rFonts w:ascii="Times New Roman" w:eastAsia="Times New Roman" w:hAnsi="Times New Roman" w:cs="Times New Roman"/>
          <w:sz w:val="24"/>
          <w:szCs w:val="24"/>
        </w:rPr>
        <w:t xml:space="preserve"> </w:t>
      </w:r>
    </w:p>
    <w:p w14:paraId="52E04E82"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Amerasinghe, N. M., Thwaites, J., Larsen, G., &amp; Ballesteros, A. (2017). </w:t>
      </w:r>
      <w:r>
        <w:rPr>
          <w:rFonts w:ascii="Times New Roman" w:eastAsia="Times New Roman" w:hAnsi="Times New Roman" w:cs="Times New Roman"/>
          <w:i/>
          <w:sz w:val="24"/>
          <w:szCs w:val="24"/>
        </w:rPr>
        <w:t>Future of the funds: Exploring the architecture of multilateral climate finance</w:t>
      </w:r>
      <w:r>
        <w:rPr>
          <w:rFonts w:ascii="Times New Roman" w:eastAsia="Times New Roman" w:hAnsi="Times New Roman" w:cs="Times New Roman"/>
          <w:sz w:val="24"/>
          <w:szCs w:val="24"/>
        </w:rPr>
        <w:t>, World Resource Institute.</w:t>
      </w:r>
    </w:p>
    <w:p w14:paraId="52E04E83" w14:textId="77777777" w:rsidR="00B14EAB" w:rsidRDefault="004D5725">
      <w:pPr>
        <w:spacing w:line="360" w:lineRule="auto"/>
        <w:jc w:val="both"/>
        <w:rPr>
          <w:rFonts w:ascii="Times New Roman" w:eastAsia="Times New Roman" w:hAnsi="Times New Roman" w:cs="Times New Roman"/>
          <w:sz w:val="24"/>
          <w:szCs w:val="24"/>
        </w:rPr>
      </w:pPr>
      <w:r w:rsidRPr="00D81FDA">
        <w:rPr>
          <w:rFonts w:ascii="Times New Roman" w:eastAsia="Times New Roman" w:hAnsi="Times New Roman" w:cs="Times New Roman"/>
          <w:sz w:val="24"/>
          <w:szCs w:val="24"/>
          <w:lang w:val="it-IT"/>
        </w:rPr>
        <w:t xml:space="preserve">Amorim-Maia, A. T., Anguelovski, I., Chu, E., &amp; Connolly, J. (2022). </w:t>
      </w:r>
      <w:r>
        <w:rPr>
          <w:rFonts w:ascii="Times New Roman" w:eastAsia="Times New Roman" w:hAnsi="Times New Roman" w:cs="Times New Roman"/>
          <w:sz w:val="24"/>
          <w:szCs w:val="24"/>
        </w:rPr>
        <w:t>Intersectional climate justice: A conceptual pathway for bridging adaptation planning, transformative action, and social equity. </w:t>
      </w:r>
      <w:r>
        <w:rPr>
          <w:rFonts w:ascii="Times New Roman" w:eastAsia="Times New Roman" w:hAnsi="Times New Roman" w:cs="Times New Roman"/>
          <w:i/>
          <w:sz w:val="24"/>
          <w:szCs w:val="24"/>
        </w:rPr>
        <w:t>Urban Climate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41</w:t>
      </w:r>
      <w:r>
        <w:rPr>
          <w:rFonts w:ascii="Times New Roman" w:eastAsia="Times New Roman" w:hAnsi="Times New Roman" w:cs="Times New Roman"/>
          <w:sz w:val="24"/>
          <w:szCs w:val="24"/>
        </w:rPr>
        <w:t>, 101053.</w:t>
      </w:r>
    </w:p>
    <w:p w14:paraId="52E04E85"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Ayers, J. (2009). International funding to support urban adaptation to climate change. </w:t>
      </w:r>
      <w:r>
        <w:rPr>
          <w:rFonts w:ascii="Times New Roman" w:eastAsia="Times New Roman" w:hAnsi="Times New Roman" w:cs="Times New Roman"/>
          <w:i/>
          <w:sz w:val="24"/>
          <w:szCs w:val="24"/>
        </w:rPr>
        <w:t>Environment and Urbanization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(1), 225-240.</w:t>
      </w:r>
    </w:p>
    <w:p w14:paraId="52E04E86" w14:textId="77777777" w:rsidR="00B14EAB" w:rsidRDefault="004D572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Bazbauers</w:t>
      </w:r>
      <w:proofErr w:type="spellEnd"/>
      <w:r>
        <w:rPr>
          <w:rFonts w:ascii="Times New Roman" w:eastAsia="Times New Roman" w:hAnsi="Times New Roman" w:cs="Times New Roman"/>
          <w:sz w:val="24"/>
          <w:szCs w:val="24"/>
        </w:rPr>
        <w:t>, A. R. (2021a). Sustainable, green, and climate-resilient cities: an analysis of multilateral development banks. </w:t>
      </w:r>
      <w:r>
        <w:rPr>
          <w:rFonts w:ascii="Times New Roman" w:eastAsia="Times New Roman" w:hAnsi="Times New Roman" w:cs="Times New Roman"/>
          <w:i/>
          <w:sz w:val="24"/>
          <w:szCs w:val="24"/>
        </w:rPr>
        <w:t>Climate and Development</w:t>
      </w:r>
      <w:r>
        <w:rPr>
          <w:rFonts w:ascii="Times New Roman" w:eastAsia="Times New Roman" w:hAnsi="Times New Roman" w:cs="Times New Roman"/>
          <w:sz w:val="24"/>
          <w:szCs w:val="24"/>
        </w:rPr>
        <w:t>, 1-16.</w:t>
      </w:r>
    </w:p>
    <w:p w14:paraId="52E04E87" w14:textId="77777777" w:rsidR="00B14EAB" w:rsidRDefault="004D572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Bazbauers</w:t>
      </w:r>
      <w:proofErr w:type="spellEnd"/>
      <w:r>
        <w:rPr>
          <w:rFonts w:ascii="Times New Roman" w:eastAsia="Times New Roman" w:hAnsi="Times New Roman" w:cs="Times New Roman"/>
          <w:sz w:val="24"/>
          <w:szCs w:val="24"/>
        </w:rPr>
        <w:t>, A. R. (2021b). Translating climate strategies into action: An analysis of the sustainable, green, and resilient city action plans of the multilateral development banks. </w:t>
      </w:r>
      <w:r>
        <w:rPr>
          <w:rFonts w:ascii="Times New Roman" w:eastAsia="Times New Roman" w:hAnsi="Times New Roman" w:cs="Times New Roman"/>
          <w:i/>
          <w:sz w:val="24"/>
          <w:szCs w:val="24"/>
        </w:rPr>
        <w:t>Development Policy Review</w:t>
      </w:r>
      <w:r>
        <w:rPr>
          <w:rFonts w:ascii="Times New Roman" w:eastAsia="Times New Roman" w:hAnsi="Times New Roman" w:cs="Times New Roman"/>
          <w:sz w:val="24"/>
          <w:szCs w:val="24"/>
        </w:rPr>
        <w:t xml:space="preserve">. </w:t>
      </w:r>
    </w:p>
    <w:p w14:paraId="52E04E88"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Biagini, B., Bierbaum, R., Stults, M., </w:t>
      </w:r>
      <w:proofErr w:type="spellStart"/>
      <w:r>
        <w:rPr>
          <w:rFonts w:ascii="Times New Roman" w:eastAsia="Times New Roman" w:hAnsi="Times New Roman" w:cs="Times New Roman"/>
          <w:sz w:val="24"/>
          <w:szCs w:val="24"/>
        </w:rPr>
        <w:t>Dobardzic</w:t>
      </w:r>
      <w:proofErr w:type="spellEnd"/>
      <w:r>
        <w:rPr>
          <w:rFonts w:ascii="Times New Roman" w:eastAsia="Times New Roman" w:hAnsi="Times New Roman" w:cs="Times New Roman"/>
          <w:sz w:val="24"/>
          <w:szCs w:val="24"/>
        </w:rPr>
        <w:t>, S., &amp; McNeeley, S. M. (2014). A typology of adaptation actions: A global look at climate adaptation actions financed through the Global Environment Facility. </w:t>
      </w:r>
      <w:r>
        <w:rPr>
          <w:rFonts w:ascii="Times New Roman" w:eastAsia="Times New Roman" w:hAnsi="Times New Roman" w:cs="Times New Roman"/>
          <w:i/>
          <w:sz w:val="24"/>
          <w:szCs w:val="24"/>
        </w:rPr>
        <w:t>Global Environmental Change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 97-108.</w:t>
      </w:r>
    </w:p>
    <w:p w14:paraId="52E04E89"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Bird, N., Cao, Y., &amp; Quevedo, A. (2019). </w:t>
      </w:r>
      <w:r>
        <w:rPr>
          <w:rFonts w:ascii="Times New Roman" w:eastAsia="Times New Roman" w:hAnsi="Times New Roman" w:cs="Times New Roman"/>
          <w:i/>
          <w:sz w:val="24"/>
          <w:szCs w:val="24"/>
        </w:rPr>
        <w:t>Transformational change in the climate investment funds</w:t>
      </w:r>
      <w:r>
        <w:rPr>
          <w:rFonts w:ascii="Times New Roman" w:eastAsia="Times New Roman" w:hAnsi="Times New Roman" w:cs="Times New Roman"/>
          <w:sz w:val="24"/>
          <w:szCs w:val="24"/>
        </w:rPr>
        <w:t>. Overseas Development Institute.</w:t>
      </w:r>
    </w:p>
    <w:p w14:paraId="52E04E8A" w14:textId="77777777" w:rsidR="00B14EAB" w:rsidRDefault="004D572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Bracking</w:t>
      </w:r>
      <w:proofErr w:type="spellEnd"/>
      <w:r>
        <w:rPr>
          <w:rFonts w:ascii="Times New Roman" w:eastAsia="Times New Roman" w:hAnsi="Times New Roman" w:cs="Times New Roman"/>
          <w:sz w:val="24"/>
          <w:szCs w:val="24"/>
        </w:rPr>
        <w:t>, S. (2015). The anti‐politics of climate finance: the creation and performativity of the green climate fund. </w:t>
      </w:r>
      <w:r>
        <w:rPr>
          <w:rFonts w:ascii="Times New Roman" w:eastAsia="Times New Roman" w:hAnsi="Times New Roman" w:cs="Times New Roman"/>
          <w:i/>
          <w:sz w:val="24"/>
          <w:szCs w:val="24"/>
        </w:rPr>
        <w:t>Antipode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47</w:t>
      </w:r>
      <w:r>
        <w:rPr>
          <w:rFonts w:ascii="Times New Roman" w:eastAsia="Times New Roman" w:hAnsi="Times New Roman" w:cs="Times New Roman"/>
          <w:sz w:val="24"/>
          <w:szCs w:val="24"/>
        </w:rPr>
        <w:t>(2), 281-302.</w:t>
      </w:r>
    </w:p>
    <w:p w14:paraId="52E04E8B"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Brugmann, J. (2012). Financing the resilient city. </w:t>
      </w:r>
      <w:r>
        <w:rPr>
          <w:rFonts w:ascii="Times New Roman" w:eastAsia="Times New Roman" w:hAnsi="Times New Roman" w:cs="Times New Roman"/>
          <w:i/>
          <w:sz w:val="24"/>
          <w:szCs w:val="24"/>
        </w:rPr>
        <w:t>Environment and Urbanization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24</w:t>
      </w:r>
      <w:r>
        <w:rPr>
          <w:rFonts w:ascii="Times New Roman" w:eastAsia="Times New Roman" w:hAnsi="Times New Roman" w:cs="Times New Roman"/>
          <w:sz w:val="24"/>
          <w:szCs w:val="24"/>
        </w:rPr>
        <w:t>(1), 215-232.</w:t>
      </w:r>
    </w:p>
    <w:p w14:paraId="52E04E8C" w14:textId="77777777" w:rsidR="00B14EAB" w:rsidRPr="008B3D50" w:rsidRDefault="004D5725">
      <w:pPr>
        <w:spacing w:line="360" w:lineRule="auto"/>
        <w:jc w:val="both"/>
        <w:rPr>
          <w:rFonts w:ascii="Times New Roman" w:eastAsia="Times New Roman" w:hAnsi="Times New Roman" w:cs="Times New Roman"/>
          <w:sz w:val="24"/>
          <w:szCs w:val="24"/>
        </w:rPr>
      </w:pPr>
      <w:r w:rsidRPr="008B3D50">
        <w:rPr>
          <w:rFonts w:ascii="Times New Roman" w:eastAsia="Times New Roman" w:hAnsi="Times New Roman" w:cs="Times New Roman"/>
          <w:sz w:val="24"/>
          <w:szCs w:val="24"/>
        </w:rPr>
        <w:t xml:space="preserve">Burton, I., </w:t>
      </w:r>
      <w:proofErr w:type="spellStart"/>
      <w:r w:rsidRPr="008B3D50">
        <w:rPr>
          <w:rFonts w:ascii="Times New Roman" w:eastAsia="Times New Roman" w:hAnsi="Times New Roman" w:cs="Times New Roman"/>
          <w:sz w:val="24"/>
          <w:szCs w:val="24"/>
        </w:rPr>
        <w:t>Bizikova</w:t>
      </w:r>
      <w:proofErr w:type="spellEnd"/>
      <w:r w:rsidRPr="008B3D50">
        <w:rPr>
          <w:rFonts w:ascii="Times New Roman" w:eastAsia="Times New Roman" w:hAnsi="Times New Roman" w:cs="Times New Roman"/>
          <w:sz w:val="24"/>
          <w:szCs w:val="24"/>
        </w:rPr>
        <w:t>, L., Dickinson, T., &amp; Howard, Y. (2007). Integrating adaptation into policy: Upscaling evidence from local to global. </w:t>
      </w:r>
      <w:r w:rsidRPr="008B3D50">
        <w:rPr>
          <w:rFonts w:ascii="Times New Roman" w:eastAsia="Times New Roman" w:hAnsi="Times New Roman" w:cs="Times New Roman"/>
          <w:i/>
          <w:sz w:val="24"/>
          <w:szCs w:val="24"/>
        </w:rPr>
        <w:t>Climate policy</w:t>
      </w:r>
      <w:r w:rsidRPr="008B3D50">
        <w:rPr>
          <w:rFonts w:ascii="Times New Roman" w:eastAsia="Times New Roman" w:hAnsi="Times New Roman" w:cs="Times New Roman"/>
          <w:sz w:val="24"/>
          <w:szCs w:val="24"/>
        </w:rPr>
        <w:t>, </w:t>
      </w:r>
      <w:r w:rsidRPr="008B3D50">
        <w:rPr>
          <w:rFonts w:ascii="Times New Roman" w:eastAsia="Times New Roman" w:hAnsi="Times New Roman" w:cs="Times New Roman"/>
          <w:i/>
          <w:sz w:val="24"/>
          <w:szCs w:val="24"/>
        </w:rPr>
        <w:t>7</w:t>
      </w:r>
      <w:r w:rsidRPr="008B3D50">
        <w:rPr>
          <w:rFonts w:ascii="Times New Roman" w:eastAsia="Times New Roman" w:hAnsi="Times New Roman" w:cs="Times New Roman"/>
          <w:sz w:val="24"/>
          <w:szCs w:val="24"/>
        </w:rPr>
        <w:t>(4), 371-376.</w:t>
      </w:r>
    </w:p>
    <w:p w14:paraId="52E04E8D"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Caldwell M. &amp; Larsen G. (2021). </w:t>
      </w:r>
      <w:r>
        <w:rPr>
          <w:rFonts w:ascii="Times New Roman" w:eastAsia="Times New Roman" w:hAnsi="Times New Roman" w:cs="Times New Roman"/>
          <w:i/>
          <w:sz w:val="24"/>
          <w:szCs w:val="24"/>
        </w:rPr>
        <w:t>INSIDER: Three Ways to Improve Direct Access to the Green Climate Fund</w:t>
      </w:r>
      <w:r>
        <w:rPr>
          <w:rFonts w:ascii="Times New Roman" w:eastAsia="Times New Roman" w:hAnsi="Times New Roman" w:cs="Times New Roman"/>
          <w:sz w:val="24"/>
          <w:szCs w:val="24"/>
        </w:rPr>
        <w:t xml:space="preserve">, World Resources Institute. </w:t>
      </w:r>
      <w:hyperlink r:id="rId9">
        <w:r>
          <w:rPr>
            <w:rFonts w:ascii="Times New Roman" w:eastAsia="Times New Roman" w:hAnsi="Times New Roman" w:cs="Times New Roman"/>
            <w:color w:val="0563C1"/>
            <w:sz w:val="24"/>
            <w:szCs w:val="24"/>
            <w:u w:val="single"/>
          </w:rPr>
          <w:t>https://www.wri.org/insights/insider-three-ways-improve-direct-access-green-climate-fund</w:t>
        </w:r>
      </w:hyperlink>
      <w:r>
        <w:rPr>
          <w:rFonts w:ascii="Times New Roman" w:eastAsia="Times New Roman" w:hAnsi="Times New Roman" w:cs="Times New Roman"/>
          <w:sz w:val="24"/>
          <w:szCs w:val="24"/>
        </w:rPr>
        <w:t xml:space="preserve"> </w:t>
      </w:r>
    </w:p>
    <w:p w14:paraId="52E04E8E"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Causevic, A., &amp; </w:t>
      </w:r>
      <w:proofErr w:type="spellStart"/>
      <w:r>
        <w:rPr>
          <w:rFonts w:ascii="Times New Roman" w:eastAsia="Times New Roman" w:hAnsi="Times New Roman" w:cs="Times New Roman"/>
          <w:sz w:val="24"/>
          <w:szCs w:val="24"/>
        </w:rPr>
        <w:t>Selvakkumaran</w:t>
      </w:r>
      <w:proofErr w:type="spellEnd"/>
      <w:r>
        <w:rPr>
          <w:rFonts w:ascii="Times New Roman" w:eastAsia="Times New Roman" w:hAnsi="Times New Roman" w:cs="Times New Roman"/>
          <w:sz w:val="24"/>
          <w:szCs w:val="24"/>
        </w:rPr>
        <w:t>, S. (2018). The role of multilateral climate funds in urban transitions between 1994 and 2014. </w:t>
      </w:r>
      <w:r>
        <w:rPr>
          <w:rFonts w:ascii="Times New Roman" w:eastAsia="Times New Roman" w:hAnsi="Times New Roman" w:cs="Times New Roman"/>
          <w:i/>
          <w:sz w:val="24"/>
          <w:szCs w:val="24"/>
        </w:rPr>
        <w:t>Journal of Sustainable Finance &amp; Investment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(3), 275-299.</w:t>
      </w:r>
    </w:p>
    <w:p w14:paraId="52E04E90"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Policy Initiative (2021a). </w:t>
      </w:r>
      <w:r>
        <w:rPr>
          <w:rFonts w:ascii="Times New Roman" w:eastAsia="Times New Roman" w:hAnsi="Times New Roman" w:cs="Times New Roman"/>
          <w:i/>
          <w:sz w:val="24"/>
          <w:szCs w:val="24"/>
        </w:rPr>
        <w:t>The State of Cities Climate Finance</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0563C1"/>
            <w:sz w:val="24"/>
            <w:szCs w:val="24"/>
            <w:u w:val="single"/>
          </w:rPr>
          <w:t>https://www.climatepolicyinitiative.org/publication/the-state-of-cities-climate-finance/</w:t>
        </w:r>
      </w:hyperlink>
      <w:r>
        <w:rPr>
          <w:rFonts w:ascii="Times New Roman" w:eastAsia="Times New Roman" w:hAnsi="Times New Roman" w:cs="Times New Roman"/>
          <w:sz w:val="24"/>
          <w:szCs w:val="24"/>
        </w:rPr>
        <w:t xml:space="preserve"> </w:t>
      </w:r>
    </w:p>
    <w:p w14:paraId="52E04E91"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Coger, T., </w:t>
      </w:r>
      <w:proofErr w:type="spellStart"/>
      <w:r>
        <w:rPr>
          <w:rFonts w:ascii="Times New Roman" w:eastAsia="Times New Roman" w:hAnsi="Times New Roman" w:cs="Times New Roman"/>
          <w:sz w:val="24"/>
          <w:szCs w:val="24"/>
        </w:rPr>
        <w:t>Dinshaw</w:t>
      </w:r>
      <w:proofErr w:type="spellEnd"/>
      <w:r>
        <w:rPr>
          <w:rFonts w:ascii="Times New Roman" w:eastAsia="Times New Roman" w:hAnsi="Times New Roman" w:cs="Times New Roman"/>
          <w:sz w:val="24"/>
          <w:szCs w:val="24"/>
        </w:rPr>
        <w:t xml:space="preserve">, A., Krishnan, N., Cook, M., Brown, A., Chu, E., &amp; Illick-Frank, E. (2021). </w:t>
      </w:r>
      <w:r>
        <w:rPr>
          <w:rFonts w:ascii="Times New Roman" w:eastAsia="Times New Roman" w:hAnsi="Times New Roman" w:cs="Times New Roman"/>
          <w:i/>
          <w:sz w:val="24"/>
          <w:szCs w:val="24"/>
        </w:rPr>
        <w:t>Tracking and Reporting Finance for Locally Led Adaptation to Climate Change</w:t>
      </w:r>
      <w:r>
        <w:rPr>
          <w:rFonts w:ascii="Times New Roman" w:eastAsia="Times New Roman" w:hAnsi="Times New Roman" w:cs="Times New Roman"/>
          <w:sz w:val="24"/>
          <w:szCs w:val="24"/>
        </w:rPr>
        <w:t>. World Resources Institute, Washington.</w:t>
      </w:r>
    </w:p>
    <w:p w14:paraId="52E04E92" w14:textId="77777777" w:rsidR="00B14EAB" w:rsidRDefault="004D572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Colenbrander</w:t>
      </w:r>
      <w:proofErr w:type="spellEnd"/>
      <w:r>
        <w:rPr>
          <w:rFonts w:ascii="Times New Roman" w:eastAsia="Times New Roman" w:hAnsi="Times New Roman" w:cs="Times New Roman"/>
          <w:sz w:val="24"/>
          <w:szCs w:val="24"/>
        </w:rPr>
        <w:t xml:space="preserve">, S., Dodman, D., &amp; </w:t>
      </w:r>
      <w:proofErr w:type="spellStart"/>
      <w:r>
        <w:rPr>
          <w:rFonts w:ascii="Times New Roman" w:eastAsia="Times New Roman" w:hAnsi="Times New Roman" w:cs="Times New Roman"/>
          <w:sz w:val="24"/>
          <w:szCs w:val="24"/>
        </w:rPr>
        <w:t>Mitlin</w:t>
      </w:r>
      <w:proofErr w:type="spellEnd"/>
      <w:r>
        <w:rPr>
          <w:rFonts w:ascii="Times New Roman" w:eastAsia="Times New Roman" w:hAnsi="Times New Roman" w:cs="Times New Roman"/>
          <w:sz w:val="24"/>
          <w:szCs w:val="24"/>
        </w:rPr>
        <w:t>, D. (2018). Using climate finance to advance climate justice: the politics and practice of channelling resources to the local level. </w:t>
      </w:r>
      <w:r>
        <w:rPr>
          <w:rFonts w:ascii="Times New Roman" w:eastAsia="Times New Roman" w:hAnsi="Times New Roman" w:cs="Times New Roman"/>
          <w:i/>
          <w:sz w:val="24"/>
          <w:szCs w:val="24"/>
        </w:rPr>
        <w:t>Climate policy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(7), 902-915.</w:t>
      </w:r>
    </w:p>
    <w:p w14:paraId="52E04E93"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Doshi, D., &amp; </w:t>
      </w:r>
      <w:proofErr w:type="spellStart"/>
      <w:r>
        <w:rPr>
          <w:rFonts w:ascii="Times New Roman" w:eastAsia="Times New Roman" w:hAnsi="Times New Roman" w:cs="Times New Roman"/>
          <w:sz w:val="24"/>
          <w:szCs w:val="24"/>
        </w:rPr>
        <w:t>Garschagen</w:t>
      </w:r>
      <w:proofErr w:type="spellEnd"/>
      <w:r>
        <w:rPr>
          <w:rFonts w:ascii="Times New Roman" w:eastAsia="Times New Roman" w:hAnsi="Times New Roman" w:cs="Times New Roman"/>
          <w:sz w:val="24"/>
          <w:szCs w:val="24"/>
        </w:rPr>
        <w:t xml:space="preserve">, M. (2020). Understanding adaptation finance allocation: which factors enable or constrain vulnerable countries to access </w:t>
      </w:r>
      <w:proofErr w:type="gramStart"/>
      <w:r>
        <w:rPr>
          <w:rFonts w:ascii="Times New Roman" w:eastAsia="Times New Roman" w:hAnsi="Times New Roman" w:cs="Times New Roman"/>
          <w:sz w:val="24"/>
          <w:szCs w:val="24"/>
        </w:rPr>
        <w:t>funding?.</w:t>
      </w:r>
      <w:proofErr w:type="gram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Sustainability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(10), 4308.</w:t>
      </w:r>
    </w:p>
    <w:p w14:paraId="52E04E94"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Eriksen, S., Schipper, E. L. F., Scoville-Simonds, M., Vincent, K., Adam, H. N., Brooks, N., ... &amp; West, J. J. (2021). Adaptation interventions and their effect on vulnerability in developing countries: Help, hindrance or </w:t>
      </w:r>
      <w:proofErr w:type="gramStart"/>
      <w:r>
        <w:rPr>
          <w:rFonts w:ascii="Times New Roman" w:eastAsia="Times New Roman" w:hAnsi="Times New Roman" w:cs="Times New Roman"/>
          <w:sz w:val="24"/>
          <w:szCs w:val="24"/>
        </w:rPr>
        <w:t>irrelevance?.</w:t>
      </w:r>
      <w:proofErr w:type="gram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World Development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141</w:t>
      </w:r>
      <w:r>
        <w:rPr>
          <w:rFonts w:ascii="Times New Roman" w:eastAsia="Times New Roman" w:hAnsi="Times New Roman" w:cs="Times New Roman"/>
          <w:sz w:val="24"/>
          <w:szCs w:val="24"/>
        </w:rPr>
        <w:t>, 105383.</w:t>
      </w:r>
    </w:p>
    <w:p w14:paraId="52E04E95"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Fedele, G., </w:t>
      </w:r>
      <w:proofErr w:type="spellStart"/>
      <w:r>
        <w:rPr>
          <w:rFonts w:ascii="Times New Roman" w:eastAsia="Times New Roman" w:hAnsi="Times New Roman" w:cs="Times New Roman"/>
          <w:sz w:val="24"/>
          <w:szCs w:val="24"/>
        </w:rPr>
        <w:t>Donatti</w:t>
      </w:r>
      <w:proofErr w:type="spellEnd"/>
      <w:r>
        <w:rPr>
          <w:rFonts w:ascii="Times New Roman" w:eastAsia="Times New Roman" w:hAnsi="Times New Roman" w:cs="Times New Roman"/>
          <w:sz w:val="24"/>
          <w:szCs w:val="24"/>
        </w:rPr>
        <w:t>, C. I., Harvey, C. A., Hannah, L., &amp; Hole, D. G. (2019). Transformative adaptation to climate change for sustainable social-ecological systems. </w:t>
      </w:r>
      <w:r>
        <w:rPr>
          <w:rFonts w:ascii="Times New Roman" w:eastAsia="Times New Roman" w:hAnsi="Times New Roman" w:cs="Times New Roman"/>
          <w:i/>
          <w:sz w:val="24"/>
          <w:szCs w:val="24"/>
        </w:rPr>
        <w:t>Environmental Science &amp; Policy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101</w:t>
      </w:r>
      <w:r>
        <w:rPr>
          <w:rFonts w:ascii="Times New Roman" w:eastAsia="Times New Roman" w:hAnsi="Times New Roman" w:cs="Times New Roman"/>
          <w:sz w:val="24"/>
          <w:szCs w:val="24"/>
        </w:rPr>
        <w:t>, 116-125.</w:t>
      </w:r>
    </w:p>
    <w:p w14:paraId="52E04E96"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Field, C. B., Barros, V., Stocker, T. F., &amp; </w:t>
      </w:r>
      <w:proofErr w:type="spellStart"/>
      <w:r>
        <w:rPr>
          <w:rFonts w:ascii="Times New Roman" w:eastAsia="Times New Roman" w:hAnsi="Times New Roman" w:cs="Times New Roman"/>
          <w:sz w:val="24"/>
          <w:szCs w:val="24"/>
        </w:rPr>
        <w:t>Dahe</w:t>
      </w:r>
      <w:proofErr w:type="spellEnd"/>
      <w:r>
        <w:rPr>
          <w:rFonts w:ascii="Times New Roman" w:eastAsia="Times New Roman" w:hAnsi="Times New Roman" w:cs="Times New Roman"/>
          <w:sz w:val="24"/>
          <w:szCs w:val="24"/>
        </w:rPr>
        <w:t>, Q. (Eds.). (2012). </w:t>
      </w:r>
      <w:r>
        <w:rPr>
          <w:rFonts w:ascii="Times New Roman" w:eastAsia="Times New Roman" w:hAnsi="Times New Roman" w:cs="Times New Roman"/>
          <w:i/>
          <w:sz w:val="24"/>
          <w:szCs w:val="24"/>
        </w:rPr>
        <w:t>Managing the risks of extreme events and disasters to advance climate change adaptation: special report of the intergovernmental panel on climate change</w:t>
      </w:r>
      <w:r>
        <w:rPr>
          <w:rFonts w:ascii="Times New Roman" w:eastAsia="Times New Roman" w:hAnsi="Times New Roman" w:cs="Times New Roman"/>
          <w:sz w:val="24"/>
          <w:szCs w:val="24"/>
        </w:rPr>
        <w:t>. Cambridge University Press.</w:t>
      </w:r>
    </w:p>
    <w:p w14:paraId="52E04E97"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Gomez Jr, J. E. A. (2013). The limitations of climate change donor intervention as deus ex machina: evidence from Sorsogon, the Philippines. </w:t>
      </w:r>
      <w:r>
        <w:rPr>
          <w:rFonts w:ascii="Times New Roman" w:eastAsia="Times New Roman" w:hAnsi="Times New Roman" w:cs="Times New Roman"/>
          <w:i/>
          <w:sz w:val="24"/>
          <w:szCs w:val="24"/>
        </w:rPr>
        <w:t>International Development Planning Review</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(4), 371.</w:t>
      </w:r>
    </w:p>
    <w:p w14:paraId="52E04E98"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Kasdan, M., Kuhl, L., &amp; Kurukulasuriya, P. (2021). The evolution of transformational change in multilateral funds dedicated to financing adaptation to climate change. </w:t>
      </w:r>
      <w:r>
        <w:rPr>
          <w:rFonts w:ascii="Times New Roman" w:eastAsia="Times New Roman" w:hAnsi="Times New Roman" w:cs="Times New Roman"/>
          <w:i/>
          <w:sz w:val="24"/>
          <w:szCs w:val="24"/>
        </w:rPr>
        <w:t>Climate and Development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(5), 427-442.</w:t>
      </w:r>
    </w:p>
    <w:p w14:paraId="52E04E99"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Kato, T., Ellis, J., Pauw, P., &amp; Caruso, R. (2014). Scaling up and replicating effective climate finance interventions.</w:t>
      </w:r>
      <w:r>
        <w:t xml:space="preserve"> </w:t>
      </w:r>
      <w:r>
        <w:rPr>
          <w:rFonts w:ascii="Times New Roman" w:eastAsia="Times New Roman" w:hAnsi="Times New Roman" w:cs="Times New Roman"/>
          <w:sz w:val="24"/>
          <w:szCs w:val="24"/>
        </w:rPr>
        <w:t>Climate Change Expert Group Paper No. 2014(1), OECD.</w:t>
      </w:r>
      <w:r>
        <w:t xml:space="preserve"> </w:t>
      </w:r>
      <w:hyperlink r:id="rId11">
        <w:r>
          <w:rPr>
            <w:rFonts w:ascii="Times New Roman" w:eastAsia="Times New Roman" w:hAnsi="Times New Roman" w:cs="Times New Roman"/>
            <w:color w:val="0563C1"/>
            <w:sz w:val="24"/>
            <w:szCs w:val="24"/>
            <w:u w:val="single"/>
          </w:rPr>
          <w:t>https://www.oecd-ilibrary.org/docserver/5js1qffvmnhk-en.pdf?expires=1641770600&amp;id=id&amp;accname=guest&amp;checksum=31318C5882C32E2289C9309DCF089613</w:t>
        </w:r>
      </w:hyperlink>
      <w:r>
        <w:rPr>
          <w:rFonts w:ascii="Times New Roman" w:eastAsia="Times New Roman" w:hAnsi="Times New Roman" w:cs="Times New Roman"/>
          <w:sz w:val="24"/>
          <w:szCs w:val="24"/>
        </w:rPr>
        <w:t xml:space="preserve"> </w:t>
      </w:r>
    </w:p>
    <w:p w14:paraId="52E04E9A"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Keenan, J. M., Chu, E., &amp; Peterson, J. (2019). From funding to </w:t>
      </w:r>
      <w:proofErr w:type="gramStart"/>
      <w:r>
        <w:rPr>
          <w:rFonts w:ascii="Times New Roman" w:eastAsia="Times New Roman" w:hAnsi="Times New Roman" w:cs="Times New Roman"/>
          <w:sz w:val="24"/>
          <w:szCs w:val="24"/>
        </w:rPr>
        <w:t>financing:</w:t>
      </w:r>
      <w:proofErr w:type="gramEnd"/>
      <w:r>
        <w:rPr>
          <w:rFonts w:ascii="Times New Roman" w:eastAsia="Times New Roman" w:hAnsi="Times New Roman" w:cs="Times New Roman"/>
          <w:sz w:val="24"/>
          <w:szCs w:val="24"/>
        </w:rPr>
        <w:t xml:space="preserve"> perspectives shaping a research agenda for investment in urban climate adaptation. </w:t>
      </w:r>
      <w:r>
        <w:rPr>
          <w:rFonts w:ascii="Times New Roman" w:eastAsia="Times New Roman" w:hAnsi="Times New Roman" w:cs="Times New Roman"/>
          <w:i/>
          <w:sz w:val="24"/>
          <w:szCs w:val="24"/>
        </w:rPr>
        <w:t>International Journal of Urban Sustainable Development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(3), 297-308.</w:t>
      </w:r>
    </w:p>
    <w:p w14:paraId="52E04E9B"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Kuhl, L., Rahman, M. F., McCraine, S., Krause, D., Hossain, M. F., Bahadur, A. V., &amp; Huq, S. (2021). Transformational Adaptation in the Context of Coastal Cities. </w:t>
      </w:r>
      <w:r>
        <w:rPr>
          <w:rFonts w:ascii="Times New Roman" w:eastAsia="Times New Roman" w:hAnsi="Times New Roman" w:cs="Times New Roman"/>
          <w:i/>
          <w:sz w:val="24"/>
          <w:szCs w:val="24"/>
        </w:rPr>
        <w:t>Annual Review of Environment and Resources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w:t>
      </w:r>
    </w:p>
    <w:p w14:paraId="52E04E9C" w14:textId="77777777" w:rsidR="00B14EAB" w:rsidRDefault="004D5725">
      <w:pPr>
        <w:spacing w:line="360" w:lineRule="auto"/>
        <w:jc w:val="both"/>
        <w:rPr>
          <w:rFonts w:ascii="Times New Roman" w:eastAsia="Times New Roman" w:hAnsi="Times New Roman" w:cs="Times New Roman"/>
          <w:sz w:val="24"/>
          <w:szCs w:val="24"/>
        </w:rPr>
      </w:pPr>
      <w:r w:rsidRPr="00D81FDA">
        <w:rPr>
          <w:rFonts w:ascii="Times New Roman" w:eastAsia="Times New Roman" w:hAnsi="Times New Roman" w:cs="Times New Roman"/>
          <w:sz w:val="24"/>
          <w:szCs w:val="24"/>
          <w:lang w:val="it-IT"/>
        </w:rPr>
        <w:t xml:space="preserve">Lebel, L., Salamanca, A., &amp; Kallayanamitra, C. (2017). </w:t>
      </w:r>
      <w:r>
        <w:rPr>
          <w:rFonts w:ascii="Times New Roman" w:eastAsia="Times New Roman" w:hAnsi="Times New Roman" w:cs="Times New Roman"/>
          <w:sz w:val="24"/>
          <w:szCs w:val="24"/>
        </w:rPr>
        <w:t>The governance of adaptation financing: pursuing legitimacy at multiple levels. </w:t>
      </w:r>
      <w:r>
        <w:rPr>
          <w:rFonts w:ascii="Times New Roman" w:eastAsia="Times New Roman" w:hAnsi="Times New Roman" w:cs="Times New Roman"/>
          <w:i/>
          <w:sz w:val="24"/>
          <w:szCs w:val="24"/>
        </w:rPr>
        <w:t>International Journal of Global Warming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(2), 226-245.</w:t>
      </w:r>
    </w:p>
    <w:p w14:paraId="52E04E9D" w14:textId="77777777" w:rsidR="00B14EAB" w:rsidRDefault="004D572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Manuamorn</w:t>
      </w:r>
      <w:proofErr w:type="spellEnd"/>
      <w:r>
        <w:rPr>
          <w:rFonts w:ascii="Times New Roman" w:eastAsia="Times New Roman" w:hAnsi="Times New Roman" w:cs="Times New Roman"/>
          <w:sz w:val="24"/>
          <w:szCs w:val="24"/>
        </w:rPr>
        <w:t xml:space="preserve">, O. P., </w:t>
      </w:r>
      <w:proofErr w:type="spellStart"/>
      <w:r>
        <w:rPr>
          <w:rFonts w:ascii="Times New Roman" w:eastAsia="Times New Roman" w:hAnsi="Times New Roman" w:cs="Times New Roman"/>
          <w:sz w:val="24"/>
          <w:szCs w:val="24"/>
        </w:rPr>
        <w:t>Biesbroek</w:t>
      </w:r>
      <w:proofErr w:type="spellEnd"/>
      <w:r>
        <w:rPr>
          <w:rFonts w:ascii="Times New Roman" w:eastAsia="Times New Roman" w:hAnsi="Times New Roman" w:cs="Times New Roman"/>
          <w:sz w:val="24"/>
          <w:szCs w:val="24"/>
        </w:rPr>
        <w:t xml:space="preserve">, R., &amp; Cebotari, V. (2020). What makes </w:t>
      </w:r>
      <w:proofErr w:type="gramStart"/>
      <w:r>
        <w:rPr>
          <w:rFonts w:ascii="Times New Roman" w:eastAsia="Times New Roman" w:hAnsi="Times New Roman" w:cs="Times New Roman"/>
          <w:sz w:val="24"/>
          <w:szCs w:val="24"/>
        </w:rPr>
        <w:t>internationally-financed</w:t>
      </w:r>
      <w:proofErr w:type="gramEnd"/>
      <w:r>
        <w:rPr>
          <w:rFonts w:ascii="Times New Roman" w:eastAsia="Times New Roman" w:hAnsi="Times New Roman" w:cs="Times New Roman"/>
          <w:sz w:val="24"/>
          <w:szCs w:val="24"/>
        </w:rPr>
        <w:t xml:space="preserve"> climate change adaptation projects focus on local communities? A configurational analysis of 30 Adaptation Fund projects. </w:t>
      </w:r>
      <w:r>
        <w:rPr>
          <w:rFonts w:ascii="Times New Roman" w:eastAsia="Times New Roman" w:hAnsi="Times New Roman" w:cs="Times New Roman"/>
          <w:i/>
          <w:sz w:val="24"/>
          <w:szCs w:val="24"/>
        </w:rPr>
        <w:t>Global Environmental Change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61</w:t>
      </w:r>
      <w:r>
        <w:rPr>
          <w:rFonts w:ascii="Times New Roman" w:eastAsia="Times New Roman" w:hAnsi="Times New Roman" w:cs="Times New Roman"/>
          <w:sz w:val="24"/>
          <w:szCs w:val="24"/>
        </w:rPr>
        <w:t>, 102035.</w:t>
      </w:r>
    </w:p>
    <w:p w14:paraId="52E04E9E"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OECD (2021), </w:t>
      </w:r>
      <w:r>
        <w:rPr>
          <w:rFonts w:ascii="Times New Roman" w:eastAsia="Times New Roman" w:hAnsi="Times New Roman" w:cs="Times New Roman"/>
          <w:i/>
          <w:sz w:val="24"/>
          <w:szCs w:val="24"/>
        </w:rPr>
        <w:t>Climate Finance Provided and Mobilised by Developed Countries: Aggregate trends updated with 2019 data, Climate Finance and the USD 100 Billion Goal</w:t>
      </w:r>
      <w:r>
        <w:rPr>
          <w:rFonts w:ascii="Times New Roman" w:eastAsia="Times New Roman" w:hAnsi="Times New Roman" w:cs="Times New Roman"/>
          <w:sz w:val="24"/>
          <w:szCs w:val="24"/>
        </w:rPr>
        <w:t>, OECD Publishing, Paris.</w:t>
      </w:r>
    </w:p>
    <w:p w14:paraId="52E04E9F"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Patel, T. (2014). </w:t>
      </w:r>
      <w:r>
        <w:rPr>
          <w:rFonts w:ascii="Times New Roman" w:eastAsia="Times New Roman" w:hAnsi="Times New Roman" w:cs="Times New Roman"/>
          <w:i/>
          <w:sz w:val="24"/>
          <w:szCs w:val="24"/>
        </w:rPr>
        <w:t>Funding for adaptation to climate change: the case of Surat</w:t>
      </w:r>
      <w:r>
        <w:rPr>
          <w:rFonts w:ascii="Times New Roman" w:eastAsia="Times New Roman" w:hAnsi="Times New Roman" w:cs="Times New Roman"/>
          <w:sz w:val="24"/>
          <w:szCs w:val="24"/>
        </w:rPr>
        <w:t> (Doctoral dissertation, Massachusetts Institute of Technology).</w:t>
      </w:r>
    </w:p>
    <w:p w14:paraId="52E04EA0"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 Y., &amp; Bai, X. (2021). Financing urban low-carbon transition: The catalytic role of a city-level special fund in Shanghai. </w:t>
      </w:r>
      <w:r>
        <w:rPr>
          <w:rFonts w:ascii="Times New Roman" w:eastAsia="Times New Roman" w:hAnsi="Times New Roman" w:cs="Times New Roman"/>
          <w:i/>
          <w:sz w:val="24"/>
          <w:szCs w:val="24"/>
        </w:rPr>
        <w:t>Journal of Cleaner Production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282</w:t>
      </w:r>
      <w:r>
        <w:rPr>
          <w:rFonts w:ascii="Times New Roman" w:eastAsia="Times New Roman" w:hAnsi="Times New Roman" w:cs="Times New Roman"/>
          <w:sz w:val="24"/>
          <w:szCs w:val="24"/>
        </w:rPr>
        <w:t>, 124514.</w:t>
      </w:r>
    </w:p>
    <w:p w14:paraId="52E04EA1"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Persson, A., &amp; Remling, E. (2014). Equity and efficiency in adaptation finance: initial experiences of the Adaptation Fund. </w:t>
      </w:r>
      <w:r>
        <w:rPr>
          <w:rFonts w:ascii="Times New Roman" w:eastAsia="Times New Roman" w:hAnsi="Times New Roman" w:cs="Times New Roman"/>
          <w:i/>
          <w:sz w:val="24"/>
          <w:szCs w:val="24"/>
        </w:rPr>
        <w:t>Climate Policy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(4), 488-506.</w:t>
      </w:r>
    </w:p>
    <w:p w14:paraId="52E04EA2"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Pickering, J., Betzold, C., &amp; Skovgaard, J. (2017). Managing fragmentation and complexity in the emerging system of international climate finance. </w:t>
      </w:r>
      <w:r>
        <w:rPr>
          <w:rFonts w:ascii="Times New Roman" w:eastAsia="Times New Roman" w:hAnsi="Times New Roman" w:cs="Times New Roman"/>
          <w:i/>
          <w:sz w:val="24"/>
          <w:szCs w:val="24"/>
        </w:rPr>
        <w:t>International Environmental Agreements: Politics, Law and Economics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(1), 1-16.</w:t>
      </w:r>
    </w:p>
    <w:p w14:paraId="52E04EA3"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Price, R.A. (2021). </w:t>
      </w:r>
      <w:r>
        <w:rPr>
          <w:rFonts w:ascii="Times New Roman" w:eastAsia="Times New Roman" w:hAnsi="Times New Roman" w:cs="Times New Roman"/>
          <w:i/>
          <w:sz w:val="24"/>
          <w:szCs w:val="24"/>
        </w:rPr>
        <w:t>Access to climate finance by women and marginalised groups in the Global South.</w:t>
      </w:r>
      <w:r>
        <w:rPr>
          <w:rFonts w:ascii="Times New Roman" w:eastAsia="Times New Roman" w:hAnsi="Times New Roman" w:cs="Times New Roman"/>
          <w:sz w:val="24"/>
          <w:szCs w:val="24"/>
        </w:rPr>
        <w:t xml:space="preserve"> K4D Helpdesk Report 1004. Institute of Development Studies. </w:t>
      </w:r>
    </w:p>
    <w:p w14:paraId="52E04EA4"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Remling, E., &amp; Persson, Å. (2015). Who is adaptation for? Vulnerability and adaptation benefits in proposals approved by the UNFCCC Adaptation Fund. </w:t>
      </w:r>
      <w:r>
        <w:rPr>
          <w:rFonts w:ascii="Times New Roman" w:eastAsia="Times New Roman" w:hAnsi="Times New Roman" w:cs="Times New Roman"/>
          <w:i/>
          <w:sz w:val="24"/>
          <w:szCs w:val="24"/>
        </w:rPr>
        <w:t>Climate and Development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(1), 16-34.</w:t>
      </w:r>
    </w:p>
    <w:p w14:paraId="52E04EA5"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Rowe, W. D. (1994). Understanding uncertainty. </w:t>
      </w:r>
      <w:r>
        <w:rPr>
          <w:rFonts w:ascii="Times New Roman" w:eastAsia="Times New Roman" w:hAnsi="Times New Roman" w:cs="Times New Roman"/>
          <w:i/>
          <w:sz w:val="24"/>
          <w:szCs w:val="24"/>
        </w:rPr>
        <w:t>Risk analysis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(5), 743-750.</w:t>
      </w:r>
    </w:p>
    <w:p w14:paraId="52E04EA7"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Schipper, E. L. F. (2020). Maladaptation: When adaptation to climate change goes very wrong. </w:t>
      </w:r>
      <w:r w:rsidRPr="00020BBC">
        <w:rPr>
          <w:rFonts w:ascii="Times New Roman" w:eastAsia="Times New Roman" w:hAnsi="Times New Roman" w:cs="Times New Roman"/>
          <w:i/>
          <w:iCs/>
          <w:sz w:val="24"/>
          <w:szCs w:val="24"/>
        </w:rPr>
        <w:t>One Earth</w:t>
      </w:r>
      <w:r>
        <w:rPr>
          <w:rFonts w:ascii="Times New Roman" w:eastAsia="Times New Roman" w:hAnsi="Times New Roman" w:cs="Times New Roman"/>
          <w:sz w:val="24"/>
          <w:szCs w:val="24"/>
        </w:rPr>
        <w:t>, 3(4), 409-414.</w:t>
      </w:r>
    </w:p>
    <w:p w14:paraId="52E04EA9"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Shankland, A., &amp; </w:t>
      </w:r>
      <w:proofErr w:type="spellStart"/>
      <w:r>
        <w:rPr>
          <w:rFonts w:ascii="Times New Roman" w:eastAsia="Times New Roman" w:hAnsi="Times New Roman" w:cs="Times New Roman"/>
          <w:sz w:val="24"/>
          <w:szCs w:val="24"/>
        </w:rPr>
        <w:t>Chambote</w:t>
      </w:r>
      <w:proofErr w:type="spellEnd"/>
      <w:r>
        <w:rPr>
          <w:rFonts w:ascii="Times New Roman" w:eastAsia="Times New Roman" w:hAnsi="Times New Roman" w:cs="Times New Roman"/>
          <w:sz w:val="24"/>
          <w:szCs w:val="24"/>
        </w:rPr>
        <w:t xml:space="preserve">, R. (2011). Prioritising PPCR Investments in Mozambique: the politics of ‘country </w:t>
      </w:r>
      <w:proofErr w:type="spellStart"/>
      <w:r>
        <w:rPr>
          <w:rFonts w:ascii="Times New Roman" w:eastAsia="Times New Roman" w:hAnsi="Times New Roman" w:cs="Times New Roman"/>
          <w:sz w:val="24"/>
          <w:szCs w:val="24"/>
        </w:rPr>
        <w:t>ownership’and</w:t>
      </w:r>
      <w:proofErr w:type="spellEnd"/>
      <w:r>
        <w:rPr>
          <w:rFonts w:ascii="Times New Roman" w:eastAsia="Times New Roman" w:hAnsi="Times New Roman" w:cs="Times New Roman"/>
          <w:sz w:val="24"/>
          <w:szCs w:val="24"/>
        </w:rPr>
        <w:t xml:space="preserve"> ‘stakeholder participation’. </w:t>
      </w:r>
      <w:r>
        <w:rPr>
          <w:rFonts w:ascii="Times New Roman" w:eastAsia="Times New Roman" w:hAnsi="Times New Roman" w:cs="Times New Roman"/>
          <w:i/>
          <w:sz w:val="24"/>
          <w:szCs w:val="24"/>
        </w:rPr>
        <w:t>IDS Bulletin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(3), 62-69.</w:t>
      </w:r>
    </w:p>
    <w:p w14:paraId="52E04EAA"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SIDA (2017), </w:t>
      </w:r>
      <w:r>
        <w:rPr>
          <w:rFonts w:ascii="Times New Roman" w:eastAsia="Times New Roman" w:hAnsi="Times New Roman" w:cs="Times New Roman"/>
          <w:i/>
          <w:sz w:val="24"/>
          <w:szCs w:val="24"/>
        </w:rPr>
        <w:t xml:space="preserve">Towards Green Climate Fund Accreditation and Support. A Guide to Support Implementation of the Paris Agreement – Part Two </w:t>
      </w:r>
      <w:hyperlink r:id="rId12">
        <w:r>
          <w:rPr>
            <w:rFonts w:ascii="Times New Roman" w:eastAsia="Times New Roman" w:hAnsi="Times New Roman" w:cs="Times New Roman"/>
            <w:color w:val="0563C1"/>
            <w:sz w:val="24"/>
            <w:szCs w:val="24"/>
            <w:u w:val="single"/>
          </w:rPr>
          <w:t>https://cdn.sida.se/publications/files/sida62078en-towards-green-climate-fund-accreditation-and-support.pdf</w:t>
        </w:r>
      </w:hyperlink>
      <w:r>
        <w:rPr>
          <w:rFonts w:ascii="Times New Roman" w:eastAsia="Times New Roman" w:hAnsi="Times New Roman" w:cs="Times New Roman"/>
          <w:sz w:val="24"/>
          <w:szCs w:val="24"/>
        </w:rPr>
        <w:t xml:space="preserve"> </w:t>
      </w:r>
    </w:p>
    <w:p w14:paraId="52E04EAB"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Smith, J. B., Vogel, J. M., &amp; Cromwell III, J. E. (2009). An architecture for government action on adaptation to climate change. An editorial comment. </w:t>
      </w:r>
      <w:r>
        <w:rPr>
          <w:rFonts w:ascii="Times New Roman" w:eastAsia="Times New Roman" w:hAnsi="Times New Roman" w:cs="Times New Roman"/>
          <w:i/>
          <w:sz w:val="24"/>
          <w:szCs w:val="24"/>
        </w:rPr>
        <w:t>Climatic change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95</w:t>
      </w:r>
      <w:r>
        <w:rPr>
          <w:rFonts w:ascii="Times New Roman" w:eastAsia="Times New Roman" w:hAnsi="Times New Roman" w:cs="Times New Roman"/>
          <w:sz w:val="24"/>
          <w:szCs w:val="24"/>
        </w:rPr>
        <w:t>(1), 53-61.</w:t>
      </w:r>
    </w:p>
    <w:p w14:paraId="52E04EAC"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 B., Brown, D., &amp; Dodman, D. (2014). </w:t>
      </w:r>
      <w:r>
        <w:rPr>
          <w:rFonts w:ascii="Times New Roman" w:eastAsia="Times New Roman" w:hAnsi="Times New Roman" w:cs="Times New Roman"/>
          <w:i/>
          <w:sz w:val="24"/>
          <w:szCs w:val="24"/>
        </w:rPr>
        <w:t>Reconfiguring urban adaptation finance</w:t>
      </w:r>
      <w:r>
        <w:rPr>
          <w:rFonts w:ascii="Times New Roman" w:eastAsia="Times New Roman" w:hAnsi="Times New Roman" w:cs="Times New Roman"/>
          <w:sz w:val="24"/>
          <w:szCs w:val="24"/>
        </w:rPr>
        <w:t>. IIED.</w:t>
      </w:r>
    </w:p>
    <w:p w14:paraId="52E04EAD" w14:textId="77777777" w:rsidR="00B14EAB" w:rsidRDefault="004D57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Timilsina, G. R. (2021). Financing Climate Change Adaptation: International Initiatives. </w:t>
      </w:r>
      <w:r>
        <w:rPr>
          <w:rFonts w:ascii="Times New Roman" w:eastAsia="Times New Roman" w:hAnsi="Times New Roman" w:cs="Times New Roman"/>
          <w:i/>
          <w:sz w:val="24"/>
          <w:szCs w:val="24"/>
        </w:rPr>
        <w:t>Sustainability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(12), 6515.</w:t>
      </w:r>
    </w:p>
    <w:sectPr w:rsidR="00B14EAB">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3FD9A" w14:textId="77777777" w:rsidR="00EA23A9" w:rsidRDefault="00EA23A9">
      <w:pPr>
        <w:spacing w:after="0" w:line="240" w:lineRule="auto"/>
      </w:pPr>
      <w:r>
        <w:separator/>
      </w:r>
    </w:p>
  </w:endnote>
  <w:endnote w:type="continuationSeparator" w:id="0">
    <w:p w14:paraId="6554173E" w14:textId="77777777" w:rsidR="00EA23A9" w:rsidRDefault="00EA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4ECA" w14:textId="156ECBAD" w:rsidR="00B14EAB" w:rsidRDefault="004D572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81FDA">
      <w:rPr>
        <w:noProof/>
        <w:color w:val="000000"/>
      </w:rPr>
      <w:t>1</w:t>
    </w:r>
    <w:r>
      <w:rPr>
        <w:color w:val="000000"/>
      </w:rPr>
      <w:fldChar w:fldCharType="end"/>
    </w:r>
  </w:p>
  <w:p w14:paraId="52E04ECB" w14:textId="77777777" w:rsidR="00B14EAB" w:rsidRDefault="00B14EA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E2197" w14:textId="77777777" w:rsidR="00EA23A9" w:rsidRDefault="00EA23A9">
      <w:pPr>
        <w:spacing w:after="0" w:line="240" w:lineRule="auto"/>
      </w:pPr>
      <w:r>
        <w:separator/>
      </w:r>
    </w:p>
  </w:footnote>
  <w:footnote w:type="continuationSeparator" w:id="0">
    <w:p w14:paraId="1DA96666" w14:textId="77777777" w:rsidR="00EA23A9" w:rsidRDefault="00EA23A9">
      <w:pPr>
        <w:spacing w:after="0" w:line="240" w:lineRule="auto"/>
      </w:pPr>
      <w:r>
        <w:continuationSeparator/>
      </w:r>
    </w:p>
  </w:footnote>
  <w:footnote w:id="1">
    <w:p w14:paraId="3298DC10" w14:textId="73B538E6" w:rsidR="005222F7" w:rsidRPr="000F6EBC" w:rsidRDefault="005222F7">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 xml:space="preserve">Ayers, 2009; Persson and Remling, 2014; Doshi and </w:t>
      </w:r>
      <w:proofErr w:type="spellStart"/>
      <w:r>
        <w:rPr>
          <w:rFonts w:ascii="Times New Roman" w:eastAsia="Times New Roman" w:hAnsi="Times New Roman" w:cs="Times New Roman"/>
          <w:sz w:val="24"/>
          <w:szCs w:val="24"/>
        </w:rPr>
        <w:t>Garschagen</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Manuamorn</w:t>
      </w:r>
      <w:proofErr w:type="spellEnd"/>
      <w:r>
        <w:rPr>
          <w:rFonts w:ascii="Times New Roman" w:eastAsia="Times New Roman" w:hAnsi="Times New Roman" w:cs="Times New Roman"/>
          <w:sz w:val="24"/>
          <w:szCs w:val="24"/>
        </w:rPr>
        <w:t xml:space="preserve"> et al., 2020</w:t>
      </w:r>
    </w:p>
  </w:footnote>
  <w:footnote w:id="2">
    <w:p w14:paraId="52E04ECC" w14:textId="61214044" w:rsidR="00B14EAB" w:rsidRPr="004D5725" w:rsidRDefault="004D5725">
      <w:pPr>
        <w:pBdr>
          <w:top w:val="nil"/>
          <w:left w:val="nil"/>
          <w:bottom w:val="nil"/>
          <w:right w:val="nil"/>
          <w:between w:val="nil"/>
        </w:pBdr>
        <w:spacing w:after="0" w:line="240" w:lineRule="auto"/>
        <w:jc w:val="both"/>
        <w:rPr>
          <w:color w:val="000000"/>
          <w:sz w:val="20"/>
          <w:szCs w:val="20"/>
        </w:rPr>
      </w:pPr>
      <w:r>
        <w:rPr>
          <w:vertAlign w:val="superscript"/>
        </w:rPr>
        <w:footnoteRef/>
      </w:r>
      <w:r w:rsidRPr="004D5725">
        <w:rPr>
          <w:color w:val="000000"/>
          <w:sz w:val="20"/>
          <w:szCs w:val="20"/>
        </w:rPr>
        <w:t xml:space="preserve"> </w:t>
      </w:r>
      <w:hyperlink r:id="rId1">
        <w:r w:rsidRPr="004D5725">
          <w:rPr>
            <w:color w:val="0563C1"/>
            <w:sz w:val="20"/>
            <w:szCs w:val="20"/>
            <w:u w:val="single"/>
          </w:rPr>
          <w:t>https://ukcop26.org/the-uk-cop26-presidency-glasgow-imperative-closing-the-adaptation-gap-and-responding-to-climate-impacts/</w:t>
        </w:r>
      </w:hyperlink>
      <w:r w:rsidRPr="004D5725">
        <w:rPr>
          <w:color w:val="000000"/>
          <w:sz w:val="20"/>
          <w:szCs w:val="20"/>
        </w:rPr>
        <w:t xml:space="preserve"> </w:t>
      </w:r>
      <w:r w:rsidR="005146FB" w:rsidRPr="004D5725">
        <w:rPr>
          <w:color w:val="000000"/>
          <w:sz w:val="20"/>
          <w:szCs w:val="20"/>
        </w:rPr>
        <w:t>(Access 06/08/2022)</w:t>
      </w:r>
    </w:p>
  </w:footnote>
  <w:footnote w:id="3">
    <w:p w14:paraId="52E04ECD" w14:textId="493E1536" w:rsidR="00B14EAB" w:rsidRPr="004D5725" w:rsidRDefault="004D5725">
      <w:pPr>
        <w:spacing w:after="0" w:line="240" w:lineRule="auto"/>
        <w:rPr>
          <w:color w:val="000000"/>
        </w:rPr>
      </w:pPr>
      <w:r>
        <w:rPr>
          <w:vertAlign w:val="superscript"/>
        </w:rPr>
        <w:footnoteRef/>
      </w:r>
      <w:r w:rsidRPr="004D5725">
        <w:rPr>
          <w:color w:val="000000"/>
        </w:rPr>
        <w:t xml:space="preserve"> </w:t>
      </w:r>
      <w:hyperlink r:id="rId2" w:anchor="eq-7" w:history="1">
        <w:r w:rsidRPr="004D5725">
          <w:rPr>
            <w:color w:val="000000"/>
          </w:rPr>
          <w:t>https://unfccc.int/process-and-meetings/the-paris-agreement/the-glasgow-climate-pact/cop26-outcomes-finance-for-climate-adaptation#eq-7</w:t>
        </w:r>
      </w:hyperlink>
      <w:r w:rsidR="004D5693" w:rsidRPr="004D5725">
        <w:t xml:space="preserve"> </w:t>
      </w:r>
      <w:r w:rsidRPr="004D5725">
        <w:rPr>
          <w:color w:val="000000"/>
        </w:rPr>
        <w:t xml:space="preserve"> </w:t>
      </w:r>
      <w:r w:rsidR="005146FB" w:rsidRPr="004D5725">
        <w:rPr>
          <w:color w:val="000000"/>
        </w:rPr>
        <w:t>(Access 06/08/2022)</w:t>
      </w:r>
    </w:p>
  </w:footnote>
  <w:footnote w:id="4">
    <w:p w14:paraId="004573BB" w14:textId="036A8C78" w:rsidR="00FB3B86" w:rsidRPr="000F6EBC" w:rsidRDefault="00FB3B86">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(Timilsina, 2021</w:t>
      </w:r>
      <w:r w:rsidR="0077113D">
        <w:rPr>
          <w:rFonts w:ascii="Times New Roman" w:eastAsia="Times New Roman" w:hAnsi="Times New Roman" w:cs="Times New Roman"/>
          <w:sz w:val="24"/>
          <w:szCs w:val="24"/>
        </w:rPr>
        <w:t>)</w:t>
      </w:r>
    </w:p>
  </w:footnote>
  <w:footnote w:id="5">
    <w:p w14:paraId="7472C766" w14:textId="32B25DC3" w:rsidR="00FB3B86" w:rsidRPr="000F6EBC" w:rsidRDefault="00FB3B86">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(Climate Policy Initiative, 2021)</w:t>
      </w:r>
    </w:p>
  </w:footnote>
  <w:footnote w:id="6">
    <w:p w14:paraId="56C90515" w14:textId="4BEFFCAD" w:rsidR="00FB3B86" w:rsidRPr="000F6EBC" w:rsidRDefault="00FB3B86">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 xml:space="preserve">(Causevic and </w:t>
      </w:r>
      <w:proofErr w:type="spellStart"/>
      <w:r>
        <w:rPr>
          <w:rFonts w:ascii="Times New Roman" w:eastAsia="Times New Roman" w:hAnsi="Times New Roman" w:cs="Times New Roman"/>
          <w:sz w:val="24"/>
          <w:szCs w:val="24"/>
        </w:rPr>
        <w:t>Selvakkumaran</w:t>
      </w:r>
      <w:proofErr w:type="spellEnd"/>
      <w:r>
        <w:rPr>
          <w:rFonts w:ascii="Times New Roman" w:eastAsia="Times New Roman" w:hAnsi="Times New Roman" w:cs="Times New Roman"/>
          <w:sz w:val="24"/>
          <w:szCs w:val="24"/>
        </w:rPr>
        <w:t>, 2018</w:t>
      </w:r>
      <w:r w:rsidR="00043E14">
        <w:rPr>
          <w:rFonts w:ascii="Times New Roman" w:eastAsia="Times New Roman" w:hAnsi="Times New Roman" w:cs="Times New Roman"/>
          <w:sz w:val="24"/>
          <w:szCs w:val="24"/>
        </w:rPr>
        <w:t>)</w:t>
      </w:r>
    </w:p>
  </w:footnote>
  <w:footnote w:id="7">
    <w:p w14:paraId="105D35FF" w14:textId="4B31024E" w:rsidR="00FB3B86" w:rsidRPr="000F6EBC" w:rsidRDefault="00FB3B86">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 xml:space="preserve">(Causevic and </w:t>
      </w:r>
      <w:proofErr w:type="spellStart"/>
      <w:r>
        <w:rPr>
          <w:rFonts w:ascii="Times New Roman" w:eastAsia="Times New Roman" w:hAnsi="Times New Roman" w:cs="Times New Roman"/>
          <w:sz w:val="24"/>
          <w:szCs w:val="24"/>
        </w:rPr>
        <w:t>Selvakkumaran</w:t>
      </w:r>
      <w:proofErr w:type="spellEnd"/>
      <w:r>
        <w:rPr>
          <w:rFonts w:ascii="Times New Roman" w:eastAsia="Times New Roman" w:hAnsi="Times New Roman" w:cs="Times New Roman"/>
          <w:sz w:val="24"/>
          <w:szCs w:val="24"/>
        </w:rPr>
        <w:t>, 2018)</w:t>
      </w:r>
    </w:p>
  </w:footnote>
  <w:footnote w:id="8">
    <w:p w14:paraId="7F4360B1" w14:textId="3FAEC487" w:rsidR="00FB3B86" w:rsidRPr="000F6EBC" w:rsidRDefault="00FB3B86">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AdaptationWatch</w:t>
      </w:r>
      <w:proofErr w:type="spellEnd"/>
      <w:r>
        <w:rPr>
          <w:rFonts w:ascii="Times New Roman" w:eastAsia="Times New Roman" w:hAnsi="Times New Roman" w:cs="Times New Roman"/>
          <w:sz w:val="24"/>
          <w:szCs w:val="24"/>
        </w:rPr>
        <w:t>, 2017</w:t>
      </w:r>
      <w:r w:rsidR="00BB34D3">
        <w:rPr>
          <w:rFonts w:ascii="Times New Roman" w:eastAsia="Times New Roman" w:hAnsi="Times New Roman" w:cs="Times New Roman"/>
          <w:sz w:val="24"/>
          <w:szCs w:val="24"/>
        </w:rPr>
        <w:t>)</w:t>
      </w:r>
    </w:p>
  </w:footnote>
  <w:footnote w:id="9">
    <w:p w14:paraId="57C49A73" w14:textId="59696D30" w:rsidR="00FB3B86" w:rsidRPr="000F6EBC" w:rsidRDefault="00FB3B86">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(Climate Policy Initiative, 2021)</w:t>
      </w:r>
    </w:p>
  </w:footnote>
  <w:footnote w:id="10">
    <w:p w14:paraId="01D6368A" w14:textId="56276E01" w:rsidR="00FB3B86" w:rsidRPr="000F6EBC" w:rsidRDefault="00FB3B86">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(Pickering et al., 2017; Coger et al., 2021)</w:t>
      </w:r>
    </w:p>
  </w:footnote>
  <w:footnote w:id="11">
    <w:p w14:paraId="49788074" w14:textId="2517F937" w:rsidR="00FB3B86" w:rsidRPr="000F6EBC" w:rsidRDefault="00FB3B86">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 xml:space="preserve">(Biagini et al., 2014; Causevic and </w:t>
      </w:r>
      <w:proofErr w:type="spellStart"/>
      <w:r>
        <w:rPr>
          <w:rFonts w:ascii="Times New Roman" w:eastAsia="Times New Roman" w:hAnsi="Times New Roman" w:cs="Times New Roman"/>
          <w:sz w:val="24"/>
          <w:szCs w:val="24"/>
        </w:rPr>
        <w:t>Selvakkumaran</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Bazbauers</w:t>
      </w:r>
      <w:proofErr w:type="spellEnd"/>
      <w:r>
        <w:rPr>
          <w:rFonts w:ascii="Times New Roman" w:eastAsia="Times New Roman" w:hAnsi="Times New Roman" w:cs="Times New Roman"/>
          <w:sz w:val="24"/>
          <w:szCs w:val="24"/>
        </w:rPr>
        <w:t xml:space="preserve">, 2021a; </w:t>
      </w:r>
      <w:proofErr w:type="spellStart"/>
      <w:r>
        <w:rPr>
          <w:rFonts w:ascii="Times New Roman" w:eastAsia="Times New Roman" w:hAnsi="Times New Roman" w:cs="Times New Roman"/>
          <w:sz w:val="24"/>
          <w:szCs w:val="24"/>
        </w:rPr>
        <w:t>Bazbauers</w:t>
      </w:r>
      <w:proofErr w:type="spellEnd"/>
      <w:r>
        <w:rPr>
          <w:rFonts w:ascii="Times New Roman" w:eastAsia="Times New Roman" w:hAnsi="Times New Roman" w:cs="Times New Roman"/>
          <w:sz w:val="24"/>
          <w:szCs w:val="24"/>
        </w:rPr>
        <w:t>, 2021b)</w:t>
      </w:r>
    </w:p>
  </w:footnote>
  <w:footnote w:id="12">
    <w:p w14:paraId="7F418BDF" w14:textId="51F10391" w:rsidR="00043E14" w:rsidRPr="00043537" w:rsidRDefault="00043E14">
      <w:pPr>
        <w:pStyle w:val="FootnoteText"/>
      </w:pPr>
      <w:r>
        <w:rPr>
          <w:rStyle w:val="FootnoteReference"/>
        </w:rPr>
        <w:footnoteRef/>
      </w:r>
      <w:r w:rsidRPr="00043537">
        <w:t xml:space="preserve"> (SIDA, 2017)</w:t>
      </w:r>
      <w:r w:rsidRPr="000F6EBC">
        <w:t>.</w:t>
      </w:r>
    </w:p>
  </w:footnote>
  <w:footnote w:id="13">
    <w:p w14:paraId="0C5C7DBC" w14:textId="33214085" w:rsidR="00BB34D3" w:rsidRPr="00487CA9" w:rsidRDefault="00BB34D3">
      <w:pPr>
        <w:pStyle w:val="FootnoteText"/>
      </w:pPr>
      <w:r>
        <w:rPr>
          <w:rStyle w:val="FootnoteReference"/>
        </w:rPr>
        <w:footnoteRef/>
      </w:r>
      <w:r w:rsidRPr="00487CA9">
        <w:t xml:space="preserve"> </w:t>
      </w:r>
      <w:r w:rsidRPr="00BB34D3">
        <w:t>(Caldwell and Larsen, 2021)</w:t>
      </w:r>
    </w:p>
  </w:footnote>
  <w:footnote w:id="14">
    <w:p w14:paraId="1F9EEF32" w14:textId="61BFEC4C" w:rsidR="00487CA9" w:rsidRPr="00487CA9" w:rsidRDefault="00487CA9">
      <w:pPr>
        <w:pStyle w:val="FootnoteText"/>
      </w:pPr>
      <w:r>
        <w:rPr>
          <w:rStyle w:val="FootnoteReference"/>
        </w:rPr>
        <w:footnoteRef/>
      </w:r>
      <w:r>
        <w:t xml:space="preserve"> </w:t>
      </w:r>
      <w:r w:rsidRPr="00487CA9">
        <w:t>(</w:t>
      </w:r>
      <w:proofErr w:type="spellStart"/>
      <w:r w:rsidRPr="00487CA9">
        <w:t>Bazbauers</w:t>
      </w:r>
      <w:proofErr w:type="spellEnd"/>
      <w:r w:rsidRPr="00487CA9">
        <w:t xml:space="preserve">, 2021a; </w:t>
      </w:r>
      <w:proofErr w:type="spellStart"/>
      <w:r w:rsidRPr="00487CA9">
        <w:t>Bazbauers</w:t>
      </w:r>
      <w:proofErr w:type="spellEnd"/>
      <w:r w:rsidRPr="00487CA9">
        <w:t>, 2021b)</w:t>
      </w:r>
    </w:p>
  </w:footnote>
  <w:footnote w:id="15">
    <w:p w14:paraId="3327B86B" w14:textId="5A099DB6" w:rsidR="00487CA9" w:rsidRPr="00487CA9" w:rsidRDefault="00487CA9">
      <w:pPr>
        <w:pStyle w:val="FootnoteText"/>
      </w:pPr>
      <w:r>
        <w:rPr>
          <w:rStyle w:val="FootnoteReference"/>
        </w:rPr>
        <w:footnoteRef/>
      </w:r>
      <w:r>
        <w:t xml:space="preserve"> </w:t>
      </w:r>
      <w:r w:rsidRPr="00487CA9">
        <w:t>(</w:t>
      </w:r>
      <w:proofErr w:type="spellStart"/>
      <w:r w:rsidRPr="00487CA9">
        <w:t>Bracking</w:t>
      </w:r>
      <w:proofErr w:type="spellEnd"/>
      <w:r w:rsidRPr="00487CA9">
        <w:t>, 2015)</w:t>
      </w:r>
    </w:p>
  </w:footnote>
  <w:footnote w:id="16">
    <w:p w14:paraId="49405288" w14:textId="46BC0D7C" w:rsidR="00487CA9" w:rsidRPr="00487CA9" w:rsidRDefault="00487CA9">
      <w:pPr>
        <w:pStyle w:val="FootnoteText"/>
      </w:pPr>
      <w:r>
        <w:rPr>
          <w:rStyle w:val="FootnoteReference"/>
        </w:rPr>
        <w:footnoteRef/>
      </w:r>
      <w:r>
        <w:t xml:space="preserve"> </w:t>
      </w:r>
      <w:r w:rsidRPr="00487CA9">
        <w:t xml:space="preserve">(Shankland and </w:t>
      </w:r>
      <w:proofErr w:type="spellStart"/>
      <w:r w:rsidRPr="00487CA9">
        <w:t>Chambote</w:t>
      </w:r>
      <w:proofErr w:type="spellEnd"/>
      <w:r w:rsidRPr="00487CA9">
        <w:t>, 2011)</w:t>
      </w:r>
    </w:p>
  </w:footnote>
  <w:footnote w:id="17">
    <w:p w14:paraId="70FEDF5F" w14:textId="172B07EA" w:rsidR="00487CA9" w:rsidRPr="00043537" w:rsidRDefault="00487CA9">
      <w:pPr>
        <w:pStyle w:val="FootnoteText"/>
      </w:pPr>
      <w:r>
        <w:rPr>
          <w:rStyle w:val="FootnoteReference"/>
        </w:rPr>
        <w:footnoteRef/>
      </w:r>
      <w:r w:rsidRPr="00043537">
        <w:t xml:space="preserve"> (Biagini et al., 2014)</w:t>
      </w:r>
    </w:p>
  </w:footnote>
  <w:footnote w:id="18">
    <w:p w14:paraId="241936E5" w14:textId="6C750C1E" w:rsidR="001C5C66" w:rsidRPr="001C5C66" w:rsidRDefault="001C5C66">
      <w:pPr>
        <w:pStyle w:val="FootnoteText"/>
      </w:pPr>
      <w:r>
        <w:rPr>
          <w:rStyle w:val="FootnoteReference"/>
        </w:rPr>
        <w:footnoteRef/>
      </w:r>
      <w:r w:rsidRPr="001C5C66">
        <w:t xml:space="preserve"> </w:t>
      </w:r>
      <w:r w:rsidRPr="000F6EBC">
        <w:t>(Keenan et al., 2016)</w:t>
      </w:r>
    </w:p>
  </w:footnote>
  <w:footnote w:id="19">
    <w:p w14:paraId="2DE060E8" w14:textId="23C28498" w:rsidR="001C5C66" w:rsidRPr="001C5C66" w:rsidRDefault="001C5C66">
      <w:pPr>
        <w:pStyle w:val="FootnoteText"/>
      </w:pPr>
      <w:r>
        <w:rPr>
          <w:rStyle w:val="FootnoteReference"/>
        </w:rPr>
        <w:footnoteRef/>
      </w:r>
      <w:r>
        <w:t xml:space="preserve"> </w:t>
      </w:r>
      <w:r w:rsidRPr="001C5C66">
        <w:t>(Pickering et al., 2017)</w:t>
      </w:r>
    </w:p>
  </w:footnote>
  <w:footnote w:id="20">
    <w:p w14:paraId="465EFC2F" w14:textId="600BD053" w:rsidR="001C5C66" w:rsidRPr="000F6EBC" w:rsidRDefault="001C5C66">
      <w:pPr>
        <w:pStyle w:val="FootnoteText"/>
        <w:rPr>
          <w:lang w:val="en-US"/>
        </w:rPr>
      </w:pPr>
      <w:r>
        <w:rPr>
          <w:rStyle w:val="FootnoteReference"/>
        </w:rPr>
        <w:footnoteRef/>
      </w:r>
      <w:r>
        <w:t xml:space="preserve"> </w:t>
      </w:r>
      <w:r w:rsidRPr="001C5C66">
        <w:t>(</w:t>
      </w:r>
      <w:proofErr w:type="spellStart"/>
      <w:r w:rsidRPr="001C5C66">
        <w:t>Bazbauers</w:t>
      </w:r>
      <w:proofErr w:type="spellEnd"/>
      <w:r w:rsidRPr="001C5C66">
        <w:t>, 2021a)</w:t>
      </w:r>
    </w:p>
  </w:footnote>
  <w:footnote w:id="21">
    <w:p w14:paraId="44CDB98B" w14:textId="2FF4164E" w:rsidR="001C5C66" w:rsidRPr="000F6EBC" w:rsidRDefault="001C5C66">
      <w:pPr>
        <w:pStyle w:val="FootnoteText"/>
        <w:rPr>
          <w:lang w:val="en-US"/>
        </w:rPr>
      </w:pPr>
      <w:r>
        <w:rPr>
          <w:rStyle w:val="FootnoteReference"/>
        </w:rPr>
        <w:footnoteRef/>
      </w:r>
      <w:r>
        <w:t xml:space="preserve"> </w:t>
      </w:r>
      <w:r w:rsidRPr="001C5C66">
        <w:t xml:space="preserve">Causevic and </w:t>
      </w:r>
      <w:proofErr w:type="spellStart"/>
      <w:r w:rsidRPr="001C5C66">
        <w:t>Selvakkumaran</w:t>
      </w:r>
      <w:proofErr w:type="spellEnd"/>
      <w:r w:rsidRPr="001C5C66">
        <w:t xml:space="preserve">, 2018; </w:t>
      </w:r>
      <w:proofErr w:type="spellStart"/>
      <w:r w:rsidRPr="001C5C66">
        <w:t>Bazbauers</w:t>
      </w:r>
      <w:proofErr w:type="spellEnd"/>
      <w:r w:rsidRPr="001C5C66">
        <w:t>, 2021a; Climate Policy Initiative, 2021)</w:t>
      </w:r>
    </w:p>
  </w:footnote>
  <w:footnote w:id="22">
    <w:p w14:paraId="747BB9B3" w14:textId="2259CD9E" w:rsidR="00E76236" w:rsidRPr="000F6EBC" w:rsidRDefault="00E76236">
      <w:pPr>
        <w:pStyle w:val="FootnoteText"/>
        <w:rPr>
          <w:lang w:val="en-US"/>
        </w:rPr>
      </w:pPr>
      <w:r>
        <w:rPr>
          <w:rStyle w:val="FootnoteReference"/>
        </w:rPr>
        <w:footnoteRef/>
      </w:r>
      <w:r>
        <w:t xml:space="preserve"> </w:t>
      </w:r>
      <w:r w:rsidRPr="00E76236">
        <w:t>(Brugmann, 2012)</w:t>
      </w:r>
    </w:p>
  </w:footnote>
  <w:footnote w:id="23">
    <w:p w14:paraId="4D98CA43" w14:textId="79C5E4B8" w:rsidR="00F9502C" w:rsidRPr="000F6EBC" w:rsidRDefault="00F9502C">
      <w:pPr>
        <w:pStyle w:val="FootnoteText"/>
        <w:rPr>
          <w:lang w:val="en-US"/>
        </w:rPr>
      </w:pPr>
      <w:r>
        <w:rPr>
          <w:rStyle w:val="FootnoteReference"/>
        </w:rPr>
        <w:footnoteRef/>
      </w:r>
      <w:r>
        <w:t xml:space="preserve"> </w:t>
      </w:r>
      <w:r w:rsidRPr="00F9502C">
        <w:t>(Patel, 2014)</w:t>
      </w:r>
    </w:p>
  </w:footnote>
  <w:footnote w:id="24">
    <w:p w14:paraId="6CE1CEA1" w14:textId="2614467B" w:rsidR="00032C16" w:rsidRPr="000F6EBC" w:rsidRDefault="00032C16">
      <w:pPr>
        <w:pStyle w:val="FootnoteText"/>
        <w:rPr>
          <w:lang w:val="en-US"/>
        </w:rPr>
      </w:pPr>
      <w:r>
        <w:rPr>
          <w:rStyle w:val="FootnoteReference"/>
        </w:rPr>
        <w:footnoteRef/>
      </w:r>
      <w:r>
        <w:t xml:space="preserve"> </w:t>
      </w:r>
      <w:r w:rsidRPr="00032C16">
        <w:t>(Rowe, 1994)</w:t>
      </w:r>
    </w:p>
  </w:footnote>
  <w:footnote w:id="25">
    <w:p w14:paraId="1D142D47" w14:textId="38F00A1A" w:rsidR="00032C16" w:rsidRPr="000F6EBC" w:rsidRDefault="00032C16">
      <w:pPr>
        <w:pStyle w:val="FootnoteText"/>
        <w:rPr>
          <w:lang w:val="en-US"/>
        </w:rPr>
      </w:pPr>
      <w:r>
        <w:rPr>
          <w:rStyle w:val="FootnoteReference"/>
        </w:rPr>
        <w:footnoteRef/>
      </w:r>
      <w:r>
        <w:t xml:space="preserve"> </w:t>
      </w:r>
      <w:r w:rsidRPr="00032C16">
        <w:t>(Eriksen et al., 2021; Amorim-Maia et al., 2022)</w:t>
      </w:r>
    </w:p>
  </w:footnote>
  <w:footnote w:id="26">
    <w:p w14:paraId="7B6E4039" w14:textId="20D5FAEB" w:rsidR="00BA7EEA" w:rsidRPr="000F6EBC" w:rsidRDefault="00BA7EEA">
      <w:pPr>
        <w:pStyle w:val="FootnoteText"/>
        <w:rPr>
          <w:lang w:val="en-US"/>
        </w:rPr>
      </w:pPr>
      <w:r>
        <w:rPr>
          <w:rStyle w:val="FootnoteReference"/>
        </w:rPr>
        <w:footnoteRef/>
      </w:r>
      <w:r>
        <w:t xml:space="preserve"> </w:t>
      </w:r>
      <w:r w:rsidRPr="00BA7EEA">
        <w:t>(Field et al., 2012)</w:t>
      </w:r>
    </w:p>
  </w:footnote>
  <w:footnote w:id="27">
    <w:p w14:paraId="6E1E72FE" w14:textId="025DD139" w:rsidR="005D2C1C" w:rsidRPr="000F6EBC" w:rsidRDefault="005D2C1C">
      <w:pPr>
        <w:pStyle w:val="FootnoteText"/>
        <w:rPr>
          <w:lang w:val="it-IT"/>
        </w:rPr>
      </w:pPr>
      <w:r>
        <w:rPr>
          <w:rStyle w:val="FootnoteReference"/>
        </w:rPr>
        <w:footnoteRef/>
      </w:r>
      <w:r w:rsidRPr="000F6EBC">
        <w:rPr>
          <w:lang w:val="it-IT"/>
        </w:rPr>
        <w:t xml:space="preserve"> </w:t>
      </w:r>
      <w:r w:rsidRPr="000F6EBC">
        <w:rPr>
          <w:lang w:val="it-IT"/>
        </w:rPr>
        <w:t>(Fedele et al., 2019; Kasdan et al., 2021; Kuhl et al., 2021)</w:t>
      </w:r>
    </w:p>
  </w:footnote>
  <w:footnote w:id="28">
    <w:p w14:paraId="7CEDE573" w14:textId="2A194B05" w:rsidR="009D40FF" w:rsidRPr="000F6EBC" w:rsidRDefault="009D40FF">
      <w:pPr>
        <w:pStyle w:val="FootnoteText"/>
        <w:rPr>
          <w:lang w:val="it-IT"/>
        </w:rPr>
      </w:pPr>
      <w:r>
        <w:rPr>
          <w:rStyle w:val="FootnoteReference"/>
        </w:rPr>
        <w:footnoteRef/>
      </w:r>
      <w:r w:rsidRPr="000F6EBC">
        <w:rPr>
          <w:lang w:val="it-IT"/>
        </w:rPr>
        <w:t xml:space="preserve"> (Kuhl et al., 2021)</w:t>
      </w:r>
    </w:p>
  </w:footnote>
  <w:footnote w:id="29">
    <w:p w14:paraId="7C855E35" w14:textId="4F7E4358" w:rsidR="009D40FF" w:rsidRPr="000F6EBC" w:rsidRDefault="009D40FF">
      <w:pPr>
        <w:pStyle w:val="FootnoteText"/>
        <w:rPr>
          <w:lang w:val="it-IT"/>
        </w:rPr>
      </w:pPr>
      <w:r>
        <w:rPr>
          <w:rStyle w:val="FootnoteReference"/>
        </w:rPr>
        <w:footnoteRef/>
      </w:r>
      <w:r w:rsidRPr="000F6EBC">
        <w:rPr>
          <w:lang w:val="it-IT"/>
        </w:rPr>
        <w:t xml:space="preserve"> (Fedele et al., 2019)</w:t>
      </w:r>
    </w:p>
  </w:footnote>
  <w:footnote w:id="30">
    <w:p w14:paraId="1BD32407" w14:textId="0CFB66E8" w:rsidR="009D40FF" w:rsidRPr="000F6EBC" w:rsidRDefault="009D40FF">
      <w:pPr>
        <w:pStyle w:val="FootnoteText"/>
        <w:rPr>
          <w:lang w:val="it-IT"/>
        </w:rPr>
      </w:pPr>
      <w:r>
        <w:rPr>
          <w:rStyle w:val="FootnoteReference"/>
        </w:rPr>
        <w:footnoteRef/>
      </w:r>
      <w:r w:rsidRPr="000F6EBC">
        <w:rPr>
          <w:lang w:val="it-IT"/>
        </w:rPr>
        <w:t xml:space="preserve"> </w:t>
      </w:r>
      <w:r w:rsidRPr="000F6EBC">
        <w:rPr>
          <w:lang w:val="it-IT"/>
        </w:rPr>
        <w:t>(Kasdan et al., 2021; Kuhl et al., 2021)</w:t>
      </w:r>
    </w:p>
  </w:footnote>
  <w:footnote w:id="31">
    <w:p w14:paraId="700C4689" w14:textId="1C39FDEF" w:rsidR="004252F5" w:rsidRPr="000F6EBC" w:rsidRDefault="004252F5">
      <w:pPr>
        <w:pStyle w:val="FootnoteText"/>
        <w:rPr>
          <w:lang w:val="it-IT"/>
        </w:rPr>
      </w:pPr>
      <w:r>
        <w:rPr>
          <w:rStyle w:val="FootnoteReference"/>
        </w:rPr>
        <w:footnoteRef/>
      </w:r>
      <w:r w:rsidRPr="000F6EBC">
        <w:rPr>
          <w:lang w:val="it-IT"/>
        </w:rPr>
        <w:t xml:space="preserve"> </w:t>
      </w:r>
      <w:r w:rsidRPr="000F6EBC">
        <w:rPr>
          <w:lang w:val="it-IT"/>
        </w:rPr>
        <w:t xml:space="preserve">(Burton </w:t>
      </w:r>
      <w:r w:rsidRPr="000F6EBC">
        <w:rPr>
          <w:lang w:val="it-IT"/>
        </w:rPr>
        <w:t>et al., 2007; Kato et al., 2014; Amerasinghe et al., 2017)</w:t>
      </w:r>
    </w:p>
  </w:footnote>
  <w:footnote w:id="32">
    <w:p w14:paraId="7603298D" w14:textId="4F2FF7AB" w:rsidR="004252F5" w:rsidRPr="000F6EBC" w:rsidRDefault="004252F5">
      <w:pPr>
        <w:pStyle w:val="FootnoteText"/>
        <w:rPr>
          <w:lang w:val="it-IT"/>
        </w:rPr>
      </w:pPr>
      <w:r>
        <w:rPr>
          <w:rStyle w:val="FootnoteReference"/>
        </w:rPr>
        <w:footnoteRef/>
      </w:r>
      <w:r w:rsidRPr="000F6EBC">
        <w:rPr>
          <w:lang w:val="it-IT"/>
        </w:rPr>
        <w:t xml:space="preserve"> </w:t>
      </w:r>
      <w:r w:rsidRPr="000F6EBC">
        <w:rPr>
          <w:lang w:val="it-IT"/>
        </w:rPr>
        <w:t xml:space="preserve">(Kato </w:t>
      </w:r>
      <w:r w:rsidRPr="000F6EBC">
        <w:rPr>
          <w:lang w:val="it-IT"/>
        </w:rPr>
        <w:t>et al., 2014; Colenbrander et al., 2018; Peng et al., 2021)</w:t>
      </w:r>
    </w:p>
  </w:footnote>
  <w:footnote w:id="33">
    <w:p w14:paraId="24DA5F58" w14:textId="48F8C217" w:rsidR="004252F5" w:rsidRPr="000F6EBC" w:rsidRDefault="004252F5">
      <w:pPr>
        <w:pStyle w:val="FootnoteText"/>
        <w:rPr>
          <w:lang w:val="en-US"/>
        </w:rPr>
      </w:pPr>
      <w:r>
        <w:rPr>
          <w:rStyle w:val="FootnoteReference"/>
        </w:rPr>
        <w:footnoteRef/>
      </w:r>
      <w:r>
        <w:t xml:space="preserve"> </w:t>
      </w:r>
      <w:r w:rsidRPr="004252F5">
        <w:t xml:space="preserve">(Remling and Persson, 2015; </w:t>
      </w:r>
      <w:proofErr w:type="spellStart"/>
      <w:r w:rsidRPr="004252F5">
        <w:t>Manuamorn</w:t>
      </w:r>
      <w:proofErr w:type="spellEnd"/>
      <w:r w:rsidRPr="004252F5">
        <w:t xml:space="preserve"> et al., 2020; Price, 2021)</w:t>
      </w:r>
    </w:p>
  </w:footnote>
  <w:footnote w:id="34">
    <w:p w14:paraId="52E04ECF" w14:textId="063F0222" w:rsidR="00B14EAB" w:rsidRPr="004252F5" w:rsidRDefault="004D5725">
      <w:pPr>
        <w:spacing w:after="0" w:line="240" w:lineRule="auto"/>
        <w:rPr>
          <w:color w:val="000000"/>
        </w:rPr>
      </w:pPr>
      <w:r>
        <w:rPr>
          <w:vertAlign w:val="superscript"/>
        </w:rPr>
        <w:footnoteRef/>
      </w:r>
      <w:r w:rsidRPr="004252F5">
        <w:rPr>
          <w:color w:val="000000"/>
        </w:rPr>
        <w:t xml:space="preserve"> </w:t>
      </w:r>
      <w:hyperlink r:id="rId3" w:history="1">
        <w:r w:rsidRPr="004252F5">
          <w:rPr>
            <w:color w:val="000000"/>
          </w:rPr>
          <w:t>https://climatefundsupdate.org/the-funds/pilot-program-for-climate-resilience-2/</w:t>
        </w:r>
      </w:hyperlink>
      <w:r w:rsidRPr="004252F5">
        <w:rPr>
          <w:color w:val="000000"/>
        </w:rPr>
        <w:t xml:space="preserve"> </w:t>
      </w:r>
      <w:r w:rsidR="008C53FD" w:rsidRPr="004252F5">
        <w:rPr>
          <w:color w:val="000000"/>
        </w:rPr>
        <w:t>(Access 06/08/2022)</w:t>
      </w:r>
    </w:p>
  </w:footnote>
  <w:footnote w:id="35">
    <w:p w14:paraId="52E04ED0" w14:textId="2AB0DF71" w:rsidR="00B14EAB" w:rsidRDefault="004D5725">
      <w:pPr>
        <w:spacing w:after="0" w:line="240" w:lineRule="auto"/>
        <w:rPr>
          <w:color w:val="000000"/>
        </w:rPr>
      </w:pPr>
      <w:r>
        <w:rPr>
          <w:vertAlign w:val="superscript"/>
        </w:rPr>
        <w:footnoteRef/>
      </w:r>
      <w:r>
        <w:rPr>
          <w:color w:val="000000"/>
        </w:rPr>
        <w:t xml:space="preserve"> </w:t>
      </w:r>
      <w:hyperlink r:id="rId4" w:history="1">
        <w:r>
          <w:rPr>
            <w:color w:val="000000"/>
          </w:rPr>
          <w:t>https://www.thegpsc.org/about</w:t>
        </w:r>
      </w:hyperlink>
      <w:r w:rsidR="008C53FD">
        <w:t xml:space="preserve"> </w:t>
      </w:r>
      <w:r w:rsidR="008C53FD" w:rsidRPr="008C53FD">
        <w:rPr>
          <w:color w:val="000000"/>
        </w:rPr>
        <w:t>(Access 06/08/2022)</w:t>
      </w:r>
    </w:p>
  </w:footnote>
  <w:footnote w:id="36">
    <w:p w14:paraId="48A87659" w14:textId="5AAD2048" w:rsidR="00C51C20" w:rsidRPr="000F6EBC" w:rsidRDefault="00C51C20">
      <w:pPr>
        <w:pStyle w:val="FootnoteText"/>
        <w:rPr>
          <w:lang w:val="en-US"/>
        </w:rPr>
      </w:pPr>
      <w:r>
        <w:rPr>
          <w:rStyle w:val="FootnoteReference"/>
        </w:rPr>
        <w:footnoteRef/>
      </w:r>
      <w:r w:rsidRPr="000F6EBC">
        <w:rPr>
          <w:lang w:val="en-US"/>
        </w:rPr>
        <w:t xml:space="preserve"> (Amerasinghe et al., 2017)</w:t>
      </w:r>
    </w:p>
  </w:footnote>
  <w:footnote w:id="37">
    <w:p w14:paraId="2B489717" w14:textId="61C50B3A" w:rsidR="00CF705F" w:rsidRPr="000F6EBC" w:rsidRDefault="00CF705F">
      <w:pPr>
        <w:pStyle w:val="FootnoteText"/>
        <w:rPr>
          <w:lang w:val="it-IT"/>
        </w:rPr>
      </w:pPr>
      <w:r>
        <w:rPr>
          <w:rStyle w:val="FootnoteReference"/>
        </w:rPr>
        <w:footnoteRef/>
      </w:r>
      <w:r w:rsidRPr="000F6EBC">
        <w:rPr>
          <w:lang w:val="it-IT"/>
        </w:rPr>
        <w:t xml:space="preserve"> </w:t>
      </w:r>
      <w:r w:rsidRPr="000F6EBC">
        <w:rPr>
          <w:lang w:val="it-IT"/>
        </w:rPr>
        <w:t>(Colenbrander et al., 2018; Price, 2021)</w:t>
      </w:r>
    </w:p>
  </w:footnote>
  <w:footnote w:id="38">
    <w:p w14:paraId="02C7A1BA" w14:textId="645CCBE7" w:rsidR="00CF705F" w:rsidRPr="000F6EBC" w:rsidRDefault="00CF705F">
      <w:pPr>
        <w:pStyle w:val="FootnoteText"/>
        <w:rPr>
          <w:lang w:val="it-IT"/>
        </w:rPr>
      </w:pPr>
      <w:r>
        <w:rPr>
          <w:rStyle w:val="FootnoteReference"/>
        </w:rPr>
        <w:footnoteRef/>
      </w:r>
      <w:r w:rsidRPr="000F6EBC">
        <w:rPr>
          <w:lang w:val="it-IT"/>
        </w:rPr>
        <w:t xml:space="preserve"> (Colenbrander et al., 2018)</w:t>
      </w:r>
    </w:p>
  </w:footnote>
  <w:footnote w:id="39">
    <w:p w14:paraId="5A817C84" w14:textId="38B9366E" w:rsidR="00CF705F" w:rsidRPr="000F6EBC" w:rsidRDefault="00CF705F">
      <w:pPr>
        <w:pStyle w:val="FootnoteText"/>
      </w:pPr>
      <w:r>
        <w:rPr>
          <w:rStyle w:val="FootnoteReference"/>
        </w:rPr>
        <w:footnoteRef/>
      </w:r>
      <w:r w:rsidRPr="000F6EBC">
        <w:t xml:space="preserve"> (Gomez, 2013)</w:t>
      </w:r>
    </w:p>
  </w:footnote>
  <w:footnote w:id="40">
    <w:p w14:paraId="0ED2E366" w14:textId="5E78AB4B" w:rsidR="00492CFF" w:rsidRPr="000F6EBC" w:rsidRDefault="00492CFF">
      <w:pPr>
        <w:pStyle w:val="FootnoteText"/>
      </w:pPr>
      <w:r>
        <w:rPr>
          <w:rStyle w:val="FootnoteReference"/>
        </w:rPr>
        <w:footnoteRef/>
      </w:r>
      <w:r w:rsidRPr="000F6EBC">
        <w:t xml:space="preserve"> </w:t>
      </w:r>
      <w:r w:rsidRPr="000F6EBC">
        <w:t>(Smith et al., 2014; Price, 2021)</w:t>
      </w:r>
    </w:p>
  </w:footnote>
  <w:footnote w:id="41">
    <w:p w14:paraId="43EB7D93" w14:textId="3941903F" w:rsidR="00492CFF" w:rsidRPr="000F6EBC" w:rsidRDefault="00492CFF">
      <w:pPr>
        <w:pStyle w:val="FootnoteText"/>
      </w:pPr>
      <w:r>
        <w:rPr>
          <w:rStyle w:val="FootnoteReference"/>
        </w:rPr>
        <w:footnoteRef/>
      </w:r>
      <w:r w:rsidRPr="000F6EBC">
        <w:t xml:space="preserve"> (Schipper, 2020)</w:t>
      </w:r>
    </w:p>
  </w:footnote>
  <w:footnote w:id="42">
    <w:p w14:paraId="52E04ED3" w14:textId="5A877495" w:rsidR="00B14EAB" w:rsidRPr="00C47595" w:rsidRDefault="004D5725" w:rsidP="004B5CA0">
      <w:pPr>
        <w:spacing w:after="0" w:line="240" w:lineRule="auto"/>
        <w:rPr>
          <w:color w:val="000000"/>
        </w:rPr>
      </w:pPr>
      <w:r>
        <w:rPr>
          <w:vertAlign w:val="superscript"/>
        </w:rPr>
        <w:footnoteRef/>
      </w:r>
      <w:r w:rsidRPr="00C47595">
        <w:rPr>
          <w:color w:val="000000"/>
          <w:sz w:val="20"/>
          <w:szCs w:val="20"/>
        </w:rPr>
        <w:t xml:space="preserve"> </w:t>
      </w:r>
      <w:hyperlink r:id="rId5">
        <w:r w:rsidRPr="00C47595">
          <w:rPr>
            <w:color w:val="0563C1"/>
            <w:sz w:val="20"/>
            <w:szCs w:val="20"/>
            <w:u w:val="single"/>
          </w:rPr>
          <w:t>https://www.adaptation-fund.org/</w:t>
        </w:r>
      </w:hyperlink>
      <w:r w:rsidRPr="00C47595">
        <w:rPr>
          <w:color w:val="000000"/>
          <w:sz w:val="20"/>
          <w:szCs w:val="20"/>
        </w:rPr>
        <w:t xml:space="preserve"> </w:t>
      </w:r>
      <w:r w:rsidR="004B5CA0" w:rsidRPr="00C47595">
        <w:rPr>
          <w:color w:val="000000"/>
        </w:rPr>
        <w:t>(Access 06/08/2022)</w:t>
      </w:r>
    </w:p>
  </w:footnote>
  <w:footnote w:id="43">
    <w:p w14:paraId="52E04ED4" w14:textId="422A1CA0" w:rsidR="00B14EAB" w:rsidRPr="00C47595" w:rsidRDefault="004D5725" w:rsidP="004B5CA0">
      <w:pPr>
        <w:spacing w:after="0" w:line="240" w:lineRule="auto"/>
        <w:rPr>
          <w:color w:val="000000"/>
        </w:rPr>
      </w:pPr>
      <w:r>
        <w:rPr>
          <w:vertAlign w:val="superscript"/>
        </w:rPr>
        <w:footnoteRef/>
      </w:r>
      <w:r w:rsidRPr="00C47595">
        <w:rPr>
          <w:color w:val="000000"/>
          <w:sz w:val="20"/>
          <w:szCs w:val="20"/>
        </w:rPr>
        <w:t xml:space="preserve"> </w:t>
      </w:r>
      <w:hyperlink r:id="rId6">
        <w:r w:rsidRPr="00C47595">
          <w:rPr>
            <w:color w:val="0563C1"/>
            <w:sz w:val="20"/>
            <w:szCs w:val="20"/>
            <w:u w:val="single"/>
          </w:rPr>
          <w:t>https://www.greenclimate.fund/about</w:t>
        </w:r>
      </w:hyperlink>
      <w:r w:rsidRPr="00C47595">
        <w:rPr>
          <w:color w:val="000000"/>
          <w:sz w:val="20"/>
          <w:szCs w:val="20"/>
        </w:rPr>
        <w:t xml:space="preserve"> </w:t>
      </w:r>
      <w:r w:rsidR="004B5CA0" w:rsidRPr="00C47595">
        <w:rPr>
          <w:color w:val="000000"/>
        </w:rPr>
        <w:t>(Access 06/08/2022)</w:t>
      </w:r>
    </w:p>
  </w:footnote>
  <w:footnote w:id="44">
    <w:p w14:paraId="52E04ED5" w14:textId="27854E0F" w:rsidR="00B14EAB" w:rsidRPr="004D5725" w:rsidRDefault="004D5725" w:rsidP="004B5CA0">
      <w:pPr>
        <w:spacing w:after="0" w:line="240" w:lineRule="auto"/>
        <w:rPr>
          <w:color w:val="000000"/>
        </w:rPr>
      </w:pPr>
      <w:r>
        <w:rPr>
          <w:vertAlign w:val="superscript"/>
        </w:rPr>
        <w:footnoteRef/>
      </w:r>
      <w:r w:rsidRPr="004D5725">
        <w:rPr>
          <w:color w:val="000000"/>
          <w:sz w:val="20"/>
          <w:szCs w:val="20"/>
        </w:rPr>
        <w:t xml:space="preserve"> </w:t>
      </w:r>
      <w:hyperlink r:id="rId7">
        <w:r w:rsidRPr="004D5725">
          <w:rPr>
            <w:color w:val="0563C1"/>
            <w:sz w:val="20"/>
            <w:szCs w:val="20"/>
            <w:u w:val="single"/>
          </w:rPr>
          <w:t>https://www.thegef.org/what-we-do/topics/special-climate-change-fund-sccf</w:t>
        </w:r>
      </w:hyperlink>
      <w:r w:rsidRPr="004D5725">
        <w:rPr>
          <w:color w:val="000000"/>
          <w:sz w:val="20"/>
          <w:szCs w:val="20"/>
        </w:rPr>
        <w:t xml:space="preserve"> </w:t>
      </w:r>
      <w:r w:rsidR="004B5CA0" w:rsidRPr="004D5725">
        <w:rPr>
          <w:color w:val="000000"/>
        </w:rPr>
        <w:t>(Access 06/08/2022)</w:t>
      </w:r>
    </w:p>
  </w:footnote>
  <w:footnote w:id="45">
    <w:p w14:paraId="52E04ED6" w14:textId="5ABE2C19" w:rsidR="00B14EAB" w:rsidRPr="004D5725" w:rsidRDefault="004D5725" w:rsidP="0046463B">
      <w:pPr>
        <w:spacing w:after="0" w:line="240" w:lineRule="auto"/>
        <w:rPr>
          <w:color w:val="000000"/>
        </w:rPr>
      </w:pPr>
      <w:r>
        <w:rPr>
          <w:vertAlign w:val="superscript"/>
        </w:rPr>
        <w:footnoteRef/>
      </w:r>
      <w:r w:rsidRPr="004D5725">
        <w:rPr>
          <w:color w:val="000000"/>
          <w:sz w:val="20"/>
          <w:szCs w:val="20"/>
        </w:rPr>
        <w:t xml:space="preserve"> </w:t>
      </w:r>
      <w:hyperlink r:id="rId8">
        <w:r w:rsidRPr="004D5725">
          <w:rPr>
            <w:color w:val="0563C1"/>
            <w:sz w:val="20"/>
            <w:szCs w:val="20"/>
            <w:u w:val="single"/>
          </w:rPr>
          <w:t>https://www.thegef.org/what-we-do/topics/least-developed-countries-fund-ldcf</w:t>
        </w:r>
      </w:hyperlink>
      <w:r w:rsidRPr="004D5725">
        <w:rPr>
          <w:color w:val="000000"/>
          <w:sz w:val="20"/>
          <w:szCs w:val="20"/>
        </w:rPr>
        <w:t xml:space="preserve"> </w:t>
      </w:r>
      <w:r w:rsidR="0046463B" w:rsidRPr="004D5725">
        <w:rPr>
          <w:color w:val="000000"/>
        </w:rPr>
        <w:t>(Access 06/08/2022)</w:t>
      </w:r>
    </w:p>
  </w:footnote>
  <w:footnote w:id="46">
    <w:p w14:paraId="38BC6650" w14:textId="52FA2A73" w:rsidR="00280E5E" w:rsidRPr="000F6EBC" w:rsidRDefault="00280E5E">
      <w:pPr>
        <w:pStyle w:val="FootnoteText"/>
        <w:rPr>
          <w:lang w:val="it-IT"/>
        </w:rPr>
      </w:pPr>
      <w:r>
        <w:rPr>
          <w:rStyle w:val="FootnoteReference"/>
        </w:rPr>
        <w:footnoteRef/>
      </w:r>
      <w:r w:rsidRPr="000F6EBC">
        <w:rPr>
          <w:lang w:val="it-IT"/>
        </w:rPr>
        <w:t xml:space="preserve"> (Gomez, 2013)</w:t>
      </w:r>
    </w:p>
  </w:footnote>
  <w:footnote w:id="47">
    <w:p w14:paraId="6637D474" w14:textId="46E06237" w:rsidR="000B5487" w:rsidRPr="000F6EBC" w:rsidRDefault="000B5487">
      <w:pPr>
        <w:pStyle w:val="FootnoteText"/>
        <w:rPr>
          <w:lang w:val="it-IT"/>
        </w:rPr>
      </w:pPr>
      <w:r>
        <w:rPr>
          <w:rStyle w:val="FootnoteReference"/>
        </w:rPr>
        <w:footnoteRef/>
      </w:r>
      <w:r w:rsidRPr="000F6EBC">
        <w:rPr>
          <w:lang w:val="it-IT"/>
        </w:rPr>
        <w:t xml:space="preserve"> (Smith et al., 2009)</w:t>
      </w:r>
    </w:p>
  </w:footnote>
  <w:footnote w:id="48">
    <w:p w14:paraId="295CE4A0" w14:textId="757E537C" w:rsidR="00254BAB" w:rsidRPr="000F6EBC" w:rsidRDefault="00254BAB">
      <w:pPr>
        <w:pStyle w:val="FootnoteText"/>
        <w:rPr>
          <w:lang w:val="it-IT"/>
        </w:rPr>
      </w:pPr>
      <w:r>
        <w:rPr>
          <w:rStyle w:val="FootnoteReference"/>
        </w:rPr>
        <w:footnoteRef/>
      </w:r>
      <w:r w:rsidRPr="000F6EBC">
        <w:rPr>
          <w:lang w:val="it-IT"/>
        </w:rPr>
        <w:t xml:space="preserve"> </w:t>
      </w:r>
      <w:r>
        <w:rPr>
          <w:lang w:val="it-IT"/>
        </w:rPr>
        <w:t>(</w:t>
      </w:r>
      <w:r w:rsidRPr="000F6EBC">
        <w:rPr>
          <w:lang w:val="it-IT"/>
        </w:rPr>
        <w:t>Smith et al., 2014: Gomez, 2013; Amerasinghe et al., 2017; Colenbrander et al., 2018; Price, 2021)</w:t>
      </w:r>
    </w:p>
  </w:footnote>
  <w:footnote w:id="49">
    <w:p w14:paraId="5471EFF9" w14:textId="60AA3AB2" w:rsidR="004E1100" w:rsidRPr="000F6EBC" w:rsidRDefault="004E1100">
      <w:pPr>
        <w:pStyle w:val="FootnoteText"/>
        <w:rPr>
          <w:lang w:val="en-US"/>
        </w:rPr>
      </w:pPr>
      <w:r>
        <w:rPr>
          <w:rStyle w:val="FootnoteReference"/>
        </w:rPr>
        <w:footnoteRef/>
      </w:r>
      <w:r>
        <w:t xml:space="preserve"> </w:t>
      </w:r>
      <w:r w:rsidRPr="004E1100">
        <w:t xml:space="preserve">(Causevic and </w:t>
      </w:r>
      <w:proofErr w:type="spellStart"/>
      <w:r w:rsidRPr="004E1100">
        <w:t>Selvakkumaran</w:t>
      </w:r>
      <w:proofErr w:type="spellEnd"/>
      <w:r w:rsidRPr="004E1100">
        <w:t>, 2018)</w:t>
      </w:r>
    </w:p>
  </w:footnote>
  <w:footnote w:id="50">
    <w:p w14:paraId="4875DA45" w14:textId="2946DA48" w:rsidR="00837F10" w:rsidRPr="000F6EBC" w:rsidRDefault="00837F10">
      <w:pPr>
        <w:pStyle w:val="FootnoteText"/>
        <w:rPr>
          <w:lang w:val="en-US"/>
        </w:rPr>
      </w:pPr>
      <w:r>
        <w:rPr>
          <w:rStyle w:val="FootnoteReference"/>
        </w:rPr>
        <w:footnoteRef/>
      </w:r>
      <w:r>
        <w:t xml:space="preserve"> </w:t>
      </w:r>
      <w:r w:rsidRPr="00837F10">
        <w:t>(Eriksen et al., 2021)</w:t>
      </w:r>
    </w:p>
  </w:footnote>
  <w:footnote w:id="51">
    <w:p w14:paraId="70E88BE4" w14:textId="5D6D66CD" w:rsidR="007C6C35" w:rsidRPr="000F6EBC" w:rsidRDefault="007C6C35">
      <w:pPr>
        <w:pStyle w:val="FootnoteText"/>
        <w:rPr>
          <w:lang w:val="en-US"/>
        </w:rPr>
      </w:pPr>
      <w:r>
        <w:rPr>
          <w:rStyle w:val="FootnoteReference"/>
        </w:rPr>
        <w:footnoteRef/>
      </w:r>
      <w:r>
        <w:t xml:space="preserve"> </w:t>
      </w:r>
      <w:r w:rsidRPr="007C6C35">
        <w:t>(Kato et al., 2014)</w:t>
      </w:r>
    </w:p>
  </w:footnote>
  <w:footnote w:id="52">
    <w:p w14:paraId="314C4EC9" w14:textId="0B1B155A" w:rsidR="007C6C35" w:rsidRPr="000F6EBC" w:rsidRDefault="007C6C35">
      <w:pPr>
        <w:pStyle w:val="FootnoteText"/>
        <w:rPr>
          <w:lang w:val="en-US"/>
        </w:rPr>
      </w:pPr>
      <w:r>
        <w:rPr>
          <w:rStyle w:val="FootnoteReference"/>
        </w:rPr>
        <w:footnoteRef/>
      </w:r>
      <w:r>
        <w:t xml:space="preserve"> </w:t>
      </w:r>
      <w:r w:rsidRPr="007C6C35">
        <w:t>(Remling and Persson, 2015; Lebel et al., 2017)</w:t>
      </w:r>
    </w:p>
  </w:footnote>
  <w:footnote w:id="53">
    <w:p w14:paraId="2F376856" w14:textId="537E026C" w:rsidR="007C6C35" w:rsidRPr="000F6EBC" w:rsidRDefault="007C6C35">
      <w:pPr>
        <w:pStyle w:val="FootnoteText"/>
        <w:rPr>
          <w:lang w:val="en-US"/>
        </w:rPr>
      </w:pPr>
      <w:r>
        <w:rPr>
          <w:rStyle w:val="FootnoteReference"/>
        </w:rPr>
        <w:footnoteRef/>
      </w:r>
      <w:r>
        <w:t xml:space="preserve"> </w:t>
      </w:r>
      <w:r w:rsidRPr="007C6C35">
        <w:t>(Remling and Persson, 2015)</w:t>
      </w:r>
    </w:p>
  </w:footnote>
  <w:footnote w:id="54">
    <w:p w14:paraId="2ED4167C" w14:textId="2CD87A34" w:rsidR="007C6C35" w:rsidRPr="000F6EBC" w:rsidRDefault="007C6C35">
      <w:pPr>
        <w:pStyle w:val="FootnoteText"/>
        <w:rPr>
          <w:lang w:val="en-US"/>
        </w:rPr>
      </w:pPr>
      <w:r>
        <w:rPr>
          <w:rStyle w:val="FootnoteReference"/>
        </w:rPr>
        <w:footnoteRef/>
      </w:r>
      <w:r>
        <w:t xml:space="preserve"> </w:t>
      </w:r>
      <w:r w:rsidRPr="007C6C35">
        <w:t xml:space="preserve">(Smith et al., 2014; Doshi and </w:t>
      </w:r>
      <w:proofErr w:type="spellStart"/>
      <w:r w:rsidRPr="007C6C35">
        <w:t>Garschagen</w:t>
      </w:r>
      <w:proofErr w:type="spellEnd"/>
      <w:r w:rsidRPr="007C6C35">
        <w:t xml:space="preserve">, 2020; </w:t>
      </w:r>
      <w:proofErr w:type="spellStart"/>
      <w:r w:rsidRPr="007C6C35">
        <w:t>Manuamorn</w:t>
      </w:r>
      <w:proofErr w:type="spellEnd"/>
      <w:r w:rsidRPr="007C6C35">
        <w:t xml:space="preserve"> et al., 2020)</w:t>
      </w:r>
    </w:p>
  </w:footnote>
  <w:footnote w:id="55">
    <w:p w14:paraId="23616786" w14:textId="6A33F780" w:rsidR="007C6C35" w:rsidRPr="000F6EBC" w:rsidRDefault="007C6C35">
      <w:pPr>
        <w:pStyle w:val="FootnoteText"/>
        <w:rPr>
          <w:lang w:val="it-IT"/>
        </w:rPr>
      </w:pPr>
      <w:r>
        <w:rPr>
          <w:rStyle w:val="FootnoteReference"/>
        </w:rPr>
        <w:footnoteRef/>
      </w:r>
      <w:r w:rsidRPr="000F6EBC">
        <w:rPr>
          <w:lang w:val="it-IT"/>
        </w:rPr>
        <w:t xml:space="preserve"> (Amorim-Maia et al., 2022)</w:t>
      </w:r>
    </w:p>
  </w:footnote>
  <w:footnote w:id="56">
    <w:p w14:paraId="5A48BECE" w14:textId="559D2E5A" w:rsidR="007C6C35" w:rsidRPr="000F6EBC" w:rsidRDefault="007C6C35">
      <w:pPr>
        <w:pStyle w:val="FootnoteText"/>
        <w:rPr>
          <w:lang w:val="it-IT"/>
        </w:rPr>
      </w:pPr>
      <w:r>
        <w:rPr>
          <w:rStyle w:val="FootnoteReference"/>
        </w:rPr>
        <w:footnoteRef/>
      </w:r>
      <w:r w:rsidRPr="000F6EBC">
        <w:rPr>
          <w:lang w:val="it-IT"/>
        </w:rPr>
        <w:t xml:space="preserve"> (Schipper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434F"/>
    <w:multiLevelType w:val="multilevel"/>
    <w:tmpl w:val="C71881F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35160"/>
    <w:multiLevelType w:val="multilevel"/>
    <w:tmpl w:val="0798D06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DB66E1"/>
    <w:multiLevelType w:val="multilevel"/>
    <w:tmpl w:val="3E90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7482285">
    <w:abstractNumId w:val="0"/>
  </w:num>
  <w:num w:numId="2" w16cid:durableId="590360127">
    <w:abstractNumId w:val="2"/>
  </w:num>
  <w:num w:numId="3" w16cid:durableId="147017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AB"/>
    <w:rsid w:val="00020BBC"/>
    <w:rsid w:val="0003110E"/>
    <w:rsid w:val="00032C16"/>
    <w:rsid w:val="00043537"/>
    <w:rsid w:val="00043E14"/>
    <w:rsid w:val="0006370D"/>
    <w:rsid w:val="00064F2D"/>
    <w:rsid w:val="00070209"/>
    <w:rsid w:val="00072AF0"/>
    <w:rsid w:val="000B5487"/>
    <w:rsid w:val="000C1810"/>
    <w:rsid w:val="000F2332"/>
    <w:rsid w:val="000F6EBC"/>
    <w:rsid w:val="00105614"/>
    <w:rsid w:val="00125BC7"/>
    <w:rsid w:val="00151CC4"/>
    <w:rsid w:val="00176440"/>
    <w:rsid w:val="001848E3"/>
    <w:rsid w:val="00185348"/>
    <w:rsid w:val="001C5C66"/>
    <w:rsid w:val="001C69AE"/>
    <w:rsid w:val="001D6BE9"/>
    <w:rsid w:val="001E010D"/>
    <w:rsid w:val="001F6742"/>
    <w:rsid w:val="00202D90"/>
    <w:rsid w:val="00215DC5"/>
    <w:rsid w:val="002515A5"/>
    <w:rsid w:val="0025437E"/>
    <w:rsid w:val="00254BAB"/>
    <w:rsid w:val="00280E5E"/>
    <w:rsid w:val="002E2CC4"/>
    <w:rsid w:val="003071CE"/>
    <w:rsid w:val="00327431"/>
    <w:rsid w:val="00341229"/>
    <w:rsid w:val="00351C6F"/>
    <w:rsid w:val="00366A2D"/>
    <w:rsid w:val="00376DC7"/>
    <w:rsid w:val="00381121"/>
    <w:rsid w:val="00393D96"/>
    <w:rsid w:val="003A1404"/>
    <w:rsid w:val="003D7728"/>
    <w:rsid w:val="003F13D6"/>
    <w:rsid w:val="003F687E"/>
    <w:rsid w:val="004002DA"/>
    <w:rsid w:val="00402FD6"/>
    <w:rsid w:val="00414E06"/>
    <w:rsid w:val="004252F5"/>
    <w:rsid w:val="00451310"/>
    <w:rsid w:val="0046463B"/>
    <w:rsid w:val="00487CA9"/>
    <w:rsid w:val="00492CFF"/>
    <w:rsid w:val="004A6B7D"/>
    <w:rsid w:val="004B1328"/>
    <w:rsid w:val="004B5CA0"/>
    <w:rsid w:val="004C315C"/>
    <w:rsid w:val="004D5693"/>
    <w:rsid w:val="004D5725"/>
    <w:rsid w:val="004E1100"/>
    <w:rsid w:val="004E2D3B"/>
    <w:rsid w:val="004F6B54"/>
    <w:rsid w:val="00503347"/>
    <w:rsid w:val="005051EB"/>
    <w:rsid w:val="005146FB"/>
    <w:rsid w:val="00520A97"/>
    <w:rsid w:val="005222F7"/>
    <w:rsid w:val="0053713C"/>
    <w:rsid w:val="005430BF"/>
    <w:rsid w:val="00564C66"/>
    <w:rsid w:val="00582217"/>
    <w:rsid w:val="005912B2"/>
    <w:rsid w:val="005B5EB9"/>
    <w:rsid w:val="005C4E73"/>
    <w:rsid w:val="005D2C1C"/>
    <w:rsid w:val="005D4857"/>
    <w:rsid w:val="00645656"/>
    <w:rsid w:val="0066425D"/>
    <w:rsid w:val="00664466"/>
    <w:rsid w:val="00681ABD"/>
    <w:rsid w:val="00684B52"/>
    <w:rsid w:val="006E0256"/>
    <w:rsid w:val="006E0F2D"/>
    <w:rsid w:val="00710A78"/>
    <w:rsid w:val="00725AA9"/>
    <w:rsid w:val="00732301"/>
    <w:rsid w:val="00735D79"/>
    <w:rsid w:val="00743B1F"/>
    <w:rsid w:val="00757336"/>
    <w:rsid w:val="00762F7F"/>
    <w:rsid w:val="00767BFB"/>
    <w:rsid w:val="0077113D"/>
    <w:rsid w:val="007A64E0"/>
    <w:rsid w:val="007B4290"/>
    <w:rsid w:val="007C6C35"/>
    <w:rsid w:val="007E1726"/>
    <w:rsid w:val="00837F10"/>
    <w:rsid w:val="00850309"/>
    <w:rsid w:val="00864174"/>
    <w:rsid w:val="00867087"/>
    <w:rsid w:val="008A0C8C"/>
    <w:rsid w:val="008A6430"/>
    <w:rsid w:val="008B3D50"/>
    <w:rsid w:val="008C53FD"/>
    <w:rsid w:val="008E4A64"/>
    <w:rsid w:val="00902C68"/>
    <w:rsid w:val="00912ED2"/>
    <w:rsid w:val="00930F93"/>
    <w:rsid w:val="00981B35"/>
    <w:rsid w:val="00982F03"/>
    <w:rsid w:val="0099670C"/>
    <w:rsid w:val="009A0C3F"/>
    <w:rsid w:val="009D40FF"/>
    <w:rsid w:val="009F10ED"/>
    <w:rsid w:val="00A021F3"/>
    <w:rsid w:val="00A039C9"/>
    <w:rsid w:val="00A111A9"/>
    <w:rsid w:val="00A14193"/>
    <w:rsid w:val="00A23C4B"/>
    <w:rsid w:val="00A43A02"/>
    <w:rsid w:val="00A70669"/>
    <w:rsid w:val="00A76033"/>
    <w:rsid w:val="00A93346"/>
    <w:rsid w:val="00A973A7"/>
    <w:rsid w:val="00AB197D"/>
    <w:rsid w:val="00B14EAB"/>
    <w:rsid w:val="00B35462"/>
    <w:rsid w:val="00B36220"/>
    <w:rsid w:val="00B70705"/>
    <w:rsid w:val="00B71B38"/>
    <w:rsid w:val="00B73C68"/>
    <w:rsid w:val="00B747B9"/>
    <w:rsid w:val="00B80625"/>
    <w:rsid w:val="00BA7EEA"/>
    <w:rsid w:val="00BB34D3"/>
    <w:rsid w:val="00BB4805"/>
    <w:rsid w:val="00BD4D0A"/>
    <w:rsid w:val="00C16A13"/>
    <w:rsid w:val="00C301EA"/>
    <w:rsid w:val="00C432BA"/>
    <w:rsid w:val="00C47595"/>
    <w:rsid w:val="00C51C20"/>
    <w:rsid w:val="00C755F9"/>
    <w:rsid w:val="00C91C99"/>
    <w:rsid w:val="00C93398"/>
    <w:rsid w:val="00CA0256"/>
    <w:rsid w:val="00CA2237"/>
    <w:rsid w:val="00CB17A3"/>
    <w:rsid w:val="00CF705F"/>
    <w:rsid w:val="00D81FDA"/>
    <w:rsid w:val="00DC6843"/>
    <w:rsid w:val="00DF4D08"/>
    <w:rsid w:val="00E025DD"/>
    <w:rsid w:val="00E033ED"/>
    <w:rsid w:val="00E25B11"/>
    <w:rsid w:val="00E33547"/>
    <w:rsid w:val="00E41705"/>
    <w:rsid w:val="00E47496"/>
    <w:rsid w:val="00E57F74"/>
    <w:rsid w:val="00E645B7"/>
    <w:rsid w:val="00E735A2"/>
    <w:rsid w:val="00E7418E"/>
    <w:rsid w:val="00E76236"/>
    <w:rsid w:val="00E90D1A"/>
    <w:rsid w:val="00EA23A9"/>
    <w:rsid w:val="00EA27A9"/>
    <w:rsid w:val="00EA4A30"/>
    <w:rsid w:val="00EE3F81"/>
    <w:rsid w:val="00EF3700"/>
    <w:rsid w:val="00F3318E"/>
    <w:rsid w:val="00F44C4B"/>
    <w:rsid w:val="00F76927"/>
    <w:rsid w:val="00F9502C"/>
    <w:rsid w:val="00F9783B"/>
    <w:rsid w:val="00FB0E87"/>
    <w:rsid w:val="00FB3B86"/>
    <w:rsid w:val="00FE192F"/>
    <w:rsid w:val="00FE5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04E19"/>
  <w15:docId w15:val="{A2ECF9F7-60E3-4914-8286-4DE5CC93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1FDA"/>
    <w:pPr>
      <w:spacing w:after="0" w:line="240" w:lineRule="auto"/>
    </w:pPr>
  </w:style>
  <w:style w:type="paragraph" w:styleId="CommentSubject">
    <w:name w:val="annotation subject"/>
    <w:basedOn w:val="CommentText"/>
    <w:next w:val="CommentText"/>
    <w:link w:val="CommentSubjectChar"/>
    <w:uiPriority w:val="99"/>
    <w:semiHidden/>
    <w:unhideWhenUsed/>
    <w:rsid w:val="005222F7"/>
    <w:rPr>
      <w:b/>
      <w:bCs/>
    </w:rPr>
  </w:style>
  <w:style w:type="character" w:customStyle="1" w:styleId="CommentSubjectChar">
    <w:name w:val="Comment Subject Char"/>
    <w:basedOn w:val="CommentTextChar"/>
    <w:link w:val="CommentSubject"/>
    <w:uiPriority w:val="99"/>
    <w:semiHidden/>
    <w:rsid w:val="005222F7"/>
    <w:rPr>
      <w:b/>
      <w:bCs/>
      <w:sz w:val="20"/>
      <w:szCs w:val="20"/>
    </w:rPr>
  </w:style>
  <w:style w:type="paragraph" w:styleId="FootnoteText">
    <w:name w:val="footnote text"/>
    <w:basedOn w:val="Normal"/>
    <w:link w:val="FootnoteTextChar"/>
    <w:uiPriority w:val="99"/>
    <w:semiHidden/>
    <w:unhideWhenUsed/>
    <w:rsid w:val="005222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2F7"/>
    <w:rPr>
      <w:sz w:val="20"/>
      <w:szCs w:val="20"/>
    </w:rPr>
  </w:style>
  <w:style w:type="character" w:styleId="FootnoteReference">
    <w:name w:val="footnote reference"/>
    <w:basedOn w:val="DefaultParagraphFont"/>
    <w:uiPriority w:val="99"/>
    <w:semiHidden/>
    <w:unhideWhenUsed/>
    <w:rsid w:val="005222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aptationwatch.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sida.se/publications/files/sida62078en-towards-green-climate-fund-accreditation-and-suppor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docserver/5js1qffvmnhk-en.pdf?expires=1641770600&amp;id=id&amp;accname=guest&amp;checksum=31318C5882C32E2289C9309DCF0896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limatepolicyinitiative.org/publication/the-state-of-cities-climate-finance/" TargetMode="External"/><Relationship Id="rId4" Type="http://schemas.openxmlformats.org/officeDocument/2006/relationships/settings" Target="settings.xml"/><Relationship Id="rId9" Type="http://schemas.openxmlformats.org/officeDocument/2006/relationships/hyperlink" Target="https://www.wri.org/insights/insider-three-ways-improve-direct-access-green-climate-fun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gef.org/what-we-do/topics/least-developed-countries-fund-ldcf" TargetMode="External"/><Relationship Id="rId3" Type="http://schemas.openxmlformats.org/officeDocument/2006/relationships/hyperlink" Target="https://climatefundsupdate.org/the-funds/pilot-program-for-climate-resilience-2/" TargetMode="External"/><Relationship Id="rId7" Type="http://schemas.openxmlformats.org/officeDocument/2006/relationships/hyperlink" Target="https://www.thegef.org/what-we-do/topics/special-climate-change-fund-sccf" TargetMode="External"/><Relationship Id="rId2" Type="http://schemas.openxmlformats.org/officeDocument/2006/relationships/hyperlink" Target="https://unfccc.int/process-and-meetings/the-paris-agreement/the-glasgow-climate-pact/cop26-outcomes-finance-for-climate-adaptation" TargetMode="External"/><Relationship Id="rId1" Type="http://schemas.openxmlformats.org/officeDocument/2006/relationships/hyperlink" Target="https://ukcop26.org/the-uk-cop26-presidency-glasgow-imperative-closing-the-adaptation-gap-and-responding-to-climate-impacts/" TargetMode="External"/><Relationship Id="rId6" Type="http://schemas.openxmlformats.org/officeDocument/2006/relationships/hyperlink" Target="https://www.greenclimate.fund/about" TargetMode="External"/><Relationship Id="rId5" Type="http://schemas.openxmlformats.org/officeDocument/2006/relationships/hyperlink" Target="https://www.adaptation-fund.org/" TargetMode="External"/><Relationship Id="rId4" Type="http://schemas.openxmlformats.org/officeDocument/2006/relationships/hyperlink" Target="https://www.thegpsc.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B0F9-2D0F-5D43-B611-81F68541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22</Pages>
  <Words>7649</Words>
  <Characters>43600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Arabella.Fraser</dc:creator>
  <cp:lastModifiedBy>Giuseppe Forino</cp:lastModifiedBy>
  <cp:revision>14</cp:revision>
  <dcterms:created xsi:type="dcterms:W3CDTF">2022-09-20T11:03:00Z</dcterms:created>
  <dcterms:modified xsi:type="dcterms:W3CDTF">2024-08-20T18:11:00Z</dcterms:modified>
</cp:coreProperties>
</file>