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358D"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000000"/>
          <w:kern w:val="0"/>
          <w:lang w:eastAsia="en-GB"/>
          <w14:ligatures w14:val="none"/>
        </w:rPr>
        <w:t>Title</w:t>
      </w:r>
      <w:r w:rsidRPr="000A1699">
        <w:rPr>
          <w:rFonts w:ascii="Times New Roman" w:eastAsia="Times New Roman" w:hAnsi="Times New Roman" w:cs="Times New Roman"/>
          <w:color w:val="000000"/>
          <w:kern w:val="0"/>
          <w:lang w:eastAsia="en-GB"/>
          <w14:ligatures w14:val="none"/>
        </w:rPr>
        <w:t xml:space="preserve">. Contemporary practices around patients who decline blood component transfusion: A narrative </w:t>
      </w:r>
      <w:proofErr w:type="gramStart"/>
      <w:r w:rsidRPr="000A1699">
        <w:rPr>
          <w:rFonts w:ascii="Times New Roman" w:eastAsia="Times New Roman" w:hAnsi="Times New Roman" w:cs="Times New Roman"/>
          <w:color w:val="000000"/>
          <w:kern w:val="0"/>
          <w:lang w:eastAsia="en-GB"/>
          <w14:ligatures w14:val="none"/>
        </w:rPr>
        <w:t>review</w:t>
      </w:r>
      <w:proofErr w:type="gramEnd"/>
    </w:p>
    <w:p w14:paraId="18A131F3"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Abstract</w:t>
      </w:r>
    </w:p>
    <w:p w14:paraId="7B05F4F1" w14:textId="6D9DCA56"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Blood component transfusions constitute a valuable clinical intervention and are widely used in healthcare. However, in certain situations, alternative options require consideration when transfusion is not feasible due to misalignment with an individual's wishes or beliefs. To support future research, education, and policy updates, this review has identified literature and clinical guidance on the management of individuals who decline transfusion. Searc</w:t>
      </w:r>
      <w:r w:rsidRPr="000A1699">
        <w:rPr>
          <w:rFonts w:ascii="Times New Roman" w:eastAsia="Times New Roman" w:hAnsi="Times New Roman" w:cs="Times New Roman"/>
          <w:color w:val="252525"/>
          <w:kern w:val="0"/>
          <w:lang w:eastAsia="en-GB"/>
          <w14:ligatures w14:val="none"/>
        </w:rPr>
        <w:t xml:space="preserve">hes were conducted for publications between 2013 and 2023. The publications were critically appraised and distinguished into the following four main approaches: blood management and conservation, early optimisation, synthetic compounds, and proactive management in emergencies. </w:t>
      </w:r>
      <w:r w:rsidRPr="000A1699">
        <w:rPr>
          <w:rFonts w:ascii="Times New Roman" w:eastAsia="Times New Roman" w:hAnsi="Times New Roman" w:cs="Times New Roman"/>
          <w:color w:val="000000"/>
          <w:kern w:val="0"/>
          <w:lang w:eastAsia="en-GB"/>
          <w14:ligatures w14:val="none"/>
        </w:rPr>
        <w:t>Applying these strategies to those who decline reduces transfusion risks and costs</w:t>
      </w:r>
      <w:r>
        <w:rPr>
          <w:rFonts w:ascii="Times New Roman" w:eastAsia="Times New Roman" w:hAnsi="Times New Roman" w:cs="Times New Roman"/>
          <w:color w:val="000000"/>
          <w:kern w:val="0"/>
          <w:lang w:eastAsia="en-GB"/>
          <w14:ligatures w14:val="none"/>
        </w:rPr>
        <w:t>,</w:t>
      </w:r>
      <w:r w:rsidRPr="000A1699">
        <w:rPr>
          <w:rFonts w:ascii="Times New Roman" w:eastAsia="Times New Roman" w:hAnsi="Times New Roman" w:cs="Times New Roman"/>
          <w:color w:val="000000"/>
          <w:kern w:val="0"/>
          <w:lang w:eastAsia="en-GB"/>
          <w14:ligatures w14:val="none"/>
        </w:rPr>
        <w:t xml:space="preserve"> preserves a limited resource</w:t>
      </w:r>
      <w:r>
        <w:rPr>
          <w:rFonts w:ascii="Times New Roman" w:eastAsia="Times New Roman" w:hAnsi="Times New Roman" w:cs="Times New Roman"/>
          <w:color w:val="000000"/>
          <w:kern w:val="0"/>
          <w:lang w:eastAsia="en-GB"/>
          <w14:ligatures w14:val="none"/>
        </w:rPr>
        <w:t>,</w:t>
      </w:r>
      <w:r w:rsidRPr="000A1699">
        <w:rPr>
          <w:rFonts w:ascii="Times New Roman" w:eastAsia="Times New Roman" w:hAnsi="Times New Roman" w:cs="Times New Roman"/>
          <w:color w:val="000000"/>
          <w:kern w:val="0"/>
          <w:lang w:eastAsia="en-GB"/>
          <w14:ligatures w14:val="none"/>
        </w:rPr>
        <w:t xml:space="preserve"> and provides a comprehensive approach to patient care and haemostasis for all individuals.</w:t>
      </w:r>
    </w:p>
    <w:p w14:paraId="2E92AE33"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 </w:t>
      </w:r>
    </w:p>
    <w:p w14:paraId="4C319C8A"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Introduction</w:t>
      </w:r>
    </w:p>
    <w:p w14:paraId="264F34F3"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Blood component transfusions are used routinely in healthcare. However, a proportion of the population will decline transfusion and healthcare providers must be aware of alternative management a</w:t>
      </w:r>
      <w:r w:rsidRPr="000A1699">
        <w:rPr>
          <w:rFonts w:ascii="Times New Roman" w:eastAsia="Times New Roman" w:hAnsi="Times New Roman" w:cs="Times New Roman"/>
          <w:color w:val="000000"/>
          <w:kern w:val="0"/>
          <w:lang w:eastAsia="en-GB"/>
          <w14:ligatures w14:val="none"/>
        </w:rPr>
        <w:t xml:space="preserve">pproaches to provide safe holistic </w:t>
      </w:r>
      <w:r w:rsidRPr="000A1699">
        <w:rPr>
          <w:rFonts w:ascii="Times New Roman" w:eastAsia="Times New Roman" w:hAnsi="Times New Roman" w:cs="Times New Roman"/>
          <w:color w:val="000000"/>
          <w:kern w:val="0"/>
          <w:lang w:eastAsia="en-GB"/>
          <w14:ligatures w14:val="none"/>
        </w:rPr>
        <w:lastRenderedPageBreak/>
        <w:t>care and maintain haemostasis. Blood transfusion carries inherent risks including, increased mortality, prolonged hospital stays, and infection (Spahn &amp; Goodnough, 2013).</w:t>
      </w:r>
    </w:p>
    <w:p w14:paraId="47AF0773" w14:textId="1F72979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In current practice low h</w:t>
      </w:r>
      <w:r>
        <w:rPr>
          <w:rFonts w:ascii="Times New Roman" w:eastAsia="Times New Roman" w:hAnsi="Times New Roman" w:cs="Times New Roman"/>
          <w:color w:val="000000"/>
          <w:kern w:val="0"/>
          <w:lang w:eastAsia="en-GB"/>
          <w14:ligatures w14:val="none"/>
        </w:rPr>
        <w:t>a</w:t>
      </w:r>
      <w:r w:rsidRPr="000A1699">
        <w:rPr>
          <w:rFonts w:ascii="Times New Roman" w:eastAsia="Times New Roman" w:hAnsi="Times New Roman" w:cs="Times New Roman"/>
          <w:color w:val="000000"/>
          <w:kern w:val="0"/>
          <w:lang w:eastAsia="en-GB"/>
          <w14:ligatures w14:val="none"/>
        </w:rPr>
        <w:t xml:space="preserve">emoglobin (Hb) is a significant indicator for allogenic transfusion (Shander et al., 2014) and correlates with increased morbidity and mortality (Paone et al., 2014, Shander et al., 2014, Guinn et al., 2015, Delaney et al., 2016). However, similar outcomes are observed with increased transfusion use (Shander &amp; </w:t>
      </w:r>
      <w:proofErr w:type="spellStart"/>
      <w:r w:rsidRPr="000A1699">
        <w:rPr>
          <w:rFonts w:ascii="Times New Roman" w:eastAsia="Times New Roman" w:hAnsi="Times New Roman" w:cs="Times New Roman"/>
          <w:color w:val="000000"/>
          <w:kern w:val="0"/>
          <w:lang w:eastAsia="en-GB"/>
          <w14:ligatures w14:val="none"/>
        </w:rPr>
        <w:t>Javidroozi</w:t>
      </w:r>
      <w:proofErr w:type="spellEnd"/>
      <w:r w:rsidRPr="000A1699">
        <w:rPr>
          <w:rFonts w:ascii="Times New Roman" w:eastAsia="Times New Roman" w:hAnsi="Times New Roman" w:cs="Times New Roman"/>
          <w:color w:val="000000"/>
          <w:kern w:val="0"/>
          <w:lang w:eastAsia="en-GB"/>
          <w14:ligatures w14:val="none"/>
        </w:rPr>
        <w:t xml:space="preserve">, 2015, </w:t>
      </w:r>
      <w:proofErr w:type="spellStart"/>
      <w:r w:rsidRPr="000A1699">
        <w:rPr>
          <w:rFonts w:ascii="Times New Roman" w:eastAsia="Times New Roman" w:hAnsi="Times New Roman" w:cs="Times New Roman"/>
          <w:color w:val="000000"/>
          <w:kern w:val="0"/>
          <w:lang w:eastAsia="en-GB"/>
          <w14:ligatures w14:val="none"/>
        </w:rPr>
        <w:t>Gwam</w:t>
      </w:r>
      <w:proofErr w:type="spellEnd"/>
      <w:r w:rsidRPr="000A1699">
        <w:rPr>
          <w:rFonts w:ascii="Times New Roman" w:eastAsia="Times New Roman" w:hAnsi="Times New Roman" w:cs="Times New Roman"/>
          <w:color w:val="000000"/>
          <w:kern w:val="0"/>
          <w:lang w:eastAsia="en-GB"/>
          <w14:ligatures w14:val="none"/>
        </w:rPr>
        <w:t xml:space="preserve"> et al., 2017). Additionally, procedural errors, reactions and deaths constitute an organisational cost (Goodnough et al., 2014) and contribute to patients' decisions to decline transfusions. Patients also decline due to religious beliefs, notably Jehovah's Witnesses, numbering over 7 million worldwide (Lawson &amp; Ralph, 2015). Exploring alternative management strategies is crucial to mitigate risk, support those who decline transfusion and enhance overall blood utilisation. </w:t>
      </w:r>
    </w:p>
    <w:p w14:paraId="20BD90F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This review concentrates on strategies for managing individuals who decline transfusions for any reason. Drawing from current literature, it explores the existing alternatives, their implications for patients refusing transfusions, and their potential impact on future nursing practices. Furthermore, the review guides further research, education, and policy development.</w:t>
      </w:r>
    </w:p>
    <w:p w14:paraId="236EDA1A"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w:t>
      </w:r>
    </w:p>
    <w:p w14:paraId="6EB1DBC7"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lastRenderedPageBreak/>
        <w:t>Methods</w:t>
      </w:r>
    </w:p>
    <w:p w14:paraId="3849544F"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Answers to two questions were sought: What alternative patient management strategies exist when allogenic blood transfusion is not feasible? How can these strategies benefit recipients who decline transfusion and the broader patient population?</w:t>
      </w:r>
    </w:p>
    <w:p w14:paraId="70342DA4" w14:textId="0A2E35C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xml:space="preserve">The following databases were searched in January 2023: Cumulative Index to Nursing and Allied Health Literature (CINAHL), MEDLINE, and ProQuest. The search terms were </w:t>
      </w:r>
      <w:proofErr w:type="gramStart"/>
      <w:r w:rsidRPr="000A1699">
        <w:rPr>
          <w:rFonts w:ascii="Times New Roman" w:eastAsia="Times New Roman" w:hAnsi="Times New Roman" w:cs="Times New Roman"/>
          <w:color w:val="252525"/>
          <w:kern w:val="0"/>
          <w:lang w:eastAsia="en-GB"/>
          <w14:ligatures w14:val="none"/>
        </w:rPr>
        <w:t>decline</w:t>
      </w:r>
      <w:proofErr w:type="gramEnd"/>
      <w:r w:rsidRPr="000A1699">
        <w:rPr>
          <w:rFonts w:ascii="Times New Roman" w:eastAsia="Times New Roman" w:hAnsi="Times New Roman" w:cs="Times New Roman"/>
          <w:color w:val="252525"/>
          <w:kern w:val="0"/>
          <w:lang w:eastAsia="en-GB"/>
          <w14:ligatures w14:val="none"/>
        </w:rPr>
        <w:t xml:space="preserve"> transfusion, refuse transfusion, decline blood, refuse blood, transfusion management, blood management, risk, and alternatives. Additionally searched were, NHS Blood and Transplant, the National Institute of </w:t>
      </w:r>
      <w:proofErr w:type="gramStart"/>
      <w:r w:rsidRPr="000A1699">
        <w:rPr>
          <w:rFonts w:ascii="Times New Roman" w:eastAsia="Times New Roman" w:hAnsi="Times New Roman" w:cs="Times New Roman"/>
          <w:color w:val="252525"/>
          <w:kern w:val="0"/>
          <w:lang w:eastAsia="en-GB"/>
          <w14:ligatures w14:val="none"/>
        </w:rPr>
        <w:t>Health</w:t>
      </w:r>
      <w:proofErr w:type="gramEnd"/>
      <w:r w:rsidRPr="000A1699">
        <w:rPr>
          <w:rFonts w:ascii="Times New Roman" w:eastAsia="Times New Roman" w:hAnsi="Times New Roman" w:cs="Times New Roman"/>
          <w:color w:val="252525"/>
          <w:kern w:val="0"/>
          <w:lang w:eastAsia="en-GB"/>
          <w14:ligatures w14:val="none"/>
        </w:rPr>
        <w:t xml:space="preserve"> and Care Excellence (NICE), and the World Health Organization, as they have published guidelines on current transfusion practice. For currency, the search was restricted to literature published from 2013 to 2023, except for seminal work and guidelines. The search results are reported in line with the Preferred Reporting Items for Systematic Reviews and Meta-Analyses (PRISMA) guidelines (Page et al., 2020).</w:t>
      </w:r>
    </w:p>
    <w:p w14:paraId="1CC7EFB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w:t>
      </w:r>
    </w:p>
    <w:p w14:paraId="3D43A149"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Findings</w:t>
      </w:r>
    </w:p>
    <w:p w14:paraId="668F3FA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xml:space="preserve">The search returned 315 results, 189 records were removed due to duplication and lack of relevance, 112 were screened and 24 were removed leaving 88 </w:t>
      </w:r>
      <w:r w:rsidRPr="000A1699">
        <w:rPr>
          <w:rFonts w:ascii="Times New Roman" w:eastAsia="Times New Roman" w:hAnsi="Times New Roman" w:cs="Times New Roman"/>
          <w:color w:val="252525"/>
          <w:kern w:val="0"/>
          <w:lang w:eastAsia="en-GB"/>
          <w14:ligatures w14:val="none"/>
        </w:rPr>
        <w:lastRenderedPageBreak/>
        <w:t>records assessed for eligibility, 59 were excluded</w:t>
      </w:r>
      <w:r w:rsidRPr="000A1699">
        <w:rPr>
          <w:rFonts w:ascii="Times New Roman" w:eastAsia="Times New Roman" w:hAnsi="Times New Roman" w:cs="Times New Roman"/>
          <w:color w:val="000000"/>
          <w:kern w:val="0"/>
          <w:lang w:eastAsia="en-GB"/>
          <w14:ligatures w14:val="none"/>
        </w:rPr>
        <w:t xml:space="preserve"> due to other factors, and 14 were identified from other sources. A total of 43 records were reviewed.</w:t>
      </w:r>
    </w:p>
    <w:p w14:paraId="2089536B"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Out of the 43 reviewed studies, four broad approaches to managing patients who refuse blood component transfusions were found – namely blood management and conservation, early optimisation, the use of synthetic compounds, and proactive management in emergencies. These four approaches are discussed in the following four subsections respectively.</w:t>
      </w:r>
    </w:p>
    <w:p w14:paraId="0FCCEDCE" w14:textId="77777777" w:rsidR="000A1699" w:rsidRPr="000A1699" w:rsidRDefault="000A1699" w:rsidP="000A1699">
      <w:pPr>
        <w:rPr>
          <w:rFonts w:ascii="Times New Roman" w:eastAsia="Times New Roman" w:hAnsi="Times New Roman" w:cs="Times New Roman"/>
          <w:kern w:val="0"/>
          <w:lang w:eastAsia="en-GB"/>
          <w14:ligatures w14:val="none"/>
        </w:rPr>
      </w:pPr>
    </w:p>
    <w:p w14:paraId="43CBA9D0"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Blood Management and Conservation</w:t>
      </w:r>
    </w:p>
    <w:p w14:paraId="773E7051" w14:textId="5CEC44D4"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xml:space="preserve">Blood management and conservation is defined as a patient-centred, </w:t>
      </w:r>
      <w:r w:rsidRPr="000A1699">
        <w:rPr>
          <w:rFonts w:ascii="Times New Roman" w:eastAsia="Times New Roman" w:hAnsi="Times New Roman" w:cs="Times New Roman"/>
          <w:color w:val="000000"/>
          <w:kern w:val="0"/>
          <w:lang w:eastAsia="en-GB"/>
          <w14:ligatures w14:val="none"/>
        </w:rPr>
        <w:t>evidence-based approach to improving outcomes through managing and preserving a patient’s blood while promoting safety (Society for the Advancement of Patient Blood Management, 2022); and consequently, is argued by Goodnough et al. (2014) to be a key advance in transfusion care over the past half-century. Worldwide, blood management is implemented with the support of transfusion nurse specialists, who play a role in its establishment and integration (Bielby &amp; Moss, 2018). By incorporating this into everyday patient care instances of allogenic transfusion can be reduced, thereby increasing safety. The literature identified four primary methods of blood conservation: ac</w:t>
      </w:r>
      <w:r w:rsidRPr="000A1699">
        <w:rPr>
          <w:rFonts w:ascii="Times New Roman" w:eastAsia="Times New Roman" w:hAnsi="Times New Roman" w:cs="Times New Roman"/>
          <w:color w:val="252525"/>
          <w:kern w:val="0"/>
          <w:lang w:eastAsia="en-GB"/>
          <w14:ligatures w14:val="none"/>
        </w:rPr>
        <w:t xml:space="preserve">ute </w:t>
      </w:r>
      <w:proofErr w:type="spellStart"/>
      <w:r w:rsidRPr="000A1699">
        <w:rPr>
          <w:rFonts w:ascii="Times New Roman" w:eastAsia="Times New Roman" w:hAnsi="Times New Roman" w:cs="Times New Roman"/>
          <w:color w:val="252525"/>
          <w:kern w:val="0"/>
          <w:lang w:eastAsia="en-GB"/>
          <w14:ligatures w14:val="none"/>
        </w:rPr>
        <w:t>normovolaemic</w:t>
      </w:r>
      <w:proofErr w:type="spellEnd"/>
      <w:r w:rsidRPr="000A1699">
        <w:rPr>
          <w:rFonts w:ascii="Times New Roman" w:eastAsia="Times New Roman" w:hAnsi="Times New Roman" w:cs="Times New Roman"/>
          <w:color w:val="252525"/>
          <w:kern w:val="0"/>
          <w:lang w:eastAsia="en-GB"/>
          <w14:ligatures w14:val="none"/>
        </w:rPr>
        <w:t xml:space="preserve"> haemodilution, cell salvage, preoperative autologous donation, and holistic methods.</w:t>
      </w:r>
    </w:p>
    <w:p w14:paraId="3167D8E0" w14:textId="693D2A19" w:rsidR="000A1699" w:rsidRPr="000A1699" w:rsidRDefault="000A1699" w:rsidP="000A1699">
      <w:pPr>
        <w:numPr>
          <w:ilvl w:val="0"/>
          <w:numId w:val="1"/>
        </w:numPr>
        <w:spacing w:after="240" w:line="480" w:lineRule="auto"/>
        <w:textAlignment w:val="baseline"/>
        <w:rPr>
          <w:rFonts w:ascii="Times New Roman" w:eastAsia="Times New Roman" w:hAnsi="Times New Roman" w:cs="Times New Roman"/>
          <w:b/>
          <w:bCs/>
          <w:color w:val="252525"/>
          <w:kern w:val="0"/>
          <w:lang w:eastAsia="en-GB"/>
          <w14:ligatures w14:val="none"/>
        </w:rPr>
      </w:pPr>
      <w:r w:rsidRPr="000A1699">
        <w:rPr>
          <w:rFonts w:ascii="Times New Roman" w:eastAsia="Times New Roman" w:hAnsi="Times New Roman" w:cs="Times New Roman"/>
          <w:b/>
          <w:bCs/>
          <w:color w:val="252525"/>
          <w:kern w:val="0"/>
          <w:lang w:eastAsia="en-GB"/>
          <w14:ligatures w14:val="none"/>
        </w:rPr>
        <w:lastRenderedPageBreak/>
        <w:t xml:space="preserve">Acute </w:t>
      </w:r>
      <w:proofErr w:type="spellStart"/>
      <w:r>
        <w:rPr>
          <w:rFonts w:ascii="Times New Roman" w:eastAsia="Times New Roman" w:hAnsi="Times New Roman" w:cs="Times New Roman"/>
          <w:b/>
          <w:bCs/>
          <w:color w:val="252525"/>
          <w:kern w:val="0"/>
          <w:lang w:eastAsia="en-GB"/>
          <w14:ligatures w14:val="none"/>
        </w:rPr>
        <w:t>N</w:t>
      </w:r>
      <w:r w:rsidRPr="000A1699">
        <w:rPr>
          <w:rFonts w:ascii="Times New Roman" w:eastAsia="Times New Roman" w:hAnsi="Times New Roman" w:cs="Times New Roman"/>
          <w:b/>
          <w:bCs/>
          <w:color w:val="252525"/>
          <w:kern w:val="0"/>
          <w:lang w:eastAsia="en-GB"/>
          <w14:ligatures w14:val="none"/>
        </w:rPr>
        <w:t>ormovolaemic</w:t>
      </w:r>
      <w:proofErr w:type="spellEnd"/>
      <w:r w:rsidRPr="000A1699">
        <w:rPr>
          <w:rFonts w:ascii="Times New Roman" w:eastAsia="Times New Roman" w:hAnsi="Times New Roman" w:cs="Times New Roman"/>
          <w:b/>
          <w:bCs/>
          <w:color w:val="252525"/>
          <w:kern w:val="0"/>
          <w:lang w:eastAsia="en-GB"/>
          <w14:ligatures w14:val="none"/>
        </w:rPr>
        <w:t xml:space="preserve"> </w:t>
      </w:r>
      <w:r>
        <w:rPr>
          <w:rFonts w:ascii="Times New Roman" w:eastAsia="Times New Roman" w:hAnsi="Times New Roman" w:cs="Times New Roman"/>
          <w:b/>
          <w:bCs/>
          <w:color w:val="252525"/>
          <w:kern w:val="0"/>
          <w:lang w:eastAsia="en-GB"/>
          <w14:ligatures w14:val="none"/>
        </w:rPr>
        <w:t>H</w:t>
      </w:r>
      <w:r w:rsidRPr="000A1699">
        <w:rPr>
          <w:rFonts w:ascii="Times New Roman" w:eastAsia="Times New Roman" w:hAnsi="Times New Roman" w:cs="Times New Roman"/>
          <w:b/>
          <w:bCs/>
          <w:color w:val="252525"/>
          <w:kern w:val="0"/>
          <w:lang w:eastAsia="en-GB"/>
          <w14:ligatures w14:val="none"/>
        </w:rPr>
        <w:t>aemodilution</w:t>
      </w:r>
    </w:p>
    <w:p w14:paraId="77F7D02E" w14:textId="5C2745BD"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xml:space="preserve">This method aims to minimise blood loss intraoperatively. Blood is collected using gravity into an anticoagulated bag and is replaced with a crystalloid or colloid solution to restore plasma volume; finally, the blood removed from the patient is reinfused at the end of the surgery (Klein et al., 2019, Lawson &amp; Ralph 2015). Lawson and Ralph (2015) and Roberts et al. (2021) recommended its use for those who decline transfusion for religious reasons, provided certain conditions are met, such as a continuous connection to the patient's circulation. In a meta-analysis of surgeries, Zhou et al. (2015) demonstrated those who received acute </w:t>
      </w:r>
      <w:proofErr w:type="spellStart"/>
      <w:r w:rsidRPr="000A1699">
        <w:rPr>
          <w:rFonts w:ascii="Times New Roman" w:eastAsia="Times New Roman" w:hAnsi="Times New Roman" w:cs="Times New Roman"/>
          <w:color w:val="252525"/>
          <w:kern w:val="0"/>
          <w:lang w:eastAsia="en-GB"/>
          <w14:ligatures w14:val="none"/>
        </w:rPr>
        <w:t>normovolaemic</w:t>
      </w:r>
      <w:proofErr w:type="spellEnd"/>
      <w:r w:rsidRPr="000A1699">
        <w:rPr>
          <w:rFonts w:ascii="Times New Roman" w:eastAsia="Times New Roman" w:hAnsi="Times New Roman" w:cs="Times New Roman"/>
          <w:color w:val="252525"/>
          <w:kern w:val="0"/>
          <w:lang w:eastAsia="en-GB"/>
          <w14:ligatures w14:val="none"/>
        </w:rPr>
        <w:t xml:space="preserve"> haemodilution required fewer transfusions but did recommend further studies to investigate its safety and efficacy.</w:t>
      </w:r>
    </w:p>
    <w:p w14:paraId="78FA677F" w14:textId="77777777" w:rsidR="000A1699" w:rsidRPr="000A1699" w:rsidRDefault="000A1699" w:rsidP="000A1699">
      <w:pPr>
        <w:numPr>
          <w:ilvl w:val="0"/>
          <w:numId w:val="2"/>
        </w:numPr>
        <w:spacing w:after="240" w:line="480" w:lineRule="auto"/>
        <w:textAlignment w:val="baseline"/>
        <w:rPr>
          <w:rFonts w:ascii="Times New Roman" w:eastAsia="Times New Roman" w:hAnsi="Times New Roman" w:cs="Times New Roman"/>
          <w:b/>
          <w:bCs/>
          <w:color w:val="000000"/>
          <w:kern w:val="0"/>
          <w:lang w:eastAsia="en-GB"/>
          <w14:ligatures w14:val="none"/>
        </w:rPr>
      </w:pPr>
      <w:r w:rsidRPr="000A1699">
        <w:rPr>
          <w:rFonts w:ascii="Times New Roman" w:eastAsia="Times New Roman" w:hAnsi="Times New Roman" w:cs="Times New Roman"/>
          <w:b/>
          <w:bCs/>
          <w:color w:val="000000"/>
          <w:kern w:val="0"/>
          <w:lang w:eastAsia="en-GB"/>
          <w14:ligatures w14:val="none"/>
        </w:rPr>
        <w:t>Cell Salvage</w:t>
      </w:r>
    </w:p>
    <w:p w14:paraId="39617DD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This method includes collection, filtration, and washing of blood lost during surgery, followed by the transfusion of the treated blood back to the patient (Goel et al., 2020). According to Goel et al. (2020), this method offers several advantages: it eliminates the need for blood storage, is more cost-effective, and with pre-planning can be used in surgeries where large blood loss is expected. </w:t>
      </w:r>
      <w:r w:rsidRPr="000A1699">
        <w:rPr>
          <w:rFonts w:ascii="Times New Roman" w:eastAsia="Times New Roman" w:hAnsi="Times New Roman" w:cs="Times New Roman"/>
          <w:color w:val="252525"/>
          <w:kern w:val="0"/>
          <w:lang w:eastAsia="en-GB"/>
          <w14:ligatures w14:val="none"/>
        </w:rPr>
        <w:t xml:space="preserve">Jennings &amp; Brennan (2013), Lawson &amp; Ralph (2015), Han et al. (2019) and Klein et al. (2019) reported that patients who declined for religious reasons accepted cell salvage if there was a continuous connection to their </w:t>
      </w:r>
      <w:r w:rsidRPr="000A1699">
        <w:rPr>
          <w:rFonts w:ascii="Times New Roman" w:eastAsia="Times New Roman" w:hAnsi="Times New Roman" w:cs="Times New Roman"/>
          <w:color w:val="252525"/>
          <w:kern w:val="0"/>
          <w:lang w:eastAsia="en-GB"/>
          <w14:ligatures w14:val="none"/>
        </w:rPr>
        <w:lastRenderedPageBreak/>
        <w:t>circulation. NICE (2015) recommended its use in conjunction with tranexamic acid in surgeries where large blood loss was expected. Jennings and Brennan (2013) and Han et al. (2019) recommended</w:t>
      </w:r>
      <w:r w:rsidRPr="000A1699">
        <w:rPr>
          <w:rFonts w:ascii="Arial" w:eastAsia="Times New Roman" w:hAnsi="Arial" w:cs="Arial"/>
          <w:color w:val="000000"/>
          <w:kern w:val="0"/>
          <w:sz w:val="16"/>
          <w:szCs w:val="16"/>
          <w:lang w:eastAsia="en-GB"/>
          <w14:ligatures w14:val="none"/>
        </w:rPr>
        <w:t xml:space="preserve"> </w:t>
      </w:r>
      <w:r w:rsidRPr="000A1699">
        <w:rPr>
          <w:rFonts w:ascii="Times New Roman" w:eastAsia="Times New Roman" w:hAnsi="Times New Roman" w:cs="Times New Roman"/>
          <w:color w:val="252525"/>
          <w:kern w:val="0"/>
          <w:lang w:eastAsia="en-GB"/>
          <w14:ligatures w14:val="none"/>
        </w:rPr>
        <w:t>cell salvage in obstetric surgeries for controlling and managing bleeding in those who decline transfusion. Goel et al. (2020) noted the use of cell salvage has reduced in recent years; further research would be required to determine the reasons for this.</w:t>
      </w:r>
    </w:p>
    <w:p w14:paraId="6C25103F" w14:textId="77777777" w:rsidR="000A1699" w:rsidRPr="000A1699" w:rsidRDefault="000A1699" w:rsidP="000A1699">
      <w:pPr>
        <w:numPr>
          <w:ilvl w:val="0"/>
          <w:numId w:val="3"/>
        </w:numPr>
        <w:spacing w:after="240" w:line="480" w:lineRule="auto"/>
        <w:textAlignment w:val="baseline"/>
        <w:rPr>
          <w:rFonts w:ascii="Times New Roman" w:eastAsia="Times New Roman" w:hAnsi="Times New Roman" w:cs="Times New Roman"/>
          <w:b/>
          <w:bCs/>
          <w:color w:val="000000"/>
          <w:kern w:val="0"/>
          <w:lang w:eastAsia="en-GB"/>
          <w14:ligatures w14:val="none"/>
        </w:rPr>
      </w:pPr>
      <w:r w:rsidRPr="000A1699">
        <w:rPr>
          <w:rFonts w:ascii="Times New Roman" w:eastAsia="Times New Roman" w:hAnsi="Times New Roman" w:cs="Times New Roman"/>
          <w:b/>
          <w:bCs/>
          <w:color w:val="000000"/>
          <w:kern w:val="0"/>
          <w:lang w:eastAsia="en-GB"/>
          <w14:ligatures w14:val="none"/>
        </w:rPr>
        <w:t>Preoperative autologous donation</w:t>
      </w:r>
    </w:p>
    <w:p w14:paraId="64ED1FBE" w14:textId="0C7A209E"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According to Goel et al. (2020), preoperative autologous donation (PAD) is an effective blood conservation method. An individual's blood is pre-emptively collected before elective surgery, anticipating potential intraoperative needs (Goel et al., 2020). While it may lack benefit in cases of unexpected bleeding for those who decline, PAD can prove valuable in addressing major perioperative bleeding for planned surgeries. However, Shander and </w:t>
      </w:r>
      <w:proofErr w:type="spellStart"/>
      <w:r w:rsidRPr="000A1699">
        <w:rPr>
          <w:rFonts w:ascii="Times New Roman" w:eastAsia="Times New Roman" w:hAnsi="Times New Roman" w:cs="Times New Roman"/>
          <w:color w:val="000000"/>
          <w:kern w:val="0"/>
          <w:lang w:eastAsia="en-GB"/>
          <w14:ligatures w14:val="none"/>
        </w:rPr>
        <w:t>Javidroozi</w:t>
      </w:r>
      <w:proofErr w:type="spellEnd"/>
      <w:r w:rsidRPr="000A1699">
        <w:rPr>
          <w:rFonts w:ascii="Times New Roman" w:eastAsia="Times New Roman" w:hAnsi="Times New Roman" w:cs="Times New Roman"/>
          <w:color w:val="000000"/>
          <w:kern w:val="0"/>
          <w:lang w:eastAsia="en-GB"/>
          <w14:ligatures w14:val="none"/>
        </w:rPr>
        <w:t xml:space="preserve"> (2015) argue the time and resources spent on blood collection are wasted if the blood is unused. Furthermore, this procedure has the potential to induce anaemia. A</w:t>
      </w:r>
      <w:r w:rsidRPr="000A1699">
        <w:rPr>
          <w:rFonts w:ascii="Times New Roman" w:eastAsia="Times New Roman" w:hAnsi="Times New Roman" w:cs="Times New Roman"/>
          <w:color w:val="252525"/>
          <w:kern w:val="0"/>
          <w:lang w:eastAsia="en-GB"/>
          <w14:ligatures w14:val="none"/>
        </w:rPr>
        <w:t>dditionally, those who decline transfusion for religious reasons may not accept PAD as the blood has become separated from the circulation (Klein et al., 2019), so this could only be used for patients who decline for other reasons. Like cell salvage, the use of PAD has also reduced in recent years (Vassallo et al., 2015, Goel et al., 2020); however, both can still be considered viable options for patients who decline transfusion.</w:t>
      </w:r>
    </w:p>
    <w:p w14:paraId="77E7BA93" w14:textId="77777777" w:rsidR="000A1699" w:rsidRPr="000A1699" w:rsidRDefault="000A1699" w:rsidP="000A1699">
      <w:pPr>
        <w:numPr>
          <w:ilvl w:val="0"/>
          <w:numId w:val="4"/>
        </w:numPr>
        <w:spacing w:after="240" w:line="480" w:lineRule="auto"/>
        <w:textAlignment w:val="baseline"/>
        <w:rPr>
          <w:rFonts w:ascii="Times New Roman" w:eastAsia="Times New Roman" w:hAnsi="Times New Roman" w:cs="Times New Roman"/>
          <w:b/>
          <w:bCs/>
          <w:color w:val="252525"/>
          <w:kern w:val="0"/>
          <w:lang w:eastAsia="en-GB"/>
          <w14:ligatures w14:val="none"/>
        </w:rPr>
      </w:pPr>
      <w:r w:rsidRPr="000A1699">
        <w:rPr>
          <w:rFonts w:ascii="Times New Roman" w:eastAsia="Times New Roman" w:hAnsi="Times New Roman" w:cs="Times New Roman"/>
          <w:b/>
          <w:bCs/>
          <w:color w:val="252525"/>
          <w:kern w:val="0"/>
          <w:lang w:eastAsia="en-GB"/>
          <w14:ligatures w14:val="none"/>
        </w:rPr>
        <w:lastRenderedPageBreak/>
        <w:t>Holistic approaches</w:t>
      </w:r>
    </w:p>
    <w:p w14:paraId="0FED9197" w14:textId="44421029"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Blood management and conservation includes intraoperative strategies for preserving the patient’s blood and</w:t>
      </w:r>
      <w:r w:rsidRPr="000A1699">
        <w:rPr>
          <w:rFonts w:ascii="Times New Roman" w:eastAsia="Times New Roman" w:hAnsi="Times New Roman" w:cs="Times New Roman"/>
          <w:color w:val="000000"/>
          <w:kern w:val="0"/>
          <w:lang w:eastAsia="en-GB"/>
          <w14:ligatures w14:val="none"/>
        </w:rPr>
        <w:t xml:space="preserve"> a more holistic consideration of the patient’s haemostasis (K</w:t>
      </w:r>
      <w:r w:rsidRPr="000A1699">
        <w:rPr>
          <w:rFonts w:ascii="Times New Roman" w:eastAsia="Times New Roman" w:hAnsi="Times New Roman" w:cs="Times New Roman"/>
          <w:color w:val="252525"/>
          <w:kern w:val="0"/>
          <w:lang w:eastAsia="en-GB"/>
          <w14:ligatures w14:val="none"/>
        </w:rPr>
        <w:t>lein et al., 2019)</w:t>
      </w:r>
      <w:r w:rsidRPr="000A1699">
        <w:rPr>
          <w:rFonts w:ascii="Times New Roman" w:eastAsia="Times New Roman" w:hAnsi="Times New Roman" w:cs="Times New Roman"/>
          <w:color w:val="000000"/>
          <w:kern w:val="0"/>
          <w:lang w:eastAsia="en-GB"/>
          <w14:ligatures w14:val="none"/>
        </w:rPr>
        <w:t>. The literature highlights successful strategies to prevent and halt the progression of anaemia</w:t>
      </w:r>
      <w:r w:rsidRPr="000A1699">
        <w:rPr>
          <w:rFonts w:ascii="Times New Roman" w:eastAsia="Times New Roman" w:hAnsi="Times New Roman" w:cs="Times New Roman"/>
          <w:color w:val="252525"/>
          <w:kern w:val="0"/>
          <w:lang w:eastAsia="en-GB"/>
          <w14:ligatures w14:val="none"/>
        </w:rPr>
        <w:t>.</w:t>
      </w:r>
      <w:r w:rsidRPr="000A1699">
        <w:rPr>
          <w:rFonts w:ascii="Times New Roman" w:eastAsia="Times New Roman" w:hAnsi="Times New Roman" w:cs="Times New Roman"/>
          <w:color w:val="000000"/>
          <w:kern w:val="0"/>
          <w:lang w:eastAsia="en-GB"/>
          <w14:ligatures w14:val="none"/>
        </w:rPr>
        <w:t xml:space="preserve"> These strategies include, obtaining blood samples only when necessary and discouraging recurring sample orders (Shander et al., 2014, Shander &amp; </w:t>
      </w:r>
      <w:proofErr w:type="spellStart"/>
      <w:r w:rsidRPr="000A1699">
        <w:rPr>
          <w:rFonts w:ascii="Times New Roman" w:eastAsia="Times New Roman" w:hAnsi="Times New Roman" w:cs="Times New Roman"/>
          <w:color w:val="000000"/>
          <w:kern w:val="0"/>
          <w:lang w:eastAsia="en-GB"/>
          <w14:ligatures w14:val="none"/>
        </w:rPr>
        <w:t>Javidroozi</w:t>
      </w:r>
      <w:proofErr w:type="spellEnd"/>
      <w:r w:rsidRPr="000A1699">
        <w:rPr>
          <w:rFonts w:ascii="Times New Roman" w:eastAsia="Times New Roman" w:hAnsi="Times New Roman" w:cs="Times New Roman"/>
          <w:color w:val="000000"/>
          <w:kern w:val="0"/>
          <w:lang w:eastAsia="en-GB"/>
          <w14:ligatures w14:val="none"/>
        </w:rPr>
        <w:t xml:space="preserve"> 2015), utilising p</w:t>
      </w:r>
      <w:r>
        <w:rPr>
          <w:rFonts w:ascii="Times New Roman" w:eastAsia="Times New Roman" w:hAnsi="Times New Roman" w:cs="Times New Roman"/>
          <w:color w:val="000000"/>
          <w:kern w:val="0"/>
          <w:lang w:eastAsia="en-GB"/>
          <w14:ligatures w14:val="none"/>
        </w:rPr>
        <w:t>a</w:t>
      </w:r>
      <w:r w:rsidRPr="000A1699">
        <w:rPr>
          <w:rFonts w:ascii="Times New Roman" w:eastAsia="Times New Roman" w:hAnsi="Times New Roman" w:cs="Times New Roman"/>
          <w:color w:val="000000"/>
          <w:kern w:val="0"/>
          <w:lang w:eastAsia="en-GB"/>
          <w14:ligatures w14:val="none"/>
        </w:rPr>
        <w:t>ediatric sample bottles to minimise blood volume per sample, and employing point-of-care testing (Klein et al., 2019). </w:t>
      </w:r>
    </w:p>
    <w:p w14:paraId="27F70ED2" w14:textId="77777777" w:rsidR="000A1699" w:rsidRPr="000A1699" w:rsidRDefault="000A1699" w:rsidP="000A1699">
      <w:pPr>
        <w:rPr>
          <w:rFonts w:ascii="Times New Roman" w:eastAsia="Times New Roman" w:hAnsi="Times New Roman" w:cs="Times New Roman"/>
          <w:kern w:val="0"/>
          <w:lang w:eastAsia="en-GB"/>
          <w14:ligatures w14:val="none"/>
        </w:rPr>
      </w:pPr>
    </w:p>
    <w:p w14:paraId="4C005446"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Early Optimisation</w:t>
      </w:r>
    </w:p>
    <w:p w14:paraId="43ADCDEE"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The literature revealed proactive measures to decrease the frequency and necessity of transfusions. Berg et al. (2022) recommended early optimisation for obstetric patients, starting in early gestation. The Royal College of Obstetricians and Gynaecologists (2015) endorsed the early involvement of senior specialists to optimise haemoglobin levels and plan for potential delivery complications. Shander and Goodnough (2018) support this and emphasise early preparation in case of postpartum haemorrhage.</w:t>
      </w:r>
    </w:p>
    <w:p w14:paraId="7DC20EC1"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Shander and </w:t>
      </w:r>
      <w:proofErr w:type="spellStart"/>
      <w:r w:rsidRPr="000A1699">
        <w:rPr>
          <w:rFonts w:ascii="Times New Roman" w:eastAsia="Times New Roman" w:hAnsi="Times New Roman" w:cs="Times New Roman"/>
          <w:color w:val="000000"/>
          <w:kern w:val="0"/>
          <w:lang w:eastAsia="en-GB"/>
          <w14:ligatures w14:val="none"/>
        </w:rPr>
        <w:t>Javidroozi</w:t>
      </w:r>
      <w:proofErr w:type="spellEnd"/>
      <w:r w:rsidRPr="000A1699">
        <w:rPr>
          <w:rFonts w:ascii="Times New Roman" w:eastAsia="Times New Roman" w:hAnsi="Times New Roman" w:cs="Times New Roman"/>
          <w:color w:val="000000"/>
          <w:kern w:val="0"/>
          <w:lang w:eastAsia="en-GB"/>
          <w14:ligatures w14:val="none"/>
        </w:rPr>
        <w:t xml:space="preserve"> (2015) devised an algorithm for patient blood management, highlighting the importance of proactive anaemia screening four </w:t>
      </w:r>
      <w:r w:rsidRPr="000A1699">
        <w:rPr>
          <w:rFonts w:ascii="Times New Roman" w:eastAsia="Times New Roman" w:hAnsi="Times New Roman" w:cs="Times New Roman"/>
          <w:color w:val="000000"/>
          <w:kern w:val="0"/>
          <w:lang w:eastAsia="en-GB"/>
          <w14:ligatures w14:val="none"/>
        </w:rPr>
        <w:lastRenderedPageBreak/>
        <w:t>weeks before elective surgery to facilitate effective haemoglobin optimisation. </w:t>
      </w:r>
    </w:p>
    <w:p w14:paraId="18BD068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Lawson &amp; Ralph (2015), Klein et al. (2019), and DeLoughery (2020) observed early optimisation is effective for individuals who decline transfusion due to religious reasons. They recommended proactive measures and optimisation before any intervention, including pre-operative assessment, blood management, the use of synthetic compounds, and the involvement of multidisciplinary teams. </w:t>
      </w:r>
    </w:p>
    <w:p w14:paraId="26AFA7EF" w14:textId="77777777" w:rsidR="000A1699" w:rsidRPr="000A1699" w:rsidRDefault="000A1699" w:rsidP="000A1699">
      <w:pPr>
        <w:rPr>
          <w:rFonts w:ascii="Times New Roman" w:eastAsia="Times New Roman" w:hAnsi="Times New Roman" w:cs="Times New Roman"/>
          <w:kern w:val="0"/>
          <w:lang w:eastAsia="en-GB"/>
          <w14:ligatures w14:val="none"/>
        </w:rPr>
      </w:pPr>
    </w:p>
    <w:p w14:paraId="3BCA3538"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Synthetic Compounds</w:t>
      </w:r>
    </w:p>
    <w:p w14:paraId="5768846D"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Medications known as synthetic compounds are alternatives to blood components. These can include oral and intravenous (IV) iron, erythropoietin (EPO) and haemoglobin-based oxygen carriers (HBOCs). </w:t>
      </w:r>
    </w:p>
    <w:p w14:paraId="5FAD36B1" w14:textId="77777777" w:rsidR="000A1699" w:rsidRPr="000A1699" w:rsidRDefault="000A1699" w:rsidP="000A1699">
      <w:pPr>
        <w:numPr>
          <w:ilvl w:val="0"/>
          <w:numId w:val="5"/>
        </w:numPr>
        <w:spacing w:after="240" w:line="480" w:lineRule="auto"/>
        <w:textAlignment w:val="baseline"/>
        <w:rPr>
          <w:rFonts w:ascii="Times New Roman" w:eastAsia="Times New Roman" w:hAnsi="Times New Roman" w:cs="Times New Roman"/>
          <w:b/>
          <w:bCs/>
          <w:color w:val="000000"/>
          <w:kern w:val="0"/>
          <w:lang w:eastAsia="en-GB"/>
          <w14:ligatures w14:val="none"/>
        </w:rPr>
      </w:pPr>
      <w:r w:rsidRPr="000A1699">
        <w:rPr>
          <w:rFonts w:ascii="Times New Roman" w:eastAsia="Times New Roman" w:hAnsi="Times New Roman" w:cs="Times New Roman"/>
          <w:b/>
          <w:bCs/>
          <w:color w:val="000000"/>
          <w:kern w:val="0"/>
          <w:lang w:eastAsia="en-GB"/>
          <w14:ligatures w14:val="none"/>
        </w:rPr>
        <w:t>Iron</w:t>
      </w:r>
    </w:p>
    <w:p w14:paraId="13181020"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One primary reason for utilising transfusion is to treat anaemia, a condition linked to higher mortality rates </w:t>
      </w:r>
      <w:r w:rsidRPr="000A1699">
        <w:rPr>
          <w:rFonts w:ascii="Times New Roman" w:eastAsia="Times New Roman" w:hAnsi="Times New Roman" w:cs="Times New Roman"/>
          <w:color w:val="252525"/>
          <w:kern w:val="0"/>
          <w:lang w:eastAsia="en-GB"/>
          <w14:ligatures w14:val="none"/>
        </w:rPr>
        <w:t xml:space="preserve">(Paone et al., 2014, Shander et al., 2014, Guinn et al., 2015, Delaney et al., 2016). Treating anaemia with oral and IV iron is acceptable to those who decline transfusions for religious reasons (Lawson &amp; Ralph, 2015). Klein et al. (2019) recommended oral iron at least six weeks before surgery if the patient’s Hb is &lt;130 g/L. Closer to surgery, IV iron should be used (Shander &amp; </w:t>
      </w:r>
      <w:proofErr w:type="spellStart"/>
      <w:r w:rsidRPr="000A1699">
        <w:rPr>
          <w:rFonts w:ascii="Times New Roman" w:eastAsia="Times New Roman" w:hAnsi="Times New Roman" w:cs="Times New Roman"/>
          <w:color w:val="252525"/>
          <w:kern w:val="0"/>
          <w:lang w:eastAsia="en-GB"/>
          <w14:ligatures w14:val="none"/>
        </w:rPr>
        <w:t>Javidroozi</w:t>
      </w:r>
      <w:proofErr w:type="spellEnd"/>
      <w:r w:rsidRPr="000A1699">
        <w:rPr>
          <w:rFonts w:ascii="Times New Roman" w:eastAsia="Times New Roman" w:hAnsi="Times New Roman" w:cs="Times New Roman"/>
          <w:color w:val="252525"/>
          <w:kern w:val="0"/>
          <w:lang w:eastAsia="en-GB"/>
          <w14:ligatures w14:val="none"/>
        </w:rPr>
        <w:t xml:space="preserve"> 2015, Klein et al., 2019). Additionally, folate and vitamin B12 can be used to treat anaemia and optimise Hb (Resar &amp; Frank, 2014, Langhi et al., 2018).</w:t>
      </w:r>
    </w:p>
    <w:p w14:paraId="1D2F5DB7" w14:textId="77777777" w:rsidR="000A1699" w:rsidRPr="000A1699" w:rsidRDefault="000A1699" w:rsidP="000A1699">
      <w:pPr>
        <w:numPr>
          <w:ilvl w:val="0"/>
          <w:numId w:val="6"/>
        </w:numPr>
        <w:spacing w:after="240" w:line="480" w:lineRule="auto"/>
        <w:textAlignment w:val="baseline"/>
        <w:rPr>
          <w:rFonts w:ascii="Times New Roman" w:eastAsia="Times New Roman" w:hAnsi="Times New Roman" w:cs="Times New Roman"/>
          <w:b/>
          <w:bCs/>
          <w:color w:val="252525"/>
          <w:kern w:val="0"/>
          <w:lang w:eastAsia="en-GB"/>
          <w14:ligatures w14:val="none"/>
        </w:rPr>
      </w:pPr>
      <w:r w:rsidRPr="000A1699">
        <w:rPr>
          <w:rFonts w:ascii="Times New Roman" w:eastAsia="Times New Roman" w:hAnsi="Times New Roman" w:cs="Times New Roman"/>
          <w:b/>
          <w:bCs/>
          <w:color w:val="252525"/>
          <w:kern w:val="0"/>
          <w:lang w:eastAsia="en-GB"/>
          <w14:ligatures w14:val="none"/>
        </w:rPr>
        <w:t>Erythropoietin</w:t>
      </w:r>
    </w:p>
    <w:p w14:paraId="3D2AF0E6"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xml:space="preserve">Anaemia can also be treated with EPO (Paone et al., 2014, Shander et al., 2014, Guinn et al., </w:t>
      </w:r>
      <w:r w:rsidRPr="000A1699">
        <w:rPr>
          <w:rFonts w:ascii="Times New Roman" w:eastAsia="Times New Roman" w:hAnsi="Times New Roman" w:cs="Times New Roman"/>
          <w:color w:val="000000"/>
          <w:kern w:val="0"/>
          <w:lang w:eastAsia="en-GB"/>
          <w14:ligatures w14:val="none"/>
        </w:rPr>
        <w:t xml:space="preserve">2015, Delaney et al., 2016). However, NICE (2015) discourages this unless the patient has anaemia, refuses blood, or if suitable blood is unavailable; consequently, this has resulted in limited utilisation in the UK. The Royal College of Obstetricians and Gynaecologists (2015) recommended only using EPO in clinical trials or under the expert advice of a haematologist. </w:t>
      </w:r>
      <w:r w:rsidRPr="000A1699">
        <w:rPr>
          <w:rFonts w:ascii="Times New Roman" w:eastAsia="Times New Roman" w:hAnsi="Times New Roman" w:cs="Times New Roman"/>
          <w:color w:val="252525"/>
          <w:kern w:val="0"/>
          <w:lang w:eastAsia="en-GB"/>
          <w14:ligatures w14:val="none"/>
        </w:rPr>
        <w:t xml:space="preserve">Nevertheless, studies have demonstrated EPO’s use for those who decline transfusion has been beneficial. Shander and </w:t>
      </w:r>
      <w:proofErr w:type="spellStart"/>
      <w:r w:rsidRPr="000A1699">
        <w:rPr>
          <w:rFonts w:ascii="Times New Roman" w:eastAsia="Times New Roman" w:hAnsi="Times New Roman" w:cs="Times New Roman"/>
          <w:color w:val="252525"/>
          <w:kern w:val="0"/>
          <w:lang w:eastAsia="en-GB"/>
          <w14:ligatures w14:val="none"/>
        </w:rPr>
        <w:t>Goonough</w:t>
      </w:r>
      <w:proofErr w:type="spellEnd"/>
      <w:r w:rsidRPr="000A1699">
        <w:rPr>
          <w:rFonts w:ascii="Times New Roman" w:eastAsia="Times New Roman" w:hAnsi="Times New Roman" w:cs="Times New Roman"/>
          <w:color w:val="252525"/>
          <w:kern w:val="0"/>
          <w:lang w:eastAsia="en-GB"/>
          <w14:ligatures w14:val="none"/>
        </w:rPr>
        <w:t xml:space="preserve"> (2018) argued it is essential for Hb</w:t>
      </w:r>
      <w:r w:rsidRPr="000A1699">
        <w:rPr>
          <w:rFonts w:ascii="Arial" w:eastAsia="Times New Roman" w:hAnsi="Arial" w:cs="Arial"/>
          <w:color w:val="000000"/>
          <w:kern w:val="0"/>
          <w:sz w:val="16"/>
          <w:szCs w:val="16"/>
          <w:lang w:eastAsia="en-GB"/>
          <w14:ligatures w14:val="none"/>
        </w:rPr>
        <w:t xml:space="preserve"> </w:t>
      </w:r>
      <w:r w:rsidRPr="000A1699">
        <w:rPr>
          <w:rFonts w:ascii="Times New Roman" w:eastAsia="Times New Roman" w:hAnsi="Times New Roman" w:cs="Times New Roman"/>
          <w:color w:val="252525"/>
          <w:kern w:val="0"/>
          <w:lang w:eastAsia="en-GB"/>
          <w14:ligatures w14:val="none"/>
        </w:rPr>
        <w:t>recovery. Moreover, Duce et al. (2018) advocated for EPO preoperatively in patients who are anaemic and decline for religious reasons, and NICE (2014) recommended epoetin beta to increase Hb and avoid allogenic blood when pre-donating. However, the use of EPO requires frequent injections over weeks to induce a rise in Hb (NICE, 2014); thus, whilst beneficial for early optimisation, it is less useful in emergencies.</w:t>
      </w:r>
    </w:p>
    <w:p w14:paraId="336882F8" w14:textId="77777777" w:rsidR="000A1699" w:rsidRPr="000A1699" w:rsidRDefault="000A1699" w:rsidP="000A1699">
      <w:pPr>
        <w:numPr>
          <w:ilvl w:val="0"/>
          <w:numId w:val="7"/>
        </w:numPr>
        <w:spacing w:after="240" w:line="480" w:lineRule="auto"/>
        <w:textAlignment w:val="baseline"/>
        <w:rPr>
          <w:rFonts w:ascii="Times New Roman" w:eastAsia="Times New Roman" w:hAnsi="Times New Roman" w:cs="Times New Roman"/>
          <w:b/>
          <w:bCs/>
          <w:color w:val="252525"/>
          <w:kern w:val="0"/>
          <w:lang w:eastAsia="en-GB"/>
          <w14:ligatures w14:val="none"/>
        </w:rPr>
      </w:pPr>
      <w:r w:rsidRPr="000A1699">
        <w:rPr>
          <w:rFonts w:ascii="Times New Roman" w:eastAsia="Times New Roman" w:hAnsi="Times New Roman" w:cs="Times New Roman"/>
          <w:b/>
          <w:bCs/>
          <w:color w:val="252525"/>
          <w:kern w:val="0"/>
          <w:lang w:eastAsia="en-GB"/>
          <w14:ligatures w14:val="none"/>
        </w:rPr>
        <w:t>Haemoglobin-based oxygen carriers</w:t>
      </w:r>
    </w:p>
    <w:p w14:paraId="4B752EA6" w14:textId="15962958"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HBOCs are synthetic drugs utilised as alternatives to red blood cells. They are synthesised from chemically modified human or bovine haemoglobin, or developed through genetic engineering (Meng et al., 2018) and can be acceptable to those who decline transfusion for religious reasons (Lawson &amp; Ralph, 2015, Weiskopf et al., 2017). HBOCs are only currently licenced in a few countries due to concerns over risks (Weiskopf &amp; Silverman, 2013). HBOCs were reported to be toxic and could potentially lead to myocardial infarction and pulmonary hypertension (Chand et al., 2014). However, in severely anaemic patients who are haemorrhaging with the risk of severe or fatal tissue hypoxia, HBOCs are considered a viable alternative to blood (Weiskopf et al., 2017). Weiskopf et al. (2017) stated more research is required in this area as benefits have only been demonstrated by laboratory experiments, not clinical trials. Furthermore, no HBOC has been approved by any British, European, or American regulatory body following studies and trials (Belcher et al., 2020). Thus, further research is required.</w:t>
      </w:r>
    </w:p>
    <w:p w14:paraId="698B65E0" w14:textId="77777777" w:rsidR="000A1699" w:rsidRPr="000A1699" w:rsidRDefault="000A1699" w:rsidP="000A1699">
      <w:pPr>
        <w:rPr>
          <w:rFonts w:ascii="Times New Roman" w:eastAsia="Times New Roman" w:hAnsi="Times New Roman" w:cs="Times New Roman"/>
          <w:kern w:val="0"/>
          <w:lang w:eastAsia="en-GB"/>
          <w14:ligatures w14:val="none"/>
        </w:rPr>
      </w:pPr>
    </w:p>
    <w:p w14:paraId="23D03ED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Proactive Emergency Management</w:t>
      </w:r>
    </w:p>
    <w:p w14:paraId="07073FE8" w14:textId="6431700E"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During emergencies or significant haemorrhage scenarios, navigating management without resorting to a blood transfusion becomes challenging. Obstetric h</w:t>
      </w:r>
      <w:r w:rsidRPr="000A1699">
        <w:rPr>
          <w:rFonts w:ascii="Times New Roman" w:eastAsia="Times New Roman" w:hAnsi="Times New Roman" w:cs="Times New Roman"/>
          <w:color w:val="252525"/>
          <w:kern w:val="0"/>
          <w:lang w:eastAsia="en-GB"/>
          <w14:ligatures w14:val="none"/>
        </w:rPr>
        <w:t xml:space="preserve">aemorrhage is the world’s leading cause of maternal mortality (Berg et al., 2022), responsible for a quarter of annual maternal deaths worldwide (World Health Organization, 2012). Berg et al. (2022) reviewed 52 years’ worth of data from women during labour who declined blood components for religious reasons and identified 15 deaths from haemorrhage. They recommended once delivery is underway to consider early surgical intervention (Berg et al., 2022). Kim et al. (2015) </w:t>
      </w:r>
      <w:proofErr w:type="gramStart"/>
      <w:r w:rsidRPr="000A1699">
        <w:rPr>
          <w:rFonts w:ascii="Times New Roman" w:eastAsia="Times New Roman" w:hAnsi="Times New Roman" w:cs="Times New Roman"/>
          <w:color w:val="252525"/>
          <w:kern w:val="0"/>
          <w:lang w:eastAsia="en-GB"/>
          <w14:ligatures w14:val="none"/>
        </w:rPr>
        <w:t>support</w:t>
      </w:r>
      <w:proofErr w:type="gramEnd"/>
      <w:r w:rsidRPr="000A1699">
        <w:rPr>
          <w:rFonts w:ascii="Times New Roman" w:eastAsia="Times New Roman" w:hAnsi="Times New Roman" w:cs="Times New Roman"/>
          <w:color w:val="252525"/>
          <w:kern w:val="0"/>
          <w:lang w:eastAsia="en-GB"/>
          <w14:ligatures w14:val="none"/>
        </w:rPr>
        <w:t xml:space="preserve"> this recommendation suggesting caesarean, hysterectomy, volume expanders, EPO, tranexamic acid, IV iron, and intensive care admission.</w:t>
      </w:r>
    </w:p>
    <w:p w14:paraId="3C2B688B"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During a haemorrhage, Shander and Goodnough (2018) recommended first stopping the cause of the bleeding. Lawson and Ralph (2015) suggested stopping anticoagulants and using vasopressors, clotting factors, and fluid resuscitation, and Jennings and Brennan (2013) recommended cell salvage in obstetric emergencies.</w:t>
      </w:r>
    </w:p>
    <w:p w14:paraId="68567E5A"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 xml:space="preserve">Notably, multiple pharmacological agents and patient monitoring techniques are available in an emergency, including prothrombin complex concentrate, recombinant factor </w:t>
      </w:r>
      <w:proofErr w:type="spellStart"/>
      <w:r w:rsidRPr="000A1699">
        <w:rPr>
          <w:rFonts w:ascii="Times New Roman" w:eastAsia="Times New Roman" w:hAnsi="Times New Roman" w:cs="Times New Roman"/>
          <w:color w:val="252525"/>
          <w:kern w:val="0"/>
          <w:lang w:eastAsia="en-GB"/>
          <w14:ligatures w14:val="none"/>
        </w:rPr>
        <w:t>VIIa</w:t>
      </w:r>
      <w:proofErr w:type="spellEnd"/>
      <w:r w:rsidRPr="000A1699">
        <w:rPr>
          <w:rFonts w:ascii="Times New Roman" w:eastAsia="Times New Roman" w:hAnsi="Times New Roman" w:cs="Times New Roman"/>
          <w:color w:val="252525"/>
          <w:kern w:val="0"/>
          <w:lang w:eastAsia="en-GB"/>
          <w14:ligatures w14:val="none"/>
        </w:rPr>
        <w:t xml:space="preserve">, fibrinogen concentrate, thrombopoietin agonists, interventional radiology, and </w:t>
      </w:r>
      <w:proofErr w:type="spellStart"/>
      <w:r w:rsidRPr="000A1699">
        <w:rPr>
          <w:rFonts w:ascii="Times New Roman" w:eastAsia="Times New Roman" w:hAnsi="Times New Roman" w:cs="Times New Roman"/>
          <w:color w:val="252525"/>
          <w:kern w:val="0"/>
          <w:lang w:eastAsia="en-GB"/>
          <w14:ligatures w14:val="none"/>
        </w:rPr>
        <w:t>thromboelastography</w:t>
      </w:r>
      <w:proofErr w:type="spellEnd"/>
      <w:r w:rsidRPr="000A1699">
        <w:rPr>
          <w:rFonts w:ascii="Times New Roman" w:eastAsia="Times New Roman" w:hAnsi="Times New Roman" w:cs="Times New Roman"/>
          <w:color w:val="252525"/>
          <w:kern w:val="0"/>
          <w:lang w:eastAsia="en-GB"/>
          <w14:ligatures w14:val="none"/>
        </w:rPr>
        <w:t xml:space="preserve"> (Klein et al., 2019, DeLoughery, 2020). However, further research is required to determine how frequently they are used and their effect on patient outcomes. Weiskopf et al. (2017) argued that without red cell transfusion, HBOCs could be used in life-threatening circumstances, however, clinical trials would be needed to prove this.</w:t>
      </w:r>
    </w:p>
    <w:p w14:paraId="593A2513"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Immediate treatment is needed in urgent situations and emergencies when a patient’s wishes are unknown (British Medical Association, 2019) and appropriate support is given to those who have received a transfusion if they may have otherwise declined.</w:t>
      </w:r>
    </w:p>
    <w:p w14:paraId="26AD36B3" w14:textId="77777777" w:rsidR="000A1699" w:rsidRPr="000A1699" w:rsidRDefault="000A1699" w:rsidP="000A1699">
      <w:pPr>
        <w:rPr>
          <w:rFonts w:ascii="Times New Roman" w:eastAsia="Times New Roman" w:hAnsi="Times New Roman" w:cs="Times New Roman"/>
          <w:kern w:val="0"/>
          <w:lang w:eastAsia="en-GB"/>
          <w14:ligatures w14:val="none"/>
        </w:rPr>
      </w:pPr>
    </w:p>
    <w:p w14:paraId="5E1840F9"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000000"/>
          <w:kern w:val="0"/>
          <w:lang w:eastAsia="en-GB"/>
          <w14:ligatures w14:val="none"/>
        </w:rPr>
        <w:t>Summary</w:t>
      </w:r>
    </w:p>
    <w:p w14:paraId="6381896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Recognised for its holistic approach to haemostasis, patient blood management emerged as the predominantly utilised and widely accepted strategy. It prevents anaemia, reducing the need for transfusions and minimising the demand for blood components while mitigating risks.</w:t>
      </w:r>
    </w:p>
    <w:p w14:paraId="7B80A19C"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Synthetic compound use reduces instances of allogeneic and autologous blood transfusion and the associated complications. Patients who decline transfusion for religious reasons accept synthetic compounds, suggesting a viable option for all those who decline. However, more research and trials are required before wider patient use.</w:t>
      </w:r>
    </w:p>
    <w:p w14:paraId="10C4C72D"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Early optimisation is beneficial for patients refusing transfusion at the beginning of their care journey. It can prevent the need for transfusion and its associated complications in obstetric patients throughout pregnancy, birth, and postpartum. It is also effective for elective surgery, allowing preoperative optimisation. Applicable to early-stage situations, this approach holds potential benefits for all patients by minimising the need for blood component transfusions.</w:t>
      </w:r>
    </w:p>
    <w:p w14:paraId="6819B33B"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In emergencies, many blood management strategies cannot be used. The literature confirms the optimal strategy for</w:t>
      </w:r>
      <w:r w:rsidRPr="000A1699">
        <w:rPr>
          <w:rFonts w:ascii="Arial" w:eastAsia="Times New Roman" w:hAnsi="Arial" w:cs="Arial"/>
          <w:color w:val="000000"/>
          <w:kern w:val="0"/>
          <w:sz w:val="16"/>
          <w:szCs w:val="16"/>
          <w:lang w:eastAsia="en-GB"/>
          <w14:ligatures w14:val="none"/>
        </w:rPr>
        <w:t xml:space="preserve"> </w:t>
      </w:r>
      <w:r w:rsidRPr="000A1699">
        <w:rPr>
          <w:rFonts w:ascii="Times New Roman" w:eastAsia="Times New Roman" w:hAnsi="Times New Roman" w:cs="Times New Roman"/>
          <w:color w:val="252525"/>
          <w:kern w:val="0"/>
          <w:lang w:eastAsia="en-GB"/>
          <w14:ligatures w14:val="none"/>
        </w:rPr>
        <w:t>correcting critically low blood volume includes blood component transfusion, and patients who decline this procedure may not survive a major bleed. Nevertheless, proactive strategies for minimising bleeding can be used. Knowledge of the available strategies, alongside the use of blood management and optimisation throughout the care journey, would provide the best chance of survival for patients in emergencies. </w:t>
      </w:r>
    </w:p>
    <w:p w14:paraId="3CFDCCE1" w14:textId="77777777" w:rsidR="000A1699" w:rsidRPr="000A1699" w:rsidRDefault="000A1699" w:rsidP="000A1699">
      <w:pPr>
        <w:rPr>
          <w:rFonts w:ascii="Times New Roman" w:eastAsia="Times New Roman" w:hAnsi="Times New Roman" w:cs="Times New Roman"/>
          <w:kern w:val="0"/>
          <w:lang w:eastAsia="en-GB"/>
          <w14:ligatures w14:val="none"/>
        </w:rPr>
      </w:pPr>
    </w:p>
    <w:p w14:paraId="6FA9A389"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Conclusion</w:t>
      </w:r>
    </w:p>
    <w:p w14:paraId="59F3A9C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252525"/>
          <w:kern w:val="0"/>
          <w:lang w:eastAsia="en-GB"/>
          <w14:ligatures w14:val="none"/>
        </w:rPr>
        <w:t>This review has highlighted the main strategies used to manage patients who decline blood component trans</w:t>
      </w:r>
      <w:r w:rsidRPr="000A1699">
        <w:rPr>
          <w:rFonts w:ascii="Times New Roman" w:eastAsia="Times New Roman" w:hAnsi="Times New Roman" w:cs="Times New Roman"/>
          <w:color w:val="000000"/>
          <w:kern w:val="0"/>
          <w:lang w:eastAsia="en-GB"/>
          <w14:ligatures w14:val="none"/>
        </w:rPr>
        <w:t>fusions for any reason. Patient blood management, synthetic compounds, early optimisation, and proactive emergency management collectively contribute to minimising the need for blood component transfusions. These approaches, when integrated into the patient's care journey, can b</w:t>
      </w:r>
      <w:r w:rsidRPr="000A1699">
        <w:rPr>
          <w:rFonts w:ascii="Times New Roman" w:eastAsia="Times New Roman" w:hAnsi="Times New Roman" w:cs="Times New Roman"/>
          <w:color w:val="252525"/>
          <w:kern w:val="0"/>
          <w:lang w:eastAsia="en-GB"/>
          <w14:ligatures w14:val="none"/>
        </w:rPr>
        <w:t>enefit all those who decline. Knowledge of alternative management strategies and techniques is essential for healthcare practitioners. All practitioners must provide a person-centred approach in conjunction with their clinical expertise and judgement to implement safe and effective care, without compromising the health and clinical management of their patients. These findings can now influence healthcare education and the development of policies to incorporate these strategies in everyday practice.</w:t>
      </w:r>
    </w:p>
    <w:p w14:paraId="73C4ACBA" w14:textId="77777777" w:rsidR="000A1699" w:rsidRPr="000A1699" w:rsidRDefault="000A1699" w:rsidP="000A1699">
      <w:pPr>
        <w:rPr>
          <w:rFonts w:ascii="Times New Roman" w:eastAsia="Times New Roman" w:hAnsi="Times New Roman" w:cs="Times New Roman"/>
          <w:kern w:val="0"/>
          <w:lang w:eastAsia="en-GB"/>
          <w14:ligatures w14:val="none"/>
        </w:rPr>
      </w:pPr>
    </w:p>
    <w:p w14:paraId="5B234452"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252525"/>
          <w:kern w:val="0"/>
          <w:lang w:eastAsia="en-GB"/>
          <w14:ligatures w14:val="none"/>
        </w:rPr>
        <w:t>Further Research</w:t>
      </w:r>
    </w:p>
    <w:p w14:paraId="7300D51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Further research is needed to enhance the understanding and viability of alternative strategies to blood component transfusions for all patients. Exploring additional reasons for patient refusal can contribute to a more patient-centred and holistic approach to transfusion care. Healthcare practitioners equipped with this knowledge can empower patients to make more informed choices about their care.</w:t>
      </w:r>
    </w:p>
    <w:p w14:paraId="01FB5190" w14:textId="77777777" w:rsidR="000A1699" w:rsidRPr="000A1699" w:rsidRDefault="000A1699" w:rsidP="000A1699">
      <w:pPr>
        <w:rPr>
          <w:rFonts w:ascii="Times New Roman" w:eastAsia="Times New Roman" w:hAnsi="Times New Roman" w:cs="Times New Roman"/>
          <w:kern w:val="0"/>
          <w:lang w:eastAsia="en-GB"/>
          <w14:ligatures w14:val="none"/>
        </w:rPr>
      </w:pPr>
    </w:p>
    <w:p w14:paraId="2174A701"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b/>
          <w:bCs/>
          <w:color w:val="000000"/>
          <w:kern w:val="0"/>
          <w:lang w:eastAsia="en-GB"/>
          <w14:ligatures w14:val="none"/>
        </w:rPr>
        <w:t>References</w:t>
      </w:r>
    </w:p>
    <w:p w14:paraId="133792DB"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Belcher D, Lucas A, Cabrales P, et al. (2020) Polymerized human haemoglobin facilitated modulation of tumour oxygenation is dependent on tumour oxygenation status and oxygen affinity of the haemoglobin-based oxygen carrier. Scientific Reports. 10, 1-12. </w:t>
      </w:r>
      <w:r w:rsidRPr="000A1699">
        <w:rPr>
          <w:rFonts w:ascii="Times New Roman" w:eastAsia="Times New Roman" w:hAnsi="Times New Roman" w:cs="Times New Roman"/>
          <w:color w:val="000000"/>
          <w:kern w:val="0"/>
          <w:shd w:val="clear" w:color="auto" w:fill="FFFFFF"/>
          <w:lang w:eastAsia="en-GB"/>
          <w14:ligatures w14:val="none"/>
        </w:rPr>
        <w:t>doiI:10.1038/s41598-020-68190-0 </w:t>
      </w:r>
    </w:p>
    <w:p w14:paraId="56099C98"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 xml:space="preserve">Berg L, Dave A, Fernandez N et al. (2022) Women who decline blood during labour: Review of findings and lessons learnt from 52 years of Confidential Enquiries into maternal mortality in the United Kingdom (1962–2019). European Journal of Obstetrics &amp; </w:t>
      </w:r>
      <w:proofErr w:type="spellStart"/>
      <w:r w:rsidRPr="000A1699">
        <w:rPr>
          <w:rFonts w:ascii="Times New Roman" w:eastAsia="Times New Roman" w:hAnsi="Times New Roman" w:cs="Times New Roman"/>
          <w:color w:val="000000"/>
          <w:kern w:val="0"/>
          <w:shd w:val="clear" w:color="auto" w:fill="FFFFFF"/>
          <w:lang w:eastAsia="en-GB"/>
          <w14:ligatures w14:val="none"/>
        </w:rPr>
        <w:t>Gynecology</w:t>
      </w:r>
      <w:proofErr w:type="spellEnd"/>
      <w:r w:rsidRPr="000A1699">
        <w:rPr>
          <w:rFonts w:ascii="Times New Roman" w:eastAsia="Times New Roman" w:hAnsi="Times New Roman" w:cs="Times New Roman"/>
          <w:color w:val="000000"/>
          <w:kern w:val="0"/>
          <w:shd w:val="clear" w:color="auto" w:fill="FFFFFF"/>
          <w:lang w:eastAsia="en-GB"/>
          <w14:ligatures w14:val="none"/>
        </w:rPr>
        <w:t xml:space="preserve"> and Reproductive Biology. 271, 20–26. doi.org/10.1016/j.ejogrb.2022.01.028 </w:t>
      </w:r>
    </w:p>
    <w:p w14:paraId="49C96688"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Bielby L, Moss R L (2018) Patient blood management and the importance of the Transfusion Practitioner role to embed this is practice. Transfusion Medicine. 28, 2, 98-106. </w:t>
      </w:r>
      <w:r w:rsidRPr="000A1699">
        <w:rPr>
          <w:rFonts w:ascii="Times New Roman" w:eastAsia="Times New Roman" w:hAnsi="Times New Roman" w:cs="Times New Roman"/>
          <w:color w:val="000000"/>
          <w:kern w:val="0"/>
          <w:shd w:val="clear" w:color="auto" w:fill="FFFFFF"/>
          <w:lang w:eastAsia="en-GB"/>
          <w14:ligatures w14:val="none"/>
        </w:rPr>
        <w:t>doi.org/10.1111/tme.12526 </w:t>
      </w:r>
    </w:p>
    <w:p w14:paraId="4E6F5E26" w14:textId="77777777" w:rsidR="000A1699" w:rsidRPr="000A1699" w:rsidRDefault="000A1699" w:rsidP="000A1699">
      <w:pPr>
        <w:shd w:val="clear" w:color="auto" w:fill="FFFFFF"/>
        <w:spacing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 xml:space="preserve">Page MJ, McKenzie JE, Bossuyt PM, </w:t>
      </w:r>
      <w:proofErr w:type="spellStart"/>
      <w:r w:rsidRPr="000A1699">
        <w:rPr>
          <w:rFonts w:ascii="Times New Roman" w:eastAsia="Times New Roman" w:hAnsi="Times New Roman" w:cs="Times New Roman"/>
          <w:color w:val="000000"/>
          <w:kern w:val="0"/>
          <w:shd w:val="clear" w:color="auto" w:fill="FFFFFF"/>
          <w:lang w:eastAsia="en-GB"/>
          <w14:ligatures w14:val="none"/>
        </w:rPr>
        <w:t>Boutron</w:t>
      </w:r>
      <w:proofErr w:type="spellEnd"/>
      <w:r w:rsidRPr="000A1699">
        <w:rPr>
          <w:rFonts w:ascii="Times New Roman" w:eastAsia="Times New Roman" w:hAnsi="Times New Roman" w:cs="Times New Roman"/>
          <w:color w:val="000000"/>
          <w:kern w:val="0"/>
          <w:shd w:val="clear" w:color="auto" w:fill="FFFFFF"/>
          <w:lang w:eastAsia="en-GB"/>
          <w14:ligatures w14:val="none"/>
        </w:rPr>
        <w:t xml:space="preserve"> I, Hoffmann TC, Mulrow CD, et al. The PRISMA 2020 statement: an updated guideline for reporting systematic reviews. </w:t>
      </w:r>
      <w:hyperlink r:id="rId7" w:history="1">
        <w:r w:rsidRPr="000A1699">
          <w:rPr>
            <w:rFonts w:ascii="Times New Roman" w:eastAsia="Times New Roman" w:hAnsi="Times New Roman" w:cs="Times New Roman"/>
            <w:color w:val="000000"/>
            <w:kern w:val="0"/>
            <w:u w:val="single"/>
            <w:shd w:val="clear" w:color="auto" w:fill="FFFFFF"/>
            <w:lang w:eastAsia="en-GB"/>
            <w14:ligatures w14:val="none"/>
          </w:rPr>
          <w:t xml:space="preserve">BMJ 2021;372:n71. </w:t>
        </w:r>
        <w:proofErr w:type="spellStart"/>
        <w:r w:rsidRPr="000A1699">
          <w:rPr>
            <w:rFonts w:ascii="Times New Roman" w:eastAsia="Times New Roman" w:hAnsi="Times New Roman" w:cs="Times New Roman"/>
            <w:color w:val="000000"/>
            <w:kern w:val="0"/>
            <w:u w:val="single"/>
            <w:shd w:val="clear" w:color="auto" w:fill="FFFFFF"/>
            <w:lang w:eastAsia="en-GB"/>
            <w14:ligatures w14:val="none"/>
          </w:rPr>
          <w:t>doi</w:t>
        </w:r>
        <w:proofErr w:type="spellEnd"/>
        <w:r w:rsidRPr="000A1699">
          <w:rPr>
            <w:rFonts w:ascii="Times New Roman" w:eastAsia="Times New Roman" w:hAnsi="Times New Roman" w:cs="Times New Roman"/>
            <w:color w:val="000000"/>
            <w:kern w:val="0"/>
            <w:u w:val="single"/>
            <w:shd w:val="clear" w:color="auto" w:fill="FFFFFF"/>
            <w:lang w:eastAsia="en-GB"/>
            <w14:ligatures w14:val="none"/>
          </w:rPr>
          <w:t>: 10.1136/bmj.n71</w:t>
        </w:r>
      </w:hyperlink>
    </w:p>
    <w:p w14:paraId="217BC37B"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British Medical Association (2019) Best interests decision-making for adults who lack capacity: A toolkit for doctors working in England and Wales.</w:t>
      </w:r>
      <w:hyperlink r:id="rId8" w:history="1">
        <w:r w:rsidRPr="000A1699">
          <w:rPr>
            <w:rFonts w:ascii="Times New Roman" w:eastAsia="Times New Roman" w:hAnsi="Times New Roman" w:cs="Times New Roman"/>
            <w:color w:val="000000"/>
            <w:kern w:val="0"/>
            <w:u w:val="single"/>
            <w:lang w:eastAsia="en-GB"/>
            <w14:ligatures w14:val="none"/>
          </w:rPr>
          <w:t xml:space="preserve"> </w:t>
        </w:r>
        <w:r w:rsidRPr="000A1699">
          <w:rPr>
            <w:rFonts w:ascii="Times New Roman" w:eastAsia="Times New Roman" w:hAnsi="Times New Roman" w:cs="Times New Roman"/>
            <w:color w:val="000000"/>
            <w:kern w:val="0"/>
            <w:u w:val="single"/>
            <w:shd w:val="clear" w:color="auto" w:fill="FFFFFF"/>
            <w:lang w:eastAsia="en-GB"/>
            <w14:ligatures w14:val="none"/>
          </w:rPr>
          <w:t>https://www.bma.org.uk/media/1850/bma-best-interests-toolkit-2019.pdf</w:t>
        </w:r>
      </w:hyperlink>
      <w:r w:rsidRPr="000A1699">
        <w:rPr>
          <w:rFonts w:ascii="Times New Roman" w:eastAsia="Times New Roman" w:hAnsi="Times New Roman" w:cs="Times New Roman"/>
          <w:color w:val="000000"/>
          <w:kern w:val="0"/>
          <w:u w:val="single"/>
          <w:shd w:val="clear" w:color="auto" w:fill="FFFFFF"/>
          <w:lang w:eastAsia="en-GB"/>
          <w14:ligatures w14:val="none"/>
        </w:rPr>
        <w:t> </w:t>
      </w:r>
    </w:p>
    <w:p w14:paraId="2406F9D6"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Chand N K, Subramanya H B, Rao G V (2014) Management of patients who refuse blood transfusion. Indian Journal of Anaesthesia. 58, 5, 658–664. doi.org/10.4103/0019-5049.144680</w:t>
      </w:r>
    </w:p>
    <w:p w14:paraId="3AAB4A67"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Delaney M, Wendel S, Bercovitz R S et al. (2016) Transfusion reactions: prevention, diagnosis, and treatment. The Lancet (British Edition). 388, 10061, 2825–2836. </w:t>
      </w:r>
      <w:r w:rsidRPr="000A1699">
        <w:rPr>
          <w:rFonts w:ascii="Times New Roman" w:eastAsia="Times New Roman" w:hAnsi="Times New Roman" w:cs="Times New Roman"/>
          <w:color w:val="000000"/>
          <w:kern w:val="0"/>
          <w:shd w:val="clear" w:color="auto" w:fill="FFFFFF"/>
          <w:lang w:eastAsia="en-GB"/>
          <w14:ligatures w14:val="none"/>
        </w:rPr>
        <w:t>doi.org/10.1016/S0140-6736(15)01313-6</w:t>
      </w:r>
    </w:p>
    <w:p w14:paraId="58522C1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DeLoughery T G (2020) Transfusion replacement strategies in Jehovah’s Witnesses and others who decline blood products. Clinical Advances in </w:t>
      </w:r>
      <w:proofErr w:type="spellStart"/>
      <w:r w:rsidRPr="000A1699">
        <w:rPr>
          <w:rFonts w:ascii="Times New Roman" w:eastAsia="Times New Roman" w:hAnsi="Times New Roman" w:cs="Times New Roman"/>
          <w:color w:val="000000"/>
          <w:kern w:val="0"/>
          <w:lang w:eastAsia="en-GB"/>
          <w14:ligatures w14:val="none"/>
        </w:rPr>
        <w:t>Hematology</w:t>
      </w:r>
      <w:proofErr w:type="spellEnd"/>
      <w:r w:rsidRPr="000A1699">
        <w:rPr>
          <w:rFonts w:ascii="Times New Roman" w:eastAsia="Times New Roman" w:hAnsi="Times New Roman" w:cs="Times New Roman"/>
          <w:color w:val="000000"/>
          <w:kern w:val="0"/>
          <w:lang w:eastAsia="en-GB"/>
          <w14:ligatures w14:val="none"/>
        </w:rPr>
        <w:t xml:space="preserve"> &amp; Oncology.  18, 12, 826–836.</w:t>
      </w:r>
    </w:p>
    <w:p w14:paraId="6371F339"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Duce L, Cooter M, McCartney S, et al. (2018) Outcomes in patients undergoing cardiac surgery who decline transfusion and received erythropoietin compared to patients who did not: A matched cohort study. </w:t>
      </w:r>
      <w:proofErr w:type="spellStart"/>
      <w:r w:rsidRPr="000A1699">
        <w:rPr>
          <w:rFonts w:ascii="Times New Roman" w:eastAsia="Times New Roman" w:hAnsi="Times New Roman" w:cs="Times New Roman"/>
          <w:color w:val="000000"/>
          <w:kern w:val="0"/>
          <w:lang w:eastAsia="en-GB"/>
          <w14:ligatures w14:val="none"/>
        </w:rPr>
        <w:t>Anesthesia</w:t>
      </w:r>
      <w:proofErr w:type="spellEnd"/>
      <w:r w:rsidRPr="000A1699">
        <w:rPr>
          <w:rFonts w:ascii="Times New Roman" w:eastAsia="Times New Roman" w:hAnsi="Times New Roman" w:cs="Times New Roman"/>
          <w:color w:val="000000"/>
          <w:kern w:val="0"/>
          <w:lang w:eastAsia="en-GB"/>
          <w14:ligatures w14:val="none"/>
        </w:rPr>
        <w:t xml:space="preserve"> &amp; Analgesia. 127, 2, 490-495.</w:t>
      </w:r>
    </w:p>
    <w:p w14:paraId="258CCA7E"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Goel R, Petersen M R, Patel E U, et al. (2020) Comparative changes of pre-operative autologous transfusions and peri-operative cell salvage in the United States. Transfusion. 60, 10, 2260-2271. </w:t>
      </w:r>
      <w:r w:rsidRPr="000A1699">
        <w:rPr>
          <w:rFonts w:ascii="Times New Roman" w:eastAsia="Times New Roman" w:hAnsi="Times New Roman" w:cs="Times New Roman"/>
          <w:color w:val="000000"/>
          <w:kern w:val="0"/>
          <w:shd w:val="clear" w:color="auto" w:fill="FFFFFF"/>
          <w:lang w:eastAsia="en-GB"/>
          <w14:ligatures w14:val="none"/>
        </w:rPr>
        <w:t>doi.org/10.1111/trf.15949</w:t>
      </w:r>
    </w:p>
    <w:p w14:paraId="2541161F"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Goodnough L, Maggio P, </w:t>
      </w:r>
      <w:proofErr w:type="spellStart"/>
      <w:r w:rsidRPr="000A1699">
        <w:rPr>
          <w:rFonts w:ascii="Times New Roman" w:eastAsia="Times New Roman" w:hAnsi="Times New Roman" w:cs="Times New Roman"/>
          <w:color w:val="000000"/>
          <w:kern w:val="0"/>
          <w:lang w:eastAsia="en-GB"/>
          <w14:ligatures w14:val="none"/>
        </w:rPr>
        <w:t>Hadhazy</w:t>
      </w:r>
      <w:proofErr w:type="spellEnd"/>
      <w:r w:rsidRPr="000A1699">
        <w:rPr>
          <w:rFonts w:ascii="Times New Roman" w:eastAsia="Times New Roman" w:hAnsi="Times New Roman" w:cs="Times New Roman"/>
          <w:color w:val="000000"/>
          <w:kern w:val="0"/>
          <w:lang w:eastAsia="en-GB"/>
          <w14:ligatures w14:val="none"/>
        </w:rPr>
        <w:t xml:space="preserve"> E, et al. (2014) Restrictive blood transfusion practices are associated with improved patient outcomes. Transfusion. 54, 2753-2759. </w:t>
      </w:r>
      <w:r w:rsidRPr="000A1699">
        <w:rPr>
          <w:rFonts w:ascii="Times New Roman" w:eastAsia="Times New Roman" w:hAnsi="Times New Roman" w:cs="Times New Roman"/>
          <w:color w:val="000000"/>
          <w:kern w:val="0"/>
          <w:shd w:val="clear" w:color="auto" w:fill="FFFFFF"/>
          <w:lang w:eastAsia="en-GB"/>
          <w14:ligatures w14:val="none"/>
        </w:rPr>
        <w:t>doi.org/10.1111/trf.12723</w:t>
      </w:r>
    </w:p>
    <w:p w14:paraId="4CFA6EA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Guinn N, Roberson R, White W, et al. (2015) Costs and outcomes after cardiac surgery in patients refusing transfusion compared with those who do not: a case-matched study. Transfusion. 55, 2791-2798. </w:t>
      </w:r>
      <w:r w:rsidRPr="000A1699">
        <w:rPr>
          <w:rFonts w:ascii="Times New Roman" w:eastAsia="Times New Roman" w:hAnsi="Times New Roman" w:cs="Times New Roman"/>
          <w:color w:val="000000"/>
          <w:kern w:val="0"/>
          <w:shd w:val="clear" w:color="auto" w:fill="FFFFFF"/>
          <w:lang w:eastAsia="en-GB"/>
          <w14:ligatures w14:val="none"/>
        </w:rPr>
        <w:t> doi.org/10.1111/trf.13246</w:t>
      </w:r>
    </w:p>
    <w:p w14:paraId="3E73591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proofErr w:type="spellStart"/>
      <w:r w:rsidRPr="000A1699">
        <w:rPr>
          <w:rFonts w:ascii="Times New Roman" w:eastAsia="Times New Roman" w:hAnsi="Times New Roman" w:cs="Times New Roman"/>
          <w:color w:val="000000"/>
          <w:kern w:val="0"/>
          <w:lang w:eastAsia="en-GB"/>
          <w14:ligatures w14:val="none"/>
        </w:rPr>
        <w:t>Gwam</w:t>
      </w:r>
      <w:proofErr w:type="spellEnd"/>
      <w:r w:rsidRPr="000A1699">
        <w:rPr>
          <w:rFonts w:ascii="Times New Roman" w:eastAsia="Times New Roman" w:hAnsi="Times New Roman" w:cs="Times New Roman"/>
          <w:color w:val="000000"/>
          <w:kern w:val="0"/>
          <w:lang w:eastAsia="en-GB"/>
          <w14:ligatures w14:val="none"/>
        </w:rPr>
        <w:t xml:space="preserve"> C, Mistry J, Etcheson J, et al. (2017) Decline in allogenic blood transfusion usage in total hip arthroplasty patients: National Inpatient Sample 2009 to 2013. HIP International. 28, 4, 382-390.</w:t>
      </w:r>
      <w:hyperlink r:id="rId9" w:history="1">
        <w:r w:rsidRPr="000A1699">
          <w:rPr>
            <w:rFonts w:ascii="Times New Roman" w:eastAsia="Times New Roman" w:hAnsi="Times New Roman" w:cs="Times New Roman"/>
            <w:color w:val="000000"/>
            <w:kern w:val="0"/>
            <w:u w:val="single"/>
            <w:lang w:eastAsia="en-GB"/>
            <w14:ligatures w14:val="none"/>
          </w:rPr>
          <w:t xml:space="preserve"> </w:t>
        </w:r>
        <w:r w:rsidRPr="000A1699">
          <w:rPr>
            <w:rFonts w:ascii="Times New Roman" w:eastAsia="Times New Roman" w:hAnsi="Times New Roman" w:cs="Times New Roman"/>
            <w:color w:val="000000"/>
            <w:kern w:val="0"/>
            <w:u w:val="single"/>
            <w:shd w:val="clear" w:color="auto" w:fill="FFFFFF"/>
            <w:lang w:eastAsia="en-GB"/>
            <w14:ligatures w14:val="none"/>
          </w:rPr>
          <w:t>doi-org.salford.idm.oclc.org/10.5301/hipint.5000590</w:t>
        </w:r>
      </w:hyperlink>
    </w:p>
    <w:p w14:paraId="6A2D2363"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 xml:space="preserve">Han E S, Arora C, Kim J, et al. (2019) Optimizing surgical management of patients who decline blood transfusion. Current Opinion in Obstetrics &amp; </w:t>
      </w:r>
      <w:proofErr w:type="spellStart"/>
      <w:r w:rsidRPr="000A1699">
        <w:rPr>
          <w:rFonts w:ascii="Times New Roman" w:eastAsia="Times New Roman" w:hAnsi="Times New Roman" w:cs="Times New Roman"/>
          <w:color w:val="000000"/>
          <w:kern w:val="0"/>
          <w:shd w:val="clear" w:color="auto" w:fill="FFFFFF"/>
          <w:lang w:eastAsia="en-GB"/>
          <w14:ligatures w14:val="none"/>
        </w:rPr>
        <w:t>Gynecology</w:t>
      </w:r>
      <w:proofErr w:type="spellEnd"/>
      <w:r w:rsidRPr="000A1699">
        <w:rPr>
          <w:rFonts w:ascii="Times New Roman" w:eastAsia="Times New Roman" w:hAnsi="Times New Roman" w:cs="Times New Roman"/>
          <w:color w:val="000000"/>
          <w:kern w:val="0"/>
          <w:shd w:val="clear" w:color="auto" w:fill="FFFFFF"/>
          <w:lang w:eastAsia="en-GB"/>
          <w14:ligatures w14:val="none"/>
        </w:rPr>
        <w:t>. 31, 4, 251–258. doi.org/10.1097/GCO.0000000000000558</w:t>
      </w:r>
    </w:p>
    <w:p w14:paraId="60B385F9"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Jennings A, Brennan C (2013) Cell salvage for obstetric patients who decline blood transfusion - a national survey. Transfusion Medicine (Oxford, England). 23, 1, 64–65. </w:t>
      </w:r>
      <w:r w:rsidRPr="000A1699">
        <w:rPr>
          <w:rFonts w:ascii="Times New Roman" w:eastAsia="Times New Roman" w:hAnsi="Times New Roman" w:cs="Times New Roman"/>
          <w:color w:val="000000"/>
          <w:kern w:val="0"/>
          <w:shd w:val="clear" w:color="auto" w:fill="FFFFFF"/>
          <w:lang w:eastAsia="en-GB"/>
          <w14:ligatures w14:val="none"/>
        </w:rPr>
        <w:t>doi.org/10.1111/j.1365-3148.2012.01185.x</w:t>
      </w:r>
    </w:p>
    <w:p w14:paraId="622788B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Kim T, Lee H, Kim J (2015) Recommendations for postpartum </w:t>
      </w:r>
      <w:proofErr w:type="spellStart"/>
      <w:r w:rsidRPr="000A1699">
        <w:rPr>
          <w:rFonts w:ascii="Times New Roman" w:eastAsia="Times New Roman" w:hAnsi="Times New Roman" w:cs="Times New Roman"/>
          <w:color w:val="000000"/>
          <w:kern w:val="0"/>
          <w:lang w:eastAsia="en-GB"/>
          <w14:ligatures w14:val="none"/>
        </w:rPr>
        <w:t>hemorrhage</w:t>
      </w:r>
      <w:proofErr w:type="spellEnd"/>
      <w:r w:rsidRPr="000A1699">
        <w:rPr>
          <w:rFonts w:ascii="Times New Roman" w:eastAsia="Times New Roman" w:hAnsi="Times New Roman" w:cs="Times New Roman"/>
          <w:color w:val="000000"/>
          <w:kern w:val="0"/>
          <w:lang w:eastAsia="en-GB"/>
          <w14:ligatures w14:val="none"/>
        </w:rPr>
        <w:t xml:space="preserve"> in women who decline blood transfusion. Acta </w:t>
      </w:r>
      <w:proofErr w:type="spellStart"/>
      <w:r w:rsidRPr="000A1699">
        <w:rPr>
          <w:rFonts w:ascii="Times New Roman" w:eastAsia="Times New Roman" w:hAnsi="Times New Roman" w:cs="Times New Roman"/>
          <w:color w:val="000000"/>
          <w:kern w:val="0"/>
          <w:lang w:eastAsia="en-GB"/>
          <w14:ligatures w14:val="none"/>
        </w:rPr>
        <w:t>Obstetricia</w:t>
      </w:r>
      <w:proofErr w:type="spellEnd"/>
      <w:r w:rsidRPr="000A1699">
        <w:rPr>
          <w:rFonts w:ascii="Times New Roman" w:eastAsia="Times New Roman" w:hAnsi="Times New Roman" w:cs="Times New Roman"/>
          <w:color w:val="000000"/>
          <w:kern w:val="0"/>
          <w:lang w:eastAsia="en-GB"/>
          <w14:ligatures w14:val="none"/>
        </w:rPr>
        <w:t xml:space="preserve"> et </w:t>
      </w:r>
      <w:proofErr w:type="spellStart"/>
      <w:r w:rsidRPr="000A1699">
        <w:rPr>
          <w:rFonts w:ascii="Times New Roman" w:eastAsia="Times New Roman" w:hAnsi="Times New Roman" w:cs="Times New Roman"/>
          <w:color w:val="000000"/>
          <w:kern w:val="0"/>
          <w:lang w:eastAsia="en-GB"/>
          <w14:ligatures w14:val="none"/>
        </w:rPr>
        <w:t>Gynecologica</w:t>
      </w:r>
      <w:proofErr w:type="spellEnd"/>
      <w:r w:rsidRPr="000A1699">
        <w:rPr>
          <w:rFonts w:ascii="Times New Roman" w:eastAsia="Times New Roman" w:hAnsi="Times New Roman" w:cs="Times New Roman"/>
          <w:color w:val="000000"/>
          <w:kern w:val="0"/>
          <w:lang w:eastAsia="en-GB"/>
          <w14:ligatures w14:val="none"/>
        </w:rPr>
        <w:t xml:space="preserve"> Scandinavica. 94, 786. </w:t>
      </w:r>
      <w:r w:rsidRPr="000A1699">
        <w:rPr>
          <w:rFonts w:ascii="Times New Roman" w:eastAsia="Times New Roman" w:hAnsi="Times New Roman" w:cs="Times New Roman"/>
          <w:color w:val="000000"/>
          <w:kern w:val="0"/>
          <w:shd w:val="clear" w:color="auto" w:fill="FFFFFF"/>
          <w:lang w:eastAsia="en-GB"/>
          <w14:ligatures w14:val="none"/>
        </w:rPr>
        <w:t>doi.org/10.1111/aogs.12630</w:t>
      </w:r>
    </w:p>
    <w:p w14:paraId="21B46D22"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Klein A, Bailey C, Charlton A (2019) Association of anaesthetists: anaesthesia and peri-operative care for Jehovah’s Witnesses and patients who refuse blood. Anaesthesia. 74, 74-82. </w:t>
      </w:r>
      <w:r w:rsidRPr="000A1699">
        <w:rPr>
          <w:rFonts w:ascii="Times New Roman" w:eastAsia="Times New Roman" w:hAnsi="Times New Roman" w:cs="Times New Roman"/>
          <w:color w:val="000000"/>
          <w:kern w:val="0"/>
          <w:shd w:val="clear" w:color="auto" w:fill="FFFFFF"/>
          <w:lang w:eastAsia="en-GB"/>
          <w14:ligatures w14:val="none"/>
        </w:rPr>
        <w:t>doi.org/10.1111/anae.14441</w:t>
      </w:r>
    </w:p>
    <w:p w14:paraId="21CB81FA"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Langhi D M, Covas D T, Marques J F C et al. (2018) Guidelines on transfusion of red blood cells: Prognosis of patients who decline blood transfusions. </w:t>
      </w:r>
      <w:proofErr w:type="spellStart"/>
      <w:r w:rsidRPr="000A1699">
        <w:rPr>
          <w:rFonts w:ascii="Times New Roman" w:eastAsia="Times New Roman" w:hAnsi="Times New Roman" w:cs="Times New Roman"/>
          <w:color w:val="000000"/>
          <w:kern w:val="0"/>
          <w:lang w:eastAsia="en-GB"/>
          <w14:ligatures w14:val="none"/>
        </w:rPr>
        <w:t>Hematology</w:t>
      </w:r>
      <w:proofErr w:type="spellEnd"/>
      <w:r w:rsidRPr="000A1699">
        <w:rPr>
          <w:rFonts w:ascii="Times New Roman" w:eastAsia="Times New Roman" w:hAnsi="Times New Roman" w:cs="Times New Roman"/>
          <w:color w:val="000000"/>
          <w:kern w:val="0"/>
          <w:lang w:eastAsia="en-GB"/>
          <w14:ligatures w14:val="none"/>
        </w:rPr>
        <w:t xml:space="preserve">, transfusion and cell therapy. 40, 4, 377–381. </w:t>
      </w:r>
      <w:r w:rsidRPr="000A1699">
        <w:rPr>
          <w:rFonts w:ascii="Times New Roman" w:eastAsia="Times New Roman" w:hAnsi="Times New Roman" w:cs="Times New Roman"/>
          <w:color w:val="000000"/>
          <w:kern w:val="0"/>
          <w:shd w:val="clear" w:color="auto" w:fill="FFFFFF"/>
          <w:lang w:eastAsia="en-GB"/>
          <w14:ligatures w14:val="none"/>
        </w:rPr>
        <w:t>doi.org/10.1016/j.htct.2018.08.001</w:t>
      </w:r>
    </w:p>
    <w:p w14:paraId="17461862"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Lawson T,  Ralph C (2015) Perioperative Jehovah’s Witnesses: a review. British Journal of Anaesthesia. 115, 5, 676-687. </w:t>
      </w:r>
      <w:r w:rsidRPr="000A1699">
        <w:rPr>
          <w:rFonts w:ascii="Times New Roman" w:eastAsia="Times New Roman" w:hAnsi="Times New Roman" w:cs="Times New Roman"/>
          <w:color w:val="000000"/>
          <w:kern w:val="0"/>
          <w:shd w:val="clear" w:color="auto" w:fill="FFFFFF"/>
          <w:lang w:eastAsia="en-GB"/>
          <w14:ligatures w14:val="none"/>
        </w:rPr>
        <w:t>doi.org/10.1093/</w:t>
      </w:r>
      <w:proofErr w:type="spellStart"/>
      <w:r w:rsidRPr="000A1699">
        <w:rPr>
          <w:rFonts w:ascii="Times New Roman" w:eastAsia="Times New Roman" w:hAnsi="Times New Roman" w:cs="Times New Roman"/>
          <w:color w:val="000000"/>
          <w:kern w:val="0"/>
          <w:shd w:val="clear" w:color="auto" w:fill="FFFFFF"/>
          <w:lang w:eastAsia="en-GB"/>
          <w14:ligatures w14:val="none"/>
        </w:rPr>
        <w:t>bja</w:t>
      </w:r>
      <w:proofErr w:type="spellEnd"/>
      <w:r w:rsidRPr="000A1699">
        <w:rPr>
          <w:rFonts w:ascii="Times New Roman" w:eastAsia="Times New Roman" w:hAnsi="Times New Roman" w:cs="Times New Roman"/>
          <w:color w:val="000000"/>
          <w:kern w:val="0"/>
          <w:shd w:val="clear" w:color="auto" w:fill="FFFFFF"/>
          <w:lang w:eastAsia="en-GB"/>
          <w14:ligatures w14:val="none"/>
        </w:rPr>
        <w:t>/aev161</w:t>
      </w:r>
    </w:p>
    <w:p w14:paraId="772222CB"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Meng F, Kassa T, Jana S (2018) FDA comparison of characteristics of </w:t>
      </w:r>
      <w:proofErr w:type="spellStart"/>
      <w:r w:rsidRPr="000A1699">
        <w:rPr>
          <w:rFonts w:ascii="Times New Roman" w:eastAsia="Times New Roman" w:hAnsi="Times New Roman" w:cs="Times New Roman"/>
          <w:color w:val="000000"/>
          <w:kern w:val="0"/>
          <w:lang w:eastAsia="en-GB"/>
          <w14:ligatures w14:val="none"/>
        </w:rPr>
        <w:t>hemoglobin</w:t>
      </w:r>
      <w:proofErr w:type="spellEnd"/>
      <w:r w:rsidRPr="000A1699">
        <w:rPr>
          <w:rFonts w:ascii="Times New Roman" w:eastAsia="Times New Roman" w:hAnsi="Times New Roman" w:cs="Times New Roman"/>
          <w:color w:val="000000"/>
          <w:kern w:val="0"/>
          <w:lang w:eastAsia="en-GB"/>
          <w14:ligatures w14:val="none"/>
        </w:rPr>
        <w:t>-based oxygen carriers could guide development of safe and effective artificial blood products.</w:t>
      </w:r>
      <w:hyperlink r:id="rId10" w:history="1">
        <w:r w:rsidRPr="000A1699">
          <w:rPr>
            <w:rFonts w:ascii="Times New Roman" w:eastAsia="Times New Roman" w:hAnsi="Times New Roman" w:cs="Times New Roman"/>
            <w:color w:val="000000"/>
            <w:kern w:val="0"/>
            <w:u w:val="single"/>
            <w:lang w:eastAsia="en-GB"/>
            <w14:ligatures w14:val="none"/>
          </w:rPr>
          <w:t xml:space="preserve"> https://www.fda.gov/vaccines-blood-biologics/science-research-biologics/fda-comparison-characteristics-hemoglobin-based-oxygen-carriers-could-guide-development-safe-and</w:t>
        </w:r>
      </w:hyperlink>
      <w:r w:rsidRPr="000A1699">
        <w:rPr>
          <w:rFonts w:ascii="Times New Roman" w:eastAsia="Times New Roman" w:hAnsi="Times New Roman" w:cs="Times New Roman"/>
          <w:color w:val="000000"/>
          <w:kern w:val="0"/>
          <w:lang w:eastAsia="en-GB"/>
          <w14:ligatures w14:val="none"/>
        </w:rPr>
        <w:t xml:space="preserve"> (Last Accessed: 10 March 2023.)</w:t>
      </w:r>
    </w:p>
    <w:p w14:paraId="739DB29D"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National Institute for Health and Care Excellence (2014) Erythropoiesis</w:t>
      </w:r>
      <w:r w:rsidRPr="000A1699">
        <w:rPr>
          <w:rFonts w:ascii="Times New Roman" w:eastAsia="Times New Roman" w:hAnsi="Times New Roman" w:cs="Times New Roman"/>
          <w:color w:val="000000"/>
          <w:kern w:val="0"/>
          <w:lang w:eastAsia="en-GB"/>
          <w14:ligatures w14:val="none"/>
        </w:rPr>
        <w:noBreakHyphen/>
        <w:t>stimulating agents (epoetin and darbepoetin) for treating anaemia in people with cancer having chemotherapy.</w:t>
      </w:r>
      <w:hyperlink r:id="rId11" w:history="1">
        <w:r w:rsidRPr="000A1699">
          <w:rPr>
            <w:rFonts w:ascii="Times New Roman" w:eastAsia="Times New Roman" w:hAnsi="Times New Roman" w:cs="Times New Roman"/>
            <w:color w:val="000000"/>
            <w:kern w:val="0"/>
            <w:u w:val="single"/>
            <w:lang w:eastAsia="en-GB"/>
            <w14:ligatures w14:val="none"/>
          </w:rPr>
          <w:t xml:space="preserve"> https://www.nice.org.uk/guidance/ta323/chapter/4-Evidence-and-interpretation</w:t>
        </w:r>
      </w:hyperlink>
      <w:r w:rsidRPr="000A1699">
        <w:rPr>
          <w:rFonts w:ascii="Times New Roman" w:eastAsia="Times New Roman" w:hAnsi="Times New Roman" w:cs="Times New Roman"/>
          <w:color w:val="000000"/>
          <w:kern w:val="0"/>
          <w:lang w:eastAsia="en-GB"/>
          <w14:ligatures w14:val="none"/>
        </w:rPr>
        <w:t>  (Last Accessed: 22 February 2023.)</w:t>
      </w:r>
    </w:p>
    <w:p w14:paraId="03DA2E6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National Institute for Health and Care Excellence. (2015). Blood Transfusion.</w:t>
      </w:r>
      <w:hyperlink r:id="rId12" w:history="1">
        <w:r w:rsidRPr="000A1699">
          <w:rPr>
            <w:rFonts w:ascii="Times New Roman" w:eastAsia="Times New Roman" w:hAnsi="Times New Roman" w:cs="Times New Roman"/>
            <w:color w:val="000000"/>
            <w:kern w:val="0"/>
            <w:u w:val="single"/>
            <w:lang w:eastAsia="en-GB"/>
            <w14:ligatures w14:val="none"/>
          </w:rPr>
          <w:t xml:space="preserve"> https://www.nice.org.uk/guidance/ng24</w:t>
        </w:r>
      </w:hyperlink>
      <w:r w:rsidRPr="000A1699">
        <w:rPr>
          <w:rFonts w:ascii="Times New Roman" w:eastAsia="Times New Roman" w:hAnsi="Times New Roman" w:cs="Times New Roman"/>
          <w:color w:val="000000"/>
          <w:kern w:val="0"/>
          <w:lang w:eastAsia="en-GB"/>
          <w14:ligatures w14:val="none"/>
        </w:rPr>
        <w:t xml:space="preserve"> (Last Accessed: 10 February 2023.)</w:t>
      </w:r>
    </w:p>
    <w:p w14:paraId="643287D2"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Paone G, </w:t>
      </w:r>
      <w:proofErr w:type="spellStart"/>
      <w:r w:rsidRPr="000A1699">
        <w:rPr>
          <w:rFonts w:ascii="Times New Roman" w:eastAsia="Times New Roman" w:hAnsi="Times New Roman" w:cs="Times New Roman"/>
          <w:color w:val="000000"/>
          <w:kern w:val="0"/>
          <w:lang w:eastAsia="en-GB"/>
          <w14:ligatures w14:val="none"/>
        </w:rPr>
        <w:t>Likosky</w:t>
      </w:r>
      <w:proofErr w:type="spellEnd"/>
      <w:r w:rsidRPr="000A1699">
        <w:rPr>
          <w:rFonts w:ascii="Times New Roman" w:eastAsia="Times New Roman" w:hAnsi="Times New Roman" w:cs="Times New Roman"/>
          <w:color w:val="000000"/>
          <w:kern w:val="0"/>
          <w:lang w:eastAsia="en-GB"/>
          <w14:ligatures w14:val="none"/>
        </w:rPr>
        <w:t xml:space="preserve"> D S, Brewer R (2014) Transfusion of 1 and 2 Units of Red Blood Cells Is Associated </w:t>
      </w:r>
      <w:proofErr w:type="gramStart"/>
      <w:r w:rsidRPr="000A1699">
        <w:rPr>
          <w:rFonts w:ascii="Times New Roman" w:eastAsia="Times New Roman" w:hAnsi="Times New Roman" w:cs="Times New Roman"/>
          <w:color w:val="000000"/>
          <w:kern w:val="0"/>
          <w:lang w:eastAsia="en-GB"/>
          <w14:ligatures w14:val="none"/>
        </w:rPr>
        <w:t>With</w:t>
      </w:r>
      <w:proofErr w:type="gramEnd"/>
      <w:r w:rsidRPr="000A1699">
        <w:rPr>
          <w:rFonts w:ascii="Times New Roman" w:eastAsia="Times New Roman" w:hAnsi="Times New Roman" w:cs="Times New Roman"/>
          <w:color w:val="000000"/>
          <w:kern w:val="0"/>
          <w:lang w:eastAsia="en-GB"/>
          <w14:ligatures w14:val="none"/>
        </w:rPr>
        <w:t xml:space="preserve"> Increased Morbidity and Mortality. The Annals of Thoracic Surgery. 97, 1, 87–94. </w:t>
      </w:r>
      <w:r w:rsidRPr="000A1699">
        <w:rPr>
          <w:rFonts w:ascii="Times New Roman" w:eastAsia="Times New Roman" w:hAnsi="Times New Roman" w:cs="Times New Roman"/>
          <w:color w:val="000000"/>
          <w:kern w:val="0"/>
          <w:shd w:val="clear" w:color="auto" w:fill="FFFFFF"/>
          <w:lang w:eastAsia="en-GB"/>
          <w14:ligatures w14:val="none"/>
        </w:rPr>
        <w:t>doi.org/10.1016/j.athoracsur.2013.07.020</w:t>
      </w:r>
    </w:p>
    <w:p w14:paraId="019166CC"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Resar L M S, Frank S M (2014) Bloodless medicine: What to do when you can’t transfuse. </w:t>
      </w:r>
      <w:proofErr w:type="spellStart"/>
      <w:r w:rsidRPr="000A1699">
        <w:rPr>
          <w:rFonts w:ascii="Times New Roman" w:eastAsia="Times New Roman" w:hAnsi="Times New Roman" w:cs="Times New Roman"/>
          <w:color w:val="000000"/>
          <w:kern w:val="0"/>
          <w:lang w:eastAsia="en-GB"/>
          <w14:ligatures w14:val="none"/>
        </w:rPr>
        <w:t>Hematology</w:t>
      </w:r>
      <w:proofErr w:type="spellEnd"/>
      <w:r w:rsidRPr="000A1699">
        <w:rPr>
          <w:rFonts w:ascii="Times New Roman" w:eastAsia="Times New Roman" w:hAnsi="Times New Roman" w:cs="Times New Roman"/>
          <w:color w:val="000000"/>
          <w:kern w:val="0"/>
          <w:lang w:eastAsia="en-GB"/>
          <w14:ligatures w14:val="none"/>
        </w:rPr>
        <w:t xml:space="preserve">. 2014, 1, 553–558. </w:t>
      </w:r>
      <w:r w:rsidRPr="000A1699">
        <w:rPr>
          <w:rFonts w:ascii="Times New Roman" w:eastAsia="Times New Roman" w:hAnsi="Times New Roman" w:cs="Times New Roman"/>
          <w:color w:val="000000"/>
          <w:kern w:val="0"/>
          <w:shd w:val="clear" w:color="auto" w:fill="FFFFFF"/>
          <w:lang w:eastAsia="en-GB"/>
          <w14:ligatures w14:val="none"/>
        </w:rPr>
        <w:t>doi.org/10.1182/asheducation-2014.1.553</w:t>
      </w:r>
    </w:p>
    <w:p w14:paraId="42215BFA"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 xml:space="preserve">Roberts S I, </w:t>
      </w:r>
      <w:proofErr w:type="spellStart"/>
      <w:r w:rsidRPr="000A1699">
        <w:rPr>
          <w:rFonts w:ascii="Times New Roman" w:eastAsia="Times New Roman" w:hAnsi="Times New Roman" w:cs="Times New Roman"/>
          <w:color w:val="000000"/>
          <w:kern w:val="0"/>
          <w:shd w:val="clear" w:color="auto" w:fill="FFFFFF"/>
          <w:lang w:eastAsia="en-GB"/>
          <w14:ligatures w14:val="none"/>
        </w:rPr>
        <w:t>Ladi</w:t>
      </w:r>
      <w:proofErr w:type="spellEnd"/>
      <w:r w:rsidRPr="000A1699">
        <w:rPr>
          <w:rFonts w:ascii="Times New Roman" w:eastAsia="Times New Roman" w:hAnsi="Times New Roman" w:cs="Times New Roman"/>
          <w:color w:val="000000"/>
          <w:kern w:val="0"/>
          <w:shd w:val="clear" w:color="auto" w:fill="FFFFFF"/>
          <w:lang w:eastAsia="en-GB"/>
          <w14:ligatures w14:val="none"/>
        </w:rPr>
        <w:t xml:space="preserve">-Seyedian S, &amp; Daneshmand S (2021) Vena Cava </w:t>
      </w:r>
      <w:proofErr w:type="spellStart"/>
      <w:r w:rsidRPr="000A1699">
        <w:rPr>
          <w:rFonts w:ascii="Times New Roman" w:eastAsia="Times New Roman" w:hAnsi="Times New Roman" w:cs="Times New Roman"/>
          <w:color w:val="000000"/>
          <w:kern w:val="0"/>
          <w:shd w:val="clear" w:color="auto" w:fill="FFFFFF"/>
          <w:lang w:eastAsia="en-GB"/>
          <w14:ligatures w14:val="none"/>
        </w:rPr>
        <w:t>Tumor</w:t>
      </w:r>
      <w:proofErr w:type="spellEnd"/>
      <w:r w:rsidRPr="000A1699">
        <w:rPr>
          <w:rFonts w:ascii="Times New Roman" w:eastAsia="Times New Roman" w:hAnsi="Times New Roman" w:cs="Times New Roman"/>
          <w:color w:val="000000"/>
          <w:kern w:val="0"/>
          <w:shd w:val="clear" w:color="auto" w:fill="FFFFFF"/>
          <w:lang w:eastAsia="en-GB"/>
          <w14:ligatures w14:val="none"/>
        </w:rPr>
        <w:t xml:space="preserve"> Thrombus Associated </w:t>
      </w:r>
      <w:proofErr w:type="gramStart"/>
      <w:r w:rsidRPr="000A1699">
        <w:rPr>
          <w:rFonts w:ascii="Times New Roman" w:eastAsia="Times New Roman" w:hAnsi="Times New Roman" w:cs="Times New Roman"/>
          <w:color w:val="000000"/>
          <w:kern w:val="0"/>
          <w:shd w:val="clear" w:color="auto" w:fill="FFFFFF"/>
          <w:lang w:eastAsia="en-GB"/>
          <w14:ligatures w14:val="none"/>
        </w:rPr>
        <w:t>With</w:t>
      </w:r>
      <w:proofErr w:type="gramEnd"/>
      <w:r w:rsidRPr="000A1699">
        <w:rPr>
          <w:rFonts w:ascii="Times New Roman" w:eastAsia="Times New Roman" w:hAnsi="Times New Roman" w:cs="Times New Roman"/>
          <w:color w:val="000000"/>
          <w:kern w:val="0"/>
          <w:shd w:val="clear" w:color="auto" w:fill="FFFFFF"/>
          <w:lang w:eastAsia="en-GB"/>
          <w14:ligatures w14:val="none"/>
        </w:rPr>
        <w:t xml:space="preserve"> Renal Angiomyolipoma in a Jehovah’s Witness Patient. Urology. 156, 86–87. doi.org/10.1016/j.urology.2021.08.005</w:t>
      </w:r>
    </w:p>
    <w:p w14:paraId="14D264AF"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Royal College of Obstetricians and Gynaecologists. (2015) Blood Transfusion in Obstetrics. Green-top Guideline No. 47.</w:t>
      </w:r>
      <w:hyperlink r:id="rId13" w:history="1">
        <w:r w:rsidRPr="000A1699">
          <w:rPr>
            <w:rFonts w:ascii="Times New Roman" w:eastAsia="Times New Roman" w:hAnsi="Times New Roman" w:cs="Times New Roman"/>
            <w:color w:val="000000"/>
            <w:kern w:val="0"/>
            <w:u w:val="single"/>
            <w:lang w:eastAsia="en-GB"/>
            <w14:ligatures w14:val="none"/>
          </w:rPr>
          <w:t xml:space="preserve"> https://www.rcog.org.uk/guidance/browse-all-guidance/green-top-guidelines/blood-transfusions-in-obstetrics-green-top-guideline-no-47/</w:t>
        </w:r>
      </w:hyperlink>
      <w:r w:rsidRPr="000A1699">
        <w:rPr>
          <w:rFonts w:ascii="Times New Roman" w:eastAsia="Times New Roman" w:hAnsi="Times New Roman" w:cs="Times New Roman"/>
          <w:color w:val="000000"/>
          <w:kern w:val="0"/>
          <w:lang w:eastAsia="en-GB"/>
          <w14:ligatures w14:val="none"/>
        </w:rPr>
        <w:t xml:space="preserve"> (Last Accessed: 12 January 2023.)</w:t>
      </w:r>
    </w:p>
    <w:p w14:paraId="666D4ADD"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Shander A, Goodnough L (2018) Management of anaemia in patients who decline blood transfusion. American Journal of Haematology. 93, 1183-1191. </w:t>
      </w:r>
      <w:r w:rsidRPr="000A1699">
        <w:rPr>
          <w:rFonts w:ascii="Times New Roman" w:eastAsia="Times New Roman" w:hAnsi="Times New Roman" w:cs="Times New Roman"/>
          <w:color w:val="000000"/>
          <w:kern w:val="0"/>
          <w:shd w:val="clear" w:color="auto" w:fill="FFFFFF"/>
          <w:lang w:eastAsia="en-GB"/>
          <w14:ligatures w14:val="none"/>
        </w:rPr>
        <w:t>doi.org/10.1002/ajh.25167</w:t>
      </w:r>
    </w:p>
    <w:p w14:paraId="09DDF07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Shander A, </w:t>
      </w:r>
      <w:proofErr w:type="spellStart"/>
      <w:r w:rsidRPr="000A1699">
        <w:rPr>
          <w:rFonts w:ascii="Times New Roman" w:eastAsia="Times New Roman" w:hAnsi="Times New Roman" w:cs="Times New Roman"/>
          <w:color w:val="000000"/>
          <w:kern w:val="0"/>
          <w:lang w:eastAsia="en-GB"/>
          <w14:ligatures w14:val="none"/>
        </w:rPr>
        <w:t>Javidroozi</w:t>
      </w:r>
      <w:proofErr w:type="spellEnd"/>
      <w:r w:rsidRPr="000A1699">
        <w:rPr>
          <w:rFonts w:ascii="Times New Roman" w:eastAsia="Times New Roman" w:hAnsi="Times New Roman" w:cs="Times New Roman"/>
          <w:color w:val="000000"/>
          <w:kern w:val="0"/>
          <w:lang w:eastAsia="en-GB"/>
          <w14:ligatures w14:val="none"/>
        </w:rPr>
        <w:t xml:space="preserve"> M (2015) Blood conservation strategies and the management of perioperative anaemia. </w:t>
      </w:r>
      <w:proofErr w:type="spellStart"/>
      <w:r w:rsidRPr="000A1699">
        <w:rPr>
          <w:rFonts w:ascii="Times New Roman" w:eastAsia="Times New Roman" w:hAnsi="Times New Roman" w:cs="Times New Roman"/>
          <w:color w:val="000000"/>
          <w:kern w:val="0"/>
          <w:lang w:eastAsia="en-GB"/>
          <w14:ligatures w14:val="none"/>
        </w:rPr>
        <w:t>Anesthesia</w:t>
      </w:r>
      <w:proofErr w:type="spellEnd"/>
      <w:r w:rsidRPr="000A1699">
        <w:rPr>
          <w:rFonts w:ascii="Times New Roman" w:eastAsia="Times New Roman" w:hAnsi="Times New Roman" w:cs="Times New Roman"/>
          <w:color w:val="000000"/>
          <w:kern w:val="0"/>
          <w:lang w:eastAsia="en-GB"/>
          <w14:ligatures w14:val="none"/>
        </w:rPr>
        <w:t xml:space="preserve"> and medical disease. 28, 3, 356-363.</w:t>
      </w:r>
      <w:hyperlink r:id="rId14" w:history="1">
        <w:r w:rsidRPr="000A1699">
          <w:rPr>
            <w:rFonts w:ascii="Times New Roman" w:eastAsia="Times New Roman" w:hAnsi="Times New Roman" w:cs="Times New Roman"/>
            <w:color w:val="000000"/>
            <w:kern w:val="0"/>
            <w:u w:val="single"/>
            <w:lang w:eastAsia="en-GB"/>
            <w14:ligatures w14:val="none"/>
          </w:rPr>
          <w:t xml:space="preserve"> </w:t>
        </w:r>
        <w:r w:rsidRPr="000A1699">
          <w:rPr>
            <w:rFonts w:ascii="Times New Roman" w:eastAsia="Times New Roman" w:hAnsi="Times New Roman" w:cs="Times New Roman"/>
            <w:color w:val="000000"/>
            <w:kern w:val="0"/>
            <w:u w:val="single"/>
            <w:shd w:val="clear" w:color="auto" w:fill="FFFFFF"/>
            <w:lang w:eastAsia="en-GB"/>
            <w14:ligatures w14:val="none"/>
          </w:rPr>
          <w:t>doi.org/10.1097/ACO.0000000000000179</w:t>
        </w:r>
      </w:hyperlink>
    </w:p>
    <w:p w14:paraId="225E68C3"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Shander A, </w:t>
      </w:r>
      <w:proofErr w:type="spellStart"/>
      <w:r w:rsidRPr="000A1699">
        <w:rPr>
          <w:rFonts w:ascii="Times New Roman" w:eastAsia="Times New Roman" w:hAnsi="Times New Roman" w:cs="Times New Roman"/>
          <w:color w:val="000000"/>
          <w:kern w:val="0"/>
          <w:lang w:eastAsia="en-GB"/>
          <w14:ligatures w14:val="none"/>
        </w:rPr>
        <w:t>Javidroozi</w:t>
      </w:r>
      <w:proofErr w:type="spellEnd"/>
      <w:r w:rsidRPr="000A1699">
        <w:rPr>
          <w:rFonts w:ascii="Times New Roman" w:eastAsia="Times New Roman" w:hAnsi="Times New Roman" w:cs="Times New Roman"/>
          <w:color w:val="000000"/>
          <w:kern w:val="0"/>
          <w:lang w:eastAsia="en-GB"/>
          <w14:ligatures w14:val="none"/>
        </w:rPr>
        <w:t xml:space="preserve"> M, Naqvi S, et al. (2014) An update on mortality and morbidity in patients with very low postoperative </w:t>
      </w:r>
      <w:proofErr w:type="spellStart"/>
      <w:r w:rsidRPr="000A1699">
        <w:rPr>
          <w:rFonts w:ascii="Times New Roman" w:eastAsia="Times New Roman" w:hAnsi="Times New Roman" w:cs="Times New Roman"/>
          <w:color w:val="000000"/>
          <w:kern w:val="0"/>
          <w:lang w:eastAsia="en-GB"/>
          <w14:ligatures w14:val="none"/>
        </w:rPr>
        <w:t>hemoglobin</w:t>
      </w:r>
      <w:proofErr w:type="spellEnd"/>
      <w:r w:rsidRPr="000A1699">
        <w:rPr>
          <w:rFonts w:ascii="Times New Roman" w:eastAsia="Times New Roman" w:hAnsi="Times New Roman" w:cs="Times New Roman"/>
          <w:color w:val="000000"/>
          <w:kern w:val="0"/>
          <w:lang w:eastAsia="en-GB"/>
          <w14:ligatures w14:val="none"/>
        </w:rPr>
        <w:t xml:space="preserve"> levels who decline blood transfusion. Transfusion. 54, 2688-2695. </w:t>
      </w:r>
      <w:r w:rsidRPr="000A1699">
        <w:rPr>
          <w:rFonts w:ascii="Times New Roman" w:eastAsia="Times New Roman" w:hAnsi="Times New Roman" w:cs="Times New Roman"/>
          <w:color w:val="000000"/>
          <w:kern w:val="0"/>
          <w:shd w:val="clear" w:color="auto" w:fill="FFFFFF"/>
          <w:lang w:eastAsia="en-GB"/>
          <w14:ligatures w14:val="none"/>
        </w:rPr>
        <w:t>doi.org/10.1111/trf.12565</w:t>
      </w:r>
    </w:p>
    <w:p w14:paraId="1AE5B36B"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Society for the Advancement of Patient Blood Management. (2022). What is patient blood management?.</w:t>
      </w:r>
      <w:hyperlink r:id="rId15" w:history="1">
        <w:r w:rsidRPr="000A1699">
          <w:rPr>
            <w:rFonts w:ascii="Times New Roman" w:eastAsia="Times New Roman" w:hAnsi="Times New Roman" w:cs="Times New Roman"/>
            <w:color w:val="000000"/>
            <w:kern w:val="0"/>
            <w:u w:val="single"/>
            <w:lang w:eastAsia="en-GB"/>
            <w14:ligatures w14:val="none"/>
          </w:rPr>
          <w:t xml:space="preserve"> https://sabm.org/</w:t>
        </w:r>
      </w:hyperlink>
      <w:r w:rsidRPr="000A1699">
        <w:rPr>
          <w:rFonts w:ascii="Times New Roman" w:eastAsia="Times New Roman" w:hAnsi="Times New Roman" w:cs="Times New Roman"/>
          <w:color w:val="000000"/>
          <w:kern w:val="0"/>
          <w:u w:val="single"/>
          <w:lang w:eastAsia="en-GB"/>
          <w14:ligatures w14:val="none"/>
        </w:rPr>
        <w:t xml:space="preserve"> </w:t>
      </w:r>
      <w:r w:rsidRPr="000A1699">
        <w:rPr>
          <w:rFonts w:ascii="Times New Roman" w:eastAsia="Times New Roman" w:hAnsi="Times New Roman" w:cs="Times New Roman"/>
          <w:color w:val="000000"/>
          <w:kern w:val="0"/>
          <w:lang w:eastAsia="en-GB"/>
          <w14:ligatures w14:val="none"/>
        </w:rPr>
        <w:t>(Last Accessed: 31st January 2023.)</w:t>
      </w:r>
    </w:p>
    <w:p w14:paraId="7920DAA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Spahn D R, Goodnough L T (2013) Alternatives to blood transfusion. The Lancet (British Edition). 381, 9880, 1855–1865 doi.org/10.1016/S0140-6736(13)60808-9</w:t>
      </w:r>
    </w:p>
    <w:p w14:paraId="7C70F6C8"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Vassallo R, Goldman M, Germain M (2015) Preoperative Autologous Blood Donation: Waning Indications in an Era of Improved Blood Safety. Transfusion Medicine Reviews. 29, 4, 268–275. doi.org/10.1016/j.tmrv.2015.04.001</w:t>
      </w:r>
    </w:p>
    <w:p w14:paraId="14B846D4"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FFFFF"/>
          <w:lang w:eastAsia="en-GB"/>
          <w14:ligatures w14:val="none"/>
        </w:rPr>
        <w:t xml:space="preserve">Weiskopf R B, </w:t>
      </w:r>
      <w:proofErr w:type="spellStart"/>
      <w:r w:rsidRPr="000A1699">
        <w:rPr>
          <w:rFonts w:ascii="Times New Roman" w:eastAsia="Times New Roman" w:hAnsi="Times New Roman" w:cs="Times New Roman"/>
          <w:color w:val="000000"/>
          <w:kern w:val="0"/>
          <w:shd w:val="clear" w:color="auto" w:fill="FFFFFF"/>
          <w:lang w:eastAsia="en-GB"/>
          <w14:ligatures w14:val="none"/>
        </w:rPr>
        <w:t>Beliaev</w:t>
      </w:r>
      <w:proofErr w:type="spellEnd"/>
      <w:r w:rsidRPr="000A1699">
        <w:rPr>
          <w:rFonts w:ascii="Times New Roman" w:eastAsia="Times New Roman" w:hAnsi="Times New Roman" w:cs="Times New Roman"/>
          <w:color w:val="000000"/>
          <w:kern w:val="0"/>
          <w:shd w:val="clear" w:color="auto" w:fill="FFFFFF"/>
          <w:lang w:eastAsia="en-GB"/>
          <w14:ligatures w14:val="none"/>
        </w:rPr>
        <w:t xml:space="preserve"> A M, Shander A (2017) Addressing the unmet need of life‐threatening </w:t>
      </w:r>
      <w:proofErr w:type="spellStart"/>
      <w:r w:rsidRPr="000A1699">
        <w:rPr>
          <w:rFonts w:ascii="Times New Roman" w:eastAsia="Times New Roman" w:hAnsi="Times New Roman" w:cs="Times New Roman"/>
          <w:color w:val="000000"/>
          <w:kern w:val="0"/>
          <w:shd w:val="clear" w:color="auto" w:fill="FFFFFF"/>
          <w:lang w:eastAsia="en-GB"/>
          <w14:ligatures w14:val="none"/>
        </w:rPr>
        <w:t>anemia</w:t>
      </w:r>
      <w:proofErr w:type="spellEnd"/>
      <w:r w:rsidRPr="000A1699">
        <w:rPr>
          <w:rFonts w:ascii="Times New Roman" w:eastAsia="Times New Roman" w:hAnsi="Times New Roman" w:cs="Times New Roman"/>
          <w:color w:val="000000"/>
          <w:kern w:val="0"/>
          <w:shd w:val="clear" w:color="auto" w:fill="FFFFFF"/>
          <w:lang w:eastAsia="en-GB"/>
          <w14:ligatures w14:val="none"/>
        </w:rPr>
        <w:t xml:space="preserve"> with </w:t>
      </w:r>
      <w:proofErr w:type="spellStart"/>
      <w:r w:rsidRPr="000A1699">
        <w:rPr>
          <w:rFonts w:ascii="Times New Roman" w:eastAsia="Times New Roman" w:hAnsi="Times New Roman" w:cs="Times New Roman"/>
          <w:color w:val="000000"/>
          <w:kern w:val="0"/>
          <w:shd w:val="clear" w:color="auto" w:fill="FFFFFF"/>
          <w:lang w:eastAsia="en-GB"/>
          <w14:ligatures w14:val="none"/>
        </w:rPr>
        <w:t>hemoglobin</w:t>
      </w:r>
      <w:proofErr w:type="spellEnd"/>
      <w:r w:rsidRPr="000A1699">
        <w:rPr>
          <w:rFonts w:ascii="Times New Roman" w:eastAsia="Times New Roman" w:hAnsi="Times New Roman" w:cs="Times New Roman"/>
          <w:color w:val="000000"/>
          <w:kern w:val="0"/>
          <w:shd w:val="clear" w:color="auto" w:fill="FFFFFF"/>
          <w:lang w:eastAsia="en-GB"/>
          <w14:ligatures w14:val="none"/>
        </w:rPr>
        <w:t>‐based oxygen carriers. Transfusion. 57, 1, 207–214. doi.org/10.1111/trf.13923</w:t>
      </w:r>
    </w:p>
    <w:p w14:paraId="7C81E357"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 xml:space="preserve">Weiskopf R, Silverman T (2013) Balancing potential risks and benefits of </w:t>
      </w:r>
      <w:proofErr w:type="spellStart"/>
      <w:r w:rsidRPr="000A1699">
        <w:rPr>
          <w:rFonts w:ascii="Times New Roman" w:eastAsia="Times New Roman" w:hAnsi="Times New Roman" w:cs="Times New Roman"/>
          <w:color w:val="000000"/>
          <w:kern w:val="0"/>
          <w:lang w:eastAsia="en-GB"/>
          <w14:ligatures w14:val="none"/>
        </w:rPr>
        <w:t>hemoglobin</w:t>
      </w:r>
      <w:proofErr w:type="spellEnd"/>
      <w:r w:rsidRPr="000A1699">
        <w:rPr>
          <w:rFonts w:ascii="Times New Roman" w:eastAsia="Times New Roman" w:hAnsi="Times New Roman" w:cs="Times New Roman"/>
          <w:color w:val="000000"/>
          <w:kern w:val="0"/>
          <w:lang w:eastAsia="en-GB"/>
          <w14:ligatures w14:val="none"/>
        </w:rPr>
        <w:t xml:space="preserve">-based oxygen carriers. Transfusion. 53, 2327-2333. </w:t>
      </w:r>
      <w:r w:rsidRPr="000A1699">
        <w:rPr>
          <w:rFonts w:ascii="Times New Roman" w:eastAsia="Times New Roman" w:hAnsi="Times New Roman" w:cs="Times New Roman"/>
          <w:color w:val="000000"/>
          <w:kern w:val="0"/>
          <w:shd w:val="clear" w:color="auto" w:fill="FFFFFF"/>
          <w:lang w:eastAsia="en-GB"/>
          <w14:ligatures w14:val="none"/>
        </w:rPr>
        <w:t>doi.org/10.1111/trf.12339</w:t>
      </w:r>
    </w:p>
    <w:p w14:paraId="1DFB86E1"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lang w:eastAsia="en-GB"/>
          <w14:ligatures w14:val="none"/>
        </w:rPr>
        <w:t>World Health Organization (2012). WHO recommendations for the prevention and treatment of  postpartum haemorrhage. WHO Library Cataloguing-in-Publication Data.</w:t>
      </w:r>
      <w:hyperlink r:id="rId16" w:history="1">
        <w:r w:rsidRPr="000A1699">
          <w:rPr>
            <w:rFonts w:ascii="Times New Roman" w:eastAsia="Times New Roman" w:hAnsi="Times New Roman" w:cs="Times New Roman"/>
            <w:color w:val="000000"/>
            <w:kern w:val="0"/>
            <w:u w:val="single"/>
            <w:lang w:eastAsia="en-GB"/>
            <w14:ligatures w14:val="none"/>
          </w:rPr>
          <w:t xml:space="preserve"> </w:t>
        </w:r>
        <w:r w:rsidRPr="000A1699">
          <w:rPr>
            <w:rFonts w:ascii="Times New Roman" w:eastAsia="Times New Roman" w:hAnsi="Times New Roman" w:cs="Times New Roman"/>
            <w:color w:val="000000"/>
            <w:kern w:val="0"/>
            <w:u w:val="single"/>
            <w:shd w:val="clear" w:color="auto" w:fill="FFFFFF"/>
            <w:lang w:eastAsia="en-GB"/>
            <w14:ligatures w14:val="none"/>
          </w:rPr>
          <w:t>https://apps.who.int/iris/bitstream/handle/10665/75411/9789241548502_eng.pdf</w:t>
        </w:r>
      </w:hyperlink>
      <w:r w:rsidRPr="000A1699">
        <w:rPr>
          <w:rFonts w:ascii="Times New Roman" w:eastAsia="Times New Roman" w:hAnsi="Times New Roman" w:cs="Times New Roman"/>
          <w:color w:val="000000"/>
          <w:kern w:val="0"/>
          <w:u w:val="single"/>
          <w:shd w:val="clear" w:color="auto" w:fill="FFFFFF"/>
          <w:lang w:eastAsia="en-GB"/>
          <w14:ligatures w14:val="none"/>
        </w:rPr>
        <w:t xml:space="preserve"> </w:t>
      </w:r>
      <w:r w:rsidRPr="000A1699">
        <w:rPr>
          <w:rFonts w:ascii="Times New Roman" w:eastAsia="Times New Roman" w:hAnsi="Times New Roman" w:cs="Times New Roman"/>
          <w:color w:val="000000"/>
          <w:kern w:val="0"/>
          <w:shd w:val="clear" w:color="auto" w:fill="FFFFFF"/>
          <w:lang w:eastAsia="en-GB"/>
          <w14:ligatures w14:val="none"/>
        </w:rPr>
        <w:t>(Last Accessed: 12 January 2023)</w:t>
      </w:r>
    </w:p>
    <w:p w14:paraId="55722C65" w14:textId="77777777" w:rsidR="000A1699" w:rsidRPr="000A1699" w:rsidRDefault="000A1699" w:rsidP="000A1699">
      <w:pPr>
        <w:spacing w:after="240" w:line="480" w:lineRule="auto"/>
        <w:rPr>
          <w:rFonts w:ascii="Times New Roman" w:eastAsia="Times New Roman" w:hAnsi="Times New Roman" w:cs="Times New Roman"/>
          <w:kern w:val="0"/>
          <w:lang w:eastAsia="en-GB"/>
          <w14:ligatures w14:val="none"/>
        </w:rPr>
      </w:pPr>
      <w:r w:rsidRPr="000A1699">
        <w:rPr>
          <w:rFonts w:ascii="Times New Roman" w:eastAsia="Times New Roman" w:hAnsi="Times New Roman" w:cs="Times New Roman"/>
          <w:color w:val="000000"/>
          <w:kern w:val="0"/>
          <w:shd w:val="clear" w:color="auto" w:fill="FCFCFC"/>
          <w:lang w:eastAsia="en-GB"/>
          <w14:ligatures w14:val="none"/>
        </w:rPr>
        <w:t xml:space="preserve">Zhou X, Zhang C, Wang Y et al. (2015) Preoperative acute </w:t>
      </w:r>
      <w:proofErr w:type="spellStart"/>
      <w:r w:rsidRPr="000A1699">
        <w:rPr>
          <w:rFonts w:ascii="Times New Roman" w:eastAsia="Times New Roman" w:hAnsi="Times New Roman" w:cs="Times New Roman"/>
          <w:color w:val="000000"/>
          <w:kern w:val="0"/>
          <w:shd w:val="clear" w:color="auto" w:fill="FCFCFC"/>
          <w:lang w:eastAsia="en-GB"/>
          <w14:ligatures w14:val="none"/>
        </w:rPr>
        <w:t>normovolemic</w:t>
      </w:r>
      <w:proofErr w:type="spellEnd"/>
      <w:r w:rsidRPr="000A1699">
        <w:rPr>
          <w:rFonts w:ascii="Times New Roman" w:eastAsia="Times New Roman" w:hAnsi="Times New Roman" w:cs="Times New Roman"/>
          <w:color w:val="000000"/>
          <w:kern w:val="0"/>
          <w:shd w:val="clear" w:color="auto" w:fill="FCFCFC"/>
          <w:lang w:eastAsia="en-GB"/>
          <w14:ligatures w14:val="none"/>
        </w:rPr>
        <w:t xml:space="preserve"> </w:t>
      </w:r>
      <w:proofErr w:type="spellStart"/>
      <w:r w:rsidRPr="000A1699">
        <w:rPr>
          <w:rFonts w:ascii="Times New Roman" w:eastAsia="Times New Roman" w:hAnsi="Times New Roman" w:cs="Times New Roman"/>
          <w:color w:val="000000"/>
          <w:kern w:val="0"/>
          <w:shd w:val="clear" w:color="auto" w:fill="FCFCFC"/>
          <w:lang w:eastAsia="en-GB"/>
          <w14:ligatures w14:val="none"/>
        </w:rPr>
        <w:t>hemodilution</w:t>
      </w:r>
      <w:proofErr w:type="spellEnd"/>
      <w:r w:rsidRPr="000A1699">
        <w:rPr>
          <w:rFonts w:ascii="Times New Roman" w:eastAsia="Times New Roman" w:hAnsi="Times New Roman" w:cs="Times New Roman"/>
          <w:color w:val="000000"/>
          <w:kern w:val="0"/>
          <w:shd w:val="clear" w:color="auto" w:fill="FCFCFC"/>
          <w:lang w:eastAsia="en-GB"/>
          <w14:ligatures w14:val="none"/>
        </w:rPr>
        <w:t xml:space="preserve"> for minimizing allogeneic blood transfusion: a meta-analysis. </w:t>
      </w:r>
      <w:proofErr w:type="spellStart"/>
      <w:r w:rsidRPr="000A1699">
        <w:rPr>
          <w:rFonts w:ascii="Times New Roman" w:eastAsia="Times New Roman" w:hAnsi="Times New Roman" w:cs="Times New Roman"/>
          <w:color w:val="000000"/>
          <w:kern w:val="0"/>
          <w:shd w:val="clear" w:color="auto" w:fill="FCFCFC"/>
          <w:lang w:eastAsia="en-GB"/>
          <w14:ligatures w14:val="none"/>
        </w:rPr>
        <w:t>Anesth</w:t>
      </w:r>
      <w:proofErr w:type="spellEnd"/>
      <w:r w:rsidRPr="000A1699">
        <w:rPr>
          <w:rFonts w:ascii="Times New Roman" w:eastAsia="Times New Roman" w:hAnsi="Times New Roman" w:cs="Times New Roman"/>
          <w:color w:val="000000"/>
          <w:kern w:val="0"/>
          <w:shd w:val="clear" w:color="auto" w:fill="FCFCFC"/>
          <w:lang w:eastAsia="en-GB"/>
          <w14:ligatures w14:val="none"/>
        </w:rPr>
        <w:t xml:space="preserve"> </w:t>
      </w:r>
      <w:proofErr w:type="spellStart"/>
      <w:r w:rsidRPr="000A1699">
        <w:rPr>
          <w:rFonts w:ascii="Times New Roman" w:eastAsia="Times New Roman" w:hAnsi="Times New Roman" w:cs="Times New Roman"/>
          <w:color w:val="000000"/>
          <w:kern w:val="0"/>
          <w:shd w:val="clear" w:color="auto" w:fill="FCFCFC"/>
          <w:lang w:eastAsia="en-GB"/>
          <w14:ligatures w14:val="none"/>
        </w:rPr>
        <w:t>Analg</w:t>
      </w:r>
      <w:proofErr w:type="spellEnd"/>
      <w:r w:rsidRPr="000A1699">
        <w:rPr>
          <w:rFonts w:ascii="Times New Roman" w:eastAsia="Times New Roman" w:hAnsi="Times New Roman" w:cs="Times New Roman"/>
          <w:color w:val="000000"/>
          <w:kern w:val="0"/>
          <w:shd w:val="clear" w:color="auto" w:fill="FCFCFC"/>
          <w:lang w:eastAsia="en-GB"/>
          <w14:ligatures w14:val="none"/>
        </w:rPr>
        <w:t xml:space="preserve">. 121, 6,1443–55. </w:t>
      </w:r>
      <w:proofErr w:type="spellStart"/>
      <w:r w:rsidRPr="000A1699">
        <w:rPr>
          <w:rFonts w:ascii="Times New Roman" w:eastAsia="Times New Roman" w:hAnsi="Times New Roman" w:cs="Times New Roman"/>
          <w:color w:val="000000"/>
          <w:kern w:val="0"/>
          <w:shd w:val="clear" w:color="auto" w:fill="FCFCFC"/>
          <w:lang w:eastAsia="en-GB"/>
          <w14:ligatures w14:val="none"/>
        </w:rPr>
        <w:t>doi</w:t>
      </w:r>
      <w:proofErr w:type="spellEnd"/>
      <w:r w:rsidRPr="000A1699">
        <w:rPr>
          <w:rFonts w:ascii="Times New Roman" w:eastAsia="Times New Roman" w:hAnsi="Times New Roman" w:cs="Times New Roman"/>
          <w:color w:val="000000"/>
          <w:kern w:val="0"/>
          <w:shd w:val="clear" w:color="auto" w:fill="FCFCFC"/>
          <w:lang w:eastAsia="en-GB"/>
          <w14:ligatures w14:val="none"/>
        </w:rPr>
        <w:t>:</w:t>
      </w:r>
      <w:hyperlink r:id="rId17" w:history="1">
        <w:r w:rsidRPr="000A1699">
          <w:rPr>
            <w:rFonts w:ascii="Times New Roman" w:eastAsia="Times New Roman" w:hAnsi="Times New Roman" w:cs="Times New Roman"/>
            <w:color w:val="000000"/>
            <w:kern w:val="0"/>
            <w:u w:val="single"/>
            <w:shd w:val="clear" w:color="auto" w:fill="FCFCFC"/>
            <w:lang w:eastAsia="en-GB"/>
            <w14:ligatures w14:val="none"/>
          </w:rPr>
          <w:t xml:space="preserve"> 10.1213/ANE.0000000000001010</w:t>
        </w:r>
      </w:hyperlink>
    </w:p>
    <w:p w14:paraId="50D09CCC" w14:textId="77777777" w:rsidR="00C13D5A" w:rsidRDefault="00C13D5A" w:rsidP="000A1699">
      <w:pPr>
        <w:rPr>
          <w:rFonts w:ascii="Times New Roman" w:eastAsia="Times New Roman" w:hAnsi="Times New Roman" w:cs="Times New Roman"/>
          <w:kern w:val="0"/>
          <w:lang w:eastAsia="en-GB"/>
          <w14:ligatures w14:val="none"/>
        </w:rPr>
        <w:sectPr w:rsidR="00C13D5A" w:rsidSect="000944FC">
          <w:pgSz w:w="11906" w:h="16838"/>
          <w:pgMar w:top="2155" w:right="2155" w:bottom="2155" w:left="2155" w:header="709" w:footer="709" w:gutter="0"/>
          <w:cols w:space="708"/>
          <w:docGrid w:linePitch="360"/>
        </w:sectPr>
      </w:pPr>
    </w:p>
    <w:p w14:paraId="181E038C" w14:textId="165DF74C" w:rsidR="000A1699" w:rsidRPr="000A1699" w:rsidRDefault="000A1699" w:rsidP="000A1699">
      <w:pPr>
        <w:rPr>
          <w:rFonts w:ascii="Times New Roman" w:eastAsia="Times New Roman" w:hAnsi="Times New Roman" w:cs="Times New Roman"/>
          <w:kern w:val="0"/>
          <w:lang w:eastAsia="en-GB"/>
          <w14:ligatures w14:val="none"/>
        </w:rPr>
      </w:pPr>
      <w:r>
        <w:rPr>
          <w:noProof/>
        </w:rPr>
        <mc:AlternateContent>
          <mc:Choice Requires="wpg">
            <w:drawing>
              <wp:inline distT="0" distB="0" distL="0" distR="0" wp14:anchorId="2DE4D5D5" wp14:editId="471A4E56">
                <wp:extent cx="6033438" cy="6398039"/>
                <wp:effectExtent l="0" t="0" r="12065" b="15875"/>
                <wp:docPr id="393524111" name="Group 27"/>
                <wp:cNvGraphicFramePr/>
                <a:graphic xmlns:a="http://schemas.openxmlformats.org/drawingml/2006/main">
                  <a:graphicData uri="http://schemas.microsoft.com/office/word/2010/wordprocessingGroup">
                    <wpg:wgp>
                      <wpg:cNvGrpSpPr/>
                      <wpg:grpSpPr>
                        <a:xfrm>
                          <a:off x="0" y="0"/>
                          <a:ext cx="6033438" cy="6398039"/>
                          <a:chOff x="0" y="15700"/>
                          <a:chExt cx="6740714" cy="6829600"/>
                        </a:xfrm>
                      </wpg:grpSpPr>
                      <wps:wsp>
                        <wps:cNvPr id="31" name="Flowchart: Alternate Process 31"/>
                        <wps:cNvSpPr/>
                        <wps:spPr>
                          <a:xfrm rot="16200000">
                            <a:off x="-606743" y="1068388"/>
                            <a:ext cx="1516684" cy="264796"/>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8716C65" w14:textId="77777777" w:rsidR="000A1699" w:rsidRPr="001502CF" w:rsidRDefault="000A1699" w:rsidP="000A1699">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rot="16200000">
                            <a:off x="-1724977" y="3810952"/>
                            <a:ext cx="3730625" cy="28067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A7B2DBD" w14:textId="77777777" w:rsidR="000A1699" w:rsidRDefault="000A1699" w:rsidP="000A1699">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2967CF6" w14:textId="77777777" w:rsidR="000A1699" w:rsidRPr="001502CF" w:rsidRDefault="000A1699" w:rsidP="000A1699">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87371872" name="Group 26"/>
                        <wpg:cNvGrpSpPr/>
                        <wpg:grpSpPr>
                          <a:xfrm>
                            <a:off x="276507" y="15700"/>
                            <a:ext cx="6464207" cy="6829600"/>
                            <a:chOff x="-173956" y="12700"/>
                            <a:chExt cx="9492317" cy="5524500"/>
                          </a:xfrm>
                        </wpg:grpSpPr>
                        <wps:wsp>
                          <wps:cNvPr id="1" name="Rectangle 2"/>
                          <wps:cNvSpPr/>
                          <wps:spPr>
                            <a:xfrm>
                              <a:off x="50800" y="35560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7B6D7"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BEE1FFD"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CINAHL (n = 100)</w:t>
                                </w:r>
                              </w:p>
                              <w:p w14:paraId="694DFB22"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MEDLINE (n = 170)</w:t>
                                </w:r>
                              </w:p>
                              <w:p w14:paraId="6FA83977" w14:textId="77777777" w:rsidR="000A1699" w:rsidRPr="0056060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ProQuest (n =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3"/>
                          <wps:cNvSpPr/>
                          <wps:spPr>
                            <a:xfrm>
                              <a:off x="2489200" y="34290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4CDEB"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25CAB41"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Duplicate records removed  (n = 11)</w:t>
                                </w:r>
                              </w:p>
                              <w:p w14:paraId="2822B242" w14:textId="77777777" w:rsidR="000A1699" w:rsidRPr="0056060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178)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4"/>
                          <wps:cNvSpPr/>
                          <wps:spPr>
                            <a:xfrm>
                              <a:off x="12700" y="18796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E4813"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Pr>
                                    <w:rFonts w:ascii="Arial" w:hAnsi="Arial" w:cs="Arial"/>
                                    <w:color w:val="000000" w:themeColor="text1"/>
                                    <w:sz w:val="18"/>
                                    <w:szCs w:val="20"/>
                                  </w:rPr>
                                  <w:t>screened</w:t>
                                </w:r>
                              </w:p>
                              <w:p w14:paraId="564FE083"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5"/>
                          <wps:cNvSpPr/>
                          <wps:spPr>
                            <a:xfrm>
                              <a:off x="2501900" y="18796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56BA3"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Pr>
                                    <w:rFonts w:ascii="Arial" w:hAnsi="Arial" w:cs="Arial"/>
                                    <w:color w:val="000000" w:themeColor="text1"/>
                                    <w:sz w:val="18"/>
                                    <w:szCs w:val="20"/>
                                  </w:rPr>
                                  <w:t>excluded</w:t>
                                </w:r>
                              </w:p>
                              <w:p w14:paraId="192F10ED"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6"/>
                          <wps:cNvSpPr/>
                          <wps:spPr>
                            <a:xfrm>
                              <a:off x="12700" y="27051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31EB4"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w:t>
                                </w:r>
                                <w:r>
                                  <w:rPr>
                                    <w:rFonts w:ascii="Arial" w:hAnsi="Arial" w:cs="Arial"/>
                                    <w:color w:val="000000" w:themeColor="text1"/>
                                    <w:sz w:val="18"/>
                                    <w:szCs w:val="20"/>
                                  </w:rPr>
                                  <w:t>retrieval</w:t>
                                </w:r>
                              </w:p>
                              <w:p w14:paraId="0D4D90B2"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7"/>
                          <wps:cNvSpPr/>
                          <wps:spPr>
                            <a:xfrm>
                              <a:off x="2501900" y="27178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2C459"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w:t>
                                </w:r>
                                <w:r>
                                  <w:rPr>
                                    <w:rFonts w:ascii="Arial" w:hAnsi="Arial" w:cs="Arial"/>
                                    <w:color w:val="000000" w:themeColor="text1"/>
                                    <w:sz w:val="18"/>
                                    <w:szCs w:val="20"/>
                                  </w:rPr>
                                  <w:t>retrieved</w:t>
                                </w:r>
                              </w:p>
                              <w:p w14:paraId="48C3740E"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2700" y="35179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9401D"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w:t>
                                </w:r>
                                <w:r>
                                  <w:rPr>
                                    <w:rFonts w:ascii="Arial" w:hAnsi="Arial" w:cs="Arial"/>
                                    <w:color w:val="000000" w:themeColor="text1"/>
                                    <w:sz w:val="18"/>
                                    <w:szCs w:val="20"/>
                                  </w:rPr>
                                  <w:t>eligibility</w:t>
                                </w:r>
                              </w:p>
                              <w:p w14:paraId="31FD6556"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9"/>
                          <wps:cNvSpPr/>
                          <wps:spPr>
                            <a:xfrm>
                              <a:off x="4711700" y="34290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84145"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8BCF431"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Websites (n = 2)</w:t>
                                </w:r>
                              </w:p>
                              <w:p w14:paraId="63F0ECDE"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Organisations (n = 5)</w:t>
                                </w:r>
                              </w:p>
                              <w:p w14:paraId="2CBBDE29"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Citation searching (n = 7)</w:t>
                                </w:r>
                              </w:p>
                              <w:p w14:paraId="3E4698BF" w14:textId="77777777" w:rsidR="000A1699" w:rsidRDefault="000A1699" w:rsidP="000A1699">
                                <w:pPr>
                                  <w:ind w:left="284"/>
                                  <w:rPr>
                                    <w:rFonts w:ascii="Arial" w:hAnsi="Arial" w:cs="Arial"/>
                                    <w:color w:val="000000" w:themeColor="text1"/>
                                    <w:sz w:val="18"/>
                                    <w:szCs w:val="20"/>
                                  </w:rPr>
                                </w:pPr>
                              </w:p>
                              <w:p w14:paraId="355EA6A9" w14:textId="77777777" w:rsidR="000A1699" w:rsidRPr="00560609" w:rsidRDefault="000A1699" w:rsidP="000A1699">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1"/>
                          <wps:cNvSpPr/>
                          <wps:spPr>
                            <a:xfrm>
                              <a:off x="7213600" y="3543300"/>
                              <a:ext cx="188722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332D4" w14:textId="77777777" w:rsidR="000A1699" w:rsidRPr="0056060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3"/>
                          <wps:cNvCnPr/>
                          <wps:spPr>
                            <a:xfrm>
                              <a:off x="1905000" y="95250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4"/>
                          <wps:cNvCnPr/>
                          <wps:spPr>
                            <a:xfrm>
                              <a:off x="1905000" y="213360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5"/>
                          <wps:cNvCnPr/>
                          <wps:spPr>
                            <a:xfrm>
                              <a:off x="1917700" y="297180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Rectangle 8"/>
                          <wps:cNvSpPr/>
                          <wps:spPr>
                            <a:xfrm>
                              <a:off x="2514255" y="3517585"/>
                              <a:ext cx="1887219" cy="15767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AB605"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F45C5E5"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Not associated with refusal alone (n = 22)</w:t>
                                </w:r>
                              </w:p>
                              <w:p w14:paraId="52C5A121"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Patients unsuitable for transfusion (n = 6)</w:t>
                                </w:r>
                              </w:p>
                              <w:p w14:paraId="02C35F03"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Low-quality paper/study (n = 12)</w:t>
                                </w:r>
                              </w:p>
                              <w:p w14:paraId="1C209869" w14:textId="77777777" w:rsidR="000A1699" w:rsidRPr="0056060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 xml:space="preserve">Lack of relevance to review (n = 19) </w:t>
                                </w:r>
                              </w:p>
                              <w:p w14:paraId="2983AEF8" w14:textId="77777777" w:rsidR="000A1699" w:rsidRPr="00560609" w:rsidRDefault="000A1699" w:rsidP="000A1699">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Alternate Process 29"/>
                          <wps:cNvSpPr/>
                          <wps:spPr>
                            <a:xfrm>
                              <a:off x="-173956" y="12700"/>
                              <a:ext cx="4767478"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5FB8D4D" w14:textId="77777777" w:rsidR="000A1699" w:rsidRPr="001502CF" w:rsidRDefault="000A1699" w:rsidP="000A1699">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Alternate Process 30"/>
                          <wps:cNvSpPr/>
                          <wps:spPr>
                            <a:xfrm>
                              <a:off x="4724400" y="12700"/>
                              <a:ext cx="4593961"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6B7C0EB" w14:textId="77777777" w:rsidR="000A1699" w:rsidRPr="001502CF" w:rsidRDefault="000A1699" w:rsidP="000A1699">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18"/>
                          <wps:cNvCnPr/>
                          <wps:spPr>
                            <a:xfrm>
                              <a:off x="850900" y="158750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19"/>
                          <wps:cNvCnPr/>
                          <wps:spPr>
                            <a:xfrm>
                              <a:off x="863600" y="322580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10"/>
                          <wps:cNvSpPr/>
                          <wps:spPr>
                            <a:xfrm>
                              <a:off x="4724400" y="35306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E622F"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w:t>
                                </w:r>
                                <w:r>
                                  <w:rPr>
                                    <w:rFonts w:ascii="Arial" w:hAnsi="Arial" w:cs="Arial"/>
                                    <w:color w:val="000000" w:themeColor="text1"/>
                                    <w:sz w:val="18"/>
                                    <w:szCs w:val="20"/>
                                  </w:rPr>
                                  <w:t>eligibility</w:t>
                                </w:r>
                              </w:p>
                              <w:p w14:paraId="7ED9A054"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2"/>
                          <wps:cNvSpPr/>
                          <wps:spPr>
                            <a:xfrm>
                              <a:off x="7213600" y="2717800"/>
                              <a:ext cx="1887220" cy="52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14FC8"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w:t>
                                </w:r>
                                <w:r>
                                  <w:rPr>
                                    <w:rFonts w:ascii="Arial" w:hAnsi="Arial" w:cs="Arial"/>
                                    <w:color w:val="000000" w:themeColor="text1"/>
                                    <w:sz w:val="18"/>
                                    <w:szCs w:val="20"/>
                                  </w:rPr>
                                  <w:t>retrieved</w:t>
                                </w:r>
                              </w:p>
                              <w:p w14:paraId="7BAE8A70"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21"/>
                          <wps:cNvSpPr/>
                          <wps:spPr>
                            <a:xfrm>
                              <a:off x="4724400" y="27051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26D5F"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w:t>
                                </w:r>
                                <w:r>
                                  <w:rPr>
                                    <w:rFonts w:ascii="Arial" w:hAnsi="Arial" w:cs="Arial"/>
                                    <w:color w:val="000000" w:themeColor="text1"/>
                                    <w:sz w:val="18"/>
                                    <w:szCs w:val="20"/>
                                  </w:rPr>
                                  <w:t>retrieval</w:t>
                                </w:r>
                              </w:p>
                              <w:p w14:paraId="6E3ABC89"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2"/>
                          <wps:cNvSpPr/>
                          <wps:spPr>
                            <a:xfrm>
                              <a:off x="0" y="481330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C794C" w14:textId="77777777" w:rsidR="000A1699" w:rsidRDefault="000A1699" w:rsidP="000A1699">
                                <w:pPr>
                                  <w:rPr>
                                    <w:rFonts w:ascii="Arial" w:hAnsi="Arial" w:cs="Arial"/>
                                    <w:color w:val="000000" w:themeColor="text1"/>
                                    <w:sz w:val="18"/>
                                    <w:szCs w:val="20"/>
                                  </w:rPr>
                                </w:pPr>
                                <w:r>
                                  <w:rPr>
                                    <w:rFonts w:ascii="Arial" w:hAnsi="Arial" w:cs="Arial"/>
                                    <w:color w:val="000000" w:themeColor="text1"/>
                                    <w:sz w:val="18"/>
                                    <w:szCs w:val="20"/>
                                  </w:rPr>
                                  <w:t xml:space="preserve">Studies included in </w:t>
                                </w:r>
                                <w:r>
                                  <w:rPr>
                                    <w:rFonts w:ascii="Arial" w:hAnsi="Arial" w:cs="Arial"/>
                                    <w:color w:val="000000" w:themeColor="text1"/>
                                    <w:sz w:val="18"/>
                                    <w:szCs w:val="20"/>
                                  </w:rPr>
                                  <w:t>review</w:t>
                                </w:r>
                              </w:p>
                              <w:p w14:paraId="59F61C0B" w14:textId="77777777" w:rsidR="000A1699" w:rsidRDefault="000A1699" w:rsidP="000A1699">
                                <w:pPr>
                                  <w:rPr>
                                    <w:rFonts w:ascii="Arial" w:hAnsi="Arial" w:cs="Arial"/>
                                    <w:color w:val="000000" w:themeColor="text1"/>
                                    <w:sz w:val="18"/>
                                    <w:szCs w:val="20"/>
                                  </w:rPr>
                                </w:pPr>
                                <w:r>
                                  <w:rPr>
                                    <w:rFonts w:ascii="Arial" w:hAnsi="Arial" w:cs="Arial"/>
                                    <w:color w:val="000000" w:themeColor="text1"/>
                                    <w:sz w:val="18"/>
                                    <w:szCs w:val="20"/>
                                  </w:rPr>
                                  <w:t>(n = 43)</w:t>
                                </w:r>
                              </w:p>
                              <w:p w14:paraId="519EBE1E" w14:textId="77777777" w:rsidR="000A1699" w:rsidRDefault="000A1699" w:rsidP="000A1699">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51F062DC"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6"/>
                          <wps:cNvCnPr/>
                          <wps:spPr>
                            <a:xfrm>
                              <a:off x="1930400" y="379730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7"/>
                          <wps:cNvCnPr/>
                          <wps:spPr>
                            <a:xfrm>
                              <a:off x="6629400" y="381000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Connector: Elbow 42"/>
                          <wps:cNvCnPr/>
                          <wps:spPr>
                            <a:xfrm flipH="1">
                              <a:off x="1879600" y="4051300"/>
                              <a:ext cx="3766058"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20"/>
                          <wps:cNvCnPr/>
                          <wps:spPr>
                            <a:xfrm>
                              <a:off x="850900" y="405130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3"/>
                          <wps:cNvCnPr/>
                          <wps:spPr>
                            <a:xfrm>
                              <a:off x="6629400" y="298450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4"/>
                          <wps:cNvCnPr/>
                          <wps:spPr>
                            <a:xfrm>
                              <a:off x="5638800" y="323850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5"/>
                          <wps:cNvCnPr/>
                          <wps:spPr>
                            <a:xfrm>
                              <a:off x="5638800" y="158750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3" name="Flowchart: Alternate Process 33"/>
                        <wps:cNvSpPr/>
                        <wps:spPr>
                          <a:xfrm rot="16200000">
                            <a:off x="-303212" y="6261417"/>
                            <a:ext cx="896620" cy="262892"/>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2A43842" w14:textId="77777777" w:rsidR="000A1699" w:rsidRPr="001502CF" w:rsidRDefault="000A1699" w:rsidP="000A1699">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E4D5D5" id="Group 27" o:spid="_x0000_s1026" style="width:475.05pt;height:503.8pt;mso-position-horizontal-relative:char;mso-position-vertical-relative:line" coordorigin=",157" coordsize="67407,6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7" type="#_x0000_t176" style="position:absolute;left:-6068;top:10684;width:15167;height:26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" fillcolor="#9cc2e5 [1944]" strokecolor="black [3213]" strokeweight="1pt">
                  <v:textbox>
                    <w:txbxContent>
                      <w:p w14:paraId="38716C65" w14:textId="77777777" w:rsidR="000A1699" w:rsidRPr="001502CF" w:rsidRDefault="000A1699" w:rsidP="000A1699">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v:shape id="Flowchart: Alternate Process 32" o:spid="_x0000_s1028" type="#_x0000_t176" style="position:absolute;left:-17251;top:38110;width:37307;height:28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" fillcolor="#9cc2e5 [1944]" strokecolor="black [3213]" strokeweight="1pt">
                  <v:textbox>
                    <w:txbxContent>
                      <w:p w14:paraId="3A7B2DBD" w14:textId="77777777" w:rsidR="000A1699" w:rsidRDefault="000A1699" w:rsidP="000A1699">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2967CF6" w14:textId="77777777" w:rsidR="000A1699" w:rsidRPr="001502CF" w:rsidRDefault="000A1699" w:rsidP="000A1699">
                        <w:pPr>
                          <w:rPr>
                            <w:rFonts w:ascii="Arial" w:hAnsi="Arial" w:cs="Arial"/>
                            <w:b/>
                            <w:color w:val="000000" w:themeColor="text1"/>
                            <w:sz w:val="18"/>
                            <w:szCs w:val="18"/>
                          </w:rPr>
                        </w:pPr>
                      </w:p>
                    </w:txbxContent>
                  </v:textbox>
                </v:shape>
                <v:group id="Group 26" o:spid="_x0000_s1029" style="position:absolute;left:2765;top:157;width:64642;height:68296" coordorigin="-1739,127" coordsize="94923,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">
                  <v:rect id="Rectangle 2" o:spid="_x0000_s1030" style="position:absolute;left:508;top:3556;width:18872;height:12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1DB7B6D7"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BEE1FFD"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CINAHL (n = 100)</w:t>
                          </w:r>
                        </w:p>
                        <w:p w14:paraId="694DFB22"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MEDLINE (n = 170)</w:t>
                          </w:r>
                        </w:p>
                        <w:p w14:paraId="6FA83977" w14:textId="77777777" w:rsidR="000A1699" w:rsidRPr="0056060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ProQuest (n = 31)</w:t>
                          </w:r>
                        </w:p>
                      </w:txbxContent>
                    </v:textbox>
                  </v:rect>
                  <v:rect id="Rectangle 3" o:spid="_x0000_s1031" style="position:absolute;left:24892;top:3429;width:18872;height:12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6B04CDEB"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25CAB41"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Duplicate records removed  (n = 11)</w:t>
                          </w:r>
                        </w:p>
                        <w:p w14:paraId="2822B242" w14:textId="77777777" w:rsidR="000A1699" w:rsidRPr="0056060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178)</w:t>
                          </w:r>
                        </w:p>
                      </w:txbxContent>
                    </v:textbox>
                  </v:rect>
                  <v:rect id="Rectangle 4" o:spid="_x0000_s1032" style="position:absolute;left:127;top:18796;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3EEE4813"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Pr>
                              <w:rFonts w:ascii="Arial" w:hAnsi="Arial" w:cs="Arial"/>
                              <w:color w:val="000000" w:themeColor="text1"/>
                              <w:sz w:val="18"/>
                              <w:szCs w:val="20"/>
                            </w:rPr>
                            <w:t>screened</w:t>
                          </w:r>
                        </w:p>
                        <w:p w14:paraId="564FE083"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112)</w:t>
                          </w:r>
                        </w:p>
                      </w:txbxContent>
                    </v:textbox>
                  </v:rect>
                  <v:rect id="Rectangle 5" o:spid="_x0000_s1033" style="position:absolute;left:25019;top:18796;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23F56BA3"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Pr>
                              <w:rFonts w:ascii="Arial" w:hAnsi="Arial" w:cs="Arial"/>
                              <w:color w:val="000000" w:themeColor="text1"/>
                              <w:sz w:val="18"/>
                              <w:szCs w:val="20"/>
                            </w:rPr>
                            <w:t>excluded</w:t>
                          </w:r>
                        </w:p>
                        <w:p w14:paraId="192F10ED"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24)</w:t>
                          </w:r>
                        </w:p>
                      </w:txbxContent>
                    </v:textbox>
                  </v:rect>
                  <v:rect id="Rectangle 6" o:spid="_x0000_s1034" style="position:absolute;left:127;top:2705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1BD31EB4"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w:t>
                          </w:r>
                          <w:r>
                            <w:rPr>
                              <w:rFonts w:ascii="Arial" w:hAnsi="Arial" w:cs="Arial"/>
                              <w:color w:val="000000" w:themeColor="text1"/>
                              <w:sz w:val="18"/>
                              <w:szCs w:val="20"/>
                            </w:rPr>
                            <w:t>retrieval</w:t>
                          </w:r>
                        </w:p>
                        <w:p w14:paraId="0D4D90B2"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88)</w:t>
                          </w:r>
                        </w:p>
                      </w:txbxContent>
                    </v:textbox>
                  </v:rect>
                  <v:rect id="Rectangle 7" o:spid="_x0000_s1035" style="position:absolute;left:25019;top:2717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78D2C459"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w:t>
                          </w:r>
                          <w:r>
                            <w:rPr>
                              <w:rFonts w:ascii="Arial" w:hAnsi="Arial" w:cs="Arial"/>
                              <w:color w:val="000000" w:themeColor="text1"/>
                              <w:sz w:val="18"/>
                              <w:szCs w:val="20"/>
                            </w:rPr>
                            <w:t>retrieved</w:t>
                          </w:r>
                        </w:p>
                        <w:p w14:paraId="48C3740E"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0)</w:t>
                          </w:r>
                        </w:p>
                      </w:txbxContent>
                    </v:textbox>
                  </v:rect>
                  <v:rect id="Rectangle 8" o:spid="_x0000_s1036" style="position:absolute;left:127;top:35179;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textbox>
                      <w:txbxContent>
                        <w:p w14:paraId="2359401D"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w:t>
                          </w:r>
                          <w:r>
                            <w:rPr>
                              <w:rFonts w:ascii="Arial" w:hAnsi="Arial" w:cs="Arial"/>
                              <w:color w:val="000000" w:themeColor="text1"/>
                              <w:sz w:val="18"/>
                              <w:szCs w:val="20"/>
                            </w:rPr>
                            <w:t>eligibility</w:t>
                          </w:r>
                        </w:p>
                        <w:p w14:paraId="31FD6556"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88)</w:t>
                          </w:r>
                        </w:p>
                      </w:txbxContent>
                    </v:textbox>
                  </v:rect>
                  <v:rect id="Rectangle 9" o:spid="_x0000_s1037" style="position:absolute;left:47117;top:3429;width:18872;height:12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75084145"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8BCF431"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Websites (n = 2)</w:t>
                          </w:r>
                        </w:p>
                        <w:p w14:paraId="63F0ECDE"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Organisations (n = 5)</w:t>
                          </w:r>
                        </w:p>
                        <w:p w14:paraId="2CBBDE29"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Citation searching (n = 7)</w:t>
                          </w:r>
                        </w:p>
                        <w:p w14:paraId="3E4698BF" w14:textId="77777777" w:rsidR="000A1699" w:rsidRDefault="000A1699" w:rsidP="000A1699">
                          <w:pPr>
                            <w:ind w:left="284"/>
                            <w:rPr>
                              <w:rFonts w:ascii="Arial" w:hAnsi="Arial" w:cs="Arial"/>
                              <w:color w:val="000000" w:themeColor="text1"/>
                              <w:sz w:val="18"/>
                              <w:szCs w:val="20"/>
                            </w:rPr>
                          </w:pPr>
                        </w:p>
                        <w:p w14:paraId="355EA6A9" w14:textId="77777777" w:rsidR="000A1699" w:rsidRPr="00560609" w:rsidRDefault="000A1699" w:rsidP="000A1699">
                          <w:pPr>
                            <w:ind w:left="284"/>
                            <w:rPr>
                              <w:rFonts w:ascii="Arial" w:hAnsi="Arial" w:cs="Arial"/>
                              <w:color w:val="000000" w:themeColor="text1"/>
                              <w:sz w:val="18"/>
                              <w:szCs w:val="20"/>
                            </w:rPr>
                          </w:pPr>
                        </w:p>
                      </w:txbxContent>
                    </v:textbox>
                  </v:rect>
                  <v:rect id="Rectangle 11" o:spid="_x0000_s1038" style="position:absolute;left:72136;top:35433;width:18872;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textbox>
                      <w:txbxContent>
                        <w:p w14:paraId="458332D4" w14:textId="77777777" w:rsidR="000A1699" w:rsidRPr="0056060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 0)</w:t>
                          </w:r>
                        </w:p>
                      </w:txbxContent>
                    </v:textbox>
                  </v:rect>
                  <v:shapetype id="_x0000_t32" coordsize="21600,21600" o:spt="32" o:oned="t" path="m,l21600,21600e" filled="f">
                    <v:path arrowok="t" fillok="f" o:connecttype="none"/>
                    <o:lock v:ext="edit" shapetype="t"/>
                  </v:shapetype>
                  <v:shape id="Straight Arrow Connector 13" o:spid="_x0000_s1039" type="#_x0000_t32" style="position:absolute;left:19050;top:9525;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Straight Arrow Connector 14" o:spid="_x0000_s1040" type="#_x0000_t32" style="position:absolute;left:19050;top:21336;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Straight Arrow Connector 15" o:spid="_x0000_s1041" type="#_x0000_t32" style="position:absolute;left:19177;top:29718;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rect id="Rectangle 8" o:spid="_x0000_s1042" style="position:absolute;left:25142;top:35175;width:18872;height:15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599AB605"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F45C5E5"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Not associated with refusal alone (n = 22)</w:t>
                          </w:r>
                        </w:p>
                        <w:p w14:paraId="52C5A121"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Patients unsuitable for transfusion (n = 6)</w:t>
                          </w:r>
                        </w:p>
                        <w:p w14:paraId="02C35F03" w14:textId="77777777" w:rsidR="000A169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Low-quality paper/study (n = 12)</w:t>
                          </w:r>
                        </w:p>
                        <w:p w14:paraId="1C209869" w14:textId="77777777" w:rsidR="000A1699" w:rsidRPr="00560609" w:rsidRDefault="000A1699" w:rsidP="000A1699">
                          <w:pPr>
                            <w:ind w:left="284"/>
                            <w:rPr>
                              <w:rFonts w:ascii="Arial" w:hAnsi="Arial" w:cs="Arial"/>
                              <w:color w:val="000000" w:themeColor="text1"/>
                              <w:sz w:val="18"/>
                              <w:szCs w:val="20"/>
                            </w:rPr>
                          </w:pPr>
                          <w:r>
                            <w:rPr>
                              <w:rFonts w:ascii="Arial" w:hAnsi="Arial" w:cs="Arial"/>
                              <w:color w:val="000000" w:themeColor="text1"/>
                              <w:sz w:val="18"/>
                              <w:szCs w:val="20"/>
                            </w:rPr>
                            <w:t xml:space="preserve">Lack of relevance to review (n = 19) </w:t>
                          </w:r>
                        </w:p>
                        <w:p w14:paraId="2983AEF8" w14:textId="77777777" w:rsidR="000A1699" w:rsidRPr="00560609" w:rsidRDefault="000A1699" w:rsidP="000A1699">
                          <w:pPr>
                            <w:ind w:left="284"/>
                            <w:rPr>
                              <w:rFonts w:ascii="Arial" w:hAnsi="Arial" w:cs="Arial"/>
                              <w:color w:val="000000" w:themeColor="text1"/>
                              <w:sz w:val="18"/>
                              <w:szCs w:val="20"/>
                            </w:rPr>
                          </w:pPr>
                        </w:p>
                      </w:txbxContent>
                    </v:textbox>
                  </v:rect>
                  <v:shape id="Flowchart: Alternate Process 29" o:spid="_x0000_s1043" type="#_x0000_t176" style="position:absolute;left:-1739;top:127;width:47674;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" fillcolor="#ffc000 [3207]" strokecolor="#7f5f00 [1607]" strokeweight="1pt">
                    <v:textbox>
                      <w:txbxContent>
                        <w:p w14:paraId="05FB8D4D" w14:textId="77777777" w:rsidR="000A1699" w:rsidRPr="001502CF" w:rsidRDefault="000A1699" w:rsidP="000A1699">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v:shape id="Flowchart: Alternate Process 30" o:spid="_x0000_s1044" type="#_x0000_t176" style="position:absolute;left:47244;top:127;width:45939;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" fillcolor="#ffc000 [3207]" strokecolor="#7f5f00 [1607]" strokeweight="1pt">
                    <v:textbox>
                      <w:txbxContent>
                        <w:p w14:paraId="26B7C0EB" w14:textId="77777777" w:rsidR="000A1699" w:rsidRPr="001502CF" w:rsidRDefault="000A1699" w:rsidP="000A1699">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v:shape id="Straight Arrow Connector 18" o:spid="_x0000_s1045" type="#_x0000_t32" style="position:absolute;left:8509;top:15875;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Straight Arrow Connector 19" o:spid="_x0000_s1046" type="#_x0000_t32" style="position:absolute;left:8636;top:32258;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rect id="Rectangle 10" o:spid="_x0000_s1047" style="position:absolute;left:47244;top:35306;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6C0E622F"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w:t>
                          </w:r>
                          <w:r>
                            <w:rPr>
                              <w:rFonts w:ascii="Arial" w:hAnsi="Arial" w:cs="Arial"/>
                              <w:color w:val="000000" w:themeColor="text1"/>
                              <w:sz w:val="18"/>
                              <w:szCs w:val="20"/>
                            </w:rPr>
                            <w:t>eligibility</w:t>
                          </w:r>
                        </w:p>
                        <w:p w14:paraId="7ED9A054"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14)</w:t>
                          </w:r>
                        </w:p>
                      </w:txbxContent>
                    </v:textbox>
                  </v:rect>
                  <v:rect id="Rectangle 22" o:spid="_x0000_s1048" style="position:absolute;left:72136;top:27178;width:18872;height:5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62914FC8"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w:t>
                          </w:r>
                          <w:r>
                            <w:rPr>
                              <w:rFonts w:ascii="Arial" w:hAnsi="Arial" w:cs="Arial"/>
                              <w:color w:val="000000" w:themeColor="text1"/>
                              <w:sz w:val="18"/>
                              <w:szCs w:val="20"/>
                            </w:rPr>
                            <w:t>retrieved</w:t>
                          </w:r>
                        </w:p>
                        <w:p w14:paraId="7BAE8A70"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0)</w:t>
                          </w:r>
                        </w:p>
                      </w:txbxContent>
                    </v:textbox>
                  </v:rect>
                  <v:rect id="Rectangle 21" o:spid="_x0000_s1049" style="position:absolute;left:47244;top:2705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4D526D5F" w14:textId="77777777" w:rsidR="000A1699" w:rsidRDefault="000A1699" w:rsidP="000A1699">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w:t>
                          </w:r>
                          <w:r>
                            <w:rPr>
                              <w:rFonts w:ascii="Arial" w:hAnsi="Arial" w:cs="Arial"/>
                              <w:color w:val="000000" w:themeColor="text1"/>
                              <w:sz w:val="18"/>
                              <w:szCs w:val="20"/>
                            </w:rPr>
                            <w:t>retrieval</w:t>
                          </w:r>
                        </w:p>
                        <w:p w14:paraId="6E3ABC89"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14)</w:t>
                          </w:r>
                        </w:p>
                      </w:txbxContent>
                    </v:textbox>
                  </v:rect>
                  <v:rect id="Rectangle 12" o:spid="_x0000_s1050" style="position:absolute;top:48133;width:1887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1BEC794C" w14:textId="77777777" w:rsidR="000A1699" w:rsidRDefault="000A1699" w:rsidP="000A1699">
                          <w:pPr>
                            <w:rPr>
                              <w:rFonts w:ascii="Arial" w:hAnsi="Arial" w:cs="Arial"/>
                              <w:color w:val="000000" w:themeColor="text1"/>
                              <w:sz w:val="18"/>
                              <w:szCs w:val="20"/>
                            </w:rPr>
                          </w:pPr>
                          <w:r>
                            <w:rPr>
                              <w:rFonts w:ascii="Arial" w:hAnsi="Arial" w:cs="Arial"/>
                              <w:color w:val="000000" w:themeColor="text1"/>
                              <w:sz w:val="18"/>
                              <w:szCs w:val="20"/>
                            </w:rPr>
                            <w:t xml:space="preserve">Studies included in </w:t>
                          </w:r>
                          <w:r>
                            <w:rPr>
                              <w:rFonts w:ascii="Arial" w:hAnsi="Arial" w:cs="Arial"/>
                              <w:color w:val="000000" w:themeColor="text1"/>
                              <w:sz w:val="18"/>
                              <w:szCs w:val="20"/>
                            </w:rPr>
                            <w:t>review</w:t>
                          </w:r>
                        </w:p>
                        <w:p w14:paraId="59F61C0B" w14:textId="77777777" w:rsidR="000A1699" w:rsidRDefault="000A1699" w:rsidP="000A1699">
                          <w:pPr>
                            <w:rPr>
                              <w:rFonts w:ascii="Arial" w:hAnsi="Arial" w:cs="Arial"/>
                              <w:color w:val="000000" w:themeColor="text1"/>
                              <w:sz w:val="18"/>
                              <w:szCs w:val="20"/>
                            </w:rPr>
                          </w:pPr>
                          <w:r>
                            <w:rPr>
                              <w:rFonts w:ascii="Arial" w:hAnsi="Arial" w:cs="Arial"/>
                              <w:color w:val="000000" w:themeColor="text1"/>
                              <w:sz w:val="18"/>
                              <w:szCs w:val="20"/>
                            </w:rPr>
                            <w:t>(n = 43)</w:t>
                          </w:r>
                        </w:p>
                        <w:p w14:paraId="519EBE1E" w14:textId="77777777" w:rsidR="000A1699" w:rsidRDefault="000A1699" w:rsidP="000A1699">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51F062DC" w14:textId="77777777" w:rsidR="000A1699" w:rsidRPr="00560609" w:rsidRDefault="000A1699" w:rsidP="000A1699">
                          <w:pPr>
                            <w:rPr>
                              <w:rFonts w:ascii="Arial" w:hAnsi="Arial" w:cs="Arial"/>
                              <w:color w:val="000000" w:themeColor="text1"/>
                              <w:sz w:val="18"/>
                              <w:szCs w:val="20"/>
                            </w:rPr>
                          </w:pPr>
                          <w:r>
                            <w:rPr>
                              <w:rFonts w:ascii="Arial" w:hAnsi="Arial" w:cs="Arial"/>
                              <w:color w:val="000000" w:themeColor="text1"/>
                              <w:sz w:val="18"/>
                              <w:szCs w:val="20"/>
                            </w:rPr>
                            <w:t>(n = 43)</w:t>
                          </w:r>
                        </w:p>
                      </w:txbxContent>
                    </v:textbox>
                  </v:rect>
                  <v:shape id="Straight Arrow Connector 16" o:spid="_x0000_s1051" type="#_x0000_t32" style="position:absolute;left:19304;top:37973;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Straight Arrow Connector 17" o:spid="_x0000_s1052" type="#_x0000_t32" style="position:absolute;left:66294;top:38100;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53" type="#_x0000_t34" style="position:absolute;left:18796;top:40513;width:37660;height:1133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" adj="11" strokecolor="black [3213]" strokeweight=".5pt">
                    <v:stroke endarrow="block"/>
                  </v:shape>
                  <v:shape id="Straight Arrow Connector 20" o:spid="_x0000_s1054" type="#_x0000_t32" style="position:absolute;left:8509;top:40513;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Straight Arrow Connector 23" o:spid="_x0000_s1055" type="#_x0000_t32" style="position:absolute;left:66294;top:29845;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 id="Straight Arrow Connector 24" o:spid="_x0000_s1056" type="#_x0000_t32" style="position:absolute;left:56388;top:32385;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Straight Arrow Connector 25" o:spid="_x0000_s1057" type="#_x0000_t32" style="position:absolute;left:56388;top:15875;width:0;height:10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group>
                <v:shape id="Flowchart: Alternate Process 33" o:spid="_x0000_s1058" type="#_x0000_t176" style="position:absolute;left:-3032;top:62613;width:8966;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" fillcolor="#9cc2e5 [1944]" strokecolor="black [3213]" strokeweight="1pt">
                  <v:textbox>
                    <w:txbxContent>
                      <w:p w14:paraId="32A43842" w14:textId="77777777" w:rsidR="000A1699" w:rsidRPr="001502CF" w:rsidRDefault="000A1699" w:rsidP="000A1699">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10:anchorlock/>
              </v:group>
            </w:pict>
          </mc:Fallback>
        </mc:AlternateContent>
      </w:r>
    </w:p>
    <w:p w14:paraId="4CDCF101" w14:textId="77777777" w:rsidR="000A1699" w:rsidRDefault="000A1699" w:rsidP="000A1699"/>
    <w:p w14:paraId="6327EFF4" w14:textId="77777777" w:rsidR="000A1699" w:rsidRDefault="000A1699" w:rsidP="000A1699"/>
    <w:p w14:paraId="4A08E727" w14:textId="77777777" w:rsidR="000A1699" w:rsidRPr="00847A38" w:rsidRDefault="000A1699" w:rsidP="000A1699">
      <w:pPr>
        <w:spacing w:after="240" w:line="480" w:lineRule="auto"/>
        <w:rPr>
          <w:rFonts w:ascii="Times New Roman" w:eastAsia="Times New Roman" w:hAnsi="Times New Roman" w:cs="Times New Roman"/>
          <w:kern w:val="0"/>
          <w:lang w:eastAsia="en-GB"/>
          <w14:ligatures w14:val="none"/>
        </w:rPr>
      </w:pPr>
      <w:r w:rsidRPr="00AC0E76">
        <w:rPr>
          <w:rFonts w:ascii="Times New Roman" w:eastAsia="Times New Roman" w:hAnsi="Times New Roman" w:cs="Times New Roman"/>
          <w:b/>
          <w:bCs/>
          <w:color w:val="252525"/>
          <w:kern w:val="0"/>
          <w:lang w:eastAsia="en-GB"/>
          <w14:ligatures w14:val="none"/>
        </w:rPr>
        <w:t>Figure 1.</w:t>
      </w:r>
      <w:r w:rsidRPr="00AC0E76">
        <w:rPr>
          <w:rFonts w:ascii="Times New Roman" w:eastAsia="Times New Roman" w:hAnsi="Times New Roman" w:cs="Times New Roman"/>
          <w:b/>
          <w:bCs/>
          <w:color w:val="252525"/>
          <w:kern w:val="0"/>
          <w:sz w:val="22"/>
          <w:szCs w:val="22"/>
          <w:lang w:eastAsia="en-GB"/>
          <w14:ligatures w14:val="none"/>
        </w:rPr>
        <w:t xml:space="preserve"> </w:t>
      </w:r>
      <w:r w:rsidRPr="00AC0E76">
        <w:rPr>
          <w:rFonts w:ascii="Times New Roman" w:eastAsia="Times New Roman" w:hAnsi="Times New Roman" w:cs="Times New Roman"/>
          <w:color w:val="222222"/>
          <w:kern w:val="0"/>
          <w:sz w:val="22"/>
          <w:szCs w:val="22"/>
          <w:shd w:val="clear" w:color="auto" w:fill="FFFFFF"/>
          <w:lang w:eastAsia="en-GB"/>
          <w14:ligatures w14:val="none"/>
        </w:rPr>
        <w:t xml:space="preserve">PRISMA 2020 flow diagram for new systematic reviews which included searches of databases, </w:t>
      </w:r>
      <w:proofErr w:type="gramStart"/>
      <w:r w:rsidRPr="00AC0E76">
        <w:rPr>
          <w:rFonts w:ascii="Times New Roman" w:eastAsia="Times New Roman" w:hAnsi="Times New Roman" w:cs="Times New Roman"/>
          <w:color w:val="222222"/>
          <w:kern w:val="0"/>
          <w:sz w:val="22"/>
          <w:szCs w:val="22"/>
          <w:shd w:val="clear" w:color="auto" w:fill="FFFFFF"/>
          <w:lang w:eastAsia="en-GB"/>
          <w14:ligatures w14:val="none"/>
        </w:rPr>
        <w:t>registers</w:t>
      </w:r>
      <w:proofErr w:type="gramEnd"/>
      <w:r w:rsidRPr="00AC0E76">
        <w:rPr>
          <w:rFonts w:ascii="Times New Roman" w:eastAsia="Times New Roman" w:hAnsi="Times New Roman" w:cs="Times New Roman"/>
          <w:color w:val="222222"/>
          <w:kern w:val="0"/>
          <w:sz w:val="22"/>
          <w:szCs w:val="22"/>
          <w:shd w:val="clear" w:color="auto" w:fill="FFFFFF"/>
          <w:lang w:eastAsia="en-GB"/>
          <w14:ligatures w14:val="none"/>
        </w:rPr>
        <w:t xml:space="preserve"> and other sources.</w:t>
      </w:r>
    </w:p>
    <w:p w14:paraId="7DC6ADDD" w14:textId="77777777" w:rsidR="000A1699" w:rsidRDefault="000A1699" w:rsidP="000A1699"/>
    <w:sectPr w:rsidR="000A1699" w:rsidSect="000944F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A14D" w14:textId="77777777" w:rsidR="00D96B82" w:rsidRDefault="00D96B82" w:rsidP="00D96B82">
      <w:r>
        <w:separator/>
      </w:r>
    </w:p>
  </w:endnote>
  <w:endnote w:type="continuationSeparator" w:id="0">
    <w:p w14:paraId="772AC8DA" w14:textId="77777777" w:rsidR="00D96B82" w:rsidRDefault="00D96B82" w:rsidP="00D9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0B2" w14:textId="77777777" w:rsidR="00D96B82" w:rsidRDefault="00D96B82" w:rsidP="00D96B82">
      <w:r>
        <w:separator/>
      </w:r>
    </w:p>
  </w:footnote>
  <w:footnote w:type="continuationSeparator" w:id="0">
    <w:p w14:paraId="660547D7" w14:textId="77777777" w:rsidR="00D96B82" w:rsidRDefault="00D96B82" w:rsidP="00D9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4202"/>
    <w:multiLevelType w:val="multilevel"/>
    <w:tmpl w:val="1DA6D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C5BCD"/>
    <w:multiLevelType w:val="multilevel"/>
    <w:tmpl w:val="358A4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5367A"/>
    <w:multiLevelType w:val="multilevel"/>
    <w:tmpl w:val="3146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5035B"/>
    <w:multiLevelType w:val="multilevel"/>
    <w:tmpl w:val="CC50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35E37"/>
    <w:multiLevelType w:val="multilevel"/>
    <w:tmpl w:val="53F2C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6E57E4"/>
    <w:multiLevelType w:val="multilevel"/>
    <w:tmpl w:val="FA60E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415550"/>
    <w:multiLevelType w:val="multilevel"/>
    <w:tmpl w:val="70922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009700">
    <w:abstractNumId w:val="3"/>
  </w:num>
  <w:num w:numId="2" w16cid:durableId="235821927">
    <w:abstractNumId w:val="5"/>
    <w:lvlOverride w:ilvl="0">
      <w:lvl w:ilvl="0">
        <w:numFmt w:val="decimal"/>
        <w:lvlText w:val="%1."/>
        <w:lvlJc w:val="left"/>
      </w:lvl>
    </w:lvlOverride>
  </w:num>
  <w:num w:numId="3" w16cid:durableId="350109780">
    <w:abstractNumId w:val="0"/>
    <w:lvlOverride w:ilvl="0">
      <w:lvl w:ilvl="0">
        <w:numFmt w:val="decimal"/>
        <w:lvlText w:val="%1."/>
        <w:lvlJc w:val="left"/>
      </w:lvl>
    </w:lvlOverride>
  </w:num>
  <w:num w:numId="4" w16cid:durableId="191648683">
    <w:abstractNumId w:val="4"/>
    <w:lvlOverride w:ilvl="0">
      <w:lvl w:ilvl="0">
        <w:numFmt w:val="decimal"/>
        <w:lvlText w:val="%1."/>
        <w:lvlJc w:val="left"/>
      </w:lvl>
    </w:lvlOverride>
  </w:num>
  <w:num w:numId="5" w16cid:durableId="298193751">
    <w:abstractNumId w:val="2"/>
  </w:num>
  <w:num w:numId="6" w16cid:durableId="1943030752">
    <w:abstractNumId w:val="1"/>
    <w:lvlOverride w:ilvl="0">
      <w:lvl w:ilvl="0">
        <w:numFmt w:val="decimal"/>
        <w:lvlText w:val="%1."/>
        <w:lvlJc w:val="left"/>
      </w:lvl>
    </w:lvlOverride>
  </w:num>
  <w:num w:numId="7" w16cid:durableId="66783177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99"/>
    <w:rsid w:val="000944FC"/>
    <w:rsid w:val="000A1699"/>
    <w:rsid w:val="00523E21"/>
    <w:rsid w:val="00C13D5A"/>
    <w:rsid w:val="00D9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64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69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0A1699"/>
    <w:rPr>
      <w:color w:val="0000FF"/>
      <w:u w:val="single"/>
    </w:rPr>
  </w:style>
  <w:style w:type="paragraph" w:styleId="Header">
    <w:name w:val="header"/>
    <w:basedOn w:val="Normal"/>
    <w:link w:val="HeaderChar"/>
    <w:uiPriority w:val="99"/>
    <w:unhideWhenUsed/>
    <w:rsid w:val="00D96B82"/>
    <w:pPr>
      <w:tabs>
        <w:tab w:val="center" w:pos="4513"/>
        <w:tab w:val="right" w:pos="9026"/>
      </w:tabs>
    </w:pPr>
  </w:style>
  <w:style w:type="character" w:customStyle="1" w:styleId="HeaderChar">
    <w:name w:val="Header Char"/>
    <w:basedOn w:val="DefaultParagraphFont"/>
    <w:link w:val="Header"/>
    <w:uiPriority w:val="99"/>
    <w:rsid w:val="00D96B82"/>
  </w:style>
  <w:style w:type="paragraph" w:styleId="Footer">
    <w:name w:val="footer"/>
    <w:basedOn w:val="Normal"/>
    <w:link w:val="FooterChar"/>
    <w:uiPriority w:val="99"/>
    <w:unhideWhenUsed/>
    <w:rsid w:val="00D96B82"/>
    <w:pPr>
      <w:tabs>
        <w:tab w:val="center" w:pos="4513"/>
        <w:tab w:val="right" w:pos="9026"/>
      </w:tabs>
    </w:pPr>
  </w:style>
  <w:style w:type="character" w:customStyle="1" w:styleId="FooterChar">
    <w:name w:val="Footer Char"/>
    <w:basedOn w:val="DefaultParagraphFont"/>
    <w:link w:val="Footer"/>
    <w:uiPriority w:val="99"/>
    <w:rsid w:val="00D9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org.uk/media/1850/bma-best-interests-toolkit-2019.pdf" TargetMode="External"/><Relationship Id="rId13" Type="http://schemas.openxmlformats.org/officeDocument/2006/relationships/hyperlink" Target="https://www.rcog.org.uk/guidance/browse-all-guidance/green-top-guidelines/blood-transfusions-in-obstetrics-green-top-guideline-no-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136/bmj.n71" TargetMode="External"/><Relationship Id="rId12" Type="http://schemas.openxmlformats.org/officeDocument/2006/relationships/hyperlink" Target="https://www.nice.org.uk/guidance/ng24" TargetMode="External"/><Relationship Id="rId17" Type="http://schemas.openxmlformats.org/officeDocument/2006/relationships/hyperlink" Target="https://doi.org/10.1213/ane.0000000000001010" TargetMode="External"/><Relationship Id="rId2" Type="http://schemas.openxmlformats.org/officeDocument/2006/relationships/styles" Target="styles.xml"/><Relationship Id="rId16" Type="http://schemas.openxmlformats.org/officeDocument/2006/relationships/hyperlink" Target="https://apps.who.int/iris/bitstream/handle/10665/75411/9789241548502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ta323/chapter/4-Evidence-and-interpretation" TargetMode="External"/><Relationship Id="rId5" Type="http://schemas.openxmlformats.org/officeDocument/2006/relationships/footnotes" Target="footnotes.xml"/><Relationship Id="rId15" Type="http://schemas.openxmlformats.org/officeDocument/2006/relationships/hyperlink" Target="https://sabm.org/" TargetMode="External"/><Relationship Id="rId10" Type="http://schemas.openxmlformats.org/officeDocument/2006/relationships/hyperlink" Target="https://www.fda.gov/vaccines-blood-biologics/science-research-biologics/fda-comparison-characteristics-hemoglobin-based-oxygen-carriers-could-guide-development-safe-an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salford.idm.oclc.org/10.5301/hipint.5000590" TargetMode="External"/><Relationship Id="rId14" Type="http://schemas.openxmlformats.org/officeDocument/2006/relationships/hyperlink" Target="https://doi.org/10.1097/ACO.0000000000000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4004</Words>
  <Characters>22823</Characters>
  <Application>Microsoft Office Word</Application>
  <DocSecurity>0</DocSecurity>
  <Lines>190</Lines>
  <Paragraphs>53</Paragraphs>
  <ScaleCrop>false</ScaleCrop>
  <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2024-01-30T14:43:00Z</dcterms:created>
  <dcterms:modified xsi:type="dcterms:W3CDTF">2024-01-30T14:43:00Z</dcterms:modified>
</cp:coreProperties>
</file>