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81A8A" w14:textId="4B494F05" w:rsidR="00F93A04" w:rsidRPr="002857B0" w:rsidRDefault="001A5125" w:rsidP="0058755E">
      <w:pPr>
        <w:spacing w:before="240" w:after="480" w:line="480" w:lineRule="auto"/>
        <w:ind w:firstLine="720"/>
        <w:jc w:val="center"/>
        <w:rPr>
          <w:rFonts w:ascii="Times New Roman" w:hAnsi="Times New Roman" w:cs="Times New Roman"/>
          <w:b/>
          <w:bCs/>
          <w:sz w:val="36"/>
          <w:szCs w:val="36"/>
        </w:rPr>
      </w:pPr>
      <w:r w:rsidRPr="002857B0">
        <w:rPr>
          <w:rFonts w:ascii="Times New Roman" w:hAnsi="Times New Roman" w:cs="Times New Roman"/>
          <w:b/>
          <w:bCs/>
          <w:sz w:val="36"/>
          <w:szCs w:val="36"/>
        </w:rPr>
        <w:t>V</w:t>
      </w:r>
      <w:r w:rsidR="00B67E14" w:rsidRPr="002857B0">
        <w:rPr>
          <w:rFonts w:ascii="Times New Roman" w:hAnsi="Times New Roman" w:cs="Times New Roman"/>
          <w:b/>
          <w:bCs/>
          <w:sz w:val="36"/>
          <w:szCs w:val="36"/>
        </w:rPr>
        <w:t>ulnerability of energy firms to climate risk</w:t>
      </w:r>
      <w:r w:rsidR="00F93A04" w:rsidRPr="002857B0">
        <w:rPr>
          <w:rFonts w:ascii="Times New Roman" w:hAnsi="Times New Roman" w:cs="Times New Roman"/>
          <w:b/>
          <w:bCs/>
          <w:sz w:val="36"/>
          <w:szCs w:val="36"/>
        </w:rPr>
        <w:t xml:space="preserve">: </w:t>
      </w:r>
      <w:r w:rsidR="00B67E14" w:rsidRPr="002857B0">
        <w:rPr>
          <w:rFonts w:ascii="Times New Roman" w:hAnsi="Times New Roman" w:cs="Times New Roman"/>
          <w:b/>
          <w:bCs/>
          <w:sz w:val="36"/>
          <w:szCs w:val="36"/>
        </w:rPr>
        <w:br/>
        <w:t>Do</w:t>
      </w:r>
      <w:r w:rsidR="00752194" w:rsidRPr="002857B0">
        <w:rPr>
          <w:rFonts w:ascii="Times New Roman" w:hAnsi="Times New Roman" w:cs="Times New Roman"/>
          <w:b/>
          <w:bCs/>
          <w:sz w:val="36"/>
          <w:szCs w:val="36"/>
        </w:rPr>
        <w:t>es</w:t>
      </w:r>
      <w:r w:rsidR="00F93A04" w:rsidRPr="002857B0">
        <w:rPr>
          <w:rFonts w:ascii="Times New Roman" w:hAnsi="Times New Roman" w:cs="Times New Roman"/>
          <w:b/>
          <w:bCs/>
          <w:sz w:val="36"/>
          <w:szCs w:val="36"/>
        </w:rPr>
        <w:t xml:space="preserve"> </w:t>
      </w:r>
      <w:r w:rsidR="00B67E14" w:rsidRPr="002857B0">
        <w:rPr>
          <w:rFonts w:ascii="Times New Roman" w:hAnsi="Times New Roman" w:cs="Times New Roman"/>
          <w:b/>
          <w:bCs/>
          <w:sz w:val="36"/>
          <w:szCs w:val="36"/>
        </w:rPr>
        <w:t>f</w:t>
      </w:r>
      <w:r w:rsidR="00F93A04" w:rsidRPr="002857B0">
        <w:rPr>
          <w:rFonts w:ascii="Times New Roman" w:hAnsi="Times New Roman" w:cs="Times New Roman"/>
          <w:b/>
          <w:bCs/>
          <w:sz w:val="36"/>
          <w:szCs w:val="36"/>
        </w:rPr>
        <w:t>intech</w:t>
      </w:r>
      <w:r w:rsidR="00752194" w:rsidRPr="002857B0">
        <w:rPr>
          <w:rFonts w:ascii="Times New Roman" w:hAnsi="Times New Roman" w:cs="Times New Roman"/>
          <w:b/>
          <w:bCs/>
          <w:sz w:val="36"/>
          <w:szCs w:val="36"/>
        </w:rPr>
        <w:t xml:space="preserve"> development </w:t>
      </w:r>
      <w:r w:rsidR="00B67E14" w:rsidRPr="002857B0">
        <w:rPr>
          <w:rFonts w:ascii="Times New Roman" w:hAnsi="Times New Roman" w:cs="Times New Roman"/>
          <w:b/>
          <w:bCs/>
          <w:sz w:val="36"/>
          <w:szCs w:val="36"/>
        </w:rPr>
        <w:t>help?</w:t>
      </w:r>
    </w:p>
    <w:p w14:paraId="3309B7CB" w14:textId="77777777" w:rsidR="002857B0" w:rsidRDefault="002857B0" w:rsidP="00820EEF">
      <w:pPr>
        <w:spacing w:after="0" w:line="480" w:lineRule="auto"/>
        <w:jc w:val="center"/>
        <w:rPr>
          <w:rFonts w:ascii="Times New Roman" w:hAnsi="Times New Roman" w:cs="Times New Roman"/>
          <w:b/>
          <w:bCs/>
          <w:sz w:val="24"/>
          <w:szCs w:val="24"/>
        </w:rPr>
      </w:pPr>
    </w:p>
    <w:p w14:paraId="169DF786" w14:textId="0D6F4390" w:rsidR="0079263F" w:rsidRPr="0079263F" w:rsidRDefault="00C46D04" w:rsidP="00820EEF">
      <w:pPr>
        <w:spacing w:after="0" w:line="480" w:lineRule="auto"/>
        <w:jc w:val="center"/>
        <w:rPr>
          <w:rFonts w:ascii="Times New Roman" w:hAnsi="Times New Roman" w:cs="Times New Roman"/>
          <w:b/>
          <w:bCs/>
          <w:sz w:val="24"/>
          <w:szCs w:val="24"/>
        </w:rPr>
      </w:pPr>
      <w:r w:rsidRPr="0079263F">
        <w:rPr>
          <w:rFonts w:ascii="Times New Roman" w:hAnsi="Times New Roman" w:cs="Times New Roman"/>
          <w:b/>
          <w:bCs/>
          <w:sz w:val="24"/>
          <w:szCs w:val="24"/>
        </w:rPr>
        <w:t>Abstract</w:t>
      </w:r>
    </w:p>
    <w:p w14:paraId="0CA3BB5C" w14:textId="0D7734C1" w:rsidR="00C46D04" w:rsidRDefault="00B67E14" w:rsidP="0079263F">
      <w:pPr>
        <w:spacing w:line="276" w:lineRule="auto"/>
        <w:jc w:val="both"/>
        <w:rPr>
          <w:rFonts w:ascii="Times New Roman" w:hAnsi="Times New Roman" w:cs="Times New Roman"/>
        </w:rPr>
      </w:pPr>
      <w:r w:rsidRPr="00DE7B2A">
        <w:rPr>
          <w:rFonts w:ascii="Times New Roman" w:hAnsi="Times New Roman" w:cs="Times New Roman"/>
        </w:rPr>
        <w:t>E</w:t>
      </w:r>
      <w:r w:rsidR="00C46D04" w:rsidRPr="00DE7B2A">
        <w:rPr>
          <w:rFonts w:ascii="Times New Roman" w:hAnsi="Times New Roman" w:cs="Times New Roman"/>
        </w:rPr>
        <w:t xml:space="preserve">nergy firms, given their importance to overall economic activity, </w:t>
      </w:r>
      <w:r w:rsidR="00AA07EE" w:rsidRPr="00DE7B2A">
        <w:rPr>
          <w:rFonts w:ascii="Times New Roman" w:hAnsi="Times New Roman" w:cs="Times New Roman"/>
        </w:rPr>
        <w:t xml:space="preserve">are </w:t>
      </w:r>
      <w:r w:rsidRPr="00DE7B2A">
        <w:rPr>
          <w:rFonts w:ascii="Times New Roman" w:hAnsi="Times New Roman" w:cs="Times New Roman"/>
        </w:rPr>
        <w:t>increasingly</w:t>
      </w:r>
      <w:r w:rsidR="00AA07EE" w:rsidRPr="00DE7B2A">
        <w:rPr>
          <w:rFonts w:ascii="Times New Roman" w:hAnsi="Times New Roman" w:cs="Times New Roman"/>
        </w:rPr>
        <w:t xml:space="preserve"> seen as sources of systemic risk</w:t>
      </w:r>
      <w:r w:rsidR="0079263F" w:rsidRPr="00DE7B2A">
        <w:rPr>
          <w:rFonts w:ascii="Times New Roman" w:hAnsi="Times New Roman" w:cs="Times New Roman"/>
        </w:rPr>
        <w:t>.</w:t>
      </w:r>
      <w:r w:rsidR="00695DAA" w:rsidRPr="00DE7B2A">
        <w:rPr>
          <w:rFonts w:ascii="Times New Roman" w:hAnsi="Times New Roman" w:cs="Times New Roman"/>
        </w:rPr>
        <w:t xml:space="preserve"> </w:t>
      </w:r>
      <w:r w:rsidRPr="00DE7B2A">
        <w:rPr>
          <w:rFonts w:ascii="Times New Roman" w:hAnsi="Times New Roman" w:cs="Times New Roman"/>
        </w:rPr>
        <w:t xml:space="preserve">Considering the relation of climate-change risk to energy sources, it is sensible to consider energy firms as vulnerable to climate-change. </w:t>
      </w:r>
      <w:r w:rsidR="00752194">
        <w:rPr>
          <w:rFonts w:ascii="Times New Roman" w:hAnsi="Times New Roman" w:cs="Times New Roman"/>
        </w:rPr>
        <w:t>W</w:t>
      </w:r>
      <w:r w:rsidR="0079263F" w:rsidRPr="00DE7B2A">
        <w:rPr>
          <w:rFonts w:ascii="Times New Roman" w:hAnsi="Times New Roman" w:cs="Times New Roman"/>
        </w:rPr>
        <w:t xml:space="preserve">e investigate whether </w:t>
      </w:r>
      <w:r w:rsidR="00DE7B2A" w:rsidRPr="00DE7B2A">
        <w:rPr>
          <w:rFonts w:ascii="Times New Roman" w:hAnsi="Times New Roman" w:cs="Times New Roman"/>
        </w:rPr>
        <w:t>fintech</w:t>
      </w:r>
      <w:r w:rsidR="00AA07EE" w:rsidRPr="00DE7B2A">
        <w:rPr>
          <w:rFonts w:ascii="Times New Roman" w:hAnsi="Times New Roman" w:cs="Times New Roman"/>
        </w:rPr>
        <w:t xml:space="preserve"> </w:t>
      </w:r>
      <w:r w:rsidR="00752194">
        <w:rPr>
          <w:rFonts w:ascii="Times New Roman" w:hAnsi="Times New Roman" w:cs="Times New Roman"/>
        </w:rPr>
        <w:t>development</w:t>
      </w:r>
      <w:r w:rsidR="00AA07EE" w:rsidRPr="00DE7B2A">
        <w:rPr>
          <w:rFonts w:ascii="Times New Roman" w:hAnsi="Times New Roman" w:cs="Times New Roman"/>
        </w:rPr>
        <w:t xml:space="preserve"> </w:t>
      </w:r>
      <w:r w:rsidRPr="00DE7B2A">
        <w:rPr>
          <w:rFonts w:ascii="Times New Roman" w:hAnsi="Times New Roman" w:cs="Times New Roman"/>
        </w:rPr>
        <w:t>bolsters energy firms</w:t>
      </w:r>
      <w:r w:rsidR="0079263F" w:rsidRPr="00DE7B2A">
        <w:rPr>
          <w:rFonts w:ascii="Times New Roman" w:hAnsi="Times New Roman" w:cs="Times New Roman"/>
        </w:rPr>
        <w:t xml:space="preserve"> </w:t>
      </w:r>
      <w:r w:rsidRPr="00DE7B2A">
        <w:rPr>
          <w:rFonts w:ascii="Times New Roman" w:hAnsi="Times New Roman" w:cs="Times New Roman"/>
        </w:rPr>
        <w:t>(</w:t>
      </w:r>
      <w:r w:rsidR="0079263F" w:rsidRPr="00DE7B2A">
        <w:rPr>
          <w:rFonts w:ascii="Times New Roman" w:hAnsi="Times New Roman" w:cs="Times New Roman"/>
        </w:rPr>
        <w:t>valu</w:t>
      </w:r>
      <w:r w:rsidRPr="00DE7B2A">
        <w:rPr>
          <w:rFonts w:ascii="Times New Roman" w:hAnsi="Times New Roman" w:cs="Times New Roman"/>
        </w:rPr>
        <w:t>ations</w:t>
      </w:r>
      <w:r w:rsidR="0079263F" w:rsidRPr="00DE7B2A">
        <w:rPr>
          <w:rFonts w:ascii="Times New Roman" w:hAnsi="Times New Roman" w:cs="Times New Roman"/>
        </w:rPr>
        <w:t xml:space="preserve"> and dividends</w:t>
      </w:r>
      <w:r w:rsidRPr="00DE7B2A">
        <w:rPr>
          <w:rFonts w:ascii="Times New Roman" w:hAnsi="Times New Roman" w:cs="Times New Roman"/>
        </w:rPr>
        <w:t>)</w:t>
      </w:r>
      <w:r w:rsidR="0079263F" w:rsidRPr="00DE7B2A">
        <w:rPr>
          <w:rFonts w:ascii="Times New Roman" w:hAnsi="Times New Roman" w:cs="Times New Roman"/>
        </w:rPr>
        <w:t xml:space="preserve"> </w:t>
      </w:r>
      <w:r w:rsidRPr="00DE7B2A">
        <w:rPr>
          <w:rFonts w:ascii="Times New Roman" w:hAnsi="Times New Roman" w:cs="Times New Roman"/>
        </w:rPr>
        <w:t>as</w:t>
      </w:r>
      <w:r w:rsidR="0079263F" w:rsidRPr="00DE7B2A">
        <w:rPr>
          <w:rFonts w:ascii="Times New Roman" w:hAnsi="Times New Roman" w:cs="Times New Roman"/>
        </w:rPr>
        <w:t xml:space="preserve"> </w:t>
      </w:r>
      <w:r w:rsidR="00DE7B2A" w:rsidRPr="00DE7B2A">
        <w:rPr>
          <w:rFonts w:ascii="Times New Roman" w:hAnsi="Times New Roman" w:cs="Times New Roman"/>
        </w:rPr>
        <w:t>these</w:t>
      </w:r>
      <w:r w:rsidRPr="00DE7B2A">
        <w:rPr>
          <w:rFonts w:ascii="Times New Roman" w:hAnsi="Times New Roman" w:cs="Times New Roman"/>
        </w:rPr>
        <w:t xml:space="preserve"> </w:t>
      </w:r>
      <w:r w:rsidR="0079263F" w:rsidRPr="00DE7B2A">
        <w:rPr>
          <w:rFonts w:ascii="Times New Roman" w:hAnsi="Times New Roman" w:cs="Times New Roman"/>
        </w:rPr>
        <w:t xml:space="preserve">firms </w:t>
      </w:r>
      <w:r w:rsidRPr="00DE7B2A">
        <w:rPr>
          <w:rFonts w:ascii="Times New Roman" w:hAnsi="Times New Roman" w:cs="Times New Roman"/>
        </w:rPr>
        <w:t>face</w:t>
      </w:r>
      <w:r w:rsidR="0079263F" w:rsidRPr="00DE7B2A">
        <w:rPr>
          <w:rFonts w:ascii="Times New Roman" w:hAnsi="Times New Roman" w:cs="Times New Roman"/>
        </w:rPr>
        <w:t xml:space="preserve"> </w:t>
      </w:r>
      <w:r w:rsidR="00695DAA" w:rsidRPr="00DE7B2A">
        <w:rPr>
          <w:rFonts w:ascii="Times New Roman" w:hAnsi="Times New Roman" w:cs="Times New Roman"/>
        </w:rPr>
        <w:t>greater</w:t>
      </w:r>
      <w:r w:rsidR="0079263F" w:rsidRPr="00DE7B2A">
        <w:rPr>
          <w:rFonts w:ascii="Times New Roman" w:hAnsi="Times New Roman" w:cs="Times New Roman"/>
        </w:rPr>
        <w:t xml:space="preserve"> climate risk. </w:t>
      </w:r>
      <w:bookmarkStart w:id="0" w:name="_Hlk194433482"/>
      <w:r w:rsidR="00347F47" w:rsidRPr="00347F47">
        <w:rPr>
          <w:rFonts w:ascii="Times New Roman" w:hAnsi="Times New Roman" w:cs="Times New Roman"/>
        </w:rPr>
        <w:t>Using an international sample of listed energy firms from 2016 to 2023 (2379 (1972)</w:t>
      </w:r>
      <w:r w:rsidR="00645A2A">
        <w:rPr>
          <w:rFonts w:ascii="Times New Roman" w:hAnsi="Times New Roman" w:cs="Times New Roman"/>
        </w:rPr>
        <w:t xml:space="preserve"> </w:t>
      </w:r>
      <w:r w:rsidR="00645A2A" w:rsidRPr="00645A2A">
        <w:rPr>
          <w:rFonts w:ascii="Times New Roman" w:hAnsi="Times New Roman" w:cs="Times New Roman"/>
        </w:rPr>
        <w:t xml:space="preserve">firm-year </w:t>
      </w:r>
      <w:r w:rsidR="00347F47" w:rsidRPr="00347F47">
        <w:rPr>
          <w:rFonts w:ascii="Times New Roman" w:hAnsi="Times New Roman" w:cs="Times New Roman"/>
        </w:rPr>
        <w:t>observations for our firm value</w:t>
      </w:r>
      <w:r w:rsidR="00EC66BC">
        <w:rPr>
          <w:rFonts w:ascii="Times New Roman" w:hAnsi="Times New Roman" w:cs="Times New Roman"/>
        </w:rPr>
        <w:t xml:space="preserve"> </w:t>
      </w:r>
      <w:r w:rsidR="00EC66BC" w:rsidRPr="007B3628">
        <w:rPr>
          <w:rFonts w:ascii="Times New Roman" w:hAnsi="Times New Roman" w:cs="Times New Roman"/>
        </w:rPr>
        <w:t>(dividend)</w:t>
      </w:r>
      <w:r w:rsidR="00645A2A">
        <w:rPr>
          <w:rFonts w:ascii="Times New Roman" w:hAnsi="Times New Roman" w:cs="Times New Roman"/>
        </w:rPr>
        <w:t xml:space="preserve"> </w:t>
      </w:r>
      <w:r w:rsidR="00347F47" w:rsidRPr="00347F47">
        <w:rPr>
          <w:rFonts w:ascii="Times New Roman" w:hAnsi="Times New Roman" w:cs="Times New Roman"/>
        </w:rPr>
        <w:t>model)</w:t>
      </w:r>
      <w:r w:rsidR="00347F47">
        <w:rPr>
          <w:rFonts w:ascii="Times New Roman" w:hAnsi="Times New Roman" w:cs="Times New Roman"/>
        </w:rPr>
        <w:t xml:space="preserve"> and ordinary least squares regression</w:t>
      </w:r>
      <w:r w:rsidR="00347F47" w:rsidRPr="00347F47">
        <w:rPr>
          <w:rFonts w:ascii="Times New Roman" w:hAnsi="Times New Roman" w:cs="Times New Roman"/>
        </w:rPr>
        <w:t xml:space="preserve">, </w:t>
      </w:r>
      <w:r w:rsidR="0079263F" w:rsidRPr="00DE7B2A">
        <w:rPr>
          <w:rFonts w:ascii="Times New Roman" w:hAnsi="Times New Roman" w:cs="Times New Roman"/>
        </w:rPr>
        <w:t xml:space="preserve">we find that </w:t>
      </w:r>
      <w:r w:rsidR="00DE7B2A" w:rsidRPr="00DE7B2A">
        <w:rPr>
          <w:rFonts w:ascii="Times New Roman" w:hAnsi="Times New Roman" w:cs="Times New Roman"/>
        </w:rPr>
        <w:t xml:space="preserve">fintech </w:t>
      </w:r>
      <w:r w:rsidR="00752194">
        <w:rPr>
          <w:rFonts w:ascii="Times New Roman" w:hAnsi="Times New Roman" w:cs="Times New Roman"/>
        </w:rPr>
        <w:t>development</w:t>
      </w:r>
      <w:r w:rsidR="0079263F" w:rsidRPr="00DE7B2A">
        <w:rPr>
          <w:rFonts w:ascii="Times New Roman" w:hAnsi="Times New Roman" w:cs="Times New Roman"/>
        </w:rPr>
        <w:t xml:space="preserve"> </w:t>
      </w:r>
      <w:r w:rsidR="00752194">
        <w:rPr>
          <w:rFonts w:ascii="Times New Roman" w:hAnsi="Times New Roman" w:cs="Times New Roman"/>
        </w:rPr>
        <w:t>cushions</w:t>
      </w:r>
      <w:r w:rsidR="0079263F" w:rsidRPr="00DE7B2A">
        <w:rPr>
          <w:rFonts w:ascii="Times New Roman" w:hAnsi="Times New Roman" w:cs="Times New Roman"/>
        </w:rPr>
        <w:t xml:space="preserve"> the </w:t>
      </w:r>
      <w:r w:rsidR="00752194">
        <w:rPr>
          <w:rFonts w:ascii="Times New Roman" w:hAnsi="Times New Roman" w:cs="Times New Roman"/>
        </w:rPr>
        <w:t xml:space="preserve">adverse </w:t>
      </w:r>
      <w:r w:rsidR="0079263F" w:rsidRPr="00DE7B2A">
        <w:rPr>
          <w:rFonts w:ascii="Times New Roman" w:hAnsi="Times New Roman" w:cs="Times New Roman"/>
        </w:rPr>
        <w:t xml:space="preserve">impact of climate risk on </w:t>
      </w:r>
      <w:r w:rsidRPr="00DE7B2A">
        <w:rPr>
          <w:rFonts w:ascii="Times New Roman" w:hAnsi="Times New Roman" w:cs="Times New Roman"/>
        </w:rPr>
        <w:t xml:space="preserve">energy </w:t>
      </w:r>
      <w:r w:rsidR="0079263F" w:rsidRPr="00DE7B2A">
        <w:rPr>
          <w:rFonts w:ascii="Times New Roman" w:hAnsi="Times New Roman" w:cs="Times New Roman"/>
        </w:rPr>
        <w:t>firm value</w:t>
      </w:r>
      <w:r w:rsidRPr="00DE7B2A">
        <w:rPr>
          <w:rFonts w:ascii="Times New Roman" w:hAnsi="Times New Roman" w:cs="Times New Roman"/>
        </w:rPr>
        <w:t>s</w:t>
      </w:r>
      <w:r w:rsidR="0079263F" w:rsidRPr="00DE7B2A">
        <w:rPr>
          <w:rFonts w:ascii="Times New Roman" w:hAnsi="Times New Roman" w:cs="Times New Roman"/>
        </w:rPr>
        <w:t xml:space="preserve"> and dividends. </w:t>
      </w:r>
      <w:bookmarkEnd w:id="0"/>
      <w:r w:rsidRPr="00DE7B2A">
        <w:rPr>
          <w:rFonts w:ascii="Times New Roman" w:hAnsi="Times New Roman" w:cs="Times New Roman"/>
        </w:rPr>
        <w:t>F</w:t>
      </w:r>
      <w:r w:rsidR="0079263F" w:rsidRPr="00DE7B2A">
        <w:rPr>
          <w:rFonts w:ascii="Times New Roman" w:hAnsi="Times New Roman" w:cs="Times New Roman"/>
        </w:rPr>
        <w:t>in</w:t>
      </w:r>
      <w:r w:rsidR="00695DAA" w:rsidRPr="00DE7B2A">
        <w:rPr>
          <w:rFonts w:ascii="Times New Roman" w:hAnsi="Times New Roman" w:cs="Times New Roman"/>
        </w:rPr>
        <w:t>din</w:t>
      </w:r>
      <w:r w:rsidR="0079263F" w:rsidRPr="00DE7B2A">
        <w:rPr>
          <w:rFonts w:ascii="Times New Roman" w:hAnsi="Times New Roman" w:cs="Times New Roman"/>
        </w:rPr>
        <w:t xml:space="preserve">gs are robust to </w:t>
      </w:r>
      <w:r w:rsidR="00695DAA" w:rsidRPr="00DE7B2A">
        <w:rPr>
          <w:rFonts w:ascii="Times New Roman" w:hAnsi="Times New Roman" w:cs="Times New Roman"/>
        </w:rPr>
        <w:t>firm fixed effects and generalized method of moments models, additional control variables</w:t>
      </w:r>
      <w:r w:rsidRPr="00DE7B2A">
        <w:rPr>
          <w:rFonts w:ascii="Times New Roman" w:hAnsi="Times New Roman" w:cs="Times New Roman"/>
        </w:rPr>
        <w:t>,</w:t>
      </w:r>
      <w:r w:rsidR="00695DAA" w:rsidRPr="00DE7B2A">
        <w:rPr>
          <w:rFonts w:ascii="Times New Roman" w:hAnsi="Times New Roman" w:cs="Times New Roman"/>
        </w:rPr>
        <w:t xml:space="preserve"> </w:t>
      </w:r>
      <w:r w:rsidR="0079263F" w:rsidRPr="00DE7B2A">
        <w:rPr>
          <w:rFonts w:ascii="Times New Roman" w:hAnsi="Times New Roman" w:cs="Times New Roman"/>
        </w:rPr>
        <w:t xml:space="preserve">and alternative </w:t>
      </w:r>
      <w:r w:rsidR="00695DAA" w:rsidRPr="00DE7B2A">
        <w:rPr>
          <w:rFonts w:ascii="Times New Roman" w:hAnsi="Times New Roman" w:cs="Times New Roman"/>
        </w:rPr>
        <w:t>measurements</w:t>
      </w:r>
      <w:r w:rsidR="0079263F" w:rsidRPr="00DE7B2A">
        <w:rPr>
          <w:rFonts w:ascii="Times New Roman" w:hAnsi="Times New Roman" w:cs="Times New Roman"/>
        </w:rPr>
        <w:t xml:space="preserve"> of value and dividends. </w:t>
      </w:r>
      <w:r w:rsidR="00347F47" w:rsidRPr="00347F47">
        <w:rPr>
          <w:rFonts w:ascii="Times New Roman" w:hAnsi="Times New Roman" w:cs="Times New Roman"/>
        </w:rPr>
        <w:t xml:space="preserve">Our results suggest that </w:t>
      </w:r>
      <w:proofErr w:type="spellStart"/>
      <w:r w:rsidR="00347F47" w:rsidRPr="00347F47">
        <w:rPr>
          <w:rFonts w:ascii="Times New Roman" w:hAnsi="Times New Roman" w:cs="Times New Roman"/>
        </w:rPr>
        <w:t>Fintechs</w:t>
      </w:r>
      <w:proofErr w:type="spellEnd"/>
      <w:r w:rsidR="00347F47" w:rsidRPr="00347F47">
        <w:rPr>
          <w:rFonts w:ascii="Times New Roman" w:hAnsi="Times New Roman" w:cs="Times New Roman"/>
        </w:rPr>
        <w:t xml:space="preserve"> may act as a channel for energy firms to withstand the negative repercussions of climate change, thereby supporting the efforts of regulators to promote </w:t>
      </w:r>
      <w:proofErr w:type="spellStart"/>
      <w:r w:rsidR="00347F47" w:rsidRPr="00347F47">
        <w:rPr>
          <w:rFonts w:ascii="Times New Roman" w:hAnsi="Times New Roman" w:cs="Times New Roman"/>
        </w:rPr>
        <w:t>Fintechs</w:t>
      </w:r>
      <w:proofErr w:type="spellEnd"/>
      <w:r w:rsidR="00347F47" w:rsidRPr="00347F47">
        <w:rPr>
          <w:rFonts w:ascii="Times New Roman" w:hAnsi="Times New Roman" w:cs="Times New Roman"/>
        </w:rPr>
        <w:t xml:space="preserve">. Moreover, when confronted with high climate risk, our results suggest that managers could utilize </w:t>
      </w:r>
      <w:proofErr w:type="spellStart"/>
      <w:r w:rsidR="00347F47" w:rsidRPr="00347F47">
        <w:rPr>
          <w:rFonts w:ascii="Times New Roman" w:hAnsi="Times New Roman" w:cs="Times New Roman"/>
        </w:rPr>
        <w:t>Fintechs</w:t>
      </w:r>
      <w:proofErr w:type="spellEnd"/>
      <w:r w:rsidR="00347F47" w:rsidRPr="00347F47">
        <w:rPr>
          <w:rFonts w:ascii="Times New Roman" w:hAnsi="Times New Roman" w:cs="Times New Roman"/>
        </w:rPr>
        <w:t xml:space="preserve"> to increase firm value and dividends.</w:t>
      </w:r>
    </w:p>
    <w:p w14:paraId="0FE1E26C" w14:textId="77777777" w:rsidR="002857B0" w:rsidRPr="00DE7B2A" w:rsidRDefault="002857B0" w:rsidP="0079263F">
      <w:pPr>
        <w:spacing w:line="276" w:lineRule="auto"/>
        <w:jc w:val="both"/>
        <w:rPr>
          <w:rFonts w:ascii="Times New Roman" w:hAnsi="Times New Roman" w:cs="Times New Roman"/>
        </w:rPr>
      </w:pPr>
    </w:p>
    <w:p w14:paraId="0C2D74EC" w14:textId="556D1991" w:rsidR="00695DAA" w:rsidRDefault="00695DAA" w:rsidP="0079263F">
      <w:pPr>
        <w:spacing w:line="276" w:lineRule="auto"/>
        <w:jc w:val="both"/>
        <w:rPr>
          <w:rFonts w:ascii="Times New Roman" w:hAnsi="Times New Roman" w:cs="Times New Roman"/>
        </w:rPr>
      </w:pPr>
      <w:r w:rsidRPr="00DE7B2A">
        <w:rPr>
          <w:rFonts w:ascii="Times New Roman" w:hAnsi="Times New Roman" w:cs="Times New Roman"/>
          <w:b/>
          <w:bCs/>
        </w:rPr>
        <w:t>Keywords:</w:t>
      </w:r>
      <w:r w:rsidRPr="00DE7B2A">
        <w:rPr>
          <w:rFonts w:ascii="Times New Roman" w:hAnsi="Times New Roman" w:cs="Times New Roman"/>
        </w:rPr>
        <w:t xml:space="preserve"> Climate risk; Extreme weather; Fintech</w:t>
      </w:r>
      <w:r w:rsidR="005E22C1">
        <w:rPr>
          <w:rFonts w:ascii="Times New Roman" w:hAnsi="Times New Roman" w:cs="Times New Roman"/>
        </w:rPr>
        <w:t xml:space="preserve"> development</w:t>
      </w:r>
      <w:r w:rsidRPr="00DE7B2A">
        <w:rPr>
          <w:rFonts w:ascii="Times New Roman" w:hAnsi="Times New Roman" w:cs="Times New Roman"/>
        </w:rPr>
        <w:t xml:space="preserve">; </w:t>
      </w:r>
      <w:r w:rsidR="00347F47">
        <w:rPr>
          <w:rFonts w:ascii="Times New Roman" w:hAnsi="Times New Roman" w:cs="Times New Roman"/>
        </w:rPr>
        <w:t>Energy enterprise</w:t>
      </w:r>
      <w:r w:rsidRPr="00DE7B2A">
        <w:rPr>
          <w:rFonts w:ascii="Times New Roman" w:hAnsi="Times New Roman" w:cs="Times New Roman"/>
        </w:rPr>
        <w:t>; Dividends</w:t>
      </w:r>
    </w:p>
    <w:p w14:paraId="1B634164" w14:textId="77777777" w:rsidR="002857B0" w:rsidRDefault="002857B0" w:rsidP="0079263F">
      <w:pPr>
        <w:spacing w:line="276" w:lineRule="auto"/>
        <w:jc w:val="both"/>
        <w:rPr>
          <w:rFonts w:ascii="Times New Roman" w:hAnsi="Times New Roman" w:cs="Times New Roman"/>
        </w:rPr>
      </w:pPr>
    </w:p>
    <w:p w14:paraId="5980B117" w14:textId="77777777" w:rsidR="002857B0" w:rsidRDefault="002857B0" w:rsidP="0079263F">
      <w:pPr>
        <w:spacing w:line="276" w:lineRule="auto"/>
        <w:jc w:val="both"/>
        <w:rPr>
          <w:rFonts w:ascii="Times New Roman" w:hAnsi="Times New Roman" w:cs="Times New Roman"/>
        </w:rPr>
      </w:pPr>
    </w:p>
    <w:p w14:paraId="1BC7091D" w14:textId="77777777" w:rsidR="002857B0" w:rsidRDefault="002857B0" w:rsidP="0079263F">
      <w:pPr>
        <w:spacing w:line="276" w:lineRule="auto"/>
        <w:jc w:val="both"/>
        <w:rPr>
          <w:rFonts w:ascii="Times New Roman" w:hAnsi="Times New Roman" w:cs="Times New Roman"/>
        </w:rPr>
      </w:pPr>
    </w:p>
    <w:p w14:paraId="76DBF4F8" w14:textId="77777777" w:rsidR="002857B0" w:rsidRDefault="002857B0" w:rsidP="0079263F">
      <w:pPr>
        <w:spacing w:line="276" w:lineRule="auto"/>
        <w:jc w:val="both"/>
        <w:rPr>
          <w:rFonts w:ascii="Times New Roman" w:hAnsi="Times New Roman" w:cs="Times New Roman"/>
        </w:rPr>
      </w:pPr>
    </w:p>
    <w:p w14:paraId="60D0F0E7" w14:textId="77777777" w:rsidR="002857B0" w:rsidRDefault="002857B0" w:rsidP="0079263F">
      <w:pPr>
        <w:spacing w:line="276" w:lineRule="auto"/>
        <w:jc w:val="both"/>
        <w:rPr>
          <w:rFonts w:ascii="Times New Roman" w:hAnsi="Times New Roman" w:cs="Times New Roman"/>
        </w:rPr>
      </w:pPr>
    </w:p>
    <w:p w14:paraId="7FBFA811" w14:textId="77777777" w:rsidR="002857B0" w:rsidRDefault="002857B0" w:rsidP="0079263F">
      <w:pPr>
        <w:spacing w:line="276" w:lineRule="auto"/>
        <w:jc w:val="both"/>
        <w:rPr>
          <w:rFonts w:ascii="Times New Roman" w:hAnsi="Times New Roman" w:cs="Times New Roman"/>
        </w:rPr>
      </w:pPr>
    </w:p>
    <w:p w14:paraId="52DCA891" w14:textId="77777777" w:rsidR="002857B0" w:rsidRDefault="002857B0" w:rsidP="0079263F">
      <w:pPr>
        <w:spacing w:line="276" w:lineRule="auto"/>
        <w:jc w:val="both"/>
        <w:rPr>
          <w:rFonts w:ascii="Times New Roman" w:hAnsi="Times New Roman" w:cs="Times New Roman"/>
        </w:rPr>
      </w:pPr>
    </w:p>
    <w:p w14:paraId="04D89903" w14:textId="77777777" w:rsidR="002857B0" w:rsidRDefault="002857B0" w:rsidP="0079263F">
      <w:pPr>
        <w:spacing w:line="276" w:lineRule="auto"/>
        <w:jc w:val="both"/>
        <w:rPr>
          <w:rFonts w:ascii="Times New Roman" w:hAnsi="Times New Roman" w:cs="Times New Roman"/>
        </w:rPr>
      </w:pPr>
    </w:p>
    <w:p w14:paraId="7A2F24CC" w14:textId="77777777" w:rsidR="002857B0" w:rsidRDefault="002857B0" w:rsidP="0079263F">
      <w:pPr>
        <w:spacing w:line="276" w:lineRule="auto"/>
        <w:jc w:val="both"/>
        <w:rPr>
          <w:rFonts w:ascii="Times New Roman" w:hAnsi="Times New Roman" w:cs="Times New Roman"/>
        </w:rPr>
      </w:pPr>
    </w:p>
    <w:p w14:paraId="5296406C" w14:textId="77777777" w:rsidR="002857B0" w:rsidRDefault="002857B0" w:rsidP="0079263F">
      <w:pPr>
        <w:spacing w:line="276" w:lineRule="auto"/>
        <w:jc w:val="both"/>
        <w:rPr>
          <w:rFonts w:ascii="Times New Roman" w:hAnsi="Times New Roman" w:cs="Times New Roman"/>
        </w:rPr>
      </w:pPr>
    </w:p>
    <w:p w14:paraId="57CE6FD6" w14:textId="77777777" w:rsidR="002857B0" w:rsidRDefault="002857B0" w:rsidP="0079263F">
      <w:pPr>
        <w:spacing w:line="276" w:lineRule="auto"/>
        <w:jc w:val="both"/>
        <w:rPr>
          <w:rFonts w:ascii="Times New Roman" w:hAnsi="Times New Roman" w:cs="Times New Roman"/>
        </w:rPr>
      </w:pPr>
    </w:p>
    <w:p w14:paraId="3463966A" w14:textId="77777777" w:rsidR="002857B0" w:rsidRDefault="002857B0" w:rsidP="0079263F">
      <w:pPr>
        <w:spacing w:line="276" w:lineRule="auto"/>
        <w:jc w:val="both"/>
        <w:rPr>
          <w:rFonts w:ascii="Times New Roman" w:hAnsi="Times New Roman" w:cs="Times New Roman"/>
        </w:rPr>
      </w:pPr>
    </w:p>
    <w:p w14:paraId="6A7BA96B" w14:textId="77777777" w:rsidR="002857B0" w:rsidRPr="00DE7B2A" w:rsidRDefault="002857B0" w:rsidP="0079263F">
      <w:pPr>
        <w:spacing w:line="276" w:lineRule="auto"/>
        <w:jc w:val="both"/>
        <w:rPr>
          <w:rFonts w:ascii="Times New Roman" w:hAnsi="Times New Roman" w:cs="Times New Roman"/>
        </w:rPr>
      </w:pPr>
    </w:p>
    <w:p w14:paraId="3A679D04" w14:textId="575075B4" w:rsidR="00B6677C" w:rsidRPr="004E1A83" w:rsidRDefault="00B6677C" w:rsidP="00B6677C">
      <w:pPr>
        <w:pStyle w:val="johnSub"/>
      </w:pPr>
      <w:bookmarkStart w:id="1" w:name="_Hlk135335933"/>
      <w:r w:rsidRPr="004E1A83">
        <w:lastRenderedPageBreak/>
        <w:t xml:space="preserve">Introduction </w:t>
      </w:r>
    </w:p>
    <w:bookmarkEnd w:id="1"/>
    <w:p w14:paraId="32FE8215" w14:textId="0A8B9B88" w:rsidR="0027516F" w:rsidRPr="00752194" w:rsidRDefault="00026868" w:rsidP="00752194">
      <w:pPr>
        <w:pStyle w:val="johnBody"/>
      </w:pPr>
      <w:r>
        <w:t xml:space="preserve">As a result of climate change, </w:t>
      </w:r>
      <w:r w:rsidR="00D55259">
        <w:t>events such as extreme rainfall</w:t>
      </w:r>
      <w:r w:rsidR="00582168">
        <w:t>, severe heatwaves</w:t>
      </w:r>
      <w:r w:rsidR="00D55259">
        <w:t xml:space="preserve"> and unusually high/low temperatures</w:t>
      </w:r>
      <w:r w:rsidR="00CC7E93">
        <w:t xml:space="preserve"> </w:t>
      </w:r>
      <w:r w:rsidR="00582168">
        <w:t>are</w:t>
      </w:r>
      <w:r w:rsidR="00CC7E93">
        <w:t xml:space="preserve"> adversely </w:t>
      </w:r>
      <w:r w:rsidR="004540EE">
        <w:t>affect</w:t>
      </w:r>
      <w:r>
        <w:t xml:space="preserve">ing </w:t>
      </w:r>
      <w:r w:rsidR="00A5597F">
        <w:t xml:space="preserve">businesses, through adversely impacting </w:t>
      </w:r>
      <w:r w:rsidR="00CC7E93">
        <w:t>production, destroy</w:t>
      </w:r>
      <w:r w:rsidR="00A5597F">
        <w:t>ing</w:t>
      </w:r>
      <w:r w:rsidR="00CC7E93">
        <w:t xml:space="preserve"> assets, </w:t>
      </w:r>
      <w:r w:rsidR="004540EE">
        <w:t xml:space="preserve">and </w:t>
      </w:r>
      <w:r>
        <w:t>obstruct</w:t>
      </w:r>
      <w:r w:rsidR="00A5597F">
        <w:t>ing</w:t>
      </w:r>
      <w:r>
        <w:t xml:space="preserve"> communication </w:t>
      </w:r>
      <w:r w:rsidR="000B057A">
        <w:t>(Pankratz et al., 2023)</w:t>
      </w:r>
      <w:r>
        <w:t xml:space="preserve">. </w:t>
      </w:r>
      <w:r w:rsidR="007F76F9">
        <w:t xml:space="preserve">Empirical evidence suggests that greater climate change risk </w:t>
      </w:r>
      <w:r w:rsidR="00A5597F">
        <w:t>deprecates</w:t>
      </w:r>
      <w:r w:rsidR="007F76F9">
        <w:t xml:space="preserve"> firm value (</w:t>
      </w:r>
      <w:r w:rsidR="00B41964">
        <w:t>H</w:t>
      </w:r>
      <w:r w:rsidR="002A6D77">
        <w:t>uang et al., 2017</w:t>
      </w:r>
      <w:r w:rsidR="00914D2B">
        <w:t>; He et al., 2024</w:t>
      </w:r>
      <w:r w:rsidR="00B41964">
        <w:t>)</w:t>
      </w:r>
      <w:r w:rsidR="00A5597F">
        <w:t xml:space="preserve">, with concomitant </w:t>
      </w:r>
      <w:r w:rsidR="00DA37B1">
        <w:t>adverse impact</w:t>
      </w:r>
      <w:r w:rsidR="00A5597F">
        <w:t>s</w:t>
      </w:r>
      <w:r w:rsidR="00DA37B1">
        <w:t xml:space="preserve"> on dividends</w:t>
      </w:r>
      <w:r w:rsidR="007F76F9">
        <w:t xml:space="preserve"> (</w:t>
      </w:r>
      <w:r w:rsidR="00DA37B1">
        <w:t>Chen et al., 2023; Huang et al., 2017</w:t>
      </w:r>
      <w:r w:rsidR="007F76F9">
        <w:t>).</w:t>
      </w:r>
      <w:r w:rsidR="00C637FB">
        <w:t xml:space="preserve"> </w:t>
      </w:r>
      <w:r w:rsidR="00DF5908">
        <w:t>With expected increase</w:t>
      </w:r>
      <w:r w:rsidR="00A5597F">
        <w:t>s</w:t>
      </w:r>
      <w:r w:rsidR="00DF5908">
        <w:t xml:space="preserve"> in the frequency </w:t>
      </w:r>
      <w:r w:rsidR="00DF14B2">
        <w:t xml:space="preserve">and severity </w:t>
      </w:r>
      <w:r w:rsidR="00DF5908">
        <w:t>of extreme weather events</w:t>
      </w:r>
      <w:r w:rsidR="00DF14B2" w:rsidRPr="00DF14B2">
        <w:t xml:space="preserve"> </w:t>
      </w:r>
      <w:r w:rsidR="00DF14B2">
        <w:t>(Benincasa et al., 2024)</w:t>
      </w:r>
      <w:r w:rsidR="00DF5908">
        <w:t xml:space="preserve">, </w:t>
      </w:r>
      <w:r w:rsidR="00A5597F">
        <w:t>lessening vulnerability to climate risks is paramount for firms</w:t>
      </w:r>
      <w:r w:rsidR="005A012D">
        <w:t xml:space="preserve"> (Zhao &amp; Lin, 2024)</w:t>
      </w:r>
      <w:r w:rsidR="00DF5908">
        <w:t>.</w:t>
      </w:r>
      <w:r w:rsidR="00752194">
        <w:t xml:space="preserve"> </w:t>
      </w:r>
      <w:r w:rsidR="00605674">
        <w:t>Climate change risk is of special con</w:t>
      </w:r>
      <w:r w:rsidR="001A2805">
        <w:t>c</w:t>
      </w:r>
      <w:r w:rsidR="00605674">
        <w:t xml:space="preserve">ern for </w:t>
      </w:r>
      <w:r w:rsidR="006509AB">
        <w:t>the energy</w:t>
      </w:r>
      <w:r>
        <w:t xml:space="preserve"> sector</w:t>
      </w:r>
      <w:r w:rsidR="00AB647A">
        <w:t xml:space="preserve"> (</w:t>
      </w:r>
      <w:r w:rsidR="00AB647A" w:rsidRPr="00AB647A">
        <w:t>Shinwari</w:t>
      </w:r>
      <w:r w:rsidR="00AB647A">
        <w:t xml:space="preserve"> et al., 2024)</w:t>
      </w:r>
      <w:r>
        <w:t xml:space="preserve">, given that </w:t>
      </w:r>
      <w:r w:rsidR="007F76F9">
        <w:t>this sector</w:t>
      </w:r>
      <w:r>
        <w:t xml:space="preserve"> </w:t>
      </w:r>
      <w:r w:rsidR="00605674">
        <w:t>is central</w:t>
      </w:r>
      <w:r w:rsidR="006509AB">
        <w:t xml:space="preserve"> to the overall economic </w:t>
      </w:r>
      <w:r w:rsidR="00605674">
        <w:t>health</w:t>
      </w:r>
      <w:r w:rsidR="006509AB">
        <w:t xml:space="preserve"> of a country</w:t>
      </w:r>
      <w:r w:rsidR="00344DDC">
        <w:t xml:space="preserve"> (Lu et al., 2019</w:t>
      </w:r>
      <w:r w:rsidR="00914D2B">
        <w:t>; Ren et al., 2025</w:t>
      </w:r>
      <w:r w:rsidR="00344DDC">
        <w:t>)</w:t>
      </w:r>
      <w:r w:rsidR="00605674">
        <w:t xml:space="preserve">, as well as being vulnerable to changing regulations and other transition risks, and being often highly centralized and so subject to </w:t>
      </w:r>
      <w:r w:rsidR="00605674" w:rsidRPr="00752194">
        <w:t>systemic risks.</w:t>
      </w:r>
      <w:r w:rsidR="006509AB" w:rsidRPr="00752194">
        <w:t xml:space="preserve"> </w:t>
      </w:r>
    </w:p>
    <w:p w14:paraId="65D231A3" w14:textId="1A0D14F8" w:rsidR="007F76F9" w:rsidRDefault="00544CAB" w:rsidP="00752194">
      <w:pPr>
        <w:pStyle w:val="johnBody"/>
      </w:pPr>
      <w:r w:rsidRPr="00544CAB">
        <w:t xml:space="preserve">With an increase in availability of internet and individuals preferring speed and convenience, there has been a rapid growth in </w:t>
      </w:r>
      <w:r w:rsidR="00E12DD0">
        <w:t>f</w:t>
      </w:r>
      <w:r w:rsidR="00A408F1" w:rsidRPr="00752194">
        <w:t>inancial technology</w:t>
      </w:r>
      <w:r w:rsidRPr="00544CAB">
        <w:t xml:space="preserve"> </w:t>
      </w:r>
      <w:r>
        <w:t>(</w:t>
      </w:r>
      <w:proofErr w:type="spellStart"/>
      <w:r w:rsidR="006C1B42" w:rsidRPr="00544CAB">
        <w:t>Fintechs</w:t>
      </w:r>
      <w:proofErr w:type="spellEnd"/>
      <w:r>
        <w:t xml:space="preserve">) </w:t>
      </w:r>
      <w:r w:rsidRPr="00544CAB">
        <w:t>over recent years (Abbasi et al., 2021</w:t>
      </w:r>
      <w:r w:rsidR="00B4352A">
        <w:t>; Li &amp; Fu, 2022; Xu &amp; Lin, 2024</w:t>
      </w:r>
      <w:r w:rsidRPr="00544CAB">
        <w:t xml:space="preserve">). Regulators, too, are showing increasing support towards development of </w:t>
      </w:r>
      <w:proofErr w:type="spellStart"/>
      <w:r w:rsidRPr="00544CAB">
        <w:t>Fintechs</w:t>
      </w:r>
      <w:proofErr w:type="spellEnd"/>
      <w:r w:rsidRPr="00544CAB">
        <w:t xml:space="preserve"> in the form of, for example, innovation hubs and regulatory sandboxes (</w:t>
      </w:r>
      <w:proofErr w:type="spellStart"/>
      <w:r w:rsidRPr="00544CAB">
        <w:t>Alaassar</w:t>
      </w:r>
      <w:proofErr w:type="spellEnd"/>
      <w:r w:rsidRPr="00544CAB">
        <w:t xml:space="preserve"> et al., 2021). Moreover, </w:t>
      </w:r>
      <w:proofErr w:type="spellStart"/>
      <w:r w:rsidRPr="00544CAB">
        <w:t>Fintechs</w:t>
      </w:r>
      <w:proofErr w:type="spellEnd"/>
      <w:r w:rsidRPr="00544CAB">
        <w:t xml:space="preserve"> are helping previously unbanked population to gain access to funds, thereby furthering firm growth and survival, which may be especially critical in emerging economies given their relatively unequal distribution of wealth and poor standard of living (Azmeh, 2025).</w:t>
      </w:r>
      <w:r>
        <w:t xml:space="preserve"> </w:t>
      </w:r>
      <w:proofErr w:type="spellStart"/>
      <w:r w:rsidR="007F76F9" w:rsidRPr="00752194">
        <w:t>Fintech</w:t>
      </w:r>
      <w:r>
        <w:t>s</w:t>
      </w:r>
      <w:proofErr w:type="spellEnd"/>
      <w:r>
        <w:t xml:space="preserve"> </w:t>
      </w:r>
      <w:r w:rsidR="00752194" w:rsidRPr="00752194">
        <w:t>embodying</w:t>
      </w:r>
      <w:r w:rsidR="00605674" w:rsidRPr="00752194">
        <w:t xml:space="preserve"> innovative</w:t>
      </w:r>
      <w:r w:rsidR="007F76F9" w:rsidRPr="00752194">
        <w:t xml:space="preserve"> combination</w:t>
      </w:r>
      <w:r w:rsidR="00605674" w:rsidRPr="00752194">
        <w:t>s</w:t>
      </w:r>
      <w:r w:rsidR="007F76F9" w:rsidRPr="00752194">
        <w:t xml:space="preserve"> of finance and technology</w:t>
      </w:r>
      <w:r w:rsidR="00752194" w:rsidRPr="00752194">
        <w:t xml:space="preserve">, </w:t>
      </w:r>
      <w:r w:rsidR="007F76F9" w:rsidRPr="00752194">
        <w:t>utilize</w:t>
      </w:r>
      <w:r w:rsidR="00752194" w:rsidRPr="00752194">
        <w:t>s</w:t>
      </w:r>
      <w:r w:rsidR="007F76F9" w:rsidRPr="00752194">
        <w:t xml:space="preserve"> big data and algorithms to ascertain credit risk of firms, </w:t>
      </w:r>
      <w:r w:rsidR="00605674" w:rsidRPr="00752194">
        <w:t>thereby facilitating</w:t>
      </w:r>
      <w:r w:rsidR="007F76F9" w:rsidRPr="00752194">
        <w:t xml:space="preserve"> access to finance </w:t>
      </w:r>
      <w:r w:rsidR="0036788D" w:rsidRPr="00752194">
        <w:t>(</w:t>
      </w:r>
      <w:r w:rsidR="00432E0F" w:rsidRPr="00752194">
        <w:t>Lee &amp; Shin, 2018</w:t>
      </w:r>
      <w:r w:rsidR="0036788D" w:rsidRPr="00752194">
        <w:t xml:space="preserve">). </w:t>
      </w:r>
      <w:r w:rsidR="00605674" w:rsidRPr="00752194">
        <w:t>While t</w:t>
      </w:r>
      <w:r w:rsidR="0036788D" w:rsidRPr="00752194">
        <w:t xml:space="preserve">raditional lenders such as banks may be reluctant to lend to firms </w:t>
      </w:r>
      <w:r w:rsidR="007A7C1A" w:rsidRPr="00752194">
        <w:t xml:space="preserve">affected by extreme weather events, </w:t>
      </w:r>
      <w:proofErr w:type="spellStart"/>
      <w:r w:rsidR="00605674" w:rsidRPr="00752194">
        <w:t>f</w:t>
      </w:r>
      <w:r w:rsidR="007A7C1A" w:rsidRPr="00752194">
        <w:t>intechs</w:t>
      </w:r>
      <w:proofErr w:type="spellEnd"/>
      <w:r w:rsidR="000907EA" w:rsidRPr="00752194">
        <w:t xml:space="preserve"> </w:t>
      </w:r>
      <w:r w:rsidR="007A7C1A" w:rsidRPr="00752194">
        <w:t xml:space="preserve">may incorporate </w:t>
      </w:r>
      <w:r w:rsidR="00605674" w:rsidRPr="00752194">
        <w:t xml:space="preserve">digital procedures to </w:t>
      </w:r>
      <w:r w:rsidR="00A14605" w:rsidRPr="00752194">
        <w:t>incorporate</w:t>
      </w:r>
      <w:r w:rsidR="007A7C1A" w:rsidRPr="00752194">
        <w:t xml:space="preserve"> </w:t>
      </w:r>
      <w:r w:rsidR="00A14605" w:rsidRPr="00752194">
        <w:t xml:space="preserve">factors into </w:t>
      </w:r>
      <w:r w:rsidR="007A7C1A" w:rsidRPr="00752194">
        <w:t xml:space="preserve">credit </w:t>
      </w:r>
      <w:r w:rsidR="00A14605" w:rsidRPr="00752194">
        <w:t xml:space="preserve">assessment, layoff loan risk, and achieve broader social and geographic reach to borrowers </w:t>
      </w:r>
      <w:r w:rsidR="007A7C1A" w:rsidRPr="00752194">
        <w:t>of firms, thereby enabling firms with greater access to finance at the time of adverse climate events.</w:t>
      </w:r>
      <w:r w:rsidR="0036788D" w:rsidRPr="00752194">
        <w:t xml:space="preserve"> </w:t>
      </w:r>
      <w:r w:rsidR="007A7C1A" w:rsidRPr="00752194">
        <w:t xml:space="preserve">This </w:t>
      </w:r>
      <w:r w:rsidR="00A14605" w:rsidRPr="00752194">
        <w:t>will</w:t>
      </w:r>
      <w:r w:rsidR="00605674" w:rsidRPr="00752194">
        <w:t xml:space="preserve"> </w:t>
      </w:r>
      <w:r w:rsidR="007A7C1A" w:rsidRPr="00752194">
        <w:t xml:space="preserve">contribute to firm value and </w:t>
      </w:r>
      <w:r w:rsidR="0045501B" w:rsidRPr="00752194">
        <w:t xml:space="preserve">increase </w:t>
      </w:r>
      <w:r w:rsidR="009345F4">
        <w:t xml:space="preserve">the </w:t>
      </w:r>
      <w:r w:rsidR="0045501B" w:rsidRPr="00752194">
        <w:t>dividends</w:t>
      </w:r>
      <w:r w:rsidR="007A7C1A" w:rsidRPr="00752194">
        <w:t xml:space="preserve"> of firms</w:t>
      </w:r>
      <w:r w:rsidR="00B4352A">
        <w:t xml:space="preserve"> (Fu et al., 2024)</w:t>
      </w:r>
      <w:r w:rsidR="007A7C1A" w:rsidRPr="00752194">
        <w:t xml:space="preserve">. </w:t>
      </w:r>
      <w:proofErr w:type="spellStart"/>
      <w:r w:rsidR="00752194">
        <w:t>Fintechs</w:t>
      </w:r>
      <w:proofErr w:type="spellEnd"/>
      <w:r w:rsidR="00752194">
        <w:t xml:space="preserve"> also offer a wide variety of services that facilitate operational efficiency</w:t>
      </w:r>
      <w:r w:rsidR="00432E0F">
        <w:t xml:space="preserve"> (Abbasi et al., 2021)</w:t>
      </w:r>
      <w:r w:rsidR="00E74E3B">
        <w:t xml:space="preserve">. </w:t>
      </w:r>
      <w:r w:rsidR="001A2805">
        <w:t>I</w:t>
      </w:r>
      <w:r w:rsidR="00E74E3B">
        <w:t xml:space="preserve">nsurance </w:t>
      </w:r>
      <w:r w:rsidR="00A14605">
        <w:t>f</w:t>
      </w:r>
      <w:r w:rsidR="00E74E3B">
        <w:t xml:space="preserve">intech </w:t>
      </w:r>
      <w:r w:rsidR="00AA5E3B">
        <w:t>incorporates</w:t>
      </w:r>
      <w:r w:rsidR="00752194">
        <w:t xml:space="preserve"> big data </w:t>
      </w:r>
      <w:r w:rsidR="001A2805">
        <w:t>from</w:t>
      </w:r>
      <w:r w:rsidR="00752194">
        <w:t xml:space="preserve"> satellites, radar and ground stations and artificial intelligence</w:t>
      </w:r>
      <w:r w:rsidR="001A2805">
        <w:t xml:space="preserve"> to</w:t>
      </w:r>
      <w:r w:rsidR="00752194">
        <w:t xml:space="preserve"> enable advanced modeling of climate risk (Hart, 2022).</w:t>
      </w:r>
      <w:r w:rsidR="001A2805">
        <w:t xml:space="preserve"> This </w:t>
      </w:r>
      <w:r w:rsidR="00752194">
        <w:t>helps</w:t>
      </w:r>
      <w:r w:rsidR="00E22DE1">
        <w:t xml:space="preserve"> firms withstand weather-related shocks</w:t>
      </w:r>
      <w:r w:rsidR="00752194">
        <w:t xml:space="preserve"> that are increasingly unpredictable</w:t>
      </w:r>
      <w:r w:rsidR="00E22DE1">
        <w:t xml:space="preserve"> </w:t>
      </w:r>
      <w:r w:rsidR="009C0FF6">
        <w:t>(</w:t>
      </w:r>
      <w:r w:rsidR="00BB6172">
        <w:t>Lin &amp; Kwon, 2020</w:t>
      </w:r>
      <w:r w:rsidR="009C0FF6">
        <w:t>).</w:t>
      </w:r>
      <w:r w:rsidR="00437F24">
        <w:t xml:space="preserve"> </w:t>
      </w:r>
      <w:r w:rsidR="000367C5">
        <w:t xml:space="preserve"> </w:t>
      </w:r>
    </w:p>
    <w:p w14:paraId="022E09C2" w14:textId="2A5B23F9" w:rsidR="000367C5" w:rsidRPr="00815CDA" w:rsidRDefault="001A2805" w:rsidP="00815CDA">
      <w:pPr>
        <w:pStyle w:val="johnBody"/>
      </w:pPr>
      <w:r>
        <w:t>While literature supports that fintech is of broad help to firms, in</w:t>
      </w:r>
      <w:r w:rsidR="00752194" w:rsidRPr="00752194">
        <w:t xml:space="preserve"> this paper we fill a research gap by investigating a more specific question: does the development of fintech at the country-level facilitate the financial and operational sturdiness of systemically important energy firms? </w:t>
      </w:r>
      <w:proofErr w:type="spellStart"/>
      <w:r w:rsidR="00BD4CE2" w:rsidRPr="00752194">
        <w:t>Utilzing</w:t>
      </w:r>
      <w:proofErr w:type="spellEnd"/>
      <w:r w:rsidR="00177C21" w:rsidRPr="00752194">
        <w:t xml:space="preserve"> technology adoption theory which suggests that firms adopt technologies based on their perceived benefits stemming from implementing them in the operations</w:t>
      </w:r>
      <w:r w:rsidR="00BD4CE2" w:rsidRPr="00752194">
        <w:t xml:space="preserve"> </w:t>
      </w:r>
      <w:r w:rsidR="002F3FA8" w:rsidRPr="00752194">
        <w:t>(</w:t>
      </w:r>
      <w:r w:rsidR="00872DBC" w:rsidRPr="00752194">
        <w:t>Bekkering et al., 2009</w:t>
      </w:r>
      <w:r w:rsidR="002F3FA8" w:rsidRPr="00752194">
        <w:t xml:space="preserve">) </w:t>
      </w:r>
      <w:r w:rsidR="00752194" w:rsidRPr="00752194">
        <w:t>we find for a</w:t>
      </w:r>
      <w:r w:rsidR="00177C21" w:rsidRPr="00752194">
        <w:t xml:space="preserve"> </w:t>
      </w:r>
      <w:r w:rsidR="00BD4CE2" w:rsidRPr="00752194">
        <w:t>sample</w:t>
      </w:r>
      <w:r w:rsidR="00177C21" w:rsidRPr="00752194">
        <w:t xml:space="preserve"> </w:t>
      </w:r>
      <w:r w:rsidR="00BD4CE2" w:rsidRPr="00752194">
        <w:t xml:space="preserve">of </w:t>
      </w:r>
      <w:r w:rsidR="00752194" w:rsidRPr="00752194">
        <w:t>systemically important</w:t>
      </w:r>
      <w:r w:rsidR="00BD4CE2" w:rsidRPr="00752194">
        <w:t xml:space="preserve"> energy firms from </w:t>
      </w:r>
      <w:r w:rsidR="00177C21" w:rsidRPr="00752194">
        <w:t>5</w:t>
      </w:r>
      <w:r w:rsidR="001C6DD5">
        <w:t>1</w:t>
      </w:r>
      <w:r w:rsidR="00177C21" w:rsidRPr="00752194">
        <w:t xml:space="preserve"> countries </w:t>
      </w:r>
      <w:r w:rsidR="00752194" w:rsidRPr="00752194">
        <w:t>(</w:t>
      </w:r>
      <w:r w:rsidR="00BD4CE2" w:rsidRPr="00752194">
        <w:t>2016</w:t>
      </w:r>
      <w:r w:rsidR="00752194" w:rsidRPr="00752194">
        <w:t>–</w:t>
      </w:r>
      <w:r w:rsidR="00BD4CE2" w:rsidRPr="00752194">
        <w:t>2023</w:t>
      </w:r>
      <w:r w:rsidR="00752194" w:rsidRPr="00752194">
        <w:t>)</w:t>
      </w:r>
      <w:r w:rsidR="00BD4CE2" w:rsidRPr="00752194">
        <w:t xml:space="preserve"> that</w:t>
      </w:r>
      <w:r w:rsidR="00177C21" w:rsidRPr="00752194">
        <w:t xml:space="preserve"> </w:t>
      </w:r>
      <w:r w:rsidR="00752194" w:rsidRPr="00752194">
        <w:t xml:space="preserve">society-wide </w:t>
      </w:r>
      <w:r w:rsidR="00A14605" w:rsidRPr="00752194">
        <w:t>f</w:t>
      </w:r>
      <w:r w:rsidR="00177C21" w:rsidRPr="00752194">
        <w:t>intech</w:t>
      </w:r>
      <w:r w:rsidR="00752194" w:rsidRPr="00752194">
        <w:t xml:space="preserve"> </w:t>
      </w:r>
      <w:r w:rsidR="00752194" w:rsidRPr="00752194">
        <w:lastRenderedPageBreak/>
        <w:t>development</w:t>
      </w:r>
      <w:r w:rsidR="00177C21" w:rsidRPr="00752194">
        <w:t xml:space="preserve"> positively moderate the association between climate risk and </w:t>
      </w:r>
      <w:r w:rsidR="00752194" w:rsidRPr="00752194">
        <w:t>energy-</w:t>
      </w:r>
      <w:r w:rsidR="00177C21" w:rsidRPr="00752194">
        <w:t>firm value</w:t>
      </w:r>
      <w:r w:rsidR="00752194" w:rsidRPr="00752194">
        <w:t>s</w:t>
      </w:r>
      <w:r w:rsidR="00177C21" w:rsidRPr="00752194">
        <w:t xml:space="preserve"> and dividend</w:t>
      </w:r>
      <w:r w:rsidR="00A14605" w:rsidRPr="00752194">
        <w:t>s</w:t>
      </w:r>
      <w:r w:rsidR="00177C21" w:rsidRPr="00752194">
        <w:t xml:space="preserve">. Our findings are robust to </w:t>
      </w:r>
      <w:r w:rsidR="00D01AC7" w:rsidRPr="00752194">
        <w:t>fixed effects model and gene</w:t>
      </w:r>
      <w:r w:rsidR="00B36B0B" w:rsidRPr="00752194">
        <w:t>ralized</w:t>
      </w:r>
      <w:r w:rsidR="00D01AC7" w:rsidRPr="00752194">
        <w:t xml:space="preserve"> method of moments (GMM). Moreover, results are robust to alternative </w:t>
      </w:r>
      <w:r w:rsidR="00B36B0B" w:rsidRPr="00752194">
        <w:t>specifications</w:t>
      </w:r>
      <w:r w:rsidR="00D01AC7" w:rsidRPr="00752194">
        <w:t xml:space="preserve"> of determining firm value and dividends and to inclusion of further control variables. </w:t>
      </w:r>
      <w:r w:rsidR="00752194" w:rsidRPr="00752194">
        <w:t>Analysis also reveals that fintech development is positively associated with higher energy-firm cash levels. We also</w:t>
      </w:r>
      <w:r w:rsidR="00D01AC7" w:rsidRPr="00752194">
        <w:t xml:space="preserve"> </w:t>
      </w:r>
      <w:r w:rsidR="0028551A" w:rsidRPr="00752194">
        <w:t>evidenc</w:t>
      </w:r>
      <w:r w:rsidR="00752194">
        <w:t>e</w:t>
      </w:r>
      <w:r w:rsidR="00D01AC7" w:rsidRPr="00752194">
        <w:t xml:space="preserve"> that</w:t>
      </w:r>
      <w:r w:rsidR="00752194" w:rsidRPr="00752194">
        <w:t xml:space="preserve"> our identified positive impact of </w:t>
      </w:r>
      <w:r w:rsidR="0028551A" w:rsidRPr="00752194">
        <w:t>f</w:t>
      </w:r>
      <w:r w:rsidR="00B36B0B" w:rsidRPr="00752194">
        <w:t>intech</w:t>
      </w:r>
      <w:r w:rsidR="00752194" w:rsidRPr="00752194">
        <w:t xml:space="preserve"> development</w:t>
      </w:r>
      <w:r w:rsidR="00B36B0B" w:rsidRPr="00752194">
        <w:t xml:space="preserve"> </w:t>
      </w:r>
      <w:r w:rsidR="00D01AC7" w:rsidRPr="00752194">
        <w:t xml:space="preserve">on </w:t>
      </w:r>
      <w:r w:rsidR="00752194" w:rsidRPr="00752194">
        <w:t xml:space="preserve">energy </w:t>
      </w:r>
      <w:r w:rsidR="00D01AC7" w:rsidRPr="00752194">
        <w:t>firm value</w:t>
      </w:r>
      <w:r w:rsidR="00752194" w:rsidRPr="00752194">
        <w:t>s</w:t>
      </w:r>
      <w:r w:rsidR="00D01AC7" w:rsidRPr="00752194">
        <w:t xml:space="preserve"> </w:t>
      </w:r>
      <w:r w:rsidR="00752194" w:rsidRPr="00752194">
        <w:t>is not due to</w:t>
      </w:r>
      <w:r w:rsidR="00D01AC7" w:rsidRPr="00752194">
        <w:t xml:space="preserve"> </w:t>
      </w:r>
      <w:r w:rsidR="0028551A" w:rsidRPr="00752194">
        <w:t>a</w:t>
      </w:r>
      <w:r w:rsidR="00D01AC7" w:rsidRPr="00752194">
        <w:t xml:space="preserve"> signaling effect </w:t>
      </w:r>
      <w:r w:rsidR="0028551A" w:rsidRPr="00752194">
        <w:t xml:space="preserve">from a </w:t>
      </w:r>
      <w:r w:rsidR="00D01AC7" w:rsidRPr="00752194">
        <w:t xml:space="preserve">positive impact on </w:t>
      </w:r>
      <w:r w:rsidR="00D01AC7" w:rsidRPr="00815CDA">
        <w:t xml:space="preserve">dividends. </w:t>
      </w:r>
    </w:p>
    <w:p w14:paraId="504C4C5B" w14:textId="76511D36" w:rsidR="000367C5" w:rsidRPr="00815CDA" w:rsidRDefault="00347F47" w:rsidP="00815CDA">
      <w:pPr>
        <w:pStyle w:val="johnBody"/>
      </w:pPr>
      <w:r w:rsidRPr="00347F47">
        <w:t xml:space="preserve">Given the recent exponential growth in </w:t>
      </w:r>
      <w:proofErr w:type="spellStart"/>
      <w:r w:rsidRPr="00347F47">
        <w:t>Fintechs</w:t>
      </w:r>
      <w:proofErr w:type="spellEnd"/>
      <w:r w:rsidRPr="00347F47">
        <w:t xml:space="preserve"> and recent concerns towards climate change issues, there is </w:t>
      </w:r>
      <w:r>
        <w:t>scant literature</w:t>
      </w:r>
      <w:r w:rsidRPr="00347F47">
        <w:t xml:space="preserve"> examining the nexus of </w:t>
      </w:r>
      <w:proofErr w:type="spellStart"/>
      <w:r w:rsidRPr="00347F47">
        <w:t>Fintechs</w:t>
      </w:r>
      <w:proofErr w:type="spellEnd"/>
      <w:r w:rsidRPr="00347F47">
        <w:t xml:space="preserve">-climate risk-corporate outcomes. As a result, this study contributes to </w:t>
      </w:r>
      <w:r w:rsidR="008D1DAC">
        <w:t xml:space="preserve">the </w:t>
      </w:r>
      <w:r w:rsidRPr="00347F47">
        <w:t xml:space="preserve">extant literature in several ways. First, we contribute to the stream of literature investigating the impact of extreme weather events on corporate outcomes (such as Pankratz et al., 2023) by assessing whether </w:t>
      </w:r>
      <w:proofErr w:type="spellStart"/>
      <w:r w:rsidRPr="00347F47">
        <w:t>Fintechs</w:t>
      </w:r>
      <w:proofErr w:type="spellEnd"/>
      <w:r w:rsidRPr="00347F47">
        <w:t xml:space="preserve"> play a role in mitigating the impact of climate change in energy firms. Second, this study contributes to Fintech literature. In contrast to prior literature evidencing positive impact of </w:t>
      </w:r>
      <w:proofErr w:type="spellStart"/>
      <w:r w:rsidRPr="00347F47">
        <w:t>Fintechs</w:t>
      </w:r>
      <w:proofErr w:type="spellEnd"/>
      <w:r w:rsidRPr="00347F47">
        <w:t xml:space="preserve"> in terms of firm efficiency (Abbasi et al., 2021), environmental performance (Wang et al., 2024) and innovation (</w:t>
      </w:r>
      <w:r w:rsidR="00894FE6">
        <w:t xml:space="preserve">Kong et al., 2020; </w:t>
      </w:r>
      <w:r w:rsidRPr="00347F47">
        <w:t xml:space="preserve">Liu et al., 2023), we investigate whether </w:t>
      </w:r>
      <w:proofErr w:type="spellStart"/>
      <w:r w:rsidRPr="00347F47">
        <w:t>Fintechs</w:t>
      </w:r>
      <w:proofErr w:type="spellEnd"/>
      <w:r w:rsidRPr="00347F47">
        <w:t xml:space="preserve"> affect the link between climate change and firm outcomes. Third, we contribute to the studies assessing determinants of firm value and dividend. Whereas studies such as Li et al. (2024) and Gregory (2022) (Zhu and Hou (2022) and Balachandran and Nguyen (2018)) </w:t>
      </w:r>
      <w:proofErr w:type="spellStart"/>
      <w:r w:rsidRPr="00347F47">
        <w:t>analyse</w:t>
      </w:r>
      <w:proofErr w:type="spellEnd"/>
      <w:r w:rsidRPr="00347F47">
        <w:t xml:space="preserve"> the impact of climate risk and firm value (dividends), we offer novel contribution to this strand of literature by investigating the impact of </w:t>
      </w:r>
      <w:proofErr w:type="spellStart"/>
      <w:r w:rsidRPr="00347F47">
        <w:t>Fintechs</w:t>
      </w:r>
      <w:proofErr w:type="spellEnd"/>
      <w:r w:rsidRPr="00347F47">
        <w:t xml:space="preserve"> on firm value and dividend when firms are confronted with high climate risk</w:t>
      </w:r>
      <w:r w:rsidR="00815CDA" w:rsidRPr="00815CDA">
        <w:t xml:space="preserve">. </w:t>
      </w:r>
    </w:p>
    <w:p w14:paraId="53D05B1C" w14:textId="3A34F54E" w:rsidR="00C31866" w:rsidRPr="00A57273" w:rsidRDefault="00C31866" w:rsidP="00B6677C">
      <w:pPr>
        <w:pStyle w:val="johnSub"/>
      </w:pPr>
      <w:r w:rsidRPr="00A57273">
        <w:t>Methodology</w:t>
      </w:r>
    </w:p>
    <w:p w14:paraId="3F2A62CD" w14:textId="66700440" w:rsidR="00C31866" w:rsidRDefault="00DD156A" w:rsidP="009D0EBD">
      <w:pPr>
        <w:pStyle w:val="johnBody"/>
      </w:pPr>
      <w:r>
        <w:t>We</w:t>
      </w:r>
      <w:r w:rsidR="00C31866">
        <w:t xml:space="preserve"> focus on all listed energy firms </w:t>
      </w:r>
      <w:r w:rsidR="003B0936">
        <w:t xml:space="preserve">available on Thomson Reuters </w:t>
      </w:r>
      <w:r w:rsidR="00C31866">
        <w:t>from 2016 to 2023</w:t>
      </w:r>
      <w:r w:rsidR="001011BB">
        <w:t>, covering 5</w:t>
      </w:r>
      <w:r w:rsidR="00544CAB">
        <w:t>1</w:t>
      </w:r>
      <w:r w:rsidR="001011BB">
        <w:t xml:space="preserve"> countries</w:t>
      </w:r>
      <w:r w:rsidR="00D42AD5">
        <w:t xml:space="preserve">. </w:t>
      </w:r>
      <w:r w:rsidR="00544CAB" w:rsidRPr="00544CAB">
        <w:t xml:space="preserve">We included energy firms from all countries for which data was available on Eikon database. </w:t>
      </w:r>
      <w:r w:rsidR="00C31866">
        <w:t xml:space="preserve">We utilize the industry classification </w:t>
      </w:r>
      <w:r w:rsidR="009D0EBD">
        <w:t>of</w:t>
      </w:r>
      <w:r w:rsidR="00C31866">
        <w:t xml:space="preserve"> Thomson Reuters to </w:t>
      </w:r>
      <w:r>
        <w:t>determine</w:t>
      </w:r>
      <w:r w:rsidR="00C31866">
        <w:t xml:space="preserve"> energy firms. We collect </w:t>
      </w:r>
      <w:r>
        <w:t>f</w:t>
      </w:r>
      <w:r w:rsidR="00C31866">
        <w:t xml:space="preserve">intech data from </w:t>
      </w:r>
      <w:r w:rsidR="00C31866" w:rsidRPr="009D0EBD">
        <w:t>Crunchbase</w:t>
      </w:r>
      <w:r>
        <w:t xml:space="preserve">. We obtain firm value, dividend, corporate governance and financial characteristics from </w:t>
      </w:r>
      <w:r w:rsidR="00C31866">
        <w:t xml:space="preserve">Thomson Reuters Eikon. </w:t>
      </w:r>
      <w:r>
        <w:t>Country-level</w:t>
      </w:r>
      <w:r w:rsidR="00C31866">
        <w:t xml:space="preserve"> climate risk </w:t>
      </w:r>
      <w:r>
        <w:t xml:space="preserve">is proxied by the </w:t>
      </w:r>
      <w:r w:rsidR="007712F3">
        <w:t>Global Climate Physical Risk Index</w:t>
      </w:r>
      <w:r>
        <w:t xml:space="preserve"> (GCPI)</w:t>
      </w:r>
      <w:r w:rsidR="007712F3">
        <w:t xml:space="preserve"> (</w:t>
      </w:r>
      <w:r w:rsidR="00D42AD5">
        <w:t>Guo et al.</w:t>
      </w:r>
      <w:r w:rsidR="007712F3">
        <w:t xml:space="preserve">, </w:t>
      </w:r>
      <w:r w:rsidR="00D42AD5">
        <w:t>2024).</w:t>
      </w:r>
      <w:r w:rsidR="00C31866">
        <w:t xml:space="preserve"> </w:t>
      </w:r>
      <w:r>
        <w:t>This index</w:t>
      </w:r>
      <w:r w:rsidR="008E4242">
        <w:t xml:space="preserve"> measures the frequency of </w:t>
      </w:r>
      <w:r w:rsidR="00D42AD5">
        <w:t>extreme</w:t>
      </w:r>
      <w:r w:rsidR="008E4242">
        <w:t xml:space="preserve"> weather events and is calcula</w:t>
      </w:r>
      <w:r w:rsidR="00D42AD5">
        <w:t>ted</w:t>
      </w:r>
      <w:r w:rsidR="008E4242">
        <w:t xml:space="preserve"> by </w:t>
      </w:r>
      <w:r w:rsidR="00F93A04">
        <w:t>incorporating</w:t>
      </w:r>
      <w:r w:rsidR="008E4242">
        <w:t xml:space="preserve"> four components which include extreme rainfall, extreme high temperature, extreme low temperature and extreme </w:t>
      </w:r>
      <w:r w:rsidR="007712F3">
        <w:t>drought</w:t>
      </w:r>
      <w:r w:rsidR="008E4242">
        <w:t xml:space="preserve"> (</w:t>
      </w:r>
      <w:r w:rsidR="007712F3">
        <w:t>Guo et al., 2024</w:t>
      </w:r>
      <w:r w:rsidR="008E4242">
        <w:t xml:space="preserve">). </w:t>
      </w:r>
      <w:r w:rsidR="003B0936">
        <w:t>After incorporating missing data, our sample consists of 2</w:t>
      </w:r>
      <w:r>
        <w:t>,</w:t>
      </w:r>
      <w:r w:rsidR="007D673D">
        <w:t>379</w:t>
      </w:r>
      <w:r w:rsidR="001011BB">
        <w:t xml:space="preserve"> (</w:t>
      </w:r>
      <w:r w:rsidR="007D673D">
        <w:t>1</w:t>
      </w:r>
      <w:r>
        <w:t>,</w:t>
      </w:r>
      <w:r w:rsidR="007D673D">
        <w:t>972</w:t>
      </w:r>
      <w:r w:rsidR="001011BB">
        <w:t>)</w:t>
      </w:r>
      <w:r w:rsidR="003B0936">
        <w:t xml:space="preserve"> </w:t>
      </w:r>
      <w:bookmarkStart w:id="2" w:name="_Hlk194476607"/>
      <w:r w:rsidR="003B0936">
        <w:t xml:space="preserve">firm-year </w:t>
      </w:r>
      <w:bookmarkEnd w:id="2"/>
      <w:r w:rsidR="003B0936">
        <w:t xml:space="preserve">observations. </w:t>
      </w:r>
      <w:r w:rsidR="007B3628">
        <w:t>Appendix 1 shows the list of countries included in our sample.</w:t>
      </w:r>
    </w:p>
    <w:p w14:paraId="23B7CF35" w14:textId="16EFC357" w:rsidR="008E4242" w:rsidRDefault="008E4242" w:rsidP="009D0EBD">
      <w:pPr>
        <w:pStyle w:val="johnBody"/>
      </w:pPr>
      <w:r>
        <w:t xml:space="preserve">Our </w:t>
      </w:r>
      <w:r w:rsidR="00337511">
        <w:t xml:space="preserve">two </w:t>
      </w:r>
      <w:r>
        <w:t xml:space="preserve">dependent variables are </w:t>
      </w:r>
      <w:r w:rsidR="00427C7A">
        <w:t xml:space="preserve">specifically </w:t>
      </w:r>
      <w:r w:rsidR="009D0EBD">
        <w:t>firm-level</w:t>
      </w:r>
      <w:r>
        <w:t xml:space="preserve"> log of the total market capitalization </w:t>
      </w:r>
      <w:r w:rsidR="009D0EBD">
        <w:t>and</w:t>
      </w:r>
      <w:r>
        <w:t xml:space="preserve"> dividend per share (</w:t>
      </w:r>
      <w:proofErr w:type="spellStart"/>
      <w:r w:rsidR="00961D6C">
        <w:t>Abdolmuhammadi</w:t>
      </w:r>
      <w:proofErr w:type="spellEnd"/>
      <w:r w:rsidR="00961D6C">
        <w:t xml:space="preserve">, 2005; </w:t>
      </w:r>
      <w:r w:rsidR="007B6062">
        <w:t>Ofori-Sasu et al., 2017</w:t>
      </w:r>
      <w:r>
        <w:t>).</w:t>
      </w:r>
      <w:r w:rsidR="00337511">
        <w:t xml:space="preserve"> </w:t>
      </w:r>
      <w:r>
        <w:t>Our main independent variable</w:t>
      </w:r>
      <w:r w:rsidR="001011BB">
        <w:t xml:space="preserve"> </w:t>
      </w:r>
      <w:r w:rsidR="00D42AD5">
        <w:t>involves</w:t>
      </w:r>
      <w:r w:rsidR="001011BB">
        <w:t xml:space="preserve"> an</w:t>
      </w:r>
      <w:r w:rsidR="00337511">
        <w:t xml:space="preserve"> </w:t>
      </w:r>
      <w:r>
        <w:t xml:space="preserve">interaction </w:t>
      </w:r>
      <w:r w:rsidR="00337511">
        <w:t xml:space="preserve">term </w:t>
      </w:r>
      <w:r>
        <w:t xml:space="preserve">between country climate risk and </w:t>
      </w:r>
      <w:proofErr w:type="spellStart"/>
      <w:r w:rsidR="009D0EBD">
        <w:t>f</w:t>
      </w:r>
      <w:r>
        <w:t>intech</w:t>
      </w:r>
      <w:r w:rsidR="00337511">
        <w:t>s</w:t>
      </w:r>
      <w:proofErr w:type="spellEnd"/>
      <w:r w:rsidR="00337511">
        <w:t xml:space="preserve">. </w:t>
      </w:r>
      <w:r w:rsidR="003944A4">
        <w:t>We measure</w:t>
      </w:r>
      <w:r w:rsidR="009D0EBD">
        <w:t xml:space="preserve"> country-level f</w:t>
      </w:r>
      <w:r w:rsidR="003944A4">
        <w:t>intech</w:t>
      </w:r>
      <w:r w:rsidR="009D0EBD">
        <w:t xml:space="preserve"> development</w:t>
      </w:r>
      <w:r w:rsidR="003944A4">
        <w:t xml:space="preserve"> </w:t>
      </w:r>
      <w:r w:rsidR="009D0EBD">
        <w:t>as</w:t>
      </w:r>
      <w:r w:rsidR="003944A4">
        <w:t xml:space="preserve"> the </w:t>
      </w:r>
      <w:r w:rsidR="00337511">
        <w:t xml:space="preserve">ratio of </w:t>
      </w:r>
      <w:proofErr w:type="spellStart"/>
      <w:r w:rsidR="009D0EBD">
        <w:t>f</w:t>
      </w:r>
      <w:r w:rsidR="00337511">
        <w:t>intechs</w:t>
      </w:r>
      <w:proofErr w:type="spellEnd"/>
      <w:r w:rsidR="00337511">
        <w:t xml:space="preserve"> in a country to total </w:t>
      </w:r>
      <w:proofErr w:type="spellStart"/>
      <w:r w:rsidR="009D0EBD">
        <w:t>f</w:t>
      </w:r>
      <w:r w:rsidR="00337511">
        <w:t>intechs</w:t>
      </w:r>
      <w:proofErr w:type="spellEnd"/>
      <w:r w:rsidR="00337511">
        <w:t xml:space="preserve"> in the world</w:t>
      </w:r>
      <w:r w:rsidR="003944A4">
        <w:t xml:space="preserve"> (</w:t>
      </w:r>
      <w:proofErr w:type="spellStart"/>
      <w:r w:rsidR="005342FB">
        <w:t>Laidroo</w:t>
      </w:r>
      <w:proofErr w:type="spellEnd"/>
      <w:r w:rsidR="003944A4">
        <w:t xml:space="preserve"> et </w:t>
      </w:r>
      <w:r w:rsidR="003944A4">
        <w:lastRenderedPageBreak/>
        <w:t>al.</w:t>
      </w:r>
      <w:r w:rsidR="00A57273">
        <w:t xml:space="preserve"> 2021</w:t>
      </w:r>
      <w:r w:rsidR="003944A4">
        <w:t>).</w:t>
      </w:r>
      <w:r w:rsidR="00347F47">
        <w:t xml:space="preserve"> </w:t>
      </w:r>
      <w:r w:rsidR="00347F47" w:rsidRPr="00347F47">
        <w:t xml:space="preserve">Whereas studies such as Abbasi et al. (2021) utilize number of </w:t>
      </w:r>
      <w:proofErr w:type="spellStart"/>
      <w:r w:rsidR="00347F47" w:rsidRPr="00347F47">
        <w:t>Fintechs</w:t>
      </w:r>
      <w:proofErr w:type="spellEnd"/>
      <w:r w:rsidR="00347F47" w:rsidRPr="00347F47">
        <w:t xml:space="preserve"> in a country, we argue that our measure of proportion of country’s </w:t>
      </w:r>
      <w:proofErr w:type="spellStart"/>
      <w:r w:rsidR="00347F47" w:rsidRPr="00347F47">
        <w:t>Fintechs</w:t>
      </w:r>
      <w:proofErr w:type="spellEnd"/>
      <w:r w:rsidR="00347F47" w:rsidRPr="00347F47">
        <w:t xml:space="preserve"> to total </w:t>
      </w:r>
      <w:proofErr w:type="spellStart"/>
      <w:r w:rsidR="00347F47" w:rsidRPr="00347F47">
        <w:t>Fintechs</w:t>
      </w:r>
      <w:proofErr w:type="spellEnd"/>
      <w:r w:rsidR="00347F47" w:rsidRPr="00347F47">
        <w:t xml:space="preserve"> in the world captures the country’s relative contribution towards global Fintech landscape, thereby more appropriately encompassing Fintech development.  </w:t>
      </w:r>
    </w:p>
    <w:p w14:paraId="1C6EB34E" w14:textId="0AEA3FE9" w:rsidR="009D0EBD" w:rsidRDefault="005C7AE9" w:rsidP="00005CEB">
      <w:pPr>
        <w:pStyle w:val="johnBody"/>
      </w:pPr>
      <w:r>
        <w:t>We</w:t>
      </w:r>
      <w:r w:rsidR="003944A4">
        <w:t xml:space="preserve"> include several control variables. </w:t>
      </w:r>
      <w:r w:rsidR="009D0EBD">
        <w:t>We consider that</w:t>
      </w:r>
      <w:r w:rsidR="003944A4">
        <w:t xml:space="preserve"> better performing firms (return on </w:t>
      </w:r>
      <w:r w:rsidR="007D673D">
        <w:t>equity</w:t>
      </w:r>
      <w:r w:rsidR="003944A4">
        <w:t xml:space="preserve">) </w:t>
      </w:r>
      <w:r w:rsidR="00B84E65">
        <w:t xml:space="preserve">and </w:t>
      </w:r>
      <w:r w:rsidR="009D0EBD">
        <w:t xml:space="preserve">more </w:t>
      </w:r>
      <w:r w:rsidR="00B84E65">
        <w:t xml:space="preserve">growing firms (ratio of market value of equity to book value of equity) </w:t>
      </w:r>
      <w:r w:rsidR="003944A4">
        <w:t>are likely to be in a better position in terms of ability to increase firm value and dividend (</w:t>
      </w:r>
      <w:r w:rsidR="00F60B62">
        <w:t>Abbasi et al., 202</w:t>
      </w:r>
      <w:r w:rsidR="00C03271">
        <w:t>1</w:t>
      </w:r>
      <w:r w:rsidR="00AE263D">
        <w:t>; Danbolt et al., 2011</w:t>
      </w:r>
      <w:r w:rsidR="003944A4">
        <w:t xml:space="preserve">). </w:t>
      </w:r>
      <w:r w:rsidR="009D0EBD">
        <w:t>Further</w:t>
      </w:r>
      <w:r w:rsidR="003944A4">
        <w:t xml:space="preserve">, given their large resources, large firms </w:t>
      </w:r>
      <w:r w:rsidR="00B84E65">
        <w:t xml:space="preserve">(log of total assets) </w:t>
      </w:r>
      <w:r w:rsidR="003944A4">
        <w:t>are expected to be positively associated with firm value and dividends (</w:t>
      </w:r>
      <w:proofErr w:type="spellStart"/>
      <w:r w:rsidR="00AE263D" w:rsidRPr="00AE263D">
        <w:t>Likitwongkajona</w:t>
      </w:r>
      <w:proofErr w:type="spellEnd"/>
      <w:r w:rsidR="00AE263D">
        <w:t xml:space="preserve"> &amp; </w:t>
      </w:r>
      <w:proofErr w:type="spellStart"/>
      <w:r w:rsidR="00AE263D" w:rsidRPr="00AE263D">
        <w:t>Vithessonthi</w:t>
      </w:r>
      <w:proofErr w:type="spellEnd"/>
      <w:r w:rsidR="00AE263D">
        <w:t>, 2020</w:t>
      </w:r>
      <w:r w:rsidR="003944A4">
        <w:t xml:space="preserve">). </w:t>
      </w:r>
      <w:r w:rsidR="009D0EBD">
        <w:t>Additionally</w:t>
      </w:r>
      <w:r w:rsidR="003944A4">
        <w:t xml:space="preserve">, higher leverage </w:t>
      </w:r>
      <w:r w:rsidR="00B84E65">
        <w:t xml:space="preserve">(ratio of debt to assets) </w:t>
      </w:r>
      <w:r w:rsidR="003944A4">
        <w:t xml:space="preserve">suggests </w:t>
      </w:r>
      <w:r w:rsidR="00E6278B">
        <w:t>greater</w:t>
      </w:r>
      <w:r w:rsidR="00B84E65">
        <w:t xml:space="preserve"> financial capacity to allocate investments to increase firm value and to provide higher dividend (</w:t>
      </w:r>
      <w:r w:rsidR="00F60B62">
        <w:t>Ammann et al., 2011</w:t>
      </w:r>
      <w:r w:rsidR="00B84E65">
        <w:t xml:space="preserve">). </w:t>
      </w:r>
    </w:p>
    <w:p w14:paraId="09F42CEC" w14:textId="443B03E4" w:rsidR="003944A4" w:rsidRPr="000B2B85" w:rsidRDefault="00005CEB" w:rsidP="000B2B85">
      <w:pPr>
        <w:pStyle w:val="johnBody"/>
        <w:rPr>
          <w:rStyle w:val="johnBodyChar"/>
        </w:rPr>
      </w:pPr>
      <w:r w:rsidRPr="000B2B85">
        <w:t xml:space="preserve">We also consider governance and pro-social controls. </w:t>
      </w:r>
      <w:r w:rsidRPr="000B2B85">
        <w:rPr>
          <w:rStyle w:val="johnBodyChar"/>
        </w:rPr>
        <w:t>The</w:t>
      </w:r>
      <w:r w:rsidR="009D0EBD" w:rsidRPr="000B2B85">
        <w:rPr>
          <w:rStyle w:val="johnBodyChar"/>
        </w:rPr>
        <w:t xml:space="preserve"> </w:t>
      </w:r>
      <w:r w:rsidR="00B84E65" w:rsidRPr="000B2B85">
        <w:rPr>
          <w:rStyle w:val="johnBodyChar"/>
        </w:rPr>
        <w:t xml:space="preserve">presence of </w:t>
      </w:r>
      <w:r w:rsidR="009D0EBD" w:rsidRPr="000B2B85">
        <w:rPr>
          <w:rStyle w:val="johnBodyChar"/>
        </w:rPr>
        <w:t xml:space="preserve">a </w:t>
      </w:r>
      <w:r w:rsidR="00B84E65" w:rsidRPr="000B2B85">
        <w:rPr>
          <w:rStyle w:val="johnBodyChar"/>
        </w:rPr>
        <w:t>CSR committee (1 if there is a CSR committee in a firm, otherwise 0) has been associated with an increase in firm value and higher dividend</w:t>
      </w:r>
      <w:r w:rsidR="00F60B62" w:rsidRPr="000B2B85">
        <w:rPr>
          <w:rStyle w:val="johnBodyChar"/>
        </w:rPr>
        <w:t>, as a</w:t>
      </w:r>
      <w:r w:rsidR="00D96C54" w:rsidRPr="000B2B85">
        <w:rPr>
          <w:rStyle w:val="johnBodyChar"/>
        </w:rPr>
        <w:t xml:space="preserve"> separate CSR committee suggests greater consideration for environmental issues, </w:t>
      </w:r>
      <w:r w:rsidR="009D0EBD" w:rsidRPr="000B2B85">
        <w:rPr>
          <w:rStyle w:val="johnBodyChar"/>
        </w:rPr>
        <w:t>with concomitant</w:t>
      </w:r>
      <w:r w:rsidR="00D96C54" w:rsidRPr="000B2B85">
        <w:rPr>
          <w:rStyle w:val="johnBodyChar"/>
        </w:rPr>
        <w:t xml:space="preserve"> regar</w:t>
      </w:r>
      <w:r w:rsidR="009D0EBD" w:rsidRPr="000B2B85">
        <w:rPr>
          <w:rStyle w:val="johnBodyChar"/>
        </w:rPr>
        <w:t>d</w:t>
      </w:r>
      <w:r w:rsidR="00D96C54" w:rsidRPr="000B2B85">
        <w:rPr>
          <w:rStyle w:val="johnBodyChar"/>
        </w:rPr>
        <w:t xml:space="preserve"> by </w:t>
      </w:r>
      <w:r w:rsidR="003B0936" w:rsidRPr="000B2B85">
        <w:rPr>
          <w:rStyle w:val="johnBodyChar"/>
        </w:rPr>
        <w:t>investors</w:t>
      </w:r>
      <w:r w:rsidR="00D96C54" w:rsidRPr="000B2B85">
        <w:rPr>
          <w:rStyle w:val="johnBodyChar"/>
        </w:rPr>
        <w:t xml:space="preserve"> </w:t>
      </w:r>
      <w:r w:rsidR="003B0936" w:rsidRPr="000B2B85">
        <w:rPr>
          <w:rStyle w:val="johnBodyChar"/>
        </w:rPr>
        <w:t>(</w:t>
      </w:r>
      <w:proofErr w:type="spellStart"/>
      <w:r w:rsidR="00F60B62" w:rsidRPr="000B2B85">
        <w:rPr>
          <w:rStyle w:val="johnBodyChar"/>
        </w:rPr>
        <w:t>Albitar</w:t>
      </w:r>
      <w:proofErr w:type="spellEnd"/>
      <w:r w:rsidR="00F60B62" w:rsidRPr="000B2B85">
        <w:rPr>
          <w:rStyle w:val="johnBodyChar"/>
        </w:rPr>
        <w:t xml:space="preserve"> et al., 2024</w:t>
      </w:r>
      <w:r w:rsidR="003B0936" w:rsidRPr="000B2B85">
        <w:rPr>
          <w:rStyle w:val="johnBodyChar"/>
        </w:rPr>
        <w:t>)</w:t>
      </w:r>
      <w:r w:rsidR="009D0EBD" w:rsidRPr="000B2B85">
        <w:rPr>
          <w:rStyle w:val="johnBodyChar"/>
        </w:rPr>
        <w:t xml:space="preserve">, allowing </w:t>
      </w:r>
      <w:r w:rsidR="003B0936" w:rsidRPr="000B2B85">
        <w:rPr>
          <w:rStyle w:val="johnBodyChar"/>
        </w:rPr>
        <w:t>greater capacity to pay higher dividends (</w:t>
      </w:r>
      <w:r w:rsidR="00F60B62" w:rsidRPr="000B2B85">
        <w:rPr>
          <w:rStyle w:val="johnBodyChar"/>
        </w:rPr>
        <w:t>Salah &amp; Amar, 2022</w:t>
      </w:r>
      <w:r w:rsidR="003B0936" w:rsidRPr="000B2B85">
        <w:rPr>
          <w:rStyle w:val="johnBodyChar"/>
        </w:rPr>
        <w:t xml:space="preserve">). </w:t>
      </w:r>
      <w:r w:rsidR="009D0EBD" w:rsidRPr="000B2B85">
        <w:rPr>
          <w:rStyle w:val="johnBodyChar"/>
        </w:rPr>
        <w:t>Additionally</w:t>
      </w:r>
      <w:r w:rsidR="003B0936" w:rsidRPr="000B2B85">
        <w:rPr>
          <w:rStyle w:val="johnBodyChar"/>
        </w:rPr>
        <w:t xml:space="preserve">, an independent board </w:t>
      </w:r>
      <w:r w:rsidR="007D673D" w:rsidRPr="000B2B85">
        <w:rPr>
          <w:rStyle w:val="johnBodyChar"/>
        </w:rPr>
        <w:t xml:space="preserve">(percentage of independent directors) </w:t>
      </w:r>
      <w:r w:rsidR="003B0936" w:rsidRPr="000B2B85">
        <w:rPr>
          <w:rStyle w:val="johnBodyChar"/>
        </w:rPr>
        <w:t>resonates with higher monitoring of executive directors, resulting in greater firm value and higher dividends (</w:t>
      </w:r>
      <w:r w:rsidR="00F60B62" w:rsidRPr="000B2B85">
        <w:rPr>
          <w:rStyle w:val="johnBodyChar"/>
        </w:rPr>
        <w:t>Sharma, 2011</w:t>
      </w:r>
      <w:r w:rsidR="003B0936" w:rsidRPr="000B2B85">
        <w:rPr>
          <w:rStyle w:val="johnBodyChar"/>
        </w:rPr>
        <w:t>).</w:t>
      </w:r>
      <w:r w:rsidR="00A57273" w:rsidRPr="000B2B85">
        <w:rPr>
          <w:rStyle w:val="johnBodyChar"/>
        </w:rPr>
        <w:t xml:space="preserve"> </w:t>
      </w:r>
      <w:r w:rsidRPr="000B2B85">
        <w:rPr>
          <w:rStyle w:val="johnBodyChar"/>
        </w:rPr>
        <w:t>Further</w:t>
      </w:r>
      <w:r w:rsidR="00A57273" w:rsidRPr="000B2B85">
        <w:rPr>
          <w:rStyle w:val="johnBodyChar"/>
        </w:rPr>
        <w:t xml:space="preserve">, </w:t>
      </w:r>
      <w:r w:rsidR="003B0936" w:rsidRPr="000B2B85">
        <w:rPr>
          <w:rStyle w:val="johnBodyChar"/>
        </w:rPr>
        <w:t xml:space="preserve">female directors </w:t>
      </w:r>
      <w:r w:rsidR="007D673D" w:rsidRPr="000B2B85">
        <w:rPr>
          <w:rStyle w:val="johnBodyChar"/>
        </w:rPr>
        <w:t xml:space="preserve">(percentage of female directors) </w:t>
      </w:r>
      <w:r w:rsidR="00A57273" w:rsidRPr="000B2B85">
        <w:rPr>
          <w:rStyle w:val="johnBodyChar"/>
        </w:rPr>
        <w:t>have</w:t>
      </w:r>
      <w:r w:rsidRPr="000B2B85">
        <w:rPr>
          <w:rStyle w:val="johnBodyChar"/>
        </w:rPr>
        <w:t xml:space="preserve"> been identified as having</w:t>
      </w:r>
      <w:r w:rsidR="00A57273" w:rsidRPr="000B2B85">
        <w:rPr>
          <w:rStyle w:val="johnBodyChar"/>
        </w:rPr>
        <w:t xml:space="preserve"> a greater tendency to consider the interests of various stakeholders, which may translate into higher monitoring of board, resulting in a positive association with both firm value and dividends (</w:t>
      </w:r>
      <w:r w:rsidR="00F60B62" w:rsidRPr="000B2B85">
        <w:rPr>
          <w:rStyle w:val="johnBodyChar"/>
        </w:rPr>
        <w:t>Gull et al., 2018</w:t>
      </w:r>
      <w:r w:rsidR="00A57273" w:rsidRPr="000B2B85">
        <w:rPr>
          <w:rStyle w:val="johnBodyChar"/>
        </w:rPr>
        <w:t>)</w:t>
      </w:r>
      <w:r w:rsidR="009827BD" w:rsidRPr="000B2B85">
        <w:rPr>
          <w:rStyle w:val="johnBodyChar"/>
        </w:rPr>
        <w:t xml:space="preserve">. Lastly, we control for year and industry effects. </w:t>
      </w:r>
      <w:r w:rsidR="00427C7A" w:rsidRPr="000B2B85">
        <w:rPr>
          <w:rStyle w:val="johnBodyChar"/>
        </w:rPr>
        <w:t>Variable definitions are presented in Table 1.</w:t>
      </w:r>
    </w:p>
    <w:p w14:paraId="0CD2CEC0" w14:textId="39EBE147" w:rsidR="00D9772C" w:rsidRPr="00721386" w:rsidRDefault="00D9772C" w:rsidP="00D9772C">
      <w:pPr>
        <w:pStyle w:val="johnTableinsert"/>
        <w:rPr>
          <w:szCs w:val="22"/>
        </w:rPr>
      </w:pPr>
      <w:r w:rsidRPr="00721386">
        <w:rPr>
          <w:szCs w:val="22"/>
        </w:rPr>
        <w:t xml:space="preserve">(Insert Table </w:t>
      </w:r>
      <w:r>
        <w:rPr>
          <w:szCs w:val="22"/>
        </w:rPr>
        <w:t>1</w:t>
      </w:r>
      <w:r w:rsidRPr="00721386">
        <w:rPr>
          <w:szCs w:val="22"/>
        </w:rPr>
        <w:t xml:space="preserve"> about here)</w:t>
      </w:r>
    </w:p>
    <w:p w14:paraId="0EFFF28A" w14:textId="6CC51DB8" w:rsidR="003B0936" w:rsidRDefault="003B0936" w:rsidP="00005CEB">
      <w:pPr>
        <w:pStyle w:val="johnBody"/>
      </w:pPr>
      <w:r>
        <w:t xml:space="preserve">The following ordinary least squares regression </w:t>
      </w:r>
      <w:r w:rsidR="009827BD">
        <w:t xml:space="preserve">(OLS) </w:t>
      </w:r>
      <w:r>
        <w:t>models are adopted to test our research questions:</w:t>
      </w:r>
    </w:p>
    <w:p w14:paraId="63869F77" w14:textId="0E462653" w:rsidR="003B0936" w:rsidRPr="00005CEB" w:rsidRDefault="003B0936" w:rsidP="00005CEB">
      <w:pPr>
        <w:spacing w:before="240" w:after="360" w:line="240" w:lineRule="auto"/>
        <w:ind w:hanging="90"/>
        <w:jc w:val="center"/>
        <w:rPr>
          <w:rFonts w:ascii="Times New Roman" w:hAnsi="Times New Roman" w:cs="Times New Roman"/>
        </w:rPr>
      </w:pPr>
      <w:r w:rsidRPr="00005CEB">
        <w:rPr>
          <w:rFonts w:ascii="Times New Roman" w:hAnsi="Times New Roman" w:cs="Times New Roman"/>
        </w:rPr>
        <w:t xml:space="preserve">Firm </w:t>
      </w:r>
      <w:proofErr w:type="spellStart"/>
      <w:r w:rsidRPr="00005CEB">
        <w:rPr>
          <w:rFonts w:ascii="Times New Roman" w:hAnsi="Times New Roman" w:cs="Times New Roman"/>
        </w:rPr>
        <w:t>value</w:t>
      </w:r>
      <w:r w:rsidRPr="00005CEB">
        <w:rPr>
          <w:rFonts w:ascii="Times New Roman" w:hAnsi="Times New Roman" w:cs="Times New Roman"/>
          <w:vertAlign w:val="subscript"/>
        </w:rPr>
        <w:t>i</w:t>
      </w:r>
      <w:r w:rsidR="0093468F" w:rsidRPr="00005CEB">
        <w:rPr>
          <w:rFonts w:ascii="Times New Roman" w:hAnsi="Times New Roman" w:cs="Times New Roman"/>
          <w:vertAlign w:val="subscript"/>
        </w:rPr>
        <w:t>,</w:t>
      </w:r>
      <w:r w:rsidRPr="00005CEB">
        <w:rPr>
          <w:rFonts w:ascii="Times New Roman" w:hAnsi="Times New Roman" w:cs="Times New Roman"/>
          <w:vertAlign w:val="subscript"/>
        </w:rPr>
        <w:t>t</w:t>
      </w:r>
      <w:proofErr w:type="spellEnd"/>
      <w:r w:rsidRPr="00005CEB">
        <w:rPr>
          <w:rFonts w:ascii="Times New Roman" w:hAnsi="Times New Roman" w:cs="Times New Roman"/>
        </w:rPr>
        <w:t xml:space="preserve"> = B</w:t>
      </w:r>
      <w:r w:rsidRPr="00005CEB">
        <w:rPr>
          <w:rFonts w:ascii="Times New Roman" w:hAnsi="Times New Roman" w:cs="Times New Roman"/>
          <w:vertAlign w:val="subscript"/>
        </w:rPr>
        <w:t>0</w:t>
      </w:r>
      <w:r w:rsidRPr="00005CEB">
        <w:rPr>
          <w:rFonts w:ascii="Times New Roman" w:hAnsi="Times New Roman" w:cs="Times New Roman"/>
        </w:rPr>
        <w:t xml:space="preserve"> + B</w:t>
      </w:r>
      <w:r w:rsidRPr="00005CEB">
        <w:rPr>
          <w:rFonts w:ascii="Times New Roman" w:hAnsi="Times New Roman" w:cs="Times New Roman"/>
          <w:vertAlign w:val="subscript"/>
        </w:rPr>
        <w:t>1</w:t>
      </w:r>
      <w:r w:rsidRPr="00005CEB">
        <w:rPr>
          <w:rFonts w:ascii="Times New Roman" w:hAnsi="Times New Roman" w:cs="Times New Roman"/>
        </w:rPr>
        <w:t xml:space="preserve"> </w:t>
      </w:r>
      <w:proofErr w:type="spellStart"/>
      <w:r w:rsidRPr="00005CEB">
        <w:rPr>
          <w:rFonts w:ascii="Times New Roman" w:hAnsi="Times New Roman" w:cs="Times New Roman"/>
        </w:rPr>
        <w:t>Fintech</w:t>
      </w:r>
      <w:r w:rsidRPr="00005CEB">
        <w:rPr>
          <w:rFonts w:ascii="Times New Roman" w:hAnsi="Times New Roman" w:cs="Times New Roman"/>
          <w:vertAlign w:val="subscript"/>
        </w:rPr>
        <w:t>c</w:t>
      </w:r>
      <w:r w:rsidR="0093468F" w:rsidRPr="00005CEB">
        <w:rPr>
          <w:rFonts w:ascii="Times New Roman" w:hAnsi="Times New Roman" w:cs="Times New Roman"/>
          <w:vertAlign w:val="subscript"/>
        </w:rPr>
        <w:t>,</w:t>
      </w:r>
      <w:r w:rsidRPr="00005CEB">
        <w:rPr>
          <w:rFonts w:ascii="Times New Roman" w:hAnsi="Times New Roman" w:cs="Times New Roman"/>
          <w:vertAlign w:val="subscript"/>
        </w:rPr>
        <w:t>t</w:t>
      </w:r>
      <w:proofErr w:type="spellEnd"/>
      <w:r w:rsidRPr="00005CEB">
        <w:rPr>
          <w:rFonts w:ascii="Times New Roman" w:hAnsi="Times New Roman" w:cs="Times New Roman"/>
        </w:rPr>
        <w:t xml:space="preserve"> * Climate </w:t>
      </w:r>
      <w:proofErr w:type="spellStart"/>
      <w:r w:rsidRPr="00005CEB">
        <w:rPr>
          <w:rFonts w:ascii="Times New Roman" w:hAnsi="Times New Roman" w:cs="Times New Roman"/>
        </w:rPr>
        <w:t>risk</w:t>
      </w:r>
      <w:r w:rsidRPr="00005CEB">
        <w:rPr>
          <w:rFonts w:ascii="Times New Roman" w:hAnsi="Times New Roman" w:cs="Times New Roman"/>
          <w:vertAlign w:val="subscript"/>
        </w:rPr>
        <w:t>c</w:t>
      </w:r>
      <w:r w:rsidR="0093468F" w:rsidRPr="00005CEB">
        <w:rPr>
          <w:rFonts w:ascii="Times New Roman" w:hAnsi="Times New Roman" w:cs="Times New Roman"/>
          <w:vertAlign w:val="subscript"/>
        </w:rPr>
        <w:t>,</w:t>
      </w:r>
      <w:r w:rsidRPr="00005CEB">
        <w:rPr>
          <w:rFonts w:ascii="Times New Roman" w:hAnsi="Times New Roman" w:cs="Times New Roman"/>
          <w:vertAlign w:val="subscript"/>
        </w:rPr>
        <w:t>t</w:t>
      </w:r>
      <w:proofErr w:type="spellEnd"/>
      <w:r w:rsidRPr="00005CEB">
        <w:rPr>
          <w:rFonts w:ascii="Times New Roman" w:hAnsi="Times New Roman" w:cs="Times New Roman"/>
        </w:rPr>
        <w:t xml:space="preserve"> + B</w:t>
      </w:r>
      <w:r w:rsidRPr="00005CEB">
        <w:rPr>
          <w:rFonts w:ascii="Times New Roman" w:hAnsi="Times New Roman" w:cs="Times New Roman"/>
          <w:vertAlign w:val="subscript"/>
        </w:rPr>
        <w:t>2</w:t>
      </w:r>
      <w:r w:rsidRPr="00005CEB">
        <w:rPr>
          <w:rFonts w:ascii="Times New Roman" w:hAnsi="Times New Roman" w:cs="Times New Roman"/>
        </w:rPr>
        <w:t xml:space="preserve"> </w:t>
      </w:r>
      <w:proofErr w:type="spellStart"/>
      <w:r w:rsidRPr="00005CEB">
        <w:rPr>
          <w:rFonts w:ascii="Times New Roman" w:hAnsi="Times New Roman" w:cs="Times New Roman"/>
        </w:rPr>
        <w:t>Fintechs</w:t>
      </w:r>
      <w:r w:rsidRPr="00005CEB">
        <w:rPr>
          <w:rFonts w:ascii="Times New Roman" w:hAnsi="Times New Roman" w:cs="Times New Roman"/>
          <w:vertAlign w:val="subscript"/>
        </w:rPr>
        <w:t>c</w:t>
      </w:r>
      <w:r w:rsidR="0093468F" w:rsidRPr="00005CEB">
        <w:rPr>
          <w:rFonts w:ascii="Times New Roman" w:hAnsi="Times New Roman" w:cs="Times New Roman"/>
          <w:vertAlign w:val="subscript"/>
        </w:rPr>
        <w:t>,</w:t>
      </w:r>
      <w:r w:rsidRPr="00005CEB">
        <w:rPr>
          <w:rFonts w:ascii="Times New Roman" w:hAnsi="Times New Roman" w:cs="Times New Roman"/>
          <w:vertAlign w:val="subscript"/>
        </w:rPr>
        <w:t>t</w:t>
      </w:r>
      <w:proofErr w:type="spellEnd"/>
      <w:r w:rsidRPr="00005CEB">
        <w:rPr>
          <w:rFonts w:ascii="Times New Roman" w:hAnsi="Times New Roman" w:cs="Times New Roman"/>
        </w:rPr>
        <w:t xml:space="preserve"> + B</w:t>
      </w:r>
      <w:r w:rsidRPr="00005CEB">
        <w:rPr>
          <w:rFonts w:ascii="Times New Roman" w:hAnsi="Times New Roman" w:cs="Times New Roman"/>
          <w:vertAlign w:val="subscript"/>
        </w:rPr>
        <w:t>3</w:t>
      </w:r>
      <w:r w:rsidRPr="00005CEB">
        <w:rPr>
          <w:rFonts w:ascii="Times New Roman" w:hAnsi="Times New Roman" w:cs="Times New Roman"/>
        </w:rPr>
        <w:t xml:space="preserve"> Climate </w:t>
      </w:r>
      <w:proofErr w:type="spellStart"/>
      <w:r w:rsidRPr="00005CEB">
        <w:rPr>
          <w:rFonts w:ascii="Times New Roman" w:hAnsi="Times New Roman" w:cs="Times New Roman"/>
        </w:rPr>
        <w:t>risk</w:t>
      </w:r>
      <w:r w:rsidRPr="00005CEB">
        <w:rPr>
          <w:rFonts w:ascii="Times New Roman" w:hAnsi="Times New Roman" w:cs="Times New Roman"/>
          <w:vertAlign w:val="subscript"/>
        </w:rPr>
        <w:t>c</w:t>
      </w:r>
      <w:r w:rsidR="0093468F" w:rsidRPr="00005CEB">
        <w:rPr>
          <w:rFonts w:ascii="Times New Roman" w:hAnsi="Times New Roman" w:cs="Times New Roman"/>
          <w:vertAlign w:val="subscript"/>
        </w:rPr>
        <w:t>,</w:t>
      </w:r>
      <w:r w:rsidRPr="00005CEB">
        <w:rPr>
          <w:rFonts w:ascii="Times New Roman" w:hAnsi="Times New Roman" w:cs="Times New Roman"/>
          <w:vertAlign w:val="subscript"/>
        </w:rPr>
        <w:t>t</w:t>
      </w:r>
      <w:proofErr w:type="spellEnd"/>
      <w:r w:rsidRPr="00005CEB">
        <w:rPr>
          <w:rFonts w:ascii="Times New Roman" w:hAnsi="Times New Roman" w:cs="Times New Roman"/>
        </w:rPr>
        <w:t xml:space="preserve"> + B</w:t>
      </w:r>
      <w:r w:rsidRPr="00005CEB">
        <w:rPr>
          <w:rFonts w:ascii="Times New Roman" w:hAnsi="Times New Roman" w:cs="Times New Roman"/>
          <w:vertAlign w:val="subscript"/>
        </w:rPr>
        <w:t>4</w:t>
      </w:r>
      <w:r w:rsidR="0093468F" w:rsidRPr="00005CEB">
        <w:rPr>
          <w:rFonts w:ascii="Times New Roman" w:hAnsi="Times New Roman" w:cs="Times New Roman"/>
          <w:vertAlign w:val="subscript"/>
        </w:rPr>
        <w:t>-</w:t>
      </w:r>
      <w:r w:rsidRPr="00005CEB">
        <w:rPr>
          <w:rFonts w:ascii="Times New Roman" w:hAnsi="Times New Roman" w:cs="Times New Roman"/>
          <w:vertAlign w:val="subscript"/>
        </w:rPr>
        <w:t>n</w:t>
      </w:r>
      <w:r w:rsidRPr="00005CEB">
        <w:rPr>
          <w:rFonts w:ascii="Times New Roman" w:hAnsi="Times New Roman" w:cs="Times New Roman"/>
        </w:rPr>
        <w:t xml:space="preserve"> Control </w:t>
      </w:r>
      <w:proofErr w:type="spellStart"/>
      <w:r w:rsidRPr="00005CEB">
        <w:rPr>
          <w:rFonts w:ascii="Times New Roman" w:hAnsi="Times New Roman" w:cs="Times New Roman"/>
        </w:rPr>
        <w:t>variables</w:t>
      </w:r>
      <w:r w:rsidR="009827BD" w:rsidRPr="00005CEB">
        <w:rPr>
          <w:rFonts w:ascii="Times New Roman" w:hAnsi="Times New Roman" w:cs="Times New Roman"/>
          <w:vertAlign w:val="subscript"/>
        </w:rPr>
        <w:t>i</w:t>
      </w:r>
      <w:r w:rsidR="0093468F" w:rsidRPr="00005CEB">
        <w:rPr>
          <w:rFonts w:ascii="Times New Roman" w:hAnsi="Times New Roman" w:cs="Times New Roman"/>
          <w:vertAlign w:val="subscript"/>
        </w:rPr>
        <w:t>,</w:t>
      </w:r>
      <w:r w:rsidR="009827BD" w:rsidRPr="00005CEB">
        <w:rPr>
          <w:rFonts w:ascii="Times New Roman" w:hAnsi="Times New Roman" w:cs="Times New Roman"/>
          <w:vertAlign w:val="subscript"/>
        </w:rPr>
        <w:t>t</w:t>
      </w:r>
      <w:proofErr w:type="spellEnd"/>
      <w:r w:rsidRPr="00005CEB">
        <w:rPr>
          <w:rFonts w:ascii="Times New Roman" w:hAnsi="Times New Roman" w:cs="Times New Roman"/>
        </w:rPr>
        <w:t xml:space="preserve"> + Country effects + Year effects + </w:t>
      </w:r>
      <w:r w:rsidR="0093468F" w:rsidRPr="00005CEB">
        <w:rPr>
          <w:rFonts w:ascii="Times New Roman" w:hAnsi="Times New Roman" w:cs="Times New Roman"/>
        </w:rPr>
        <w:t>ε</w:t>
      </w:r>
      <w:r w:rsidRPr="00005CEB">
        <w:rPr>
          <w:rFonts w:ascii="Times New Roman" w:hAnsi="Times New Roman" w:cs="Times New Roman"/>
        </w:rPr>
        <w:tab/>
      </w:r>
      <w:r w:rsidRPr="00005CEB">
        <w:rPr>
          <w:rFonts w:ascii="Times New Roman" w:hAnsi="Times New Roman" w:cs="Times New Roman"/>
        </w:rPr>
        <w:tab/>
      </w:r>
      <w:r w:rsidRPr="00005CEB">
        <w:rPr>
          <w:rFonts w:ascii="Times New Roman" w:hAnsi="Times New Roman" w:cs="Times New Roman"/>
        </w:rPr>
        <w:tab/>
      </w:r>
      <w:r w:rsidRPr="00005CEB">
        <w:rPr>
          <w:rFonts w:ascii="Times New Roman" w:hAnsi="Times New Roman" w:cs="Times New Roman"/>
        </w:rPr>
        <w:tab/>
      </w:r>
      <w:r w:rsidRPr="00005CEB">
        <w:rPr>
          <w:rFonts w:ascii="Times New Roman" w:hAnsi="Times New Roman" w:cs="Times New Roman"/>
        </w:rPr>
        <w:tab/>
      </w:r>
      <w:r w:rsidR="00005CEB">
        <w:rPr>
          <w:rFonts w:ascii="Times New Roman" w:hAnsi="Times New Roman" w:cs="Times New Roman"/>
        </w:rPr>
        <w:tab/>
      </w:r>
      <w:r w:rsidR="00005CEB">
        <w:rPr>
          <w:rFonts w:ascii="Times New Roman" w:hAnsi="Times New Roman" w:cs="Times New Roman"/>
        </w:rPr>
        <w:tab/>
      </w:r>
      <w:r w:rsidRPr="00005CEB">
        <w:rPr>
          <w:rFonts w:ascii="Times New Roman" w:hAnsi="Times New Roman" w:cs="Times New Roman"/>
        </w:rPr>
        <w:t>(1)</w:t>
      </w:r>
    </w:p>
    <w:p w14:paraId="22D038A9" w14:textId="0AB0FB99" w:rsidR="003B0936" w:rsidRPr="00005CEB" w:rsidRDefault="003B0936" w:rsidP="00005CEB">
      <w:pPr>
        <w:spacing w:before="240" w:after="360" w:line="240" w:lineRule="auto"/>
        <w:ind w:hanging="270"/>
        <w:jc w:val="center"/>
        <w:rPr>
          <w:rFonts w:ascii="Times New Roman" w:hAnsi="Times New Roman" w:cs="Times New Roman"/>
        </w:rPr>
      </w:pPr>
      <w:proofErr w:type="spellStart"/>
      <w:r w:rsidRPr="00005CEB">
        <w:rPr>
          <w:rFonts w:ascii="Times New Roman" w:hAnsi="Times New Roman" w:cs="Times New Roman"/>
        </w:rPr>
        <w:t>Dividend</w:t>
      </w:r>
      <w:r w:rsidRPr="00005CEB">
        <w:rPr>
          <w:rFonts w:ascii="Times New Roman" w:hAnsi="Times New Roman" w:cs="Times New Roman"/>
          <w:vertAlign w:val="subscript"/>
        </w:rPr>
        <w:t>i</w:t>
      </w:r>
      <w:r w:rsidR="0093468F" w:rsidRPr="00005CEB">
        <w:rPr>
          <w:rFonts w:ascii="Times New Roman" w:hAnsi="Times New Roman" w:cs="Times New Roman"/>
          <w:vertAlign w:val="subscript"/>
        </w:rPr>
        <w:t>,</w:t>
      </w:r>
      <w:r w:rsidRPr="00005CEB">
        <w:rPr>
          <w:rFonts w:ascii="Times New Roman" w:hAnsi="Times New Roman" w:cs="Times New Roman"/>
          <w:vertAlign w:val="subscript"/>
        </w:rPr>
        <w:t>t</w:t>
      </w:r>
      <w:proofErr w:type="spellEnd"/>
      <w:r w:rsidRPr="00005CEB">
        <w:rPr>
          <w:rFonts w:ascii="Times New Roman" w:hAnsi="Times New Roman" w:cs="Times New Roman"/>
        </w:rPr>
        <w:t xml:space="preserve"> = B</w:t>
      </w:r>
      <w:r w:rsidRPr="00005CEB">
        <w:rPr>
          <w:rFonts w:ascii="Times New Roman" w:hAnsi="Times New Roman" w:cs="Times New Roman"/>
          <w:vertAlign w:val="subscript"/>
        </w:rPr>
        <w:t>0</w:t>
      </w:r>
      <w:r w:rsidRPr="00005CEB">
        <w:rPr>
          <w:rFonts w:ascii="Times New Roman" w:hAnsi="Times New Roman" w:cs="Times New Roman"/>
        </w:rPr>
        <w:t xml:space="preserve"> + B</w:t>
      </w:r>
      <w:r w:rsidRPr="00005CEB">
        <w:rPr>
          <w:rFonts w:ascii="Times New Roman" w:hAnsi="Times New Roman" w:cs="Times New Roman"/>
          <w:vertAlign w:val="subscript"/>
        </w:rPr>
        <w:t>1</w:t>
      </w:r>
      <w:r w:rsidRPr="00005CEB">
        <w:rPr>
          <w:rFonts w:ascii="Times New Roman" w:hAnsi="Times New Roman" w:cs="Times New Roman"/>
        </w:rPr>
        <w:t xml:space="preserve"> </w:t>
      </w:r>
      <w:proofErr w:type="spellStart"/>
      <w:r w:rsidRPr="00005CEB">
        <w:rPr>
          <w:rFonts w:ascii="Times New Roman" w:hAnsi="Times New Roman" w:cs="Times New Roman"/>
        </w:rPr>
        <w:t>Fintech</w:t>
      </w:r>
      <w:r w:rsidRPr="00005CEB">
        <w:rPr>
          <w:rFonts w:ascii="Times New Roman" w:hAnsi="Times New Roman" w:cs="Times New Roman"/>
          <w:vertAlign w:val="subscript"/>
        </w:rPr>
        <w:t>c</w:t>
      </w:r>
      <w:r w:rsidR="0093468F" w:rsidRPr="00005CEB">
        <w:rPr>
          <w:rFonts w:ascii="Times New Roman" w:hAnsi="Times New Roman" w:cs="Times New Roman"/>
          <w:vertAlign w:val="subscript"/>
        </w:rPr>
        <w:t>,</w:t>
      </w:r>
      <w:r w:rsidRPr="00005CEB">
        <w:rPr>
          <w:rFonts w:ascii="Times New Roman" w:hAnsi="Times New Roman" w:cs="Times New Roman"/>
          <w:vertAlign w:val="subscript"/>
        </w:rPr>
        <w:t>t</w:t>
      </w:r>
      <w:proofErr w:type="spellEnd"/>
      <w:r w:rsidRPr="00005CEB">
        <w:rPr>
          <w:rFonts w:ascii="Times New Roman" w:hAnsi="Times New Roman" w:cs="Times New Roman"/>
        </w:rPr>
        <w:t xml:space="preserve"> * Climate </w:t>
      </w:r>
      <w:proofErr w:type="spellStart"/>
      <w:r w:rsidRPr="00005CEB">
        <w:rPr>
          <w:rFonts w:ascii="Times New Roman" w:hAnsi="Times New Roman" w:cs="Times New Roman"/>
        </w:rPr>
        <w:t>risk</w:t>
      </w:r>
      <w:r w:rsidRPr="00005CEB">
        <w:rPr>
          <w:rFonts w:ascii="Times New Roman" w:hAnsi="Times New Roman" w:cs="Times New Roman"/>
          <w:vertAlign w:val="subscript"/>
        </w:rPr>
        <w:t>c</w:t>
      </w:r>
      <w:r w:rsidR="0093468F" w:rsidRPr="00005CEB">
        <w:rPr>
          <w:rFonts w:ascii="Times New Roman" w:hAnsi="Times New Roman" w:cs="Times New Roman"/>
          <w:vertAlign w:val="subscript"/>
        </w:rPr>
        <w:t>,</w:t>
      </w:r>
      <w:r w:rsidRPr="00005CEB">
        <w:rPr>
          <w:rFonts w:ascii="Times New Roman" w:hAnsi="Times New Roman" w:cs="Times New Roman"/>
          <w:vertAlign w:val="subscript"/>
        </w:rPr>
        <w:t>t</w:t>
      </w:r>
      <w:proofErr w:type="spellEnd"/>
      <w:r w:rsidRPr="00005CEB">
        <w:rPr>
          <w:rFonts w:ascii="Times New Roman" w:hAnsi="Times New Roman" w:cs="Times New Roman"/>
        </w:rPr>
        <w:t xml:space="preserve"> + B</w:t>
      </w:r>
      <w:r w:rsidRPr="00005CEB">
        <w:rPr>
          <w:rFonts w:ascii="Times New Roman" w:hAnsi="Times New Roman" w:cs="Times New Roman"/>
          <w:vertAlign w:val="subscript"/>
        </w:rPr>
        <w:t>2</w:t>
      </w:r>
      <w:r w:rsidRPr="00005CEB">
        <w:rPr>
          <w:rFonts w:ascii="Times New Roman" w:hAnsi="Times New Roman" w:cs="Times New Roman"/>
        </w:rPr>
        <w:t xml:space="preserve"> </w:t>
      </w:r>
      <w:proofErr w:type="spellStart"/>
      <w:r w:rsidRPr="00005CEB">
        <w:rPr>
          <w:rFonts w:ascii="Times New Roman" w:hAnsi="Times New Roman" w:cs="Times New Roman"/>
        </w:rPr>
        <w:t>Fintech</w:t>
      </w:r>
      <w:r w:rsidRPr="00005CEB">
        <w:rPr>
          <w:rFonts w:ascii="Times New Roman" w:hAnsi="Times New Roman" w:cs="Times New Roman"/>
          <w:vertAlign w:val="subscript"/>
        </w:rPr>
        <w:t>c</w:t>
      </w:r>
      <w:r w:rsidR="0093468F" w:rsidRPr="00005CEB">
        <w:rPr>
          <w:rFonts w:ascii="Times New Roman" w:hAnsi="Times New Roman" w:cs="Times New Roman"/>
          <w:vertAlign w:val="subscript"/>
        </w:rPr>
        <w:t>,</w:t>
      </w:r>
      <w:r w:rsidRPr="00005CEB">
        <w:rPr>
          <w:rFonts w:ascii="Times New Roman" w:hAnsi="Times New Roman" w:cs="Times New Roman"/>
          <w:vertAlign w:val="subscript"/>
        </w:rPr>
        <w:t>t</w:t>
      </w:r>
      <w:proofErr w:type="spellEnd"/>
      <w:r w:rsidRPr="00005CEB">
        <w:rPr>
          <w:rFonts w:ascii="Times New Roman" w:hAnsi="Times New Roman" w:cs="Times New Roman"/>
        </w:rPr>
        <w:t xml:space="preserve"> + B</w:t>
      </w:r>
      <w:r w:rsidRPr="00005CEB">
        <w:rPr>
          <w:rFonts w:ascii="Times New Roman" w:hAnsi="Times New Roman" w:cs="Times New Roman"/>
          <w:vertAlign w:val="subscript"/>
        </w:rPr>
        <w:t>3</w:t>
      </w:r>
      <w:r w:rsidRPr="00005CEB">
        <w:rPr>
          <w:rFonts w:ascii="Times New Roman" w:hAnsi="Times New Roman" w:cs="Times New Roman"/>
        </w:rPr>
        <w:t xml:space="preserve"> Climate </w:t>
      </w:r>
      <w:proofErr w:type="spellStart"/>
      <w:r w:rsidRPr="00005CEB">
        <w:rPr>
          <w:rFonts w:ascii="Times New Roman" w:hAnsi="Times New Roman" w:cs="Times New Roman"/>
        </w:rPr>
        <w:t>risk</w:t>
      </w:r>
      <w:r w:rsidR="00A4689D" w:rsidRPr="00005CEB">
        <w:rPr>
          <w:rFonts w:ascii="Times New Roman" w:hAnsi="Times New Roman" w:cs="Times New Roman"/>
          <w:vertAlign w:val="subscript"/>
        </w:rPr>
        <w:t>c</w:t>
      </w:r>
      <w:r w:rsidR="0093468F" w:rsidRPr="00005CEB">
        <w:rPr>
          <w:rFonts w:ascii="Times New Roman" w:hAnsi="Times New Roman" w:cs="Times New Roman"/>
          <w:vertAlign w:val="subscript"/>
        </w:rPr>
        <w:t>,</w:t>
      </w:r>
      <w:r w:rsidR="00A4689D" w:rsidRPr="00005CEB">
        <w:rPr>
          <w:rFonts w:ascii="Times New Roman" w:hAnsi="Times New Roman" w:cs="Times New Roman"/>
          <w:vertAlign w:val="subscript"/>
        </w:rPr>
        <w:t>t</w:t>
      </w:r>
      <w:proofErr w:type="spellEnd"/>
      <w:r w:rsidRPr="00005CEB">
        <w:rPr>
          <w:rFonts w:ascii="Times New Roman" w:hAnsi="Times New Roman" w:cs="Times New Roman"/>
        </w:rPr>
        <w:t xml:space="preserve"> + B</w:t>
      </w:r>
      <w:r w:rsidRPr="00005CEB">
        <w:rPr>
          <w:rFonts w:ascii="Times New Roman" w:hAnsi="Times New Roman" w:cs="Times New Roman"/>
          <w:vertAlign w:val="subscript"/>
        </w:rPr>
        <w:t>4</w:t>
      </w:r>
      <w:r w:rsidR="0093468F" w:rsidRPr="00005CEB">
        <w:rPr>
          <w:rFonts w:ascii="Times New Roman" w:hAnsi="Times New Roman" w:cs="Times New Roman"/>
          <w:vertAlign w:val="subscript"/>
        </w:rPr>
        <w:t>-</w:t>
      </w:r>
      <w:r w:rsidRPr="00005CEB">
        <w:rPr>
          <w:rFonts w:ascii="Times New Roman" w:hAnsi="Times New Roman" w:cs="Times New Roman"/>
          <w:vertAlign w:val="subscript"/>
        </w:rPr>
        <w:t>n</w:t>
      </w:r>
      <w:r w:rsidRPr="00005CEB">
        <w:rPr>
          <w:rFonts w:ascii="Times New Roman" w:hAnsi="Times New Roman" w:cs="Times New Roman"/>
        </w:rPr>
        <w:t xml:space="preserve"> Control </w:t>
      </w:r>
      <w:proofErr w:type="spellStart"/>
      <w:r w:rsidRPr="00005CEB">
        <w:rPr>
          <w:rFonts w:ascii="Times New Roman" w:hAnsi="Times New Roman" w:cs="Times New Roman"/>
        </w:rPr>
        <w:t>variables</w:t>
      </w:r>
      <w:r w:rsidR="009827BD" w:rsidRPr="00005CEB">
        <w:rPr>
          <w:rFonts w:ascii="Times New Roman" w:hAnsi="Times New Roman" w:cs="Times New Roman"/>
          <w:vertAlign w:val="subscript"/>
        </w:rPr>
        <w:t>i</w:t>
      </w:r>
      <w:r w:rsidR="0093468F" w:rsidRPr="00005CEB">
        <w:rPr>
          <w:rFonts w:ascii="Times New Roman" w:hAnsi="Times New Roman" w:cs="Times New Roman"/>
          <w:vertAlign w:val="subscript"/>
        </w:rPr>
        <w:t>,</w:t>
      </w:r>
      <w:r w:rsidR="009827BD" w:rsidRPr="00005CEB">
        <w:rPr>
          <w:rFonts w:ascii="Times New Roman" w:hAnsi="Times New Roman" w:cs="Times New Roman"/>
          <w:vertAlign w:val="subscript"/>
        </w:rPr>
        <w:t>t</w:t>
      </w:r>
      <w:proofErr w:type="spellEnd"/>
      <w:r w:rsidRPr="00005CEB">
        <w:rPr>
          <w:rFonts w:ascii="Times New Roman" w:hAnsi="Times New Roman" w:cs="Times New Roman"/>
        </w:rPr>
        <w:t xml:space="preserve"> + Country effects + Year effects + </w:t>
      </w:r>
      <w:r w:rsidR="0093468F" w:rsidRPr="00005CEB">
        <w:rPr>
          <w:rFonts w:ascii="Times New Roman" w:hAnsi="Times New Roman" w:cs="Times New Roman"/>
        </w:rPr>
        <w:t>ε</w:t>
      </w:r>
      <w:r w:rsidRPr="00005CEB">
        <w:rPr>
          <w:rFonts w:ascii="Times New Roman" w:hAnsi="Times New Roman" w:cs="Times New Roman"/>
        </w:rPr>
        <w:tab/>
      </w:r>
      <w:r w:rsidRPr="00005CEB">
        <w:rPr>
          <w:rFonts w:ascii="Times New Roman" w:hAnsi="Times New Roman" w:cs="Times New Roman"/>
        </w:rPr>
        <w:tab/>
      </w:r>
      <w:r w:rsidRPr="00005CEB">
        <w:rPr>
          <w:rFonts w:ascii="Times New Roman" w:hAnsi="Times New Roman" w:cs="Times New Roman"/>
        </w:rPr>
        <w:tab/>
      </w:r>
      <w:r w:rsidRPr="00005CEB">
        <w:rPr>
          <w:rFonts w:ascii="Times New Roman" w:hAnsi="Times New Roman" w:cs="Times New Roman"/>
        </w:rPr>
        <w:tab/>
      </w:r>
      <w:r w:rsidRPr="00005CEB">
        <w:rPr>
          <w:rFonts w:ascii="Times New Roman" w:hAnsi="Times New Roman" w:cs="Times New Roman"/>
        </w:rPr>
        <w:tab/>
      </w:r>
      <w:r w:rsidR="00005CEB">
        <w:rPr>
          <w:rFonts w:ascii="Times New Roman" w:hAnsi="Times New Roman" w:cs="Times New Roman"/>
        </w:rPr>
        <w:tab/>
      </w:r>
      <w:r w:rsidR="00005CEB">
        <w:rPr>
          <w:rFonts w:ascii="Times New Roman" w:hAnsi="Times New Roman" w:cs="Times New Roman"/>
        </w:rPr>
        <w:tab/>
      </w:r>
      <w:r w:rsidRPr="00005CEB">
        <w:rPr>
          <w:rFonts w:ascii="Times New Roman" w:hAnsi="Times New Roman" w:cs="Times New Roman"/>
        </w:rPr>
        <w:t>(2)</w:t>
      </w:r>
    </w:p>
    <w:p w14:paraId="016828AE" w14:textId="70BCC4C0" w:rsidR="008E4242" w:rsidRDefault="003B0936" w:rsidP="00005CEB">
      <w:pPr>
        <w:pStyle w:val="johnBody"/>
      </w:pPr>
      <w:r>
        <w:t xml:space="preserve">In the above models, the subscripts </w:t>
      </w:r>
      <w:proofErr w:type="spellStart"/>
      <w:r w:rsidR="00A4689D">
        <w:t>i</w:t>
      </w:r>
      <w:proofErr w:type="spellEnd"/>
      <w:r w:rsidR="00A4689D">
        <w:t xml:space="preserve">, t and c represent firm, time and country respectively. </w:t>
      </w:r>
      <w:r w:rsidR="009827BD">
        <w:t>To</w:t>
      </w:r>
      <w:r w:rsidR="00A4689D">
        <w:t xml:space="preserve"> address multicollinearity concerns, we mean center </w:t>
      </w:r>
      <w:proofErr w:type="spellStart"/>
      <w:r w:rsidR="00A4689D">
        <w:t>Fintechs</w:t>
      </w:r>
      <w:proofErr w:type="spellEnd"/>
      <w:r w:rsidR="00A4689D">
        <w:t xml:space="preserve"> and climate risk variables before creating interaction terms. </w:t>
      </w:r>
      <w:r w:rsidR="000317A5">
        <w:t xml:space="preserve">Standard errors are clustered at firm level to consider serial correlation and </w:t>
      </w:r>
      <w:r w:rsidR="001011BB" w:rsidRPr="001011BB">
        <w:t>heteroscedasticity</w:t>
      </w:r>
      <w:r w:rsidR="000317A5">
        <w:t>.</w:t>
      </w:r>
    </w:p>
    <w:p w14:paraId="0E904023" w14:textId="77777777" w:rsidR="000E4448" w:rsidRDefault="000E4448" w:rsidP="00005CEB">
      <w:pPr>
        <w:pStyle w:val="johnBody"/>
      </w:pPr>
    </w:p>
    <w:p w14:paraId="4746E7A6" w14:textId="77777777" w:rsidR="000E4448" w:rsidRDefault="000E4448" w:rsidP="00005CEB">
      <w:pPr>
        <w:pStyle w:val="johnBody"/>
      </w:pPr>
    </w:p>
    <w:p w14:paraId="4DFB0A2F" w14:textId="2BC9289C" w:rsidR="00B77E42" w:rsidRPr="00383E19" w:rsidRDefault="009827BD" w:rsidP="00B6677C">
      <w:pPr>
        <w:pStyle w:val="johnSub"/>
      </w:pPr>
      <w:r w:rsidRPr="00A57273">
        <w:t>Results and analysis</w:t>
      </w:r>
    </w:p>
    <w:p w14:paraId="546FC081" w14:textId="25D82AE3" w:rsidR="009827BD" w:rsidRDefault="009827BD" w:rsidP="003F3253">
      <w:pPr>
        <w:pStyle w:val="johnBody"/>
      </w:pPr>
      <w:r>
        <w:t xml:space="preserve">Table 2 </w:t>
      </w:r>
      <w:r w:rsidR="0048495A">
        <w:t>reports</w:t>
      </w:r>
      <w:r>
        <w:t xml:space="preserve"> </w:t>
      </w:r>
      <w:r w:rsidR="003F3253">
        <w:t>descriptive statistics</w:t>
      </w:r>
      <w:r>
        <w:t xml:space="preserve">. </w:t>
      </w:r>
      <w:r w:rsidR="00E64EA9" w:rsidRPr="00E64EA9">
        <w:t xml:space="preserve">The high standard deviation of our interaction term implies varying levels of country’s fintech development and climate risk. As country-specific factors may affect Fintech startups and level of climate risk (Abbasi et al., 2021), such large variation in our sample from 51 countries could be expected. </w:t>
      </w:r>
      <w:r w:rsidR="0025481F">
        <w:t xml:space="preserve">The mean value of female directors is </w:t>
      </w:r>
      <w:r w:rsidR="0086501A">
        <w:t>17</w:t>
      </w:r>
      <w:r w:rsidR="007D673D">
        <w:t>.12</w:t>
      </w:r>
      <w:r w:rsidR="0025481F">
        <w:t xml:space="preserve">, which </w:t>
      </w:r>
      <w:r w:rsidR="0086501A">
        <w:t>shows the need to deploy policies to</w:t>
      </w:r>
      <w:r w:rsidR="0025481F">
        <w:t xml:space="preserve"> enhance gender diversity, while the average value of independent directors i</w:t>
      </w:r>
      <w:r w:rsidR="0086501A">
        <w:t>s</w:t>
      </w:r>
      <w:r w:rsidR="0025481F">
        <w:t xml:space="preserve"> </w:t>
      </w:r>
      <w:r w:rsidR="0086501A">
        <w:t>62.</w:t>
      </w:r>
      <w:r w:rsidR="007D673D">
        <w:t>50</w:t>
      </w:r>
      <w:r w:rsidR="0086501A">
        <w:t>,</w:t>
      </w:r>
      <w:r w:rsidR="0025481F">
        <w:t xml:space="preserve"> which </w:t>
      </w:r>
      <w:r w:rsidR="0086501A">
        <w:t>reflects</w:t>
      </w:r>
      <w:r w:rsidR="0025481F">
        <w:t xml:space="preserve"> corporate governance regulations stipulating greater presence of independent directors. The mean value of CSR committee is 0.</w:t>
      </w:r>
      <w:r w:rsidR="0086501A">
        <w:t>6</w:t>
      </w:r>
      <w:r w:rsidR="007D673D">
        <w:t>7</w:t>
      </w:r>
      <w:r w:rsidR="0025481F">
        <w:t xml:space="preserve"> which </w:t>
      </w:r>
      <w:r w:rsidR="003F3253">
        <w:t xml:space="preserve">reflects </w:t>
      </w:r>
      <w:r w:rsidR="0025481F">
        <w:t xml:space="preserve">that firms are under increasing pressure to mitigate their impact on climate change. </w:t>
      </w:r>
    </w:p>
    <w:p w14:paraId="292E340A" w14:textId="456DAFDD" w:rsidR="00D9772C" w:rsidRPr="00721386" w:rsidRDefault="00D9772C" w:rsidP="00D9772C">
      <w:pPr>
        <w:pStyle w:val="johnTableinsert"/>
        <w:rPr>
          <w:szCs w:val="22"/>
        </w:rPr>
      </w:pPr>
      <w:r w:rsidRPr="00721386">
        <w:rPr>
          <w:szCs w:val="22"/>
        </w:rPr>
        <w:t xml:space="preserve">(Insert Table </w:t>
      </w:r>
      <w:r>
        <w:rPr>
          <w:szCs w:val="22"/>
        </w:rPr>
        <w:t>2</w:t>
      </w:r>
      <w:r w:rsidRPr="00721386">
        <w:rPr>
          <w:szCs w:val="22"/>
        </w:rPr>
        <w:t xml:space="preserve"> about here)</w:t>
      </w:r>
    </w:p>
    <w:p w14:paraId="4FDFE9D9" w14:textId="1BF4E1A7" w:rsidR="00C351C4" w:rsidRDefault="0025481F" w:rsidP="00792137">
      <w:pPr>
        <w:pStyle w:val="johnBody"/>
      </w:pPr>
      <w:r>
        <w:t xml:space="preserve">Table </w:t>
      </w:r>
      <w:r w:rsidR="000755FC">
        <w:t>3</w:t>
      </w:r>
      <w:r>
        <w:t xml:space="preserve"> </w:t>
      </w:r>
      <w:r w:rsidR="00A001C8">
        <w:t>presents</w:t>
      </w:r>
      <w:r>
        <w:t xml:space="preserve"> our </w:t>
      </w:r>
      <w:r w:rsidR="00545246">
        <w:t>baseline</w:t>
      </w:r>
      <w:r>
        <w:t xml:space="preserve"> regression results. Column</w:t>
      </w:r>
      <w:r w:rsidR="001011BB">
        <w:t>s</w:t>
      </w:r>
      <w:r>
        <w:t xml:space="preserve"> 1 </w:t>
      </w:r>
      <w:r w:rsidR="00907414">
        <w:t xml:space="preserve">and 2 </w:t>
      </w:r>
      <w:r>
        <w:t xml:space="preserve">of </w:t>
      </w:r>
      <w:r w:rsidR="00907414">
        <w:t>T</w:t>
      </w:r>
      <w:r>
        <w:t xml:space="preserve">able </w:t>
      </w:r>
      <w:r w:rsidR="0048495A">
        <w:t>3</w:t>
      </w:r>
      <w:r>
        <w:t xml:space="preserve"> show </w:t>
      </w:r>
      <w:r w:rsidR="00907414">
        <w:t xml:space="preserve">results without incorporating </w:t>
      </w:r>
      <w:proofErr w:type="spellStart"/>
      <w:r w:rsidR="0048495A">
        <w:t>f</w:t>
      </w:r>
      <w:r w:rsidR="00907414">
        <w:t>intechs</w:t>
      </w:r>
      <w:proofErr w:type="spellEnd"/>
      <w:r w:rsidR="00907414">
        <w:t xml:space="preserve"> and </w:t>
      </w:r>
      <w:r w:rsidR="001011BB">
        <w:t xml:space="preserve">the </w:t>
      </w:r>
      <w:r w:rsidR="00907414">
        <w:t xml:space="preserve">interaction term (the impact of climate risk on firm </w:t>
      </w:r>
      <w:r w:rsidR="00A001C8">
        <w:t>value</w:t>
      </w:r>
      <w:r w:rsidR="00907414">
        <w:t xml:space="preserve"> and dividend). </w:t>
      </w:r>
      <w:r w:rsidR="00545246">
        <w:t>Results</w:t>
      </w:r>
      <w:r w:rsidR="00907414">
        <w:t xml:space="preserve"> </w:t>
      </w:r>
      <w:r w:rsidR="00347F47">
        <w:t>show</w:t>
      </w:r>
      <w:r w:rsidR="00907414">
        <w:t xml:space="preserve"> a</w:t>
      </w:r>
      <w:r w:rsidR="00651D36">
        <w:t>n</w:t>
      </w:r>
      <w:r w:rsidR="00907414">
        <w:t xml:space="preserve"> </w:t>
      </w:r>
      <w:r w:rsidR="00651D36">
        <w:t>insignificant</w:t>
      </w:r>
      <w:r w:rsidR="00907414">
        <w:t xml:space="preserve"> link between climate risk and</w:t>
      </w:r>
      <w:r w:rsidR="00651D36">
        <w:t xml:space="preserve"> </w:t>
      </w:r>
      <w:r w:rsidR="00545246">
        <w:t xml:space="preserve">either </w:t>
      </w:r>
      <w:r w:rsidR="00907414">
        <w:t>firm value</w:t>
      </w:r>
      <w:r w:rsidR="00651D36">
        <w:t xml:space="preserve"> </w:t>
      </w:r>
      <w:r w:rsidR="00545246">
        <w:t>or</w:t>
      </w:r>
      <w:r w:rsidR="00651D36">
        <w:t xml:space="preserve"> dividends, </w:t>
      </w:r>
      <w:r w:rsidR="00545246">
        <w:t>in contrast to</w:t>
      </w:r>
      <w:r w:rsidR="00651D36">
        <w:t xml:space="preserve"> </w:t>
      </w:r>
      <w:r w:rsidR="001011BB">
        <w:t xml:space="preserve">Chen et al. (2023) and Huang et al. (2017). </w:t>
      </w:r>
      <w:r w:rsidR="00651D36">
        <w:t xml:space="preserve">However, </w:t>
      </w:r>
      <w:r w:rsidR="00EF6316">
        <w:t>Column</w:t>
      </w:r>
      <w:r w:rsidR="001011BB">
        <w:t>s</w:t>
      </w:r>
      <w:r w:rsidR="00EF6316">
        <w:t xml:space="preserve"> 3 and 4 of Table </w:t>
      </w:r>
      <w:r w:rsidR="0048495A">
        <w:t>3</w:t>
      </w:r>
      <w:r w:rsidR="00EF6316">
        <w:t xml:space="preserve"> </w:t>
      </w:r>
      <w:r w:rsidR="0086501A">
        <w:t>present</w:t>
      </w:r>
      <w:r w:rsidR="00EF6316">
        <w:t xml:space="preserve"> </w:t>
      </w:r>
      <w:r w:rsidR="005D2119">
        <w:t>our main</w:t>
      </w:r>
      <w:r w:rsidR="00EF6316">
        <w:t xml:space="preserve"> findings related to our research questions. </w:t>
      </w:r>
      <w:bookmarkStart w:id="3" w:name="_Hlk194413086"/>
      <w:r w:rsidR="00347F47" w:rsidRPr="00347F47">
        <w:t xml:space="preserve">Column 3 reports a positive moderating impact of fintech development on the relation between climate risk and firm value. This suggests that </w:t>
      </w:r>
      <w:proofErr w:type="spellStart"/>
      <w:r w:rsidR="00347F47" w:rsidRPr="00347F47">
        <w:t>Fintechs</w:t>
      </w:r>
      <w:proofErr w:type="spellEnd"/>
      <w:r w:rsidR="00347F47" w:rsidRPr="00347F47">
        <w:t xml:space="preserve"> may help reduce climate risk, which in turn enhances firm value. </w:t>
      </w:r>
      <w:proofErr w:type="spellStart"/>
      <w:r w:rsidR="00347F47" w:rsidRPr="00347F47">
        <w:t>Fintechs</w:t>
      </w:r>
      <w:proofErr w:type="spellEnd"/>
      <w:r w:rsidR="00347F47" w:rsidRPr="00347F47">
        <w:t xml:space="preserve">, due to their big data technology, enhance availability of funds when firms face heightened climate risk, thereby increasing firm value. Column 4 of Table 3 reports results consistent with fintech development having a positive moderating association between climate risk and dividends, implying that </w:t>
      </w:r>
      <w:proofErr w:type="spellStart"/>
      <w:r w:rsidR="00347F47" w:rsidRPr="00347F47">
        <w:t>Fintechs</w:t>
      </w:r>
      <w:proofErr w:type="spellEnd"/>
      <w:r w:rsidR="00347F47" w:rsidRPr="00347F47">
        <w:t xml:space="preserve"> may mitigate climate risk and thereby leading to an increase in dividends. </w:t>
      </w:r>
      <w:proofErr w:type="spellStart"/>
      <w:r w:rsidR="00347F47" w:rsidRPr="00347F47">
        <w:t>Fintechs</w:t>
      </w:r>
      <w:proofErr w:type="spellEnd"/>
      <w:r w:rsidR="00347F47" w:rsidRPr="00347F47">
        <w:t xml:space="preserve"> help save operating expenses and have the potential to earn higher investment returns due to automated operations and </w:t>
      </w:r>
      <w:proofErr w:type="spellStart"/>
      <w:r w:rsidR="00347F47" w:rsidRPr="00347F47">
        <w:t>robo</w:t>
      </w:r>
      <w:proofErr w:type="spellEnd"/>
      <w:r w:rsidR="00347F47" w:rsidRPr="00347F47">
        <w:t xml:space="preserve">-investment advisory with advanced big data technology respectively (Abbasi et al., 2021; Lee &amp; Shin, 2018). This results in greater availability of cash resources to be able to pay dividends at the time of high climate risk. Our findings align with studies such as Wu (2024) and Tao et al. (2022), which evidence that </w:t>
      </w:r>
      <w:proofErr w:type="spellStart"/>
      <w:r w:rsidR="00347F47" w:rsidRPr="00347F47">
        <w:t>Fintechs</w:t>
      </w:r>
      <w:proofErr w:type="spellEnd"/>
      <w:r w:rsidR="00347F47" w:rsidRPr="00347F47">
        <w:t xml:space="preserve"> curtail climate risk. We, therefore, offer further insights by substantiating that such mitigation effect translates into a positive impact on corporate outcomes in terms of firm value and dividends.</w:t>
      </w:r>
    </w:p>
    <w:bookmarkEnd w:id="3"/>
    <w:p w14:paraId="1C009D69" w14:textId="43CA04CD" w:rsidR="00D9772C" w:rsidRPr="00721386" w:rsidRDefault="00D9772C" w:rsidP="00D9772C">
      <w:pPr>
        <w:pStyle w:val="johnTableinsert"/>
        <w:rPr>
          <w:szCs w:val="22"/>
        </w:rPr>
      </w:pPr>
      <w:r w:rsidRPr="00721386">
        <w:rPr>
          <w:szCs w:val="22"/>
        </w:rPr>
        <w:t xml:space="preserve">(Insert Table </w:t>
      </w:r>
      <w:r>
        <w:rPr>
          <w:szCs w:val="22"/>
        </w:rPr>
        <w:t>3</w:t>
      </w:r>
      <w:r w:rsidRPr="00721386">
        <w:rPr>
          <w:szCs w:val="22"/>
        </w:rPr>
        <w:t xml:space="preserve"> about here)</w:t>
      </w:r>
    </w:p>
    <w:p w14:paraId="5497720E" w14:textId="4A993B3C" w:rsidR="00F1764F" w:rsidRDefault="00C351C4" w:rsidP="00792137">
      <w:pPr>
        <w:pStyle w:val="johnBody"/>
      </w:pPr>
      <w:r>
        <w:t xml:space="preserve">In relation to our control variables, we find that firm performance, </w:t>
      </w:r>
      <w:r w:rsidR="0086501A">
        <w:t>firm</w:t>
      </w:r>
      <w:r>
        <w:t xml:space="preserve"> growth, </w:t>
      </w:r>
      <w:r w:rsidR="00E563D3">
        <w:t>leverage</w:t>
      </w:r>
      <w:r w:rsidR="001011BB">
        <w:t xml:space="preserve"> and </w:t>
      </w:r>
      <w:r>
        <w:t xml:space="preserve">firm size are </w:t>
      </w:r>
      <w:r w:rsidR="0086501A">
        <w:t>positively</w:t>
      </w:r>
      <w:r>
        <w:t xml:space="preserve"> and significantly related to firm value and dividends, </w:t>
      </w:r>
      <w:r w:rsidR="00792137">
        <w:t>consistent with</w:t>
      </w:r>
      <w:r>
        <w:t xml:space="preserve"> our expectations. </w:t>
      </w:r>
      <w:r w:rsidR="00792137">
        <w:t>Additionally</w:t>
      </w:r>
      <w:r w:rsidR="001011BB">
        <w:t xml:space="preserve">, female directors are positively associated in </w:t>
      </w:r>
      <w:r w:rsidR="00E563D3">
        <w:t xml:space="preserve">the </w:t>
      </w:r>
      <w:r w:rsidR="001011BB">
        <w:t xml:space="preserve">firm value model, </w:t>
      </w:r>
      <w:r w:rsidR="00792137">
        <w:t>consistent with</w:t>
      </w:r>
      <w:r w:rsidR="001011BB">
        <w:t xml:space="preserve"> expectations. </w:t>
      </w:r>
      <w:r w:rsidR="00347F47" w:rsidRPr="00347F47">
        <w:t xml:space="preserve">CSR committee and board independence variables are insignificant, which suggests </w:t>
      </w:r>
      <w:r w:rsidR="00347F47" w:rsidRPr="00347F47">
        <w:lastRenderedPageBreak/>
        <w:t>that they may be affected by specific characteristics of CSR committee and independent directors wherein positive aspects (such as greater experience) may have been mitigated by negative characteristics (such as limited meetings).</w:t>
      </w:r>
    </w:p>
    <w:p w14:paraId="356487D5" w14:textId="6BE1E83E" w:rsidR="00C351C4" w:rsidRPr="00F1764F" w:rsidRDefault="005D2119" w:rsidP="00820EEF">
      <w:pPr>
        <w:pStyle w:val="johnsub2"/>
      </w:pPr>
      <w:r>
        <w:t xml:space="preserve">3.2. </w:t>
      </w:r>
      <w:r w:rsidR="00C351C4" w:rsidRPr="005D2119">
        <w:t>Endogeneity</w:t>
      </w:r>
    </w:p>
    <w:p w14:paraId="72398827" w14:textId="212AD39C" w:rsidR="0025481F" w:rsidRPr="00D54DCA" w:rsidRDefault="00D9772C" w:rsidP="00376DDF">
      <w:pPr>
        <w:spacing w:after="0" w:line="360" w:lineRule="auto"/>
        <w:jc w:val="both"/>
        <w:rPr>
          <w:rFonts w:ascii="Times New Roman" w:eastAsia="Microsoft YaHei" w:hAnsi="Times New Roman" w:cs="Times New Roman"/>
          <w:kern w:val="0"/>
          <w:lang w:eastAsia="zh-CN"/>
          <w14:ligatures w14:val="none"/>
        </w:rPr>
      </w:pPr>
      <w:r w:rsidRPr="00D54DCA">
        <w:rPr>
          <w:rFonts w:ascii="Times New Roman" w:eastAsia="Microsoft YaHei" w:hAnsi="Times New Roman" w:cs="Times New Roman"/>
          <w:kern w:val="0"/>
          <w:lang w:eastAsia="zh-CN"/>
          <w14:ligatures w14:val="none"/>
        </w:rPr>
        <w:t>Out of</w:t>
      </w:r>
      <w:r w:rsidR="00C351C4" w:rsidRPr="00D54DCA">
        <w:rPr>
          <w:rFonts w:ascii="Times New Roman" w:eastAsia="Microsoft YaHei" w:hAnsi="Times New Roman" w:cs="Times New Roman"/>
          <w:kern w:val="0"/>
          <w:lang w:eastAsia="zh-CN"/>
          <w14:ligatures w14:val="none"/>
        </w:rPr>
        <w:t xml:space="preserve"> concern that omitted variable bias may drive our results, we </w:t>
      </w:r>
      <w:r w:rsidR="0086501A" w:rsidRPr="00D54DCA">
        <w:rPr>
          <w:rFonts w:ascii="Times New Roman" w:eastAsia="Microsoft YaHei" w:hAnsi="Times New Roman" w:cs="Times New Roman"/>
          <w:kern w:val="0"/>
          <w:lang w:eastAsia="zh-CN"/>
          <w14:ligatures w14:val="none"/>
        </w:rPr>
        <w:t>emplo</w:t>
      </w:r>
      <w:r w:rsidR="001011BB" w:rsidRPr="00D54DCA">
        <w:rPr>
          <w:rFonts w:ascii="Times New Roman" w:eastAsia="Microsoft YaHei" w:hAnsi="Times New Roman" w:cs="Times New Roman"/>
          <w:kern w:val="0"/>
          <w:lang w:eastAsia="zh-CN"/>
          <w14:ligatures w14:val="none"/>
        </w:rPr>
        <w:t>y</w:t>
      </w:r>
      <w:r w:rsidR="00C351C4" w:rsidRPr="00D54DCA">
        <w:rPr>
          <w:rFonts w:ascii="Times New Roman" w:eastAsia="Microsoft YaHei" w:hAnsi="Times New Roman" w:cs="Times New Roman"/>
          <w:kern w:val="0"/>
          <w:lang w:eastAsia="zh-CN"/>
          <w14:ligatures w14:val="none"/>
        </w:rPr>
        <w:t xml:space="preserve"> endogeneity test</w:t>
      </w:r>
      <w:r w:rsidRPr="00D54DCA">
        <w:rPr>
          <w:rFonts w:ascii="Times New Roman" w:eastAsia="Microsoft YaHei" w:hAnsi="Times New Roman" w:cs="Times New Roman"/>
          <w:kern w:val="0"/>
          <w:lang w:eastAsia="zh-CN"/>
          <w14:ligatures w14:val="none"/>
        </w:rPr>
        <w:t>ing</w:t>
      </w:r>
      <w:r w:rsidR="00C351C4" w:rsidRPr="00D54DCA">
        <w:rPr>
          <w:rFonts w:ascii="Times New Roman" w:eastAsia="Microsoft YaHei" w:hAnsi="Times New Roman" w:cs="Times New Roman"/>
          <w:kern w:val="0"/>
          <w:lang w:eastAsia="zh-CN"/>
          <w14:ligatures w14:val="none"/>
        </w:rPr>
        <w:t>.</w:t>
      </w:r>
      <w:r w:rsidR="00F07925" w:rsidRPr="00D54DCA">
        <w:rPr>
          <w:rFonts w:ascii="Times New Roman" w:eastAsia="Microsoft YaHei" w:hAnsi="Times New Roman" w:cs="Times New Roman"/>
          <w:kern w:val="0"/>
          <w:lang w:eastAsia="zh-CN"/>
          <w14:ligatures w14:val="none"/>
        </w:rPr>
        <w:t xml:space="preserve"> </w:t>
      </w:r>
      <w:r w:rsidRPr="00D54DCA">
        <w:rPr>
          <w:rFonts w:ascii="Times New Roman" w:eastAsia="Microsoft YaHei" w:hAnsi="Times New Roman" w:cs="Times New Roman"/>
          <w:kern w:val="0"/>
          <w:lang w:eastAsia="zh-CN"/>
          <w14:ligatures w14:val="none"/>
        </w:rPr>
        <w:t>We</w:t>
      </w:r>
      <w:r w:rsidR="00F07925" w:rsidRPr="00D54DCA">
        <w:rPr>
          <w:rFonts w:ascii="Times New Roman" w:eastAsia="Microsoft YaHei" w:hAnsi="Times New Roman" w:cs="Times New Roman"/>
          <w:kern w:val="0"/>
          <w:lang w:eastAsia="zh-CN"/>
          <w14:ligatures w14:val="none"/>
        </w:rPr>
        <w:t xml:space="preserve"> utilize fixed effects to account for </w:t>
      </w:r>
      <w:r w:rsidR="00DA37B1" w:rsidRPr="00D54DCA">
        <w:rPr>
          <w:rFonts w:ascii="Times New Roman" w:eastAsia="Microsoft YaHei" w:hAnsi="Times New Roman" w:cs="Times New Roman"/>
          <w:kern w:val="0"/>
          <w:lang w:eastAsia="zh-CN"/>
          <w14:ligatures w14:val="none"/>
        </w:rPr>
        <w:t xml:space="preserve">time-invariant </w:t>
      </w:r>
      <w:r w:rsidR="00F07925" w:rsidRPr="00D54DCA">
        <w:rPr>
          <w:rFonts w:ascii="Times New Roman" w:eastAsia="Microsoft YaHei" w:hAnsi="Times New Roman" w:cs="Times New Roman"/>
          <w:kern w:val="0"/>
          <w:lang w:eastAsia="zh-CN"/>
          <w14:ligatures w14:val="none"/>
        </w:rPr>
        <w:t>firm-specific unobserved heterogeneity</w:t>
      </w:r>
      <w:r w:rsidR="007B6062" w:rsidRPr="00D54DCA">
        <w:rPr>
          <w:rFonts w:ascii="Times New Roman" w:eastAsia="Microsoft YaHei" w:hAnsi="Times New Roman" w:cs="Times New Roman"/>
          <w:kern w:val="0"/>
          <w:lang w:eastAsia="zh-CN"/>
          <w14:ligatures w14:val="none"/>
        </w:rPr>
        <w:t xml:space="preserve"> (</w:t>
      </w:r>
      <w:r w:rsidR="005721BE" w:rsidRPr="00D54DCA">
        <w:rPr>
          <w:rFonts w:ascii="Times New Roman" w:eastAsia="Microsoft YaHei" w:hAnsi="Times New Roman" w:cs="Times New Roman"/>
          <w:kern w:val="0"/>
          <w:lang w:eastAsia="zh-CN"/>
          <w14:ligatures w14:val="none"/>
        </w:rPr>
        <w:t>Bevan &amp; Danbolt, 2004</w:t>
      </w:r>
      <w:r w:rsidR="007B6062" w:rsidRPr="00D54DCA">
        <w:rPr>
          <w:rFonts w:ascii="Times New Roman" w:eastAsia="Microsoft YaHei" w:hAnsi="Times New Roman" w:cs="Times New Roman"/>
          <w:kern w:val="0"/>
          <w:lang w:eastAsia="zh-CN"/>
          <w14:ligatures w14:val="none"/>
        </w:rPr>
        <w:t>)</w:t>
      </w:r>
      <w:r w:rsidR="00DE48C3" w:rsidRPr="00D54DCA">
        <w:rPr>
          <w:rFonts w:ascii="Times New Roman" w:eastAsia="Microsoft YaHei" w:hAnsi="Times New Roman" w:cs="Times New Roman"/>
          <w:kern w:val="0"/>
          <w:lang w:eastAsia="zh-CN"/>
          <w14:ligatures w14:val="none"/>
        </w:rPr>
        <w:t xml:space="preserve">. </w:t>
      </w:r>
      <w:r w:rsidRPr="00D54DCA">
        <w:rPr>
          <w:rFonts w:ascii="Times New Roman" w:eastAsia="Microsoft YaHei" w:hAnsi="Times New Roman" w:cs="Times New Roman"/>
          <w:kern w:val="0"/>
          <w:lang w:eastAsia="zh-CN"/>
          <w14:ligatures w14:val="none"/>
        </w:rPr>
        <w:t>Additionally</w:t>
      </w:r>
      <w:r w:rsidR="00DE48C3" w:rsidRPr="00D54DCA">
        <w:rPr>
          <w:rFonts w:ascii="Times New Roman" w:eastAsia="Microsoft YaHei" w:hAnsi="Times New Roman" w:cs="Times New Roman"/>
          <w:kern w:val="0"/>
          <w:lang w:eastAsia="zh-CN"/>
          <w14:ligatures w14:val="none"/>
        </w:rPr>
        <w:t xml:space="preserve">, we employ </w:t>
      </w:r>
      <w:r w:rsidR="00BB4590">
        <w:rPr>
          <w:rFonts w:ascii="Times New Roman" w:eastAsia="Microsoft YaHei" w:hAnsi="Times New Roman" w:cs="Times New Roman"/>
          <w:kern w:val="0"/>
          <w:lang w:eastAsia="zh-CN"/>
          <w14:ligatures w14:val="none"/>
        </w:rPr>
        <w:t>generalized method of moments (</w:t>
      </w:r>
      <w:r w:rsidR="00DE48C3" w:rsidRPr="00D54DCA">
        <w:rPr>
          <w:rFonts w:ascii="Times New Roman" w:eastAsia="Microsoft YaHei" w:hAnsi="Times New Roman" w:cs="Times New Roman"/>
          <w:kern w:val="0"/>
          <w:lang w:eastAsia="zh-CN"/>
          <w14:ligatures w14:val="none"/>
        </w:rPr>
        <w:t>GMM</w:t>
      </w:r>
      <w:r w:rsidR="00BB4590">
        <w:rPr>
          <w:rFonts w:ascii="Times New Roman" w:eastAsia="Microsoft YaHei" w:hAnsi="Times New Roman" w:cs="Times New Roman"/>
          <w:kern w:val="0"/>
          <w:lang w:eastAsia="zh-CN"/>
          <w14:ligatures w14:val="none"/>
        </w:rPr>
        <w:t>)</w:t>
      </w:r>
      <w:r w:rsidR="00DE48C3" w:rsidRPr="00D54DCA">
        <w:rPr>
          <w:rFonts w:ascii="Times New Roman" w:eastAsia="Microsoft YaHei" w:hAnsi="Times New Roman" w:cs="Times New Roman"/>
          <w:kern w:val="0"/>
          <w:lang w:eastAsia="zh-CN"/>
          <w14:ligatures w14:val="none"/>
        </w:rPr>
        <w:t xml:space="preserve"> </w:t>
      </w:r>
      <w:r w:rsidRPr="00D54DCA">
        <w:rPr>
          <w:rFonts w:ascii="Times New Roman" w:eastAsia="Microsoft YaHei" w:hAnsi="Times New Roman" w:cs="Times New Roman"/>
          <w:kern w:val="0"/>
          <w:lang w:eastAsia="zh-CN"/>
          <w14:ligatures w14:val="none"/>
        </w:rPr>
        <w:t>testing</w:t>
      </w:r>
      <w:r w:rsidR="00DE48C3" w:rsidRPr="00D54DCA">
        <w:rPr>
          <w:rFonts w:ascii="Times New Roman" w:eastAsia="Microsoft YaHei" w:hAnsi="Times New Roman" w:cs="Times New Roman"/>
          <w:kern w:val="0"/>
          <w:lang w:eastAsia="zh-CN"/>
          <w14:ligatures w14:val="none"/>
        </w:rPr>
        <w:t xml:space="preserve">, which </w:t>
      </w:r>
      <w:r w:rsidR="00DA37B1" w:rsidRPr="00D54DCA">
        <w:rPr>
          <w:rFonts w:ascii="Times New Roman" w:eastAsia="Microsoft YaHei" w:hAnsi="Times New Roman" w:cs="Times New Roman"/>
          <w:kern w:val="0"/>
          <w:lang w:eastAsia="zh-CN"/>
          <w14:ligatures w14:val="none"/>
        </w:rPr>
        <w:t>considers</w:t>
      </w:r>
      <w:r w:rsidR="00DE48C3" w:rsidRPr="00D54DCA">
        <w:rPr>
          <w:rFonts w:ascii="Times New Roman" w:eastAsia="Microsoft YaHei" w:hAnsi="Times New Roman" w:cs="Times New Roman"/>
          <w:kern w:val="0"/>
          <w:lang w:eastAsia="zh-CN"/>
          <w14:ligatures w14:val="none"/>
        </w:rPr>
        <w:t xml:space="preserve"> </w:t>
      </w:r>
      <w:r w:rsidR="00DA37B1" w:rsidRPr="00D54DCA">
        <w:rPr>
          <w:rFonts w:ascii="Times New Roman" w:eastAsia="Microsoft YaHei" w:hAnsi="Times New Roman" w:cs="Times New Roman"/>
          <w:kern w:val="0"/>
          <w:lang w:eastAsia="zh-CN"/>
          <w14:ligatures w14:val="none"/>
        </w:rPr>
        <w:t>both</w:t>
      </w:r>
      <w:r w:rsidR="00DE48C3" w:rsidRPr="00D54DCA">
        <w:rPr>
          <w:rFonts w:ascii="Times New Roman" w:eastAsia="Microsoft YaHei" w:hAnsi="Times New Roman" w:cs="Times New Roman"/>
          <w:kern w:val="0"/>
          <w:lang w:eastAsia="zh-CN"/>
          <w14:ligatures w14:val="none"/>
        </w:rPr>
        <w:t xml:space="preserve"> time-varying and </w:t>
      </w:r>
      <w:r w:rsidR="00DA37B1" w:rsidRPr="00D54DCA">
        <w:rPr>
          <w:rFonts w:ascii="Times New Roman" w:eastAsia="Microsoft YaHei" w:hAnsi="Times New Roman" w:cs="Times New Roman"/>
          <w:kern w:val="0"/>
          <w:lang w:eastAsia="zh-CN"/>
          <w14:ligatures w14:val="none"/>
        </w:rPr>
        <w:t>time-</w:t>
      </w:r>
      <w:r w:rsidR="00DE48C3" w:rsidRPr="00D54DCA">
        <w:rPr>
          <w:rFonts w:ascii="Times New Roman" w:eastAsia="Microsoft YaHei" w:hAnsi="Times New Roman" w:cs="Times New Roman"/>
          <w:kern w:val="0"/>
          <w:lang w:eastAsia="zh-CN"/>
          <w14:ligatures w14:val="none"/>
        </w:rPr>
        <w:t>unvarying firm related unobserved heterogeneity (thereby, addressing multiple endogenous concerns simultaneously)</w:t>
      </w:r>
      <w:r w:rsidR="007B6062" w:rsidRPr="00D54DCA">
        <w:rPr>
          <w:rFonts w:ascii="Times New Roman" w:eastAsia="Microsoft YaHei" w:hAnsi="Times New Roman" w:cs="Times New Roman"/>
          <w:kern w:val="0"/>
          <w:lang w:eastAsia="zh-CN"/>
          <w14:ligatures w14:val="none"/>
        </w:rPr>
        <w:t xml:space="preserve"> (</w:t>
      </w:r>
      <w:r w:rsidR="005721BE" w:rsidRPr="00D54DCA">
        <w:rPr>
          <w:rFonts w:ascii="Times New Roman" w:eastAsia="Microsoft YaHei" w:hAnsi="Times New Roman" w:cs="Times New Roman"/>
          <w:kern w:val="0"/>
          <w:lang w:eastAsia="zh-CN"/>
          <w14:ligatures w14:val="none"/>
        </w:rPr>
        <w:t>Dong &amp; Li, 2022</w:t>
      </w:r>
      <w:r w:rsidR="007B6062" w:rsidRPr="00D54DCA">
        <w:rPr>
          <w:rFonts w:ascii="Times New Roman" w:eastAsia="Microsoft YaHei" w:hAnsi="Times New Roman" w:cs="Times New Roman"/>
          <w:kern w:val="0"/>
          <w:lang w:eastAsia="zh-CN"/>
          <w14:ligatures w14:val="none"/>
        </w:rPr>
        <w:t>)</w:t>
      </w:r>
      <w:r w:rsidR="00DE48C3" w:rsidRPr="00D54DCA">
        <w:rPr>
          <w:rFonts w:ascii="Times New Roman" w:eastAsia="Microsoft YaHei" w:hAnsi="Times New Roman" w:cs="Times New Roman"/>
          <w:kern w:val="0"/>
          <w:lang w:eastAsia="zh-CN"/>
          <w14:ligatures w14:val="none"/>
        </w:rPr>
        <w:t>.</w:t>
      </w:r>
      <w:r w:rsidR="00D54DCA" w:rsidRPr="00D54DCA">
        <w:rPr>
          <w:rFonts w:ascii="Times New Roman" w:eastAsia="Microsoft YaHei" w:hAnsi="Times New Roman" w:cs="Times New Roman"/>
          <w:kern w:val="0"/>
          <w:lang w:eastAsia="zh-CN"/>
          <w14:ligatures w14:val="none"/>
        </w:rPr>
        <w:t xml:space="preserve"> </w:t>
      </w:r>
      <w:r w:rsidR="009657C6" w:rsidRPr="00D54DCA">
        <w:rPr>
          <w:rFonts w:ascii="Times New Roman" w:eastAsia="Microsoft YaHei" w:hAnsi="Times New Roman" w:cs="Times New Roman"/>
          <w:kern w:val="0"/>
          <w:lang w:eastAsia="zh-CN"/>
          <w14:ligatures w14:val="none"/>
        </w:rPr>
        <w:t xml:space="preserve">Even though instrumental variables (IVs) can be used to address the endogeneity problem, GMM estimation is more efficient and popular to do so (Worrall and </w:t>
      </w:r>
      <w:proofErr w:type="spellStart"/>
      <w:r w:rsidR="009657C6" w:rsidRPr="00D54DCA">
        <w:rPr>
          <w:rFonts w:ascii="Times New Roman" w:eastAsia="Microsoft YaHei" w:hAnsi="Times New Roman" w:cs="Times New Roman"/>
          <w:kern w:val="0"/>
          <w:lang w:eastAsia="zh-CN"/>
          <w14:ligatures w14:val="none"/>
        </w:rPr>
        <w:t>Kovandzic</w:t>
      </w:r>
      <w:proofErr w:type="spellEnd"/>
      <w:r w:rsidR="009657C6" w:rsidRPr="00D54DCA">
        <w:rPr>
          <w:rFonts w:ascii="Times New Roman" w:eastAsia="Microsoft YaHei" w:hAnsi="Times New Roman" w:cs="Times New Roman"/>
          <w:kern w:val="0"/>
          <w:lang w:eastAsia="zh-CN"/>
          <w14:ligatures w14:val="none"/>
        </w:rPr>
        <w:t>, 2010). In a related study, Worrall (2008) added that GMM nests several estimations (OLS, 2SLS, IV) within a single framework.</w:t>
      </w:r>
      <w:r w:rsidR="00376DDF">
        <w:rPr>
          <w:rFonts w:ascii="Times New Roman" w:eastAsia="Microsoft YaHei" w:hAnsi="Times New Roman" w:cs="Times New Roman"/>
          <w:kern w:val="0"/>
          <w:lang w:eastAsia="zh-CN"/>
          <w14:ligatures w14:val="none"/>
        </w:rPr>
        <w:t xml:space="preserve"> </w:t>
      </w:r>
      <w:r w:rsidR="00D54DCA" w:rsidRPr="00D54DCA">
        <w:rPr>
          <w:rFonts w:ascii="Times New Roman" w:eastAsia="Microsoft YaHei" w:hAnsi="Times New Roman" w:cs="Times New Roman"/>
          <w:kern w:val="0"/>
          <w:lang w:eastAsia="zh-CN"/>
          <w14:ligatures w14:val="none"/>
        </w:rPr>
        <w:t>In addition, o</w:t>
      </w:r>
      <w:r w:rsidR="00DE48C3" w:rsidRPr="00D54DCA">
        <w:rPr>
          <w:rFonts w:ascii="Times New Roman" w:eastAsia="Microsoft YaHei" w:hAnsi="Times New Roman" w:cs="Times New Roman"/>
          <w:kern w:val="0"/>
          <w:lang w:eastAsia="zh-CN"/>
          <w14:ligatures w14:val="none"/>
        </w:rPr>
        <w:t xml:space="preserve">ur </w:t>
      </w:r>
      <w:r w:rsidR="002D5713" w:rsidRPr="00D54DCA">
        <w:rPr>
          <w:rFonts w:ascii="Times New Roman" w:eastAsia="Microsoft YaHei" w:hAnsi="Times New Roman" w:cs="Times New Roman"/>
          <w:kern w:val="0"/>
          <w:lang w:eastAsia="zh-CN"/>
          <w14:ligatures w14:val="none"/>
        </w:rPr>
        <w:t>diagnostic</w:t>
      </w:r>
      <w:r w:rsidR="00DE48C3" w:rsidRPr="00D54DCA">
        <w:rPr>
          <w:rFonts w:ascii="Times New Roman" w:eastAsia="Microsoft YaHei" w:hAnsi="Times New Roman" w:cs="Times New Roman"/>
          <w:kern w:val="0"/>
          <w:lang w:eastAsia="zh-CN"/>
          <w14:ligatures w14:val="none"/>
        </w:rPr>
        <w:t xml:space="preserve"> tests suggest</w:t>
      </w:r>
      <w:r w:rsidR="00523907" w:rsidRPr="00D54DCA">
        <w:rPr>
          <w:rFonts w:ascii="Times New Roman" w:eastAsia="Microsoft YaHei" w:hAnsi="Times New Roman" w:cs="Times New Roman"/>
          <w:kern w:val="0"/>
          <w:lang w:eastAsia="zh-CN"/>
          <w14:ligatures w14:val="none"/>
        </w:rPr>
        <w:t xml:space="preserve"> suitability</w:t>
      </w:r>
      <w:r w:rsidR="00DE48C3" w:rsidRPr="00D54DCA">
        <w:rPr>
          <w:rFonts w:ascii="Times New Roman" w:eastAsia="Microsoft YaHei" w:hAnsi="Times New Roman" w:cs="Times New Roman"/>
          <w:kern w:val="0"/>
          <w:lang w:eastAsia="zh-CN"/>
          <w14:ligatures w14:val="none"/>
        </w:rPr>
        <w:t xml:space="preserve"> of applying GMM to our study</w:t>
      </w:r>
      <w:r w:rsidR="002D5713" w:rsidRPr="00D54DCA">
        <w:rPr>
          <w:rFonts w:ascii="Times New Roman" w:eastAsia="Microsoft YaHei" w:hAnsi="Times New Roman" w:cs="Times New Roman"/>
          <w:kern w:val="0"/>
          <w:lang w:eastAsia="zh-CN"/>
          <w14:ligatures w14:val="none"/>
        </w:rPr>
        <w:t xml:space="preserve">, </w:t>
      </w:r>
      <w:r w:rsidR="005800D4" w:rsidRPr="00D54DCA">
        <w:rPr>
          <w:rFonts w:ascii="Times New Roman" w:eastAsia="Microsoft YaHei" w:hAnsi="Times New Roman" w:cs="Times New Roman"/>
          <w:kern w:val="0"/>
          <w:lang w:eastAsia="zh-CN"/>
          <w14:ligatures w14:val="none"/>
        </w:rPr>
        <w:t xml:space="preserve">as </w:t>
      </w:r>
      <w:r w:rsidR="002D5713" w:rsidRPr="00D54DCA">
        <w:rPr>
          <w:rFonts w:ascii="Times New Roman" w:eastAsia="Microsoft YaHei" w:hAnsi="Times New Roman" w:cs="Times New Roman"/>
          <w:kern w:val="0"/>
          <w:lang w:eastAsia="zh-CN"/>
          <w14:ligatures w14:val="none"/>
        </w:rPr>
        <w:t xml:space="preserve">AR (2) and Hansen J </w:t>
      </w:r>
      <w:r w:rsidR="00DA37B1" w:rsidRPr="00D54DCA">
        <w:rPr>
          <w:rFonts w:ascii="Times New Roman" w:eastAsia="Microsoft YaHei" w:hAnsi="Times New Roman" w:cs="Times New Roman"/>
          <w:kern w:val="0"/>
          <w:lang w:eastAsia="zh-CN"/>
          <w14:ligatures w14:val="none"/>
        </w:rPr>
        <w:t>test are insignificant</w:t>
      </w:r>
      <w:r w:rsidRPr="00D54DCA">
        <w:rPr>
          <w:rFonts w:ascii="Times New Roman" w:eastAsia="Microsoft YaHei" w:hAnsi="Times New Roman" w:cs="Times New Roman"/>
          <w:kern w:val="0"/>
          <w:lang w:eastAsia="zh-CN"/>
          <w14:ligatures w14:val="none"/>
        </w:rPr>
        <w:t>,</w:t>
      </w:r>
      <w:r w:rsidR="005800D4" w:rsidRPr="00D54DCA">
        <w:rPr>
          <w:rFonts w:ascii="Times New Roman" w:eastAsia="Microsoft YaHei" w:hAnsi="Times New Roman" w:cs="Times New Roman"/>
          <w:kern w:val="0"/>
          <w:lang w:eastAsia="zh-CN"/>
          <w14:ligatures w14:val="none"/>
        </w:rPr>
        <w:t xml:space="preserve"> </w:t>
      </w:r>
      <w:r w:rsidRPr="00D54DCA">
        <w:rPr>
          <w:rFonts w:ascii="Times New Roman" w:eastAsia="Microsoft YaHei" w:hAnsi="Times New Roman" w:cs="Times New Roman"/>
          <w:kern w:val="0"/>
          <w:lang w:eastAsia="zh-CN"/>
          <w14:ligatures w14:val="none"/>
        </w:rPr>
        <w:t>consistent with the</w:t>
      </w:r>
      <w:r w:rsidR="002D5713" w:rsidRPr="00D54DCA">
        <w:rPr>
          <w:rFonts w:ascii="Times New Roman" w:eastAsia="Microsoft YaHei" w:hAnsi="Times New Roman" w:cs="Times New Roman"/>
          <w:kern w:val="0"/>
          <w:lang w:eastAsia="zh-CN"/>
          <w14:ligatures w14:val="none"/>
        </w:rPr>
        <w:t xml:space="preserve"> </w:t>
      </w:r>
      <w:r w:rsidR="00F82C6C" w:rsidRPr="00D54DCA">
        <w:rPr>
          <w:rFonts w:ascii="Times New Roman" w:eastAsia="Microsoft YaHei" w:hAnsi="Times New Roman" w:cs="Times New Roman"/>
          <w:kern w:val="0"/>
          <w:lang w:eastAsia="zh-CN"/>
          <w14:ligatures w14:val="none"/>
        </w:rPr>
        <w:t>absence</w:t>
      </w:r>
      <w:r w:rsidR="005800D4" w:rsidRPr="00D54DCA">
        <w:rPr>
          <w:rFonts w:ascii="Times New Roman" w:eastAsia="Microsoft YaHei" w:hAnsi="Times New Roman" w:cs="Times New Roman"/>
          <w:kern w:val="0"/>
          <w:lang w:eastAsia="zh-CN"/>
          <w14:ligatures w14:val="none"/>
        </w:rPr>
        <w:t xml:space="preserve"> of second-order autocorrelation</w:t>
      </w:r>
      <w:r w:rsidRPr="00D54DCA">
        <w:rPr>
          <w:rFonts w:ascii="Times New Roman" w:eastAsia="Microsoft YaHei" w:hAnsi="Times New Roman" w:cs="Times New Roman"/>
          <w:kern w:val="0"/>
          <w:lang w:eastAsia="zh-CN"/>
          <w14:ligatures w14:val="none"/>
        </w:rPr>
        <w:t xml:space="preserve">. This </w:t>
      </w:r>
      <w:r w:rsidR="000605CC" w:rsidRPr="00D54DCA">
        <w:rPr>
          <w:rFonts w:ascii="Times New Roman" w:eastAsia="Microsoft YaHei" w:hAnsi="Times New Roman" w:cs="Times New Roman"/>
          <w:kern w:val="0"/>
          <w:lang w:eastAsia="zh-CN"/>
          <w14:ligatures w14:val="none"/>
        </w:rPr>
        <w:t xml:space="preserve">indicates </w:t>
      </w:r>
      <w:r w:rsidR="005800D4" w:rsidRPr="00D54DCA">
        <w:rPr>
          <w:rFonts w:ascii="Times New Roman" w:eastAsia="Microsoft YaHei" w:hAnsi="Times New Roman" w:cs="Times New Roman"/>
          <w:kern w:val="0"/>
          <w:lang w:eastAsia="zh-CN"/>
          <w14:ligatures w14:val="none"/>
        </w:rPr>
        <w:t>validity of instruments</w:t>
      </w:r>
      <w:r w:rsidRPr="00D54DCA">
        <w:rPr>
          <w:rFonts w:ascii="Times New Roman" w:eastAsia="Microsoft YaHei" w:hAnsi="Times New Roman" w:cs="Times New Roman"/>
          <w:kern w:val="0"/>
          <w:lang w:eastAsia="zh-CN"/>
          <w14:ligatures w14:val="none"/>
        </w:rPr>
        <w:t xml:space="preserve"> </w:t>
      </w:r>
      <w:r w:rsidR="002D5713" w:rsidRPr="00D54DCA">
        <w:rPr>
          <w:rFonts w:ascii="Times New Roman" w:eastAsia="Microsoft YaHei" w:hAnsi="Times New Roman" w:cs="Times New Roman"/>
          <w:kern w:val="0"/>
          <w:lang w:eastAsia="zh-CN"/>
          <w14:ligatures w14:val="none"/>
        </w:rPr>
        <w:t>(</w:t>
      </w:r>
      <w:proofErr w:type="spellStart"/>
      <w:r w:rsidR="00DA37B1" w:rsidRPr="00D54DCA">
        <w:rPr>
          <w:rFonts w:ascii="Times New Roman" w:eastAsia="Microsoft YaHei" w:hAnsi="Times New Roman" w:cs="Times New Roman"/>
          <w:kern w:val="0"/>
          <w:lang w:eastAsia="zh-CN"/>
          <w14:ligatures w14:val="none"/>
        </w:rPr>
        <w:t>Wintoki</w:t>
      </w:r>
      <w:proofErr w:type="spellEnd"/>
      <w:r w:rsidR="00DA37B1" w:rsidRPr="00D54DCA">
        <w:rPr>
          <w:rFonts w:ascii="Times New Roman" w:eastAsia="Microsoft YaHei" w:hAnsi="Times New Roman" w:cs="Times New Roman"/>
          <w:kern w:val="0"/>
          <w:lang w:eastAsia="zh-CN"/>
          <w14:ligatures w14:val="none"/>
        </w:rPr>
        <w:t xml:space="preserve"> et al., 2012</w:t>
      </w:r>
      <w:r w:rsidR="002D5713" w:rsidRPr="00D54DCA">
        <w:rPr>
          <w:rFonts w:ascii="Times New Roman" w:eastAsia="Microsoft YaHei" w:hAnsi="Times New Roman" w:cs="Times New Roman"/>
          <w:kern w:val="0"/>
          <w:lang w:eastAsia="zh-CN"/>
          <w14:ligatures w14:val="none"/>
        </w:rPr>
        <w:t>)</w:t>
      </w:r>
      <w:r w:rsidR="005800D4" w:rsidRPr="00D54DCA">
        <w:rPr>
          <w:rFonts w:ascii="Times New Roman" w:eastAsia="Microsoft YaHei" w:hAnsi="Times New Roman" w:cs="Times New Roman"/>
          <w:kern w:val="0"/>
          <w:lang w:eastAsia="zh-CN"/>
          <w14:ligatures w14:val="none"/>
        </w:rPr>
        <w:t>.</w:t>
      </w:r>
      <w:r w:rsidR="00862414" w:rsidRPr="00D54DCA">
        <w:rPr>
          <w:rFonts w:ascii="Times New Roman" w:eastAsia="Microsoft YaHei" w:hAnsi="Times New Roman" w:cs="Times New Roman"/>
          <w:kern w:val="0"/>
          <w:lang w:eastAsia="zh-CN"/>
          <w14:ligatures w14:val="none"/>
        </w:rPr>
        <w:t xml:space="preserve"> </w:t>
      </w:r>
      <w:r w:rsidR="00DE48C3" w:rsidRPr="00D54DCA">
        <w:rPr>
          <w:rFonts w:ascii="Times New Roman" w:eastAsia="Microsoft YaHei" w:hAnsi="Times New Roman" w:cs="Times New Roman"/>
          <w:kern w:val="0"/>
          <w:lang w:eastAsia="zh-CN"/>
          <w14:ligatures w14:val="none"/>
        </w:rPr>
        <w:t>Our results</w:t>
      </w:r>
      <w:r w:rsidRPr="00D54DCA">
        <w:rPr>
          <w:rFonts w:ascii="Times New Roman" w:eastAsia="Microsoft YaHei" w:hAnsi="Times New Roman" w:cs="Times New Roman"/>
          <w:kern w:val="0"/>
          <w:lang w:eastAsia="zh-CN"/>
          <w14:ligatures w14:val="none"/>
        </w:rPr>
        <w:t>, reported</w:t>
      </w:r>
      <w:r w:rsidR="00DE48C3" w:rsidRPr="00D54DCA">
        <w:rPr>
          <w:rFonts w:ascii="Times New Roman" w:eastAsia="Microsoft YaHei" w:hAnsi="Times New Roman" w:cs="Times New Roman"/>
          <w:kern w:val="0"/>
          <w:lang w:eastAsia="zh-CN"/>
          <w14:ligatures w14:val="none"/>
        </w:rPr>
        <w:t xml:space="preserve"> in Columns 1</w:t>
      </w:r>
      <w:r w:rsidR="00523907" w:rsidRPr="00D54DCA">
        <w:rPr>
          <w:rFonts w:ascii="Times New Roman" w:eastAsia="Microsoft YaHei" w:hAnsi="Times New Roman" w:cs="Times New Roman"/>
          <w:kern w:val="0"/>
          <w:lang w:eastAsia="zh-CN"/>
          <w14:ligatures w14:val="none"/>
        </w:rPr>
        <w:t xml:space="preserve"> and 2</w:t>
      </w:r>
      <w:r w:rsidR="00DE48C3" w:rsidRPr="00D54DCA">
        <w:rPr>
          <w:rFonts w:ascii="Times New Roman" w:eastAsia="Microsoft YaHei" w:hAnsi="Times New Roman" w:cs="Times New Roman"/>
          <w:kern w:val="0"/>
          <w:lang w:eastAsia="zh-CN"/>
          <w14:ligatures w14:val="none"/>
        </w:rPr>
        <w:t xml:space="preserve"> of Table </w:t>
      </w:r>
      <w:r w:rsidR="00383E19" w:rsidRPr="00D54DCA">
        <w:rPr>
          <w:rFonts w:ascii="Times New Roman" w:eastAsia="Microsoft YaHei" w:hAnsi="Times New Roman" w:cs="Times New Roman"/>
          <w:kern w:val="0"/>
          <w:lang w:eastAsia="zh-CN"/>
          <w14:ligatures w14:val="none"/>
        </w:rPr>
        <w:t>4</w:t>
      </w:r>
      <w:r w:rsidRPr="00D54DCA">
        <w:rPr>
          <w:rFonts w:ascii="Times New Roman" w:eastAsia="Microsoft YaHei" w:hAnsi="Times New Roman" w:cs="Times New Roman"/>
          <w:kern w:val="0"/>
          <w:lang w:eastAsia="zh-CN"/>
          <w14:ligatures w14:val="none"/>
        </w:rPr>
        <w:t>,</w:t>
      </w:r>
      <w:r w:rsidR="00DE48C3" w:rsidRPr="00D54DCA">
        <w:rPr>
          <w:rFonts w:ascii="Times New Roman" w:eastAsia="Microsoft YaHei" w:hAnsi="Times New Roman" w:cs="Times New Roman"/>
          <w:kern w:val="0"/>
          <w:lang w:eastAsia="zh-CN"/>
          <w14:ligatures w14:val="none"/>
        </w:rPr>
        <w:t xml:space="preserve"> </w:t>
      </w:r>
      <w:r w:rsidR="00523907" w:rsidRPr="00D54DCA">
        <w:rPr>
          <w:rFonts w:ascii="Times New Roman" w:eastAsia="Microsoft YaHei" w:hAnsi="Times New Roman" w:cs="Times New Roman"/>
          <w:kern w:val="0"/>
          <w:lang w:eastAsia="zh-CN"/>
          <w14:ligatures w14:val="none"/>
        </w:rPr>
        <w:t>suggest</w:t>
      </w:r>
      <w:r w:rsidR="00DE48C3" w:rsidRPr="00D54DCA">
        <w:rPr>
          <w:rFonts w:ascii="Times New Roman" w:eastAsia="Microsoft YaHei" w:hAnsi="Times New Roman" w:cs="Times New Roman"/>
          <w:kern w:val="0"/>
          <w:lang w:eastAsia="zh-CN"/>
          <w14:ligatures w14:val="none"/>
        </w:rPr>
        <w:t xml:space="preserve"> </w:t>
      </w:r>
      <w:r w:rsidR="000605CC" w:rsidRPr="00D54DCA">
        <w:rPr>
          <w:rFonts w:ascii="Times New Roman" w:eastAsia="Microsoft YaHei" w:hAnsi="Times New Roman" w:cs="Times New Roman"/>
          <w:kern w:val="0"/>
          <w:lang w:eastAsia="zh-CN"/>
          <w14:ligatures w14:val="none"/>
        </w:rPr>
        <w:t xml:space="preserve">that </w:t>
      </w:r>
      <w:r w:rsidR="00DE48C3" w:rsidRPr="00D54DCA">
        <w:rPr>
          <w:rFonts w:ascii="Times New Roman" w:eastAsia="Microsoft YaHei" w:hAnsi="Times New Roman" w:cs="Times New Roman"/>
          <w:kern w:val="0"/>
          <w:lang w:eastAsia="zh-CN"/>
          <w14:ligatures w14:val="none"/>
        </w:rPr>
        <w:t xml:space="preserve">our </w:t>
      </w:r>
      <w:r w:rsidR="00523907" w:rsidRPr="00D54DCA">
        <w:rPr>
          <w:rFonts w:ascii="Times New Roman" w:eastAsia="Microsoft YaHei" w:hAnsi="Times New Roman" w:cs="Times New Roman"/>
          <w:kern w:val="0"/>
          <w:lang w:eastAsia="zh-CN"/>
          <w14:ligatures w14:val="none"/>
        </w:rPr>
        <w:t xml:space="preserve">main </w:t>
      </w:r>
      <w:r w:rsidR="00DE48C3" w:rsidRPr="00D54DCA">
        <w:rPr>
          <w:rFonts w:ascii="Times New Roman" w:eastAsia="Microsoft YaHei" w:hAnsi="Times New Roman" w:cs="Times New Roman"/>
          <w:kern w:val="0"/>
          <w:lang w:eastAsia="zh-CN"/>
          <w14:ligatures w14:val="none"/>
        </w:rPr>
        <w:t xml:space="preserve">findings </w:t>
      </w:r>
      <w:r w:rsidR="00523907" w:rsidRPr="00D54DCA">
        <w:rPr>
          <w:rFonts w:ascii="Times New Roman" w:eastAsia="Microsoft YaHei" w:hAnsi="Times New Roman" w:cs="Times New Roman"/>
          <w:kern w:val="0"/>
          <w:lang w:eastAsia="zh-CN"/>
          <w14:ligatures w14:val="none"/>
        </w:rPr>
        <w:t>persist</w:t>
      </w:r>
      <w:r w:rsidR="000605CC" w:rsidRPr="00D54DCA">
        <w:rPr>
          <w:rFonts w:ascii="Times New Roman" w:eastAsia="Microsoft YaHei" w:hAnsi="Times New Roman" w:cs="Times New Roman"/>
          <w:kern w:val="0"/>
          <w:lang w:eastAsia="zh-CN"/>
          <w14:ligatures w14:val="none"/>
        </w:rPr>
        <w:t xml:space="preserve"> with our fixed</w:t>
      </w:r>
      <w:r w:rsidR="00523907" w:rsidRPr="00D54DCA">
        <w:rPr>
          <w:rFonts w:ascii="Times New Roman" w:eastAsia="Microsoft YaHei" w:hAnsi="Times New Roman" w:cs="Times New Roman"/>
          <w:kern w:val="0"/>
          <w:lang w:eastAsia="zh-CN"/>
          <w14:ligatures w14:val="none"/>
        </w:rPr>
        <w:t xml:space="preserve"> effects model, while Columns 3 and 4 of </w:t>
      </w:r>
      <w:r w:rsidR="00F82C6C" w:rsidRPr="00D54DCA">
        <w:rPr>
          <w:rFonts w:ascii="Times New Roman" w:eastAsia="Microsoft YaHei" w:hAnsi="Times New Roman" w:cs="Times New Roman"/>
          <w:kern w:val="0"/>
          <w:lang w:eastAsia="zh-CN"/>
          <w14:ligatures w14:val="none"/>
        </w:rPr>
        <w:t>T</w:t>
      </w:r>
      <w:r w:rsidR="00523907" w:rsidRPr="00D54DCA">
        <w:rPr>
          <w:rFonts w:ascii="Times New Roman" w:eastAsia="Microsoft YaHei" w:hAnsi="Times New Roman" w:cs="Times New Roman"/>
          <w:kern w:val="0"/>
          <w:lang w:eastAsia="zh-CN"/>
          <w14:ligatures w14:val="none"/>
        </w:rPr>
        <w:t xml:space="preserve">able </w:t>
      </w:r>
      <w:r w:rsidR="00383E19" w:rsidRPr="00D54DCA">
        <w:rPr>
          <w:rFonts w:ascii="Times New Roman" w:eastAsia="Microsoft YaHei" w:hAnsi="Times New Roman" w:cs="Times New Roman"/>
          <w:kern w:val="0"/>
          <w:lang w:eastAsia="zh-CN"/>
          <w14:ligatures w14:val="none"/>
        </w:rPr>
        <w:t>4</w:t>
      </w:r>
      <w:r w:rsidR="00523907" w:rsidRPr="00D54DCA">
        <w:rPr>
          <w:rFonts w:ascii="Times New Roman" w:eastAsia="Microsoft YaHei" w:hAnsi="Times New Roman" w:cs="Times New Roman"/>
          <w:kern w:val="0"/>
          <w:lang w:eastAsia="zh-CN"/>
          <w14:ligatures w14:val="none"/>
        </w:rPr>
        <w:t xml:space="preserve"> report that </w:t>
      </w:r>
      <w:r w:rsidR="000605CC" w:rsidRPr="00D54DCA">
        <w:rPr>
          <w:rFonts w:ascii="Times New Roman" w:eastAsia="Microsoft YaHei" w:hAnsi="Times New Roman" w:cs="Times New Roman"/>
          <w:kern w:val="0"/>
          <w:lang w:eastAsia="zh-CN"/>
          <w14:ligatures w14:val="none"/>
        </w:rPr>
        <w:t>the</w:t>
      </w:r>
      <w:r w:rsidR="00523907" w:rsidRPr="00D54DCA">
        <w:rPr>
          <w:rFonts w:ascii="Times New Roman" w:eastAsia="Microsoft YaHei" w:hAnsi="Times New Roman" w:cs="Times New Roman"/>
          <w:kern w:val="0"/>
          <w:lang w:eastAsia="zh-CN"/>
          <w14:ligatures w14:val="none"/>
        </w:rPr>
        <w:t xml:space="preserve"> findings are</w:t>
      </w:r>
      <w:r w:rsidR="00DA37B1" w:rsidRPr="00D54DCA">
        <w:rPr>
          <w:rFonts w:ascii="Times New Roman" w:eastAsia="Microsoft YaHei" w:hAnsi="Times New Roman" w:cs="Times New Roman"/>
          <w:kern w:val="0"/>
          <w:lang w:eastAsia="zh-CN"/>
          <w14:ligatures w14:val="none"/>
        </w:rPr>
        <w:t xml:space="preserve"> </w:t>
      </w:r>
      <w:r w:rsidR="00523907" w:rsidRPr="00D54DCA">
        <w:rPr>
          <w:rFonts w:ascii="Times New Roman" w:eastAsia="Microsoft YaHei" w:hAnsi="Times New Roman" w:cs="Times New Roman"/>
          <w:kern w:val="0"/>
          <w:lang w:eastAsia="zh-CN"/>
          <w14:ligatures w14:val="none"/>
        </w:rPr>
        <w:t xml:space="preserve">consistent with </w:t>
      </w:r>
      <w:r w:rsidR="00DA37B1" w:rsidRPr="00D54DCA">
        <w:rPr>
          <w:rFonts w:ascii="Times New Roman" w:eastAsia="Microsoft YaHei" w:hAnsi="Times New Roman" w:cs="Times New Roman"/>
          <w:kern w:val="0"/>
          <w:lang w:eastAsia="zh-CN"/>
          <w14:ligatures w14:val="none"/>
        </w:rPr>
        <w:t xml:space="preserve">our </w:t>
      </w:r>
      <w:r w:rsidR="00523907" w:rsidRPr="00D54DCA">
        <w:rPr>
          <w:rFonts w:ascii="Times New Roman" w:eastAsia="Microsoft YaHei" w:hAnsi="Times New Roman" w:cs="Times New Roman"/>
          <w:kern w:val="0"/>
          <w:lang w:eastAsia="zh-CN"/>
          <w14:ligatures w14:val="none"/>
        </w:rPr>
        <w:t xml:space="preserve">GMM model. </w:t>
      </w:r>
      <w:r w:rsidRPr="00D54DCA">
        <w:rPr>
          <w:rFonts w:ascii="Times New Roman" w:eastAsia="Microsoft YaHei" w:hAnsi="Times New Roman" w:cs="Times New Roman"/>
          <w:kern w:val="0"/>
          <w:lang w:eastAsia="zh-CN"/>
          <w14:ligatures w14:val="none"/>
        </w:rPr>
        <w:t>Overall,</w:t>
      </w:r>
      <w:r w:rsidR="00523907" w:rsidRPr="00D54DCA">
        <w:rPr>
          <w:rFonts w:ascii="Times New Roman" w:eastAsia="Microsoft YaHei" w:hAnsi="Times New Roman" w:cs="Times New Roman"/>
          <w:kern w:val="0"/>
          <w:lang w:eastAsia="zh-CN"/>
          <w14:ligatures w14:val="none"/>
        </w:rPr>
        <w:t xml:space="preserve"> our findings are robust to endogenous concerns. </w:t>
      </w:r>
    </w:p>
    <w:p w14:paraId="3826FCB9" w14:textId="76EC116D" w:rsidR="00D9772C" w:rsidRPr="00D54DCA" w:rsidRDefault="00D9772C" w:rsidP="00D9772C">
      <w:pPr>
        <w:pStyle w:val="johnTableinsert"/>
        <w:rPr>
          <w:rFonts w:eastAsia="Microsoft YaHei"/>
          <w:kern w:val="0"/>
          <w:szCs w:val="22"/>
          <w:lang w:eastAsia="zh-CN"/>
          <w14:ligatures w14:val="none"/>
        </w:rPr>
      </w:pPr>
      <w:r w:rsidRPr="00D54DCA">
        <w:rPr>
          <w:rFonts w:eastAsia="Microsoft YaHei"/>
          <w:kern w:val="0"/>
          <w:szCs w:val="22"/>
          <w:lang w:eastAsia="zh-CN"/>
          <w14:ligatures w14:val="none"/>
        </w:rPr>
        <w:t>(Insert Table 4 about here)</w:t>
      </w:r>
    </w:p>
    <w:p w14:paraId="6C0807B4" w14:textId="31E86A4D" w:rsidR="00523907" w:rsidRPr="005D2119" w:rsidRDefault="005D2119" w:rsidP="00C90D22">
      <w:pPr>
        <w:pStyle w:val="johnsub2"/>
      </w:pPr>
      <w:r w:rsidRPr="005D2119">
        <w:t xml:space="preserve">3.3. </w:t>
      </w:r>
      <w:r w:rsidR="00523907" w:rsidRPr="005D2119">
        <w:t>Robustness tests</w:t>
      </w:r>
    </w:p>
    <w:p w14:paraId="09A1819D" w14:textId="24A0F8F7" w:rsidR="00B77E42" w:rsidRDefault="005E22C1" w:rsidP="005E22C1">
      <w:pPr>
        <w:pStyle w:val="johnBody"/>
      </w:pPr>
      <w:r>
        <w:t>As a robustness check</w:t>
      </w:r>
      <w:r w:rsidR="007D673D">
        <w:t>, w</w:t>
      </w:r>
      <w:r w:rsidR="00523907">
        <w:t>e include other corporate governance</w:t>
      </w:r>
      <w:r w:rsidR="00DA37B1">
        <w:t xml:space="preserve"> variables</w:t>
      </w:r>
      <w:r w:rsidR="00523907">
        <w:t xml:space="preserve"> and </w:t>
      </w:r>
      <w:r w:rsidR="00DA37B1">
        <w:t xml:space="preserve">further </w:t>
      </w:r>
      <w:r w:rsidR="00523907">
        <w:t>financial characteristics namely, board size (number of board members), additional directorships of the board (average multiple directorships of board members), board tenure (average tenure of board members), quick ratio (ratio of current assets minus inventory to current liabilities) and cash balance (log of the total cash balance)) in our main model</w:t>
      </w:r>
      <w:r w:rsidR="00DA37B1">
        <w:t xml:space="preserve">s. </w:t>
      </w:r>
      <w:r w:rsidR="00751BC1">
        <w:t>Findings</w:t>
      </w:r>
      <w:r w:rsidR="00523907">
        <w:t xml:space="preserve"> (Columns 1 and 2 of Table </w:t>
      </w:r>
      <w:r w:rsidR="00383E19">
        <w:t>5</w:t>
      </w:r>
      <w:r w:rsidR="00523907">
        <w:t xml:space="preserve">) </w:t>
      </w:r>
      <w:r w:rsidR="00DA37B1">
        <w:t xml:space="preserve">are robust </w:t>
      </w:r>
      <w:r w:rsidR="00523907">
        <w:t xml:space="preserve">to inclusion of further control variables. </w:t>
      </w:r>
    </w:p>
    <w:p w14:paraId="596571DD" w14:textId="7F503F03" w:rsidR="00D9772C" w:rsidRPr="00721386" w:rsidRDefault="00D9772C" w:rsidP="00D9772C">
      <w:pPr>
        <w:pStyle w:val="johnTableinsert"/>
        <w:rPr>
          <w:szCs w:val="22"/>
        </w:rPr>
      </w:pPr>
      <w:r w:rsidRPr="00721386">
        <w:rPr>
          <w:szCs w:val="22"/>
        </w:rPr>
        <w:t xml:space="preserve">(Insert Table </w:t>
      </w:r>
      <w:r>
        <w:rPr>
          <w:szCs w:val="22"/>
        </w:rPr>
        <w:t>5</w:t>
      </w:r>
      <w:r w:rsidRPr="00721386">
        <w:rPr>
          <w:szCs w:val="22"/>
        </w:rPr>
        <w:t xml:space="preserve"> about here)</w:t>
      </w:r>
    </w:p>
    <w:p w14:paraId="006A2415" w14:textId="67FA485F" w:rsidR="00F1764F" w:rsidRDefault="00F1764F" w:rsidP="00E43323">
      <w:pPr>
        <w:pStyle w:val="johnBody"/>
      </w:pPr>
      <w:r>
        <w:t xml:space="preserve">Second, we measure firm value and dividends alternatively. In this case, firm value is the log of the ratio of market capitalization to total assets (Bai et al., 2016), while dividend is the log of total dividends (Lee et al., 2023). Our findings </w:t>
      </w:r>
      <w:r w:rsidR="005E22C1">
        <w:t>(</w:t>
      </w:r>
      <w:r>
        <w:t>Columns 3 and 4 of Table 5</w:t>
      </w:r>
      <w:r w:rsidR="005E22C1">
        <w:t>)</w:t>
      </w:r>
      <w:r>
        <w:t xml:space="preserve"> show that the main findings are robust to alternative specifications of firm value and dividends. </w:t>
      </w:r>
    </w:p>
    <w:p w14:paraId="5720AFB9" w14:textId="30CE9656" w:rsidR="00D437A7" w:rsidRDefault="005D2119" w:rsidP="00F537D0">
      <w:pPr>
        <w:pStyle w:val="johnsub2"/>
      </w:pPr>
      <w:r>
        <w:lastRenderedPageBreak/>
        <w:t xml:space="preserve">3.4. </w:t>
      </w:r>
      <w:r w:rsidR="00D437A7" w:rsidRPr="005D2119">
        <w:t>Path analysis</w:t>
      </w:r>
    </w:p>
    <w:p w14:paraId="501D9019" w14:textId="56582C26" w:rsidR="00562605" w:rsidRDefault="00562605" w:rsidP="00562605">
      <w:pPr>
        <w:pStyle w:val="johnsub2"/>
        <w:jc w:val="center"/>
      </w:pPr>
      <w:r>
        <w:t>Figure 1: path analysis</w:t>
      </w:r>
    </w:p>
    <w:p w14:paraId="3C5BB307" w14:textId="139F72E5" w:rsidR="00004391" w:rsidRDefault="00004391" w:rsidP="00004391">
      <w:pPr>
        <w:pStyle w:val="johnSub3"/>
        <w:ind w:firstLine="0"/>
      </w:pPr>
      <w:r>
        <w:rPr>
          <w:noProof/>
        </w:rPr>
        <w:drawing>
          <wp:inline distT="0" distB="0" distL="0" distR="0" wp14:anchorId="670769DF" wp14:editId="004087DB">
            <wp:extent cx="5731510" cy="3605530"/>
            <wp:effectExtent l="0" t="0" r="2540" b="0"/>
            <wp:docPr id="132238072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380725" name=""/>
                    <pic:cNvPicPr/>
                  </pic:nvPicPr>
                  <pic:blipFill>
                    <a:blip r:embed="rId7">
                      <a:extLst>
                        <a:ext uri="{96DAC541-7B7A-43D3-8B79-37D633B846F1}">
                          <asvg:svgBlip xmlns:asvg="http://schemas.microsoft.com/office/drawing/2016/SVG/main" r:embed="rId8"/>
                        </a:ext>
                      </a:extLst>
                    </a:blip>
                    <a:stretch>
                      <a:fillRect/>
                    </a:stretch>
                  </pic:blipFill>
                  <pic:spPr>
                    <a:xfrm>
                      <a:off x="0" y="0"/>
                      <a:ext cx="5731510" cy="3605530"/>
                    </a:xfrm>
                    <a:prstGeom prst="rect">
                      <a:avLst/>
                    </a:prstGeom>
                  </pic:spPr>
                </pic:pic>
              </a:graphicData>
            </a:graphic>
          </wp:inline>
        </w:drawing>
      </w:r>
    </w:p>
    <w:p w14:paraId="24D6F265" w14:textId="14AFEE75" w:rsidR="00D437A7" w:rsidRPr="00C90D22" w:rsidRDefault="005D2119" w:rsidP="00C90D22">
      <w:pPr>
        <w:pStyle w:val="johnSub3"/>
      </w:pPr>
      <w:r w:rsidRPr="00C90D22">
        <w:t xml:space="preserve">3.4.1 </w:t>
      </w:r>
      <w:r w:rsidR="00B67DD5" w:rsidRPr="00C90D22">
        <w:t xml:space="preserve">Dividend and </w:t>
      </w:r>
      <w:r w:rsidR="00C90D22">
        <w:t>f</w:t>
      </w:r>
      <w:r w:rsidR="00B67DD5" w:rsidRPr="00C90D22">
        <w:t>irm value</w:t>
      </w:r>
    </w:p>
    <w:p w14:paraId="40870AE1" w14:textId="23AD9CE0" w:rsidR="00792137" w:rsidRPr="00706875" w:rsidRDefault="00E35BD9" w:rsidP="00706875">
      <w:pPr>
        <w:pStyle w:val="johnBody"/>
      </w:pPr>
      <w:r>
        <w:t>As per signaling theory, higher dividends signal market participa</w:t>
      </w:r>
      <w:r w:rsidR="00AA6FBF">
        <w:t>nt</w:t>
      </w:r>
      <w:r>
        <w:t>s about the high potential of a firm, resulting in increase</w:t>
      </w:r>
      <w:r w:rsidR="00792137">
        <w:t>s</w:t>
      </w:r>
      <w:r>
        <w:t xml:space="preserve"> in firm value</w:t>
      </w:r>
      <w:r w:rsidR="00792137">
        <w:t>s</w:t>
      </w:r>
      <w:r>
        <w:t xml:space="preserve">. </w:t>
      </w:r>
      <w:r w:rsidR="00A1057C">
        <w:t xml:space="preserve">Given our findings that </w:t>
      </w:r>
      <w:r w:rsidR="00792137">
        <w:t>f</w:t>
      </w:r>
      <w:r w:rsidR="00A1057C">
        <w:t>intech</w:t>
      </w:r>
      <w:r w:rsidR="00792137">
        <w:t xml:space="preserve"> development</w:t>
      </w:r>
      <w:r w:rsidR="00A1057C">
        <w:t xml:space="preserve"> positively </w:t>
      </w:r>
      <w:r w:rsidR="00AA6FBF">
        <w:t>moderates</w:t>
      </w:r>
      <w:r w:rsidR="00A1057C">
        <w:t xml:space="preserve"> the link between climate risk and </w:t>
      </w:r>
      <w:r w:rsidR="00A34E4A">
        <w:t xml:space="preserve">firm value, it may be possible that this </w:t>
      </w:r>
      <w:r w:rsidR="00383E19">
        <w:t>finding</w:t>
      </w:r>
      <w:r w:rsidR="00A34E4A">
        <w:t xml:space="preserve"> may </w:t>
      </w:r>
      <w:r w:rsidR="0045501B">
        <w:t xml:space="preserve">stem </w:t>
      </w:r>
      <w:r w:rsidR="0045501B" w:rsidRPr="00706875">
        <w:t>from</w:t>
      </w:r>
      <w:r w:rsidR="00A34E4A" w:rsidRPr="00706875">
        <w:t xml:space="preserve"> our result that </w:t>
      </w:r>
      <w:r w:rsidR="00792137" w:rsidRPr="00706875">
        <w:t>f</w:t>
      </w:r>
      <w:r w:rsidR="00A34E4A" w:rsidRPr="00706875">
        <w:t>intech</w:t>
      </w:r>
      <w:r w:rsidR="00792137" w:rsidRPr="00706875">
        <w:t xml:space="preserve"> development</w:t>
      </w:r>
      <w:r w:rsidR="00A34E4A" w:rsidRPr="00706875">
        <w:t xml:space="preserve"> increase </w:t>
      </w:r>
      <w:r w:rsidR="00383E19" w:rsidRPr="00706875">
        <w:t>dividends</w:t>
      </w:r>
      <w:r w:rsidR="00A34E4A" w:rsidRPr="00706875">
        <w:t xml:space="preserve"> at the time of </w:t>
      </w:r>
      <w:r w:rsidR="00F44482" w:rsidRPr="00706875">
        <w:t xml:space="preserve">high </w:t>
      </w:r>
      <w:r w:rsidR="00A34E4A" w:rsidRPr="00706875">
        <w:t>climate risk</w:t>
      </w:r>
      <w:r w:rsidR="00F44482" w:rsidRPr="00706875">
        <w:t xml:space="preserve">. </w:t>
      </w:r>
    </w:p>
    <w:p w14:paraId="59F8ABD8" w14:textId="68257067" w:rsidR="00624E34" w:rsidRDefault="004F6D04" w:rsidP="00706875">
      <w:pPr>
        <w:pStyle w:val="johnBody"/>
      </w:pPr>
      <w:r w:rsidRPr="00706875">
        <w:t>To investigate this possibility</w:t>
      </w:r>
      <w:r w:rsidR="00F44482" w:rsidRPr="00706875">
        <w:t xml:space="preserve">, we include a three-way interaction term (wherein the interaction between </w:t>
      </w:r>
      <w:r w:rsidRPr="00706875">
        <w:t>f</w:t>
      </w:r>
      <w:r w:rsidR="00F44482" w:rsidRPr="00706875">
        <w:t>intech</w:t>
      </w:r>
      <w:r w:rsidRPr="00706875">
        <w:t xml:space="preserve"> development</w:t>
      </w:r>
      <w:r w:rsidR="00F44482" w:rsidRPr="00706875">
        <w:t xml:space="preserve"> and climate risk is interacted with dividends) in the firm value model. </w:t>
      </w:r>
      <w:r w:rsidR="00347F47" w:rsidRPr="00347F47">
        <w:t xml:space="preserve">Results, reported in Column 1 of Table 6, show an insignificant association of this three-way interaction term. This suggests that our positive impact of fintech development on firm value (given higher climate risk) may be driven by higher growth potential (stemming from </w:t>
      </w:r>
      <w:proofErr w:type="spellStart"/>
      <w:r w:rsidR="00347F47" w:rsidRPr="00347F47">
        <w:t>Fintechs</w:t>
      </w:r>
      <w:proofErr w:type="spellEnd"/>
      <w:r w:rsidR="00347F47" w:rsidRPr="00347F47">
        <w:t xml:space="preserve"> helping firms attain greater access to funds) rather than an increase in dividends causing a rise in firm value.</w:t>
      </w:r>
    </w:p>
    <w:p w14:paraId="31C6AF5F" w14:textId="77777777" w:rsidR="00047194" w:rsidRDefault="00047194" w:rsidP="00706875">
      <w:pPr>
        <w:pStyle w:val="johnBody"/>
      </w:pPr>
    </w:p>
    <w:p w14:paraId="696B2C55" w14:textId="46CC7F28" w:rsidR="0025481F" w:rsidRDefault="005D2119" w:rsidP="00C90D22">
      <w:pPr>
        <w:pStyle w:val="johnSub3"/>
      </w:pPr>
      <w:r w:rsidRPr="005D2119">
        <w:t>3.4.2</w:t>
      </w:r>
      <w:r>
        <w:t>. Cash and dividends</w:t>
      </w:r>
    </w:p>
    <w:p w14:paraId="674271B6" w14:textId="5ED8B753" w:rsidR="00C46D04" w:rsidRDefault="00FE2DC2" w:rsidP="00501B35">
      <w:pPr>
        <w:pStyle w:val="johnBody"/>
      </w:pPr>
      <w:r>
        <w:t>Given that</w:t>
      </w:r>
      <w:r w:rsidR="001D459F">
        <w:t xml:space="preserve"> </w:t>
      </w:r>
      <w:r w:rsidR="00501B35">
        <w:t>f</w:t>
      </w:r>
      <w:r w:rsidR="001D459F">
        <w:t>intech</w:t>
      </w:r>
      <w:r w:rsidR="00501B35">
        <w:t xml:space="preserve"> development</w:t>
      </w:r>
      <w:r w:rsidR="001D459F">
        <w:t xml:space="preserve"> increase</w:t>
      </w:r>
      <w:r w:rsidR="00501B35">
        <w:t>s the</w:t>
      </w:r>
      <w:r w:rsidR="001D459F">
        <w:t xml:space="preserve"> cash balance of firms, it may be </w:t>
      </w:r>
      <w:r>
        <w:t>argued</w:t>
      </w:r>
      <w:r w:rsidR="001D459F">
        <w:t xml:space="preserve"> that th</w:t>
      </w:r>
      <w:r w:rsidR="00501B35">
        <w:t>is</w:t>
      </w:r>
      <w:r w:rsidR="001D459F">
        <w:t xml:space="preserve"> greater cash balance </w:t>
      </w:r>
      <w:r>
        <w:t xml:space="preserve">acts as a channel through which </w:t>
      </w:r>
      <w:r w:rsidR="00501B35">
        <w:t>f</w:t>
      </w:r>
      <w:r>
        <w:t>intech</w:t>
      </w:r>
      <w:r w:rsidR="00501B35">
        <w:t xml:space="preserve"> development </w:t>
      </w:r>
      <w:r>
        <w:t>positively affect</w:t>
      </w:r>
      <w:r w:rsidR="00501B35">
        <w:t xml:space="preserve">s </w:t>
      </w:r>
      <w:r>
        <w:t>dividends during high climate risk exposure. Consequently, we test this proposition</w:t>
      </w:r>
      <w:r w:rsidR="00501B35">
        <w:t xml:space="preserve"> by including a three-way </w:t>
      </w:r>
      <w:r w:rsidR="00501B35">
        <w:lastRenderedPageBreak/>
        <w:t>interaction term wherein we interact cash balance (log of the total cash balance) with the interaction of climate risk and fintech development. Results are reported</w:t>
      </w:r>
      <w:r>
        <w:t xml:space="preserve"> in Column 2 of Table </w:t>
      </w:r>
      <w:r w:rsidR="00383E19">
        <w:t>6</w:t>
      </w:r>
      <w:r w:rsidR="00501B35">
        <w:t>.</w:t>
      </w:r>
      <w:r>
        <w:t xml:space="preserve"> The findings show a positive and significant association for the three-way interaction term, </w:t>
      </w:r>
      <w:r w:rsidR="00501B35">
        <w:t xml:space="preserve">consistent with greater cash balance </w:t>
      </w:r>
      <w:r w:rsidR="00FA2F1D">
        <w:t>promotes</w:t>
      </w:r>
      <w:r w:rsidR="00501B35">
        <w:t xml:space="preserve"> dividends</w:t>
      </w:r>
      <w:r>
        <w:t xml:space="preserve">. </w:t>
      </w:r>
      <w:r w:rsidR="007B3628">
        <w:t xml:space="preserve">Moreover, Figure 1 depicts our path analysis graphically. </w:t>
      </w:r>
    </w:p>
    <w:p w14:paraId="448E45F5" w14:textId="77777777" w:rsidR="00D9772C" w:rsidRPr="00721386" w:rsidRDefault="00D9772C" w:rsidP="00D9772C">
      <w:pPr>
        <w:pStyle w:val="johnTableinsert"/>
        <w:rPr>
          <w:szCs w:val="22"/>
        </w:rPr>
      </w:pPr>
      <w:r w:rsidRPr="00721386">
        <w:rPr>
          <w:szCs w:val="22"/>
        </w:rPr>
        <w:t xml:space="preserve">(Insert Table </w:t>
      </w:r>
      <w:r>
        <w:rPr>
          <w:szCs w:val="22"/>
        </w:rPr>
        <w:t>7</w:t>
      </w:r>
      <w:r w:rsidRPr="00721386">
        <w:rPr>
          <w:szCs w:val="22"/>
        </w:rPr>
        <w:t xml:space="preserve"> about here)</w:t>
      </w:r>
    </w:p>
    <w:p w14:paraId="601CBC37" w14:textId="25BB47F1" w:rsidR="00C07236" w:rsidRDefault="00C07236" w:rsidP="00B6677C">
      <w:pPr>
        <w:pStyle w:val="johnSub"/>
      </w:pPr>
      <w:r w:rsidRPr="00C07236">
        <w:t>Conclusion</w:t>
      </w:r>
      <w:r w:rsidR="00B6677C">
        <w:t>s</w:t>
      </w:r>
    </w:p>
    <w:p w14:paraId="738E0C92" w14:textId="21E407C7" w:rsidR="00376896" w:rsidRDefault="00BA5445" w:rsidP="00291FE7">
      <w:pPr>
        <w:pStyle w:val="johnBody"/>
      </w:pPr>
      <w:r w:rsidRPr="00291FE7">
        <w:t>Firms are clearly affected adversely by extreme weather events. (Chen et al., 2023)</w:t>
      </w:r>
      <w:r w:rsidR="00672437" w:rsidRPr="00291FE7">
        <w:t xml:space="preserve">, </w:t>
      </w:r>
      <w:r w:rsidR="00291FE7" w:rsidRPr="00291FE7">
        <w:t>with e</w:t>
      </w:r>
      <w:r w:rsidR="00B6677C" w:rsidRPr="00291FE7">
        <w:t xml:space="preserve">nergy firms increasingly seen as being systemically risky. While energy firms are vulnerable to many factors, a significant concern is climate change risk. </w:t>
      </w:r>
      <w:r w:rsidRPr="00291FE7">
        <w:t>W</w:t>
      </w:r>
      <w:r w:rsidR="00376896" w:rsidRPr="00291FE7">
        <w:t xml:space="preserve">e investigate whether </w:t>
      </w:r>
      <w:r w:rsidR="00291FE7" w:rsidRPr="00291FE7">
        <w:t>fintech development</w:t>
      </w:r>
      <w:r w:rsidR="00376896" w:rsidRPr="00291FE7">
        <w:t xml:space="preserve"> </w:t>
      </w:r>
      <w:r w:rsidRPr="00291FE7">
        <w:t>positively condition</w:t>
      </w:r>
      <w:r w:rsidR="00291FE7" w:rsidRPr="00291FE7">
        <w:t>s</w:t>
      </w:r>
      <w:r w:rsidR="00376896" w:rsidRPr="00291FE7">
        <w:t xml:space="preserve"> the relation between climate risk and </w:t>
      </w:r>
      <w:r w:rsidR="00291FE7" w:rsidRPr="00291FE7">
        <w:t xml:space="preserve">energy </w:t>
      </w:r>
      <w:r w:rsidR="00376896" w:rsidRPr="00291FE7">
        <w:t xml:space="preserve">firm </w:t>
      </w:r>
      <w:r w:rsidRPr="00291FE7">
        <w:t>value and</w:t>
      </w:r>
      <w:r w:rsidR="00376896" w:rsidRPr="00291FE7">
        <w:t xml:space="preserve"> dividends. Using a cross-country sample</w:t>
      </w:r>
      <w:r w:rsidR="007659F7" w:rsidRPr="00291FE7">
        <w:t>, covering 5</w:t>
      </w:r>
      <w:r w:rsidR="00347F47">
        <w:t>1</w:t>
      </w:r>
      <w:r w:rsidR="007659F7" w:rsidRPr="00291FE7">
        <w:t xml:space="preserve"> countries, from 2016 to 2023, w</w:t>
      </w:r>
      <w:r w:rsidR="00376896" w:rsidRPr="00291FE7">
        <w:t xml:space="preserve">e find that </w:t>
      </w:r>
      <w:r w:rsidRPr="00291FE7">
        <w:t>f</w:t>
      </w:r>
      <w:r w:rsidR="00376896" w:rsidRPr="00291FE7">
        <w:t>intech</w:t>
      </w:r>
      <w:r w:rsidR="00291FE7" w:rsidRPr="00291FE7">
        <w:t xml:space="preserve"> development</w:t>
      </w:r>
      <w:r w:rsidR="00376896" w:rsidRPr="00291FE7">
        <w:t xml:space="preserve"> positively </w:t>
      </w:r>
      <w:r w:rsidR="00291FE7" w:rsidRPr="00291FE7">
        <w:t>conditions</w:t>
      </w:r>
      <w:r w:rsidR="00376896" w:rsidRPr="00291FE7">
        <w:t xml:space="preserve"> the impact of climate risk on </w:t>
      </w:r>
      <w:r w:rsidRPr="00291FE7">
        <w:t xml:space="preserve">energy </w:t>
      </w:r>
      <w:r w:rsidR="00376896" w:rsidRPr="00291FE7">
        <w:t xml:space="preserve">firm value and dividends. </w:t>
      </w:r>
      <w:r w:rsidR="00E43CDC" w:rsidRPr="00291FE7">
        <w:t xml:space="preserve">We reason </w:t>
      </w:r>
      <w:r w:rsidR="00376896" w:rsidRPr="00291FE7">
        <w:t xml:space="preserve">that </w:t>
      </w:r>
      <w:r w:rsidR="00291FE7" w:rsidRPr="00291FE7">
        <w:t>fintech development</w:t>
      </w:r>
      <w:r w:rsidR="00376896" w:rsidRPr="00291FE7">
        <w:t xml:space="preserve"> </w:t>
      </w:r>
      <w:r w:rsidR="00291FE7" w:rsidRPr="00291FE7">
        <w:t>brings</w:t>
      </w:r>
      <w:r w:rsidR="00376896" w:rsidRPr="00291FE7">
        <w:t xml:space="preserve"> capacity to consider big data,</w:t>
      </w:r>
      <w:r w:rsidR="00E43CDC" w:rsidRPr="00291FE7">
        <w:t xml:space="preserve"> enhanced access, broader geographic reach, improved ability to distribute risks, </w:t>
      </w:r>
      <w:r w:rsidR="00291FE7" w:rsidRPr="00291FE7">
        <w:t xml:space="preserve">and </w:t>
      </w:r>
      <w:r w:rsidRPr="00291FE7">
        <w:t>improve</w:t>
      </w:r>
      <w:r w:rsidR="00291FE7" w:rsidRPr="00291FE7">
        <w:t>d</w:t>
      </w:r>
      <w:r w:rsidR="00376896" w:rsidRPr="00291FE7">
        <w:t xml:space="preserve"> availability of financ</w:t>
      </w:r>
      <w:r w:rsidR="00E43CDC" w:rsidRPr="00291FE7">
        <w:t xml:space="preserve">ing for energy firms. </w:t>
      </w:r>
    </w:p>
    <w:p w14:paraId="270934EC" w14:textId="3B3DCFD7" w:rsidR="00347F47" w:rsidRPr="00347F47" w:rsidRDefault="00E64EA9" w:rsidP="006D1564">
      <w:pPr>
        <w:pStyle w:val="johnBody"/>
        <w:sectPr w:rsidR="00347F47" w:rsidRPr="00347F47">
          <w:footerReference w:type="default" r:id="rId9"/>
          <w:pgSz w:w="11906" w:h="16838"/>
          <w:pgMar w:top="1440" w:right="1440" w:bottom="1440" w:left="1440" w:header="708" w:footer="708" w:gutter="0"/>
          <w:cols w:space="708"/>
          <w:docGrid w:linePitch="360"/>
        </w:sectPr>
      </w:pPr>
      <w:r w:rsidRPr="00E64EA9">
        <w:t>We recommend policymakers to introduce policies supportive of Fintech startups which may include regulatory sandboxes and green Fintech startups (which specifically focus on climate finance). We also suggest regulators to improve digital infrastructure (for example, investing in high-speed internet) for Fintech startups to develop. This is especially important in the context of emerging economies given their poor institutional quality.</w:t>
      </w:r>
      <w:r w:rsidR="006D1564">
        <w:t xml:space="preserve"> </w:t>
      </w:r>
      <w:r w:rsidRPr="00E64EA9">
        <w:t xml:space="preserve">We recommend future researchers to </w:t>
      </w:r>
      <w:proofErr w:type="spellStart"/>
      <w:r w:rsidRPr="00E64EA9">
        <w:t>analyse</w:t>
      </w:r>
      <w:proofErr w:type="spellEnd"/>
      <w:r w:rsidRPr="00E64EA9">
        <w:t xml:space="preserve"> types of </w:t>
      </w:r>
      <w:proofErr w:type="spellStart"/>
      <w:r w:rsidRPr="00E64EA9">
        <w:t>Fintechs</w:t>
      </w:r>
      <w:proofErr w:type="spellEnd"/>
      <w:r w:rsidRPr="00E64EA9">
        <w:t xml:space="preserve"> to examine whether certain </w:t>
      </w:r>
      <w:proofErr w:type="spellStart"/>
      <w:r w:rsidRPr="00E64EA9">
        <w:t>Fintechs</w:t>
      </w:r>
      <w:proofErr w:type="spellEnd"/>
      <w:r w:rsidRPr="00E64EA9">
        <w:t xml:space="preserve"> offer relatively greater resilience towards climate change. Moreover, we suggest that institutional and cultural factors are investigated to assess whether our results are contingent on country-specific variables. </w:t>
      </w:r>
      <w:r>
        <w:t>Further, o</w:t>
      </w:r>
      <w:r w:rsidR="00347F47" w:rsidRPr="00347F47">
        <w:t xml:space="preserve">ur measure of </w:t>
      </w:r>
      <w:proofErr w:type="spellStart"/>
      <w:r w:rsidR="00347F47" w:rsidRPr="00347F47">
        <w:t>Fintechs</w:t>
      </w:r>
      <w:proofErr w:type="spellEnd"/>
      <w:r w:rsidR="00347F47" w:rsidRPr="00347F47">
        <w:t xml:space="preserve"> (ratio of country’s </w:t>
      </w:r>
      <w:proofErr w:type="spellStart"/>
      <w:r w:rsidR="00347F47" w:rsidRPr="00347F47">
        <w:t>Fintechs</w:t>
      </w:r>
      <w:proofErr w:type="spellEnd"/>
      <w:r w:rsidR="00347F47" w:rsidRPr="00347F47">
        <w:t xml:space="preserve"> to global </w:t>
      </w:r>
      <w:proofErr w:type="spellStart"/>
      <w:r w:rsidR="00347F47" w:rsidRPr="00347F47">
        <w:t>Fintechs</w:t>
      </w:r>
      <w:proofErr w:type="spellEnd"/>
      <w:r w:rsidR="00347F47" w:rsidRPr="00347F47">
        <w:t xml:space="preserve">) encompasses a limitation that it disregards the significant progress of smaller economies in terms of Fintech development which may be captured by measuring Fintech development through </w:t>
      </w:r>
      <w:proofErr w:type="spellStart"/>
      <w:r w:rsidR="00347F47" w:rsidRPr="00347F47">
        <w:t>Fintechs</w:t>
      </w:r>
      <w:proofErr w:type="spellEnd"/>
      <w:r w:rsidR="00347F47" w:rsidRPr="00347F47">
        <w:t xml:space="preserve"> per capita.</w:t>
      </w:r>
    </w:p>
    <w:p w14:paraId="7605548C" w14:textId="469AEF6B" w:rsidR="00B77E42" w:rsidRDefault="00B77E42" w:rsidP="006A184B">
      <w:pPr>
        <w:pStyle w:val="johnSub"/>
        <w:numPr>
          <w:ilvl w:val="0"/>
          <w:numId w:val="0"/>
        </w:numPr>
        <w:ind w:left="540" w:hanging="540"/>
        <w:rPr>
          <w:lang w:val="en-GB"/>
        </w:rPr>
      </w:pPr>
      <w:r w:rsidRPr="001A2B54">
        <w:rPr>
          <w:lang w:val="en-GB"/>
        </w:rPr>
        <w:lastRenderedPageBreak/>
        <w:t>References</w:t>
      </w:r>
    </w:p>
    <w:p w14:paraId="1C31F357" w14:textId="77777777" w:rsidR="00914D2B" w:rsidRDefault="00914D2B" w:rsidP="00DF5931">
      <w:pPr>
        <w:pStyle w:val="johnEndNote"/>
        <w:spacing w:before="96" w:after="96"/>
      </w:pPr>
      <w:bookmarkStart w:id="4" w:name="_Hlk194480005"/>
      <w:r w:rsidRPr="00BA7C4F">
        <w:rPr>
          <w:lang w:val="en-GB"/>
        </w:rPr>
        <w:t xml:space="preserve">Abbasi, K., Alam, A., Du, M. A., &amp; Huynh, T. L. D. (2021). </w:t>
      </w:r>
      <w:r w:rsidRPr="00333586">
        <w:t>FinTech, SME efficiency and national culture: evidence from OECD countries.</w:t>
      </w:r>
      <w:r>
        <w:t xml:space="preserve"> </w:t>
      </w:r>
      <w:r w:rsidRPr="00333586">
        <w:rPr>
          <w:i/>
          <w:iCs/>
        </w:rPr>
        <w:t>Technological Forecasting and Social Change</w:t>
      </w:r>
      <w:r w:rsidRPr="00333586">
        <w:t>,</w:t>
      </w:r>
      <w:r>
        <w:t xml:space="preserve"> </w:t>
      </w:r>
      <w:r w:rsidRPr="00333586">
        <w:rPr>
          <w:i/>
          <w:iCs/>
        </w:rPr>
        <w:t>163</w:t>
      </w:r>
      <w:r w:rsidRPr="00333586">
        <w:t>, 120454.</w:t>
      </w:r>
    </w:p>
    <w:p w14:paraId="4351079A" w14:textId="77777777" w:rsidR="00914D2B" w:rsidRDefault="00914D2B" w:rsidP="00DF5931">
      <w:pPr>
        <w:pStyle w:val="johnEndNote"/>
        <w:spacing w:before="96" w:after="96"/>
      </w:pPr>
      <w:bookmarkStart w:id="5" w:name="_Hlk194480258"/>
      <w:r w:rsidRPr="00431DB6">
        <w:t>Abdolmohammadi, M. J. (2005). Intellectual capital disclosure and market capitalization.</w:t>
      </w:r>
      <w:r>
        <w:t xml:space="preserve"> </w:t>
      </w:r>
      <w:r w:rsidRPr="00431DB6">
        <w:rPr>
          <w:i/>
          <w:iCs/>
        </w:rPr>
        <w:t xml:space="preserve">Journal of </w:t>
      </w:r>
      <w:r>
        <w:rPr>
          <w:i/>
          <w:iCs/>
        </w:rPr>
        <w:t>I</w:t>
      </w:r>
      <w:r w:rsidRPr="00431DB6">
        <w:rPr>
          <w:i/>
          <w:iCs/>
        </w:rPr>
        <w:t xml:space="preserve">ntellectual </w:t>
      </w:r>
      <w:r>
        <w:rPr>
          <w:i/>
          <w:iCs/>
        </w:rPr>
        <w:t>C</w:t>
      </w:r>
      <w:r w:rsidRPr="00431DB6">
        <w:rPr>
          <w:i/>
          <w:iCs/>
        </w:rPr>
        <w:t>apital</w:t>
      </w:r>
      <w:r w:rsidRPr="00431DB6">
        <w:t>,</w:t>
      </w:r>
      <w:r>
        <w:t xml:space="preserve"> </w:t>
      </w:r>
      <w:r w:rsidRPr="00431DB6">
        <w:rPr>
          <w:i/>
          <w:iCs/>
        </w:rPr>
        <w:t>6</w:t>
      </w:r>
      <w:r w:rsidRPr="00431DB6">
        <w:t>(3), 397-416.</w:t>
      </w:r>
    </w:p>
    <w:p w14:paraId="437F424C" w14:textId="7F17FC00" w:rsidR="007B3628" w:rsidRDefault="007B3628" w:rsidP="00DF5931">
      <w:pPr>
        <w:pStyle w:val="johnEndNote"/>
        <w:spacing w:before="96" w:after="96"/>
      </w:pPr>
      <w:r w:rsidRPr="007B3628">
        <w:t>Alaassar, A., Mention, A. L., &amp; Aas, T. H. (2021). Exploring a new incubation model for FinTechs: Regulatory sandboxes. </w:t>
      </w:r>
      <w:r w:rsidRPr="007B3628">
        <w:rPr>
          <w:i/>
          <w:iCs/>
        </w:rPr>
        <w:t>Technovation</w:t>
      </w:r>
      <w:r w:rsidRPr="007B3628">
        <w:t>, </w:t>
      </w:r>
      <w:r w:rsidRPr="007B3628">
        <w:rPr>
          <w:i/>
          <w:iCs/>
        </w:rPr>
        <w:t>103</w:t>
      </w:r>
      <w:r w:rsidRPr="007B3628">
        <w:t>, 102237.</w:t>
      </w:r>
    </w:p>
    <w:p w14:paraId="169D853A" w14:textId="77777777" w:rsidR="00914D2B" w:rsidRDefault="00914D2B" w:rsidP="00DF5931">
      <w:pPr>
        <w:pStyle w:val="johnEndNote"/>
        <w:spacing w:before="96" w:after="96"/>
      </w:pPr>
      <w:r w:rsidRPr="00CD5C96">
        <w:t>Albitar, K., Nasrallah, N., Hussainey, K., &amp; Wang, Y. (2024). Eco-innovation and corporate waste management: The moderating role of ESG performance.</w:t>
      </w:r>
      <w:r>
        <w:t xml:space="preserve"> </w:t>
      </w:r>
      <w:r w:rsidRPr="00CD5C96">
        <w:rPr>
          <w:i/>
          <w:iCs/>
        </w:rPr>
        <w:t>Review of Quantitative Finance and Accounting</w:t>
      </w:r>
      <w:r w:rsidRPr="00CD5C96">
        <w:t>, 1-25.</w:t>
      </w:r>
    </w:p>
    <w:bookmarkEnd w:id="5"/>
    <w:p w14:paraId="340CB339" w14:textId="77777777" w:rsidR="00914D2B" w:rsidRDefault="00914D2B" w:rsidP="00DF5931">
      <w:pPr>
        <w:pStyle w:val="johnEndNote"/>
        <w:spacing w:before="96" w:after="96"/>
      </w:pPr>
      <w:r w:rsidRPr="00BA7C4F">
        <w:rPr>
          <w:lang w:val="en-GB"/>
        </w:rPr>
        <w:t xml:space="preserve">Ammann, M., Oesch, D., &amp; Schmid, M. M. (2011). </w:t>
      </w:r>
      <w:r w:rsidRPr="00CD17C1">
        <w:t>Corporate governance and firm value: International evidence.</w:t>
      </w:r>
      <w:r>
        <w:t xml:space="preserve"> </w:t>
      </w:r>
      <w:r w:rsidRPr="00CD17C1">
        <w:rPr>
          <w:i/>
          <w:iCs/>
        </w:rPr>
        <w:t>Journal of Empirical Finance</w:t>
      </w:r>
      <w:r w:rsidRPr="00CD17C1">
        <w:t>,</w:t>
      </w:r>
      <w:r>
        <w:t xml:space="preserve"> </w:t>
      </w:r>
      <w:r w:rsidRPr="00CD17C1">
        <w:rPr>
          <w:i/>
          <w:iCs/>
        </w:rPr>
        <w:t>18</w:t>
      </w:r>
      <w:r w:rsidRPr="00CD17C1">
        <w:t>(1), 36-55.</w:t>
      </w:r>
    </w:p>
    <w:p w14:paraId="6644718A" w14:textId="77777777" w:rsidR="00914D2B" w:rsidRDefault="00914D2B" w:rsidP="00DF5931">
      <w:pPr>
        <w:pStyle w:val="johnEndNote"/>
        <w:spacing w:before="96" w:after="96"/>
      </w:pPr>
      <w:r w:rsidRPr="00C03271">
        <w:t>Azmeh, C. (2025). Bridging divides: the role of Fintech and financial inclusion in reducing poverty and inequality in developing countries. </w:t>
      </w:r>
      <w:r w:rsidRPr="00C03271">
        <w:rPr>
          <w:i/>
          <w:iCs/>
        </w:rPr>
        <w:t>Innovation and Development</w:t>
      </w:r>
      <w:r w:rsidRPr="00C03271">
        <w:t>, 1-20.</w:t>
      </w:r>
    </w:p>
    <w:p w14:paraId="6AC4A12F" w14:textId="77777777" w:rsidR="00914D2B" w:rsidRDefault="00914D2B" w:rsidP="00DF5931">
      <w:pPr>
        <w:pStyle w:val="johnEndNote"/>
        <w:spacing w:before="96" w:after="96"/>
      </w:pPr>
      <w:r w:rsidRPr="00597708">
        <w:t>Bai, J., Philippon, T., &amp; Savov, A. (2016). Have financial markets become more informative?</w:t>
      </w:r>
      <w:r>
        <w:t xml:space="preserve"> </w:t>
      </w:r>
      <w:r w:rsidRPr="00597708">
        <w:rPr>
          <w:i/>
          <w:iCs/>
        </w:rPr>
        <w:t>Journal of Financial Economics</w:t>
      </w:r>
      <w:r w:rsidRPr="00597708">
        <w:t>,</w:t>
      </w:r>
      <w:r>
        <w:t xml:space="preserve"> </w:t>
      </w:r>
      <w:r w:rsidRPr="00597708">
        <w:rPr>
          <w:i/>
          <w:iCs/>
        </w:rPr>
        <w:t>122</w:t>
      </w:r>
      <w:r w:rsidRPr="00597708">
        <w:t>(3), 625-654.</w:t>
      </w:r>
    </w:p>
    <w:p w14:paraId="1468710D" w14:textId="77777777" w:rsidR="00914D2B" w:rsidRDefault="00914D2B" w:rsidP="00DF5931">
      <w:pPr>
        <w:pStyle w:val="johnEndNote"/>
        <w:spacing w:before="96" w:after="96"/>
      </w:pPr>
      <w:bookmarkStart w:id="6" w:name="_Hlk194435528"/>
      <w:r w:rsidRPr="00BA7C4F">
        <w:rPr>
          <w:lang w:val="en-GB"/>
        </w:rPr>
        <w:t xml:space="preserve">Balachandran, B., &amp; Nguyen, J. H. (2018). </w:t>
      </w:r>
      <w:r w:rsidRPr="00C03271">
        <w:t xml:space="preserve">Does carbon risk matter in firm dividend policy? Evidence from a quasi-natural experiment in an imputation environment. </w:t>
      </w:r>
      <w:r w:rsidRPr="00C03271">
        <w:rPr>
          <w:i/>
          <w:iCs/>
        </w:rPr>
        <w:t>Journal of Banking &amp; Finance, 96</w:t>
      </w:r>
      <w:r w:rsidRPr="00C03271">
        <w:t>, 249-267.</w:t>
      </w:r>
    </w:p>
    <w:bookmarkEnd w:id="4"/>
    <w:bookmarkEnd w:id="6"/>
    <w:p w14:paraId="05C5C5A2" w14:textId="77777777" w:rsidR="00914D2B" w:rsidRDefault="00914D2B" w:rsidP="00DF5931">
      <w:pPr>
        <w:pStyle w:val="johnEndNote"/>
        <w:spacing w:before="96" w:after="96"/>
        <w:rPr>
          <w:rFonts w:ascii="Arial" w:hAnsi="Arial" w:cs="Arial"/>
          <w:color w:val="222222"/>
          <w:sz w:val="20"/>
          <w:szCs w:val="20"/>
          <w:shd w:val="clear" w:color="auto" w:fill="FFFFFF"/>
        </w:rPr>
      </w:pPr>
      <w:r w:rsidRPr="00BA7C4F">
        <w:rPr>
          <w:lang w:val="en-GB"/>
        </w:rPr>
        <w:t xml:space="preserve">Bekkering, E., Johnston, A. C., Warkentin, M., &amp; Schmidt, M. B. (2009). </w:t>
      </w:r>
      <w:r w:rsidRPr="00DE4830">
        <w:t>An empirical assessment of technology adoption as a choice between alternatives.</w:t>
      </w:r>
      <w:r>
        <w:t xml:space="preserve"> </w:t>
      </w:r>
      <w:r w:rsidRPr="00DE4830">
        <w:rPr>
          <w:i/>
          <w:iCs/>
        </w:rPr>
        <w:t>Information Resources Management Journal</w:t>
      </w:r>
      <w:r w:rsidRPr="00DE4830">
        <w:t>,</w:t>
      </w:r>
      <w:r>
        <w:t xml:space="preserve"> </w:t>
      </w:r>
      <w:r w:rsidRPr="00DE4830">
        <w:rPr>
          <w:i/>
          <w:iCs/>
        </w:rPr>
        <w:t>22</w:t>
      </w:r>
      <w:r w:rsidRPr="00DE4830">
        <w:t>(4), 23-44.</w:t>
      </w:r>
      <w:r w:rsidRPr="000A4536">
        <w:rPr>
          <w:rFonts w:ascii="Arial" w:hAnsi="Arial" w:cs="Arial"/>
          <w:color w:val="222222"/>
          <w:sz w:val="20"/>
          <w:szCs w:val="20"/>
          <w:shd w:val="clear" w:color="auto" w:fill="FFFFFF"/>
        </w:rPr>
        <w:t xml:space="preserve"> </w:t>
      </w:r>
    </w:p>
    <w:p w14:paraId="0F3B9D63" w14:textId="77777777" w:rsidR="00914D2B" w:rsidRDefault="00914D2B" w:rsidP="00DF5931">
      <w:pPr>
        <w:pStyle w:val="johnEndNote"/>
        <w:spacing w:before="96" w:after="96"/>
      </w:pPr>
      <w:r w:rsidRPr="00BA7C4F">
        <w:rPr>
          <w:lang w:val="en-GB"/>
        </w:rPr>
        <w:t xml:space="preserve">Benincasa, E., Betz, F., &amp; Gattini, L. (2024). </w:t>
      </w:r>
      <w:r w:rsidRPr="009E7792">
        <w:t>How do firms cope with losses from extreme weather events?</w:t>
      </w:r>
      <w:r>
        <w:t xml:space="preserve"> </w:t>
      </w:r>
      <w:r w:rsidRPr="009E7792">
        <w:rPr>
          <w:i/>
          <w:iCs/>
        </w:rPr>
        <w:t>Journal of Corporate Finance</w:t>
      </w:r>
      <w:r w:rsidRPr="009E7792">
        <w:t>,</w:t>
      </w:r>
      <w:r>
        <w:t xml:space="preserve"> </w:t>
      </w:r>
      <w:r w:rsidRPr="009E7792">
        <w:rPr>
          <w:i/>
          <w:iCs/>
        </w:rPr>
        <w:t>84</w:t>
      </w:r>
      <w:r w:rsidRPr="009E7792">
        <w:t>, 102508.</w:t>
      </w:r>
    </w:p>
    <w:p w14:paraId="7D11A804" w14:textId="77777777" w:rsidR="00914D2B" w:rsidRDefault="00914D2B" w:rsidP="00DF5931">
      <w:pPr>
        <w:pStyle w:val="johnEndNote"/>
        <w:spacing w:before="96" w:after="96"/>
      </w:pPr>
      <w:r w:rsidRPr="00BA7C4F">
        <w:rPr>
          <w:lang w:val="en-GB"/>
        </w:rPr>
        <w:t xml:space="preserve">Bevan, A. A., &amp; Danbolt, J. O. (2004). </w:t>
      </w:r>
      <w:r w:rsidRPr="009C0FF2">
        <w:t>Testing for inconsistencies in the estimation of UK capital structure determinants.</w:t>
      </w:r>
      <w:r>
        <w:t xml:space="preserve"> </w:t>
      </w:r>
      <w:r w:rsidRPr="009C0FF2">
        <w:rPr>
          <w:i/>
          <w:iCs/>
        </w:rPr>
        <w:t xml:space="preserve">Applied </w:t>
      </w:r>
      <w:r>
        <w:rPr>
          <w:i/>
          <w:iCs/>
        </w:rPr>
        <w:t>Fi</w:t>
      </w:r>
      <w:r w:rsidRPr="009C0FF2">
        <w:rPr>
          <w:i/>
          <w:iCs/>
        </w:rPr>
        <w:t xml:space="preserve">nancial </w:t>
      </w:r>
      <w:r>
        <w:rPr>
          <w:i/>
          <w:iCs/>
        </w:rPr>
        <w:t>E</w:t>
      </w:r>
      <w:r w:rsidRPr="009C0FF2">
        <w:rPr>
          <w:i/>
          <w:iCs/>
        </w:rPr>
        <w:t>conomics</w:t>
      </w:r>
      <w:r w:rsidRPr="009C0FF2">
        <w:t>,</w:t>
      </w:r>
      <w:r>
        <w:t xml:space="preserve"> </w:t>
      </w:r>
      <w:r w:rsidRPr="009C0FF2">
        <w:rPr>
          <w:i/>
          <w:iCs/>
        </w:rPr>
        <w:t>14</w:t>
      </w:r>
      <w:r w:rsidRPr="009C0FF2">
        <w:t>(1), 55-66.</w:t>
      </w:r>
    </w:p>
    <w:p w14:paraId="2967A57A" w14:textId="77777777" w:rsidR="00914D2B" w:rsidRDefault="00914D2B" w:rsidP="00DF5931">
      <w:pPr>
        <w:pStyle w:val="johnEndNote"/>
        <w:spacing w:before="96" w:after="96"/>
      </w:pPr>
      <w:r w:rsidRPr="00322B8B">
        <w:t>Broberg, M. (2020). Parametric loss and damage insurance schemes as a means to enhance climate change resilience in developing countries.</w:t>
      </w:r>
      <w:r>
        <w:t xml:space="preserve"> </w:t>
      </w:r>
      <w:r w:rsidRPr="00322B8B">
        <w:rPr>
          <w:i/>
          <w:iCs/>
        </w:rPr>
        <w:t>Climate Policy</w:t>
      </w:r>
      <w:r w:rsidRPr="00322B8B">
        <w:t>,</w:t>
      </w:r>
      <w:r>
        <w:t xml:space="preserve"> </w:t>
      </w:r>
      <w:r w:rsidRPr="00322B8B">
        <w:rPr>
          <w:i/>
          <w:iCs/>
        </w:rPr>
        <w:t>20</w:t>
      </w:r>
      <w:r w:rsidRPr="00322B8B">
        <w:t>(6), 693-703.</w:t>
      </w:r>
    </w:p>
    <w:p w14:paraId="08441543" w14:textId="77777777" w:rsidR="00914D2B" w:rsidRDefault="00914D2B" w:rsidP="00DF5931">
      <w:pPr>
        <w:pStyle w:val="johnEndNote"/>
        <w:spacing w:before="96" w:after="96"/>
      </w:pPr>
      <w:r w:rsidRPr="00BA7C4F">
        <w:rPr>
          <w:lang w:val="en-GB"/>
        </w:rPr>
        <w:t xml:space="preserve">Chen, S., Liu, S., Zhang, J., &amp; Zhang, P. (2023). </w:t>
      </w:r>
      <w:r w:rsidRPr="009E7792">
        <w:t>The effect of extreme rainfall on corporate financing policies.</w:t>
      </w:r>
      <w:r>
        <w:t xml:space="preserve"> </w:t>
      </w:r>
      <w:r w:rsidRPr="009E7792">
        <w:rPr>
          <w:i/>
          <w:iCs/>
        </w:rPr>
        <w:t>Journal of Economic Behavior &amp; Organization</w:t>
      </w:r>
      <w:r w:rsidRPr="009E7792">
        <w:t>,</w:t>
      </w:r>
      <w:r>
        <w:t xml:space="preserve"> </w:t>
      </w:r>
      <w:r w:rsidRPr="009E7792">
        <w:rPr>
          <w:i/>
          <w:iCs/>
        </w:rPr>
        <w:t>216</w:t>
      </w:r>
      <w:r w:rsidRPr="009E7792">
        <w:t>, 670-685.</w:t>
      </w:r>
    </w:p>
    <w:p w14:paraId="36F059F2" w14:textId="77777777" w:rsidR="00914D2B" w:rsidRDefault="00914D2B" w:rsidP="00DF5931">
      <w:pPr>
        <w:pStyle w:val="johnEndNote"/>
        <w:spacing w:before="96" w:after="96"/>
      </w:pPr>
      <w:r w:rsidRPr="00CD17C1">
        <w:t>Danbolt, J., Hirst, I. R., &amp; Jones, E. (2011). The growth companies puzzle: can growth opportunities measures predict firm growth?</w:t>
      </w:r>
      <w:r>
        <w:t xml:space="preserve"> </w:t>
      </w:r>
      <w:r w:rsidRPr="00CD17C1">
        <w:rPr>
          <w:i/>
          <w:iCs/>
        </w:rPr>
        <w:t>European Journal of Finance</w:t>
      </w:r>
      <w:r w:rsidRPr="00CD17C1">
        <w:t>,</w:t>
      </w:r>
      <w:r>
        <w:t xml:space="preserve"> </w:t>
      </w:r>
      <w:r w:rsidRPr="00CD17C1">
        <w:rPr>
          <w:i/>
          <w:iCs/>
        </w:rPr>
        <w:t>17</w:t>
      </w:r>
      <w:r w:rsidRPr="00CD17C1">
        <w:t>(1), 1-25.</w:t>
      </w:r>
    </w:p>
    <w:p w14:paraId="3DB77201" w14:textId="77777777" w:rsidR="00914D2B" w:rsidRDefault="00914D2B" w:rsidP="00DF5931">
      <w:pPr>
        <w:pStyle w:val="johnEndNote"/>
        <w:spacing w:before="96" w:after="96"/>
      </w:pPr>
      <w:r w:rsidRPr="009C0FF2">
        <w:t>Dong, F., &amp; Li, Y. (2022). How does industrial convergence affect regional high-quality development? Evidence from China.</w:t>
      </w:r>
      <w:r>
        <w:t xml:space="preserve"> </w:t>
      </w:r>
      <w:r w:rsidRPr="009C0FF2">
        <w:rPr>
          <w:i/>
          <w:iCs/>
        </w:rPr>
        <w:t>Journal of the Asia Pacific Economy</w:t>
      </w:r>
      <w:r w:rsidRPr="009C0FF2">
        <w:t>, 1-34.</w:t>
      </w:r>
    </w:p>
    <w:p w14:paraId="419D6914" w14:textId="77777777" w:rsidR="00914D2B" w:rsidRDefault="00914D2B" w:rsidP="0077677F">
      <w:pPr>
        <w:pStyle w:val="johnSub"/>
        <w:numPr>
          <w:ilvl w:val="0"/>
          <w:numId w:val="0"/>
        </w:numPr>
        <w:ind w:left="540" w:hanging="540"/>
        <w:jc w:val="both"/>
        <w:rPr>
          <w:b w:val="0"/>
          <w:bCs/>
          <w:lang w:val="en-GB"/>
        </w:rPr>
      </w:pPr>
      <w:r w:rsidRPr="00BA7C4F">
        <w:rPr>
          <w:b w:val="0"/>
          <w:bCs/>
          <w:lang w:val="en-GB"/>
        </w:rPr>
        <w:t xml:space="preserve">Fu, T., Li, Z., Qiu, Z., &amp; Tong, X. (2024). </w:t>
      </w:r>
      <w:r w:rsidRPr="0077677F">
        <w:rPr>
          <w:b w:val="0"/>
          <w:bCs/>
          <w:lang w:val="en-GB"/>
        </w:rPr>
        <w:t xml:space="preserve">The policy gap between finance and economy: Evidence from China's green finance policy. </w:t>
      </w:r>
      <w:r w:rsidRPr="0077677F">
        <w:rPr>
          <w:b w:val="0"/>
          <w:bCs/>
          <w:i/>
          <w:iCs/>
          <w:lang w:val="en-GB"/>
        </w:rPr>
        <w:t>Energy Economics</w:t>
      </w:r>
      <w:r w:rsidRPr="0077677F">
        <w:rPr>
          <w:b w:val="0"/>
          <w:bCs/>
          <w:lang w:val="en-GB"/>
        </w:rPr>
        <w:t>, 134, 107550.</w:t>
      </w:r>
    </w:p>
    <w:p w14:paraId="4ED50080" w14:textId="77777777" w:rsidR="00914D2B" w:rsidRDefault="00914D2B" w:rsidP="00DF5931">
      <w:pPr>
        <w:pStyle w:val="johnEndNote"/>
        <w:spacing w:before="96" w:after="96"/>
      </w:pPr>
      <w:bookmarkStart w:id="7" w:name="_Hlk194435557"/>
      <w:r w:rsidRPr="00C03271">
        <w:t>Gregory, R. P. (2022). The effect of atmospheric greenhouse gases on firm value and firm size distribution. </w:t>
      </w:r>
      <w:r w:rsidRPr="00C03271">
        <w:rPr>
          <w:i/>
          <w:iCs/>
        </w:rPr>
        <w:t>Journal of Cleaner Production</w:t>
      </w:r>
      <w:r w:rsidRPr="00C03271">
        <w:t>, </w:t>
      </w:r>
      <w:r w:rsidRPr="00C03271">
        <w:rPr>
          <w:i/>
          <w:iCs/>
        </w:rPr>
        <w:t>358</w:t>
      </w:r>
      <w:r w:rsidRPr="00C03271">
        <w:t>, 131751.</w:t>
      </w:r>
    </w:p>
    <w:bookmarkEnd w:id="7"/>
    <w:p w14:paraId="5C811F57" w14:textId="77777777" w:rsidR="00914D2B" w:rsidRDefault="00914D2B" w:rsidP="00DF5931">
      <w:pPr>
        <w:pStyle w:val="johnEndNote"/>
        <w:spacing w:before="96" w:after="96"/>
      </w:pPr>
      <w:r w:rsidRPr="00BA7C4F">
        <w:rPr>
          <w:lang w:val="en-GB"/>
        </w:rPr>
        <w:t xml:space="preserve">Gull, A. A., Nekhili, M., Nagati, H., &amp; Chtioui, T. (2018). </w:t>
      </w:r>
      <w:r w:rsidRPr="00CD17C1">
        <w:t>Beyond gender diversity: How specific attributes of female directors affect earnings management.</w:t>
      </w:r>
      <w:r>
        <w:t xml:space="preserve"> </w:t>
      </w:r>
      <w:r w:rsidRPr="00CD17C1">
        <w:rPr>
          <w:i/>
          <w:iCs/>
        </w:rPr>
        <w:t>British Accounting Review</w:t>
      </w:r>
      <w:r w:rsidRPr="00CD17C1">
        <w:t>,</w:t>
      </w:r>
      <w:r>
        <w:t xml:space="preserve"> </w:t>
      </w:r>
      <w:r w:rsidRPr="00CD17C1">
        <w:rPr>
          <w:i/>
          <w:iCs/>
        </w:rPr>
        <w:t>50</w:t>
      </w:r>
      <w:r w:rsidRPr="00CD17C1">
        <w:t>(3), 255-274.</w:t>
      </w:r>
    </w:p>
    <w:p w14:paraId="609C3B93" w14:textId="77777777" w:rsidR="00914D2B" w:rsidRDefault="00914D2B" w:rsidP="00DF5931">
      <w:pPr>
        <w:pStyle w:val="johnEndNote"/>
        <w:spacing w:before="96" w:after="96"/>
      </w:pPr>
      <w:r w:rsidRPr="00BA7C4F">
        <w:rPr>
          <w:lang w:val="en-GB"/>
        </w:rPr>
        <w:t xml:space="preserve">Guo, K., Ji, Q., &amp; Zhang, D. (2024). </w:t>
      </w:r>
      <w:r w:rsidRPr="009E7792">
        <w:t>A dataset to measure global climate physical risk.</w:t>
      </w:r>
      <w:r>
        <w:t xml:space="preserve"> </w:t>
      </w:r>
      <w:r w:rsidRPr="009E7792">
        <w:rPr>
          <w:i/>
          <w:iCs/>
        </w:rPr>
        <w:t>Data in Brief</w:t>
      </w:r>
      <w:r w:rsidRPr="009E7792">
        <w:t>,</w:t>
      </w:r>
      <w:r>
        <w:t xml:space="preserve"> </w:t>
      </w:r>
      <w:r w:rsidRPr="009E7792">
        <w:rPr>
          <w:i/>
          <w:iCs/>
        </w:rPr>
        <w:t>54</w:t>
      </w:r>
      <w:r w:rsidRPr="009E7792">
        <w:t>, 110502.</w:t>
      </w:r>
    </w:p>
    <w:p w14:paraId="64A6509D" w14:textId="77777777" w:rsidR="00914D2B" w:rsidRDefault="00914D2B" w:rsidP="00DF5931">
      <w:pPr>
        <w:pStyle w:val="johnEndNote"/>
        <w:spacing w:before="96" w:after="96"/>
      </w:pPr>
      <w:r>
        <w:lastRenderedPageBreak/>
        <w:t xml:space="preserve">Hart, V. (2022). </w:t>
      </w:r>
      <w:r w:rsidRPr="00DE4830">
        <w:rPr>
          <w:i/>
          <w:iCs/>
        </w:rPr>
        <w:t>How insurance is adapting to support climate resilience</w:t>
      </w:r>
      <w:r>
        <w:t xml:space="preserve">. Retrieved from </w:t>
      </w:r>
      <w:r w:rsidRPr="00DE4830">
        <w:t>https://www.bobsguide.com/how-insurance-is-adapting-to-support-climate-resilience/</w:t>
      </w:r>
    </w:p>
    <w:p w14:paraId="5B6F8B8C" w14:textId="77777777" w:rsidR="00914D2B" w:rsidRDefault="00914D2B" w:rsidP="0077677F">
      <w:pPr>
        <w:pStyle w:val="johnSub"/>
        <w:numPr>
          <w:ilvl w:val="0"/>
          <w:numId w:val="0"/>
        </w:numPr>
        <w:ind w:left="540" w:hanging="540"/>
        <w:jc w:val="both"/>
        <w:rPr>
          <w:b w:val="0"/>
          <w:bCs/>
          <w:lang w:val="en-GB"/>
        </w:rPr>
      </w:pPr>
      <w:r w:rsidRPr="0077677F">
        <w:rPr>
          <w:b w:val="0"/>
          <w:bCs/>
          <w:lang w:val="en-GB"/>
        </w:rPr>
        <w:t xml:space="preserve">He, F., Duan, L., Cao, Y., &amp; Wen, S. (2024). Green credit policy and corporate climate risk exposure. </w:t>
      </w:r>
      <w:r w:rsidRPr="0077677F">
        <w:rPr>
          <w:b w:val="0"/>
          <w:bCs/>
          <w:i/>
          <w:iCs/>
          <w:lang w:val="en-GB"/>
        </w:rPr>
        <w:t>Energy Economics</w:t>
      </w:r>
      <w:r w:rsidRPr="0077677F">
        <w:rPr>
          <w:b w:val="0"/>
          <w:bCs/>
          <w:lang w:val="en-GB"/>
        </w:rPr>
        <w:t>, 133, 107509.</w:t>
      </w:r>
    </w:p>
    <w:p w14:paraId="61496501" w14:textId="77777777" w:rsidR="00914D2B" w:rsidRDefault="00914D2B" w:rsidP="00DF5931">
      <w:pPr>
        <w:pStyle w:val="johnEndNote"/>
        <w:spacing w:before="96" w:after="96"/>
      </w:pPr>
      <w:r w:rsidRPr="000332E4">
        <w:rPr>
          <w:lang w:val="en-GB"/>
        </w:rPr>
        <w:t xml:space="preserve">Huang, H. H., Kerstein, J., &amp; Wang, C. (2018). </w:t>
      </w:r>
      <w:r w:rsidRPr="009E7792">
        <w:t>The impact of climate risk on firm performance and financing choices: An international comparison.</w:t>
      </w:r>
      <w:r>
        <w:t xml:space="preserve"> </w:t>
      </w:r>
      <w:r w:rsidRPr="009E7792">
        <w:rPr>
          <w:i/>
          <w:iCs/>
        </w:rPr>
        <w:t>Journal of International Business Studies</w:t>
      </w:r>
      <w:r w:rsidRPr="009E7792">
        <w:t>,</w:t>
      </w:r>
      <w:r>
        <w:t xml:space="preserve"> </w:t>
      </w:r>
      <w:r w:rsidRPr="009E7792">
        <w:rPr>
          <w:i/>
          <w:iCs/>
        </w:rPr>
        <w:t>49</w:t>
      </w:r>
      <w:r w:rsidRPr="009E7792">
        <w:t>, 633-656.</w:t>
      </w:r>
    </w:p>
    <w:p w14:paraId="7FDCECBD" w14:textId="0B93E2FE" w:rsidR="00BA7C4F" w:rsidRDefault="00BA7C4F" w:rsidP="00DF5931">
      <w:pPr>
        <w:pStyle w:val="johnEndNote"/>
        <w:spacing w:before="96" w:after="96"/>
      </w:pPr>
      <w:r w:rsidRPr="000332E4">
        <w:rPr>
          <w:lang w:val="en-GB"/>
        </w:rPr>
        <w:t xml:space="preserve">Kong, D., Zhu, L., &amp; Yang, Z. (2020). </w:t>
      </w:r>
      <w:r w:rsidRPr="00BA7C4F">
        <w:t xml:space="preserve">Effects of foreign investors on energy firms' innovation: Evidence from a natural experiment in China. </w:t>
      </w:r>
      <w:r w:rsidRPr="00BA7C4F">
        <w:rPr>
          <w:i/>
          <w:iCs/>
        </w:rPr>
        <w:t>Energy Economics</w:t>
      </w:r>
      <w:r w:rsidRPr="00BA7C4F">
        <w:t>, 92, 105011.</w:t>
      </w:r>
    </w:p>
    <w:p w14:paraId="57B4CDD3" w14:textId="77777777" w:rsidR="00914D2B" w:rsidRDefault="00914D2B" w:rsidP="00DF5931">
      <w:pPr>
        <w:pStyle w:val="johnEndNote"/>
        <w:spacing w:before="96" w:after="96"/>
      </w:pPr>
      <w:r>
        <w:t xml:space="preserve">KPMG. (2019). </w:t>
      </w:r>
      <w:r w:rsidRPr="00322B8B">
        <w:rPr>
          <w:i/>
          <w:iCs/>
        </w:rPr>
        <w:t>InsurTech: Infrastructure for New Insurance</w:t>
      </w:r>
      <w:r>
        <w:t xml:space="preserve">. Retrieved from </w:t>
      </w:r>
      <w:r w:rsidRPr="00322B8B">
        <w:t>https://assets.kpmg.com/content/dam/kpmg/cn/pdf/en/2019/07/insurance-technology.pdf</w:t>
      </w:r>
    </w:p>
    <w:p w14:paraId="4E48F829" w14:textId="77777777" w:rsidR="00914D2B" w:rsidRDefault="00914D2B" w:rsidP="00DF5931">
      <w:pPr>
        <w:pStyle w:val="johnEndNote"/>
        <w:spacing w:before="96" w:after="96"/>
      </w:pPr>
      <w:r w:rsidRPr="001A2B54">
        <w:t xml:space="preserve">Laidroo, L., Koroleva, E., Kliber, A., Rupeika-Apoga, R., &amp; Grigaliuniene, Z. (2021). </w:t>
      </w:r>
      <w:r w:rsidRPr="009F2662">
        <w:t>Business models of FinTechs–Difference in similarity?</w:t>
      </w:r>
      <w:r>
        <w:t xml:space="preserve"> </w:t>
      </w:r>
      <w:r w:rsidRPr="009F2662">
        <w:rPr>
          <w:i/>
          <w:iCs/>
        </w:rPr>
        <w:t>Electronic Commerce Research and Applications</w:t>
      </w:r>
      <w:r w:rsidRPr="009F2662">
        <w:t>,</w:t>
      </w:r>
      <w:r>
        <w:t xml:space="preserve"> </w:t>
      </w:r>
      <w:r w:rsidRPr="009F2662">
        <w:rPr>
          <w:i/>
          <w:iCs/>
        </w:rPr>
        <w:t>46</w:t>
      </w:r>
      <w:r w:rsidRPr="009F2662">
        <w:t>, 101034.</w:t>
      </w:r>
    </w:p>
    <w:p w14:paraId="606514EF" w14:textId="77777777" w:rsidR="00914D2B" w:rsidRDefault="00914D2B" w:rsidP="00DF5931">
      <w:pPr>
        <w:pStyle w:val="johnEndNote"/>
        <w:spacing w:before="96" w:after="96"/>
      </w:pPr>
      <w:r w:rsidRPr="00333586">
        <w:t>Lee, I., &amp; Shin, Y. J. (2018). Fintech: Ecosystem, business models, investment decisions, and challenges.</w:t>
      </w:r>
      <w:r>
        <w:t xml:space="preserve"> </w:t>
      </w:r>
      <w:r w:rsidRPr="00333586">
        <w:rPr>
          <w:i/>
          <w:iCs/>
        </w:rPr>
        <w:t xml:space="preserve">Business </w:t>
      </w:r>
      <w:r>
        <w:rPr>
          <w:i/>
          <w:iCs/>
        </w:rPr>
        <w:t>H</w:t>
      </w:r>
      <w:r w:rsidRPr="00333586">
        <w:rPr>
          <w:i/>
          <w:iCs/>
        </w:rPr>
        <w:t>orizons</w:t>
      </w:r>
      <w:r w:rsidRPr="00333586">
        <w:t>,</w:t>
      </w:r>
      <w:r>
        <w:t xml:space="preserve"> </w:t>
      </w:r>
      <w:r w:rsidRPr="00333586">
        <w:rPr>
          <w:i/>
          <w:iCs/>
        </w:rPr>
        <w:t>61</w:t>
      </w:r>
      <w:r w:rsidRPr="00333586">
        <w:t>(1), 35-46.</w:t>
      </w:r>
    </w:p>
    <w:p w14:paraId="20E0FF13" w14:textId="77777777" w:rsidR="00914D2B" w:rsidRDefault="00914D2B" w:rsidP="00DF5931">
      <w:pPr>
        <w:pStyle w:val="johnEndNote"/>
        <w:spacing w:before="96" w:after="96"/>
      </w:pPr>
      <w:r w:rsidRPr="000332E4">
        <w:rPr>
          <w:lang w:val="en-GB"/>
        </w:rPr>
        <w:t xml:space="preserve">Lee, S., Liu, B., Jung, S., &amp; Kim, B. (2023). </w:t>
      </w:r>
      <w:r w:rsidRPr="002A445A">
        <w:t>The effect of vaccination during the COVID-19 for the restaurant industry.</w:t>
      </w:r>
      <w:r>
        <w:t xml:space="preserve"> </w:t>
      </w:r>
      <w:r w:rsidRPr="002A445A">
        <w:rPr>
          <w:i/>
          <w:iCs/>
        </w:rPr>
        <w:t xml:space="preserve">International </w:t>
      </w:r>
      <w:r>
        <w:rPr>
          <w:i/>
          <w:iCs/>
        </w:rPr>
        <w:t>J</w:t>
      </w:r>
      <w:r w:rsidRPr="002A445A">
        <w:rPr>
          <w:i/>
          <w:iCs/>
        </w:rPr>
        <w:t xml:space="preserve">ournal of </w:t>
      </w:r>
      <w:r>
        <w:rPr>
          <w:i/>
          <w:iCs/>
        </w:rPr>
        <w:t>H</w:t>
      </w:r>
      <w:r w:rsidRPr="002A445A">
        <w:rPr>
          <w:i/>
          <w:iCs/>
        </w:rPr>
        <w:t xml:space="preserve">ospitality </w:t>
      </w:r>
      <w:r>
        <w:rPr>
          <w:i/>
          <w:iCs/>
        </w:rPr>
        <w:t>M</w:t>
      </w:r>
      <w:r w:rsidRPr="002A445A">
        <w:rPr>
          <w:i/>
          <w:iCs/>
        </w:rPr>
        <w:t>anagement</w:t>
      </w:r>
      <w:r w:rsidRPr="002A445A">
        <w:t>,</w:t>
      </w:r>
      <w:r>
        <w:t xml:space="preserve"> </w:t>
      </w:r>
      <w:r w:rsidRPr="002A445A">
        <w:rPr>
          <w:i/>
          <w:iCs/>
        </w:rPr>
        <w:t>110</w:t>
      </w:r>
      <w:r w:rsidRPr="002A445A">
        <w:t>, 103451.</w:t>
      </w:r>
    </w:p>
    <w:p w14:paraId="72A6451B" w14:textId="77777777" w:rsidR="00914D2B" w:rsidRPr="0077677F" w:rsidRDefault="00914D2B" w:rsidP="0077677F">
      <w:pPr>
        <w:pStyle w:val="johnSub"/>
        <w:numPr>
          <w:ilvl w:val="0"/>
          <w:numId w:val="0"/>
        </w:numPr>
        <w:ind w:left="540" w:hanging="540"/>
        <w:jc w:val="both"/>
        <w:rPr>
          <w:b w:val="0"/>
          <w:bCs/>
          <w:lang w:val="en-GB"/>
        </w:rPr>
      </w:pPr>
      <w:r w:rsidRPr="0077677F">
        <w:rPr>
          <w:b w:val="0"/>
          <w:bCs/>
          <w:lang w:val="en-GB"/>
        </w:rPr>
        <w:t xml:space="preserve">Li, S., &amp; Fu, T. (2022). Abatement technology innovation, worker productivity and firm profitability: A dynamic analysis. </w:t>
      </w:r>
      <w:r w:rsidRPr="0077677F">
        <w:rPr>
          <w:b w:val="0"/>
          <w:bCs/>
          <w:i/>
          <w:iCs/>
          <w:lang w:val="en-GB"/>
        </w:rPr>
        <w:t>Energy Economics</w:t>
      </w:r>
      <w:r w:rsidRPr="0077677F">
        <w:rPr>
          <w:b w:val="0"/>
          <w:bCs/>
          <w:lang w:val="en-GB"/>
        </w:rPr>
        <w:t>, 115, 106369.</w:t>
      </w:r>
    </w:p>
    <w:p w14:paraId="6FB60867" w14:textId="77777777" w:rsidR="00914D2B" w:rsidRDefault="00914D2B" w:rsidP="00DF5931">
      <w:pPr>
        <w:pStyle w:val="johnEndNote"/>
        <w:spacing w:before="96" w:after="96"/>
      </w:pPr>
      <w:bookmarkStart w:id="8" w:name="_Hlk194435593"/>
      <w:r w:rsidRPr="000332E4">
        <w:rPr>
          <w:lang w:val="en-GB"/>
        </w:rPr>
        <w:t xml:space="preserve">Li, X., Luo, L., &amp; Tang, Q. (2024). </w:t>
      </w:r>
      <w:r w:rsidRPr="00C03271">
        <w:t>Climate risk and opportunity exposure and firm value: An international investigation. </w:t>
      </w:r>
      <w:r w:rsidRPr="00C03271">
        <w:rPr>
          <w:i/>
          <w:iCs/>
        </w:rPr>
        <w:t>Business Strategy and the Environment</w:t>
      </w:r>
      <w:r w:rsidRPr="00C03271">
        <w:t>, </w:t>
      </w:r>
      <w:r w:rsidRPr="00C03271">
        <w:rPr>
          <w:i/>
          <w:iCs/>
        </w:rPr>
        <w:t>33</w:t>
      </w:r>
      <w:r w:rsidRPr="00C03271">
        <w:t>(6), 5540-5562.</w:t>
      </w:r>
    </w:p>
    <w:bookmarkEnd w:id="8"/>
    <w:p w14:paraId="356D5154" w14:textId="77777777" w:rsidR="00914D2B" w:rsidRDefault="00914D2B" w:rsidP="00DF5931">
      <w:pPr>
        <w:pStyle w:val="johnEndNote"/>
        <w:spacing w:before="96" w:after="96"/>
      </w:pPr>
      <w:r w:rsidRPr="00CD17C1">
        <w:t>Likitwongkajon, N., &amp; Vithessonthi, C. (2020). Do foreign investments increase firm value and firm performance? Evidence from Japan.</w:t>
      </w:r>
      <w:r>
        <w:t xml:space="preserve"> </w:t>
      </w:r>
      <w:r w:rsidRPr="00CD17C1">
        <w:rPr>
          <w:i/>
          <w:iCs/>
        </w:rPr>
        <w:t>Research in International Business and Finance</w:t>
      </w:r>
      <w:r w:rsidRPr="00CD17C1">
        <w:t>,</w:t>
      </w:r>
      <w:r>
        <w:t xml:space="preserve"> </w:t>
      </w:r>
      <w:r w:rsidRPr="00CD17C1">
        <w:rPr>
          <w:i/>
          <w:iCs/>
        </w:rPr>
        <w:t>51</w:t>
      </w:r>
      <w:r w:rsidRPr="00CD17C1">
        <w:t>, 101099.</w:t>
      </w:r>
    </w:p>
    <w:p w14:paraId="3DD5CB5F" w14:textId="77777777" w:rsidR="00914D2B" w:rsidRDefault="00914D2B" w:rsidP="00DF5931">
      <w:pPr>
        <w:pStyle w:val="johnEndNote"/>
        <w:spacing w:before="96" w:after="96"/>
      </w:pPr>
      <w:r w:rsidRPr="00BA7C4F">
        <w:rPr>
          <w:lang w:val="en-GB"/>
        </w:rPr>
        <w:t xml:space="preserve">Lin, X., &amp; Kwon, W. J. (2020). </w:t>
      </w:r>
      <w:r w:rsidRPr="00322B8B">
        <w:t>Application of parametric insurance in principle‐compliant and innovative ways.</w:t>
      </w:r>
      <w:r>
        <w:t xml:space="preserve"> </w:t>
      </w:r>
      <w:r w:rsidRPr="00322B8B">
        <w:rPr>
          <w:i/>
          <w:iCs/>
        </w:rPr>
        <w:t>Risk Management and Insurance Review</w:t>
      </w:r>
      <w:r w:rsidRPr="00322B8B">
        <w:t>,</w:t>
      </w:r>
      <w:r>
        <w:t xml:space="preserve"> </w:t>
      </w:r>
      <w:r w:rsidRPr="00322B8B">
        <w:rPr>
          <w:i/>
          <w:iCs/>
        </w:rPr>
        <w:t>23</w:t>
      </w:r>
      <w:r w:rsidRPr="00322B8B">
        <w:t>(2), 121-150.</w:t>
      </w:r>
    </w:p>
    <w:p w14:paraId="4DE7DCC5" w14:textId="77777777" w:rsidR="00914D2B" w:rsidRDefault="00914D2B" w:rsidP="00DF5931">
      <w:pPr>
        <w:pStyle w:val="johnEndNote"/>
        <w:spacing w:before="96" w:after="96"/>
      </w:pPr>
      <w:r w:rsidRPr="00BA7C4F">
        <w:rPr>
          <w:lang w:val="en-GB"/>
        </w:rPr>
        <w:t xml:space="preserve">Liu, J., Zhang, Y., &amp; Kuang, J. (2023). </w:t>
      </w:r>
      <w:r w:rsidRPr="000A4536">
        <w:t>Fintech development and green innovation: Evidence from China.</w:t>
      </w:r>
      <w:r>
        <w:t xml:space="preserve"> </w:t>
      </w:r>
      <w:r w:rsidRPr="000A4536">
        <w:rPr>
          <w:i/>
          <w:iCs/>
        </w:rPr>
        <w:t>Energy Policy</w:t>
      </w:r>
      <w:r w:rsidRPr="000A4536">
        <w:t>,</w:t>
      </w:r>
      <w:r>
        <w:t xml:space="preserve"> </w:t>
      </w:r>
      <w:r w:rsidRPr="000A4536">
        <w:rPr>
          <w:i/>
          <w:iCs/>
        </w:rPr>
        <w:t>183</w:t>
      </w:r>
      <w:r w:rsidRPr="000A4536">
        <w:t>, 113827.</w:t>
      </w:r>
    </w:p>
    <w:p w14:paraId="530D4290" w14:textId="77777777" w:rsidR="00914D2B" w:rsidRDefault="00914D2B" w:rsidP="00DF5931">
      <w:pPr>
        <w:pStyle w:val="johnEndNote"/>
        <w:spacing w:before="96" w:after="96"/>
      </w:pPr>
      <w:r w:rsidRPr="009E7792">
        <w:t>Lu, J., Ren, L., Qiao, J., Yao, S., Strielkowski, W., &amp; Streimikis, J. (2019). Corporate social responsibility and corruption: Implications for the sustainable energy sector.</w:t>
      </w:r>
      <w:r>
        <w:t xml:space="preserve"> </w:t>
      </w:r>
      <w:r w:rsidRPr="009E7792">
        <w:rPr>
          <w:i/>
          <w:iCs/>
        </w:rPr>
        <w:t>Sustainability</w:t>
      </w:r>
      <w:r w:rsidRPr="009E7792">
        <w:t>,</w:t>
      </w:r>
      <w:r>
        <w:t xml:space="preserve"> </w:t>
      </w:r>
      <w:r w:rsidRPr="009E7792">
        <w:rPr>
          <w:i/>
          <w:iCs/>
        </w:rPr>
        <w:t>11</w:t>
      </w:r>
      <w:r w:rsidRPr="009E7792">
        <w:t>(15), 4128.</w:t>
      </w:r>
    </w:p>
    <w:p w14:paraId="3EBF75B7" w14:textId="77777777" w:rsidR="00914D2B" w:rsidRDefault="00914D2B" w:rsidP="00DF5931">
      <w:pPr>
        <w:pStyle w:val="johnEndNote"/>
        <w:spacing w:before="96" w:after="96"/>
      </w:pPr>
      <w:r w:rsidRPr="002A445A">
        <w:t>Ofori‐Sasu, D., Abor, J. Y., &amp; Osei, A. K. (2017). Dividend policy and shareholders’ value: evidence from listed companies in Ghana.</w:t>
      </w:r>
      <w:r>
        <w:t xml:space="preserve"> </w:t>
      </w:r>
      <w:r w:rsidRPr="002A445A">
        <w:rPr>
          <w:i/>
          <w:iCs/>
        </w:rPr>
        <w:t>African Development Review</w:t>
      </w:r>
      <w:r w:rsidRPr="002A445A">
        <w:t>,</w:t>
      </w:r>
      <w:r>
        <w:t xml:space="preserve"> </w:t>
      </w:r>
      <w:r w:rsidRPr="002A445A">
        <w:rPr>
          <w:i/>
          <w:iCs/>
        </w:rPr>
        <w:t>29</w:t>
      </w:r>
      <w:r w:rsidRPr="002A445A">
        <w:t>(2), 293-304.</w:t>
      </w:r>
    </w:p>
    <w:p w14:paraId="5213BA6E" w14:textId="77777777" w:rsidR="00914D2B" w:rsidRDefault="00914D2B" w:rsidP="00DF5931">
      <w:pPr>
        <w:pStyle w:val="johnEndNote"/>
        <w:spacing w:before="96" w:after="96"/>
      </w:pPr>
      <w:r w:rsidRPr="00BA7C4F">
        <w:rPr>
          <w:lang w:val="en-GB"/>
        </w:rPr>
        <w:t xml:space="preserve">Pankratz, N., Bauer, R., &amp; Derwall, J. (2023). </w:t>
      </w:r>
      <w:r w:rsidRPr="009E7792">
        <w:t>Climate change, firm performance, and investor surprises.</w:t>
      </w:r>
      <w:r>
        <w:t xml:space="preserve"> </w:t>
      </w:r>
      <w:r w:rsidRPr="009E7792">
        <w:rPr>
          <w:i/>
          <w:iCs/>
        </w:rPr>
        <w:t>Management Science</w:t>
      </w:r>
      <w:r w:rsidRPr="009E7792">
        <w:t>,</w:t>
      </w:r>
      <w:r>
        <w:t xml:space="preserve"> </w:t>
      </w:r>
      <w:r w:rsidRPr="009E7792">
        <w:rPr>
          <w:i/>
          <w:iCs/>
        </w:rPr>
        <w:t>69</w:t>
      </w:r>
      <w:r w:rsidRPr="009E7792">
        <w:t>(12), 7352-7398.</w:t>
      </w:r>
    </w:p>
    <w:p w14:paraId="59E3FCB4" w14:textId="77777777" w:rsidR="00914D2B" w:rsidRDefault="00914D2B" w:rsidP="00DF5931">
      <w:pPr>
        <w:pStyle w:val="johnEndNote"/>
        <w:spacing w:before="96" w:after="96"/>
      </w:pPr>
      <w:r>
        <w:t xml:space="preserve">PwC. (2024). </w:t>
      </w:r>
      <w:r w:rsidRPr="00322B8B">
        <w:rPr>
          <w:i/>
          <w:iCs/>
        </w:rPr>
        <w:t>From niche to mainstream: Closing the protection gap through parametric insurance</w:t>
      </w:r>
      <w:r>
        <w:t xml:space="preserve">. Retrieved from </w:t>
      </w:r>
      <w:r w:rsidRPr="00322B8B">
        <w:t>https://www.pwc.ch/en/insights/fs/closing-the-gap-with-parametrics-insurance.html</w:t>
      </w:r>
    </w:p>
    <w:p w14:paraId="1A627111" w14:textId="77777777" w:rsidR="00914D2B" w:rsidRDefault="00914D2B" w:rsidP="00DF5931">
      <w:pPr>
        <w:pStyle w:val="johnEndNote"/>
        <w:spacing w:before="96" w:after="96"/>
      </w:pPr>
      <w:r w:rsidRPr="00914D2B">
        <w:rPr>
          <w:lang w:val="de-DE"/>
        </w:rPr>
        <w:t xml:space="preserve">Ren, X., Wang, S., Mao, W., &amp; Gozgor, G. (2025). </w:t>
      </w:r>
      <w:r w:rsidRPr="00914D2B">
        <w:t xml:space="preserve">Greening the energy industry: An efficiency analysis of China's listed new energy companies and its market spillovers. </w:t>
      </w:r>
      <w:r w:rsidRPr="00914D2B">
        <w:rPr>
          <w:i/>
          <w:iCs/>
        </w:rPr>
        <w:t>Energy Economics</w:t>
      </w:r>
      <w:r>
        <w:t xml:space="preserve">, </w:t>
      </w:r>
      <w:r w:rsidRPr="00914D2B">
        <w:t>108414</w:t>
      </w:r>
      <w:r>
        <w:t>.</w:t>
      </w:r>
    </w:p>
    <w:p w14:paraId="4D984D53" w14:textId="77777777" w:rsidR="00914D2B" w:rsidRDefault="00914D2B" w:rsidP="00DF5931">
      <w:pPr>
        <w:pStyle w:val="johnEndNote"/>
        <w:spacing w:before="96" w:after="96"/>
      </w:pPr>
      <w:r w:rsidRPr="00BA7C4F">
        <w:rPr>
          <w:lang w:val="en-GB"/>
        </w:rPr>
        <w:t xml:space="preserve">Salah, O. B., &amp; Amar, A. B. (2022). </w:t>
      </w:r>
      <w:r w:rsidRPr="00CD17C1">
        <w:t>Does corporate social responsibility affect dividend policy? Empirical evidence in the French context.</w:t>
      </w:r>
      <w:r>
        <w:t xml:space="preserve"> </w:t>
      </w:r>
      <w:r w:rsidRPr="00CD17C1">
        <w:rPr>
          <w:i/>
          <w:iCs/>
        </w:rPr>
        <w:t>Journal of Global Responsibility</w:t>
      </w:r>
      <w:r w:rsidRPr="00CD17C1">
        <w:t>,</w:t>
      </w:r>
      <w:r>
        <w:t xml:space="preserve"> </w:t>
      </w:r>
      <w:r w:rsidRPr="00CD17C1">
        <w:rPr>
          <w:i/>
          <w:iCs/>
        </w:rPr>
        <w:t>13</w:t>
      </w:r>
      <w:r w:rsidRPr="00CD17C1">
        <w:t>(3), 268-289.</w:t>
      </w:r>
    </w:p>
    <w:p w14:paraId="66DB532D" w14:textId="77777777" w:rsidR="00914D2B" w:rsidRDefault="00914D2B" w:rsidP="00DF5931">
      <w:pPr>
        <w:pStyle w:val="johnEndNote"/>
        <w:spacing w:before="96" w:after="96"/>
      </w:pPr>
      <w:r w:rsidRPr="00CD17C1">
        <w:t>Sharma, V. (2011). Independent directors and the propensity to pay dividends.</w:t>
      </w:r>
      <w:r>
        <w:t xml:space="preserve"> </w:t>
      </w:r>
      <w:r w:rsidRPr="00CD17C1">
        <w:rPr>
          <w:i/>
          <w:iCs/>
        </w:rPr>
        <w:t xml:space="preserve">Journal of Corporate </w:t>
      </w:r>
      <w:r>
        <w:rPr>
          <w:i/>
          <w:iCs/>
        </w:rPr>
        <w:t>F</w:t>
      </w:r>
      <w:r w:rsidRPr="00CD17C1">
        <w:rPr>
          <w:i/>
          <w:iCs/>
        </w:rPr>
        <w:t>inance</w:t>
      </w:r>
      <w:r w:rsidRPr="00CD17C1">
        <w:t>,</w:t>
      </w:r>
      <w:r>
        <w:t xml:space="preserve"> </w:t>
      </w:r>
      <w:r w:rsidRPr="00CD17C1">
        <w:rPr>
          <w:i/>
          <w:iCs/>
        </w:rPr>
        <w:t>17</w:t>
      </w:r>
      <w:r w:rsidRPr="00CD17C1">
        <w:t>(4), 1001-1015.</w:t>
      </w:r>
    </w:p>
    <w:p w14:paraId="0712C004" w14:textId="77777777" w:rsidR="00914D2B" w:rsidRDefault="00914D2B" w:rsidP="00DF5931">
      <w:pPr>
        <w:pStyle w:val="johnEndNote"/>
        <w:spacing w:before="96" w:after="96"/>
      </w:pPr>
      <w:r w:rsidRPr="00914D2B">
        <w:lastRenderedPageBreak/>
        <w:t xml:space="preserve">Shinwari, R., Wang, Y., Gozgor, G., &amp; Mousavi, M. (2024). Does FDI affect energy consumption in the belt and road initiative economies? The role of green technologies. </w:t>
      </w:r>
      <w:r w:rsidRPr="00914D2B">
        <w:rPr>
          <w:i/>
          <w:iCs/>
        </w:rPr>
        <w:t>Energy Economics</w:t>
      </w:r>
      <w:r w:rsidRPr="00914D2B">
        <w:t>, 132, 107409.</w:t>
      </w:r>
    </w:p>
    <w:p w14:paraId="755D04AF" w14:textId="77777777" w:rsidR="00914D2B" w:rsidRDefault="00914D2B" w:rsidP="00DF5931">
      <w:pPr>
        <w:pStyle w:val="johnEndNote"/>
        <w:spacing w:before="96" w:after="96"/>
      </w:pPr>
      <w:bookmarkStart w:id="9" w:name="_Hlk194435622"/>
      <w:r w:rsidRPr="00BA7C4F">
        <w:rPr>
          <w:lang w:val="en-GB"/>
        </w:rPr>
        <w:t xml:space="preserve">Tao, R., Su, C. W., Naqvi, B., &amp; Rizvi, S. K. A. (2022). </w:t>
      </w:r>
      <w:r w:rsidRPr="00C03271">
        <w:t>Can Fintech development pave the way for a transition towards low-carbon economy: A global perspective. </w:t>
      </w:r>
      <w:r w:rsidRPr="00C03271">
        <w:rPr>
          <w:i/>
          <w:iCs/>
        </w:rPr>
        <w:t>Technological Forecasting and Social Change</w:t>
      </w:r>
      <w:r w:rsidRPr="00C03271">
        <w:t>, </w:t>
      </w:r>
      <w:r w:rsidRPr="00C03271">
        <w:rPr>
          <w:i/>
          <w:iCs/>
        </w:rPr>
        <w:t>174</w:t>
      </w:r>
      <w:r w:rsidRPr="00C03271">
        <w:t>, 121278.</w:t>
      </w:r>
    </w:p>
    <w:bookmarkEnd w:id="9"/>
    <w:p w14:paraId="0C89A65D" w14:textId="77777777" w:rsidR="00914D2B" w:rsidRDefault="00914D2B" w:rsidP="00DF5931">
      <w:pPr>
        <w:pStyle w:val="johnEndNote"/>
        <w:spacing w:before="96" w:after="96"/>
      </w:pPr>
      <w:r w:rsidRPr="00BA7C4F">
        <w:rPr>
          <w:lang w:val="en-GB"/>
        </w:rPr>
        <w:t xml:space="preserve">Wang, C. A., Wang, L., Zhao, S., Yang, C., &amp; Albitar, K. (2024). </w:t>
      </w:r>
      <w:r w:rsidRPr="000A4536">
        <w:t>The impact of Fintech on corporate carbon emissions: Towards green and sustainable development.</w:t>
      </w:r>
      <w:r>
        <w:t xml:space="preserve"> </w:t>
      </w:r>
      <w:r w:rsidRPr="000A4536">
        <w:rPr>
          <w:i/>
          <w:iCs/>
        </w:rPr>
        <w:t>Business Strategy and the Environment</w:t>
      </w:r>
      <w:r w:rsidRPr="000A4536">
        <w:t>.</w:t>
      </w:r>
    </w:p>
    <w:p w14:paraId="17BFE9C5" w14:textId="77777777" w:rsidR="00914D2B" w:rsidRDefault="00914D2B" w:rsidP="00C03271">
      <w:pPr>
        <w:pStyle w:val="johnEndNote"/>
        <w:spacing w:before="96" w:after="96"/>
      </w:pPr>
      <w:r w:rsidRPr="00766411">
        <w:t>Wintoki, M. B., Linck, J. S., &amp; Netter, J. M. (2012). Endogeneity and the dynamics of internal corporate governance.</w:t>
      </w:r>
      <w:r>
        <w:t xml:space="preserve"> </w:t>
      </w:r>
      <w:r w:rsidRPr="00766411">
        <w:rPr>
          <w:i/>
          <w:iCs/>
        </w:rPr>
        <w:t xml:space="preserve">Journal of </w:t>
      </w:r>
      <w:r>
        <w:rPr>
          <w:i/>
          <w:iCs/>
        </w:rPr>
        <w:t>F</w:t>
      </w:r>
      <w:r w:rsidRPr="00766411">
        <w:rPr>
          <w:i/>
          <w:iCs/>
        </w:rPr>
        <w:t xml:space="preserve">inancial </w:t>
      </w:r>
      <w:r>
        <w:rPr>
          <w:i/>
          <w:iCs/>
        </w:rPr>
        <w:t>E</w:t>
      </w:r>
      <w:r w:rsidRPr="00766411">
        <w:rPr>
          <w:i/>
          <w:iCs/>
        </w:rPr>
        <w:t>conomics</w:t>
      </w:r>
      <w:r w:rsidRPr="00766411">
        <w:t>,</w:t>
      </w:r>
      <w:r>
        <w:t xml:space="preserve"> </w:t>
      </w:r>
      <w:r w:rsidRPr="00766411">
        <w:rPr>
          <w:i/>
          <w:iCs/>
        </w:rPr>
        <w:t>105</w:t>
      </w:r>
      <w:r w:rsidRPr="00766411">
        <w:t>(3), 581-606.</w:t>
      </w:r>
    </w:p>
    <w:p w14:paraId="3877F5F2" w14:textId="77777777" w:rsidR="00914D2B" w:rsidRDefault="00914D2B" w:rsidP="00C03271">
      <w:pPr>
        <w:pStyle w:val="johnEndNote"/>
        <w:spacing w:before="96" w:after="96"/>
      </w:pPr>
      <w:r w:rsidRPr="0073781A">
        <w:t xml:space="preserve">Worrall, J. L. (2008), The effects of local law enforcement block grants on serious crime, </w:t>
      </w:r>
      <w:r w:rsidRPr="0073781A">
        <w:rPr>
          <w:i/>
          <w:iCs/>
        </w:rPr>
        <w:t>Criminal Public Policy</w:t>
      </w:r>
      <w:r w:rsidRPr="0073781A">
        <w:t>. Vol. 7, pp. 325-350</w:t>
      </w:r>
    </w:p>
    <w:p w14:paraId="6D231469" w14:textId="77777777" w:rsidR="00914D2B" w:rsidRDefault="00914D2B" w:rsidP="00C03271">
      <w:pPr>
        <w:pStyle w:val="johnEndNote"/>
        <w:spacing w:before="96" w:after="96"/>
      </w:pPr>
      <w:r w:rsidRPr="004B5CFC">
        <w:t xml:space="preserve">Worrall, J. L. and Kovandzic, T. V. (2010), Police levels and crime rate: An instrumental variable approach, </w:t>
      </w:r>
      <w:r w:rsidRPr="0073781A">
        <w:rPr>
          <w:i/>
          <w:iCs/>
        </w:rPr>
        <w:t>Social Science Research,</w:t>
      </w:r>
      <w:r w:rsidRPr="004B5CFC">
        <w:t xml:space="preserve"> Vol. 39, pp. 506-516.</w:t>
      </w:r>
    </w:p>
    <w:p w14:paraId="75D2F5A1" w14:textId="77777777" w:rsidR="00914D2B" w:rsidRDefault="00914D2B" w:rsidP="00DF5931">
      <w:pPr>
        <w:pStyle w:val="johnEndNote"/>
        <w:spacing w:before="96" w:after="96"/>
      </w:pPr>
      <w:r w:rsidRPr="00C03271">
        <w:t>Wu, Q. (2024). From bits to emissions: how FinTech benefits climate resilience?. </w:t>
      </w:r>
      <w:r w:rsidRPr="00C03271">
        <w:rPr>
          <w:i/>
          <w:iCs/>
        </w:rPr>
        <w:t>Empirical Economics</w:t>
      </w:r>
      <w:r w:rsidRPr="00C03271">
        <w:t>, </w:t>
      </w:r>
      <w:r w:rsidRPr="00C03271">
        <w:rPr>
          <w:i/>
          <w:iCs/>
        </w:rPr>
        <w:t>67</w:t>
      </w:r>
      <w:r w:rsidRPr="00C03271">
        <w:t>(5), 2009-2037.</w:t>
      </w:r>
    </w:p>
    <w:p w14:paraId="39261A80" w14:textId="77777777" w:rsidR="00914D2B" w:rsidRDefault="00914D2B" w:rsidP="0077677F">
      <w:pPr>
        <w:pStyle w:val="johnSub"/>
        <w:numPr>
          <w:ilvl w:val="0"/>
          <w:numId w:val="0"/>
        </w:numPr>
        <w:ind w:left="540" w:hanging="540"/>
        <w:jc w:val="both"/>
        <w:rPr>
          <w:b w:val="0"/>
          <w:bCs/>
          <w:lang w:val="en-GB"/>
        </w:rPr>
      </w:pPr>
      <w:r w:rsidRPr="0077677F">
        <w:rPr>
          <w:b w:val="0"/>
          <w:bCs/>
          <w:lang w:val="en-GB"/>
        </w:rPr>
        <w:t xml:space="preserve">Xu, B., &amp; Lin, B. (2024). Green finance, green technology innovation, and wind power development in China: Evidence from spatial quantile model. </w:t>
      </w:r>
      <w:r w:rsidRPr="0077677F">
        <w:rPr>
          <w:b w:val="0"/>
          <w:bCs/>
          <w:i/>
          <w:iCs/>
          <w:lang w:val="en-GB"/>
        </w:rPr>
        <w:t>Energy Economics</w:t>
      </w:r>
      <w:r w:rsidRPr="0077677F">
        <w:rPr>
          <w:b w:val="0"/>
          <w:bCs/>
          <w:lang w:val="en-GB"/>
        </w:rPr>
        <w:t>, 132, 107463.</w:t>
      </w:r>
    </w:p>
    <w:p w14:paraId="05D36177" w14:textId="77777777" w:rsidR="00914D2B" w:rsidRDefault="00914D2B" w:rsidP="0077677F">
      <w:pPr>
        <w:pStyle w:val="johnSub"/>
        <w:numPr>
          <w:ilvl w:val="0"/>
          <w:numId w:val="0"/>
        </w:numPr>
        <w:ind w:left="540" w:hanging="540"/>
        <w:jc w:val="both"/>
        <w:rPr>
          <w:b w:val="0"/>
          <w:bCs/>
          <w:lang w:val="en-GB"/>
        </w:rPr>
      </w:pPr>
      <w:bookmarkStart w:id="10" w:name="_Hlk194435640"/>
      <w:r w:rsidRPr="0077677F">
        <w:rPr>
          <w:b w:val="0"/>
          <w:bCs/>
          <w:lang w:val="en-GB"/>
        </w:rPr>
        <w:t xml:space="preserve">Zhao, H., &amp; Lin, B. (2025). Rising inequality in the European Union under stringent climate policy: Internal challenges of carbon border adjustment mechanism. </w:t>
      </w:r>
      <w:r w:rsidRPr="0077677F">
        <w:rPr>
          <w:b w:val="0"/>
          <w:bCs/>
          <w:i/>
          <w:iCs/>
          <w:lang w:val="en-GB"/>
        </w:rPr>
        <w:t>Energy Economics</w:t>
      </w:r>
      <w:r w:rsidRPr="0077677F">
        <w:rPr>
          <w:b w:val="0"/>
          <w:bCs/>
          <w:lang w:val="en-GB"/>
        </w:rPr>
        <w:t>, 142, 108180.</w:t>
      </w:r>
    </w:p>
    <w:p w14:paraId="194ED837" w14:textId="77777777" w:rsidR="00914D2B" w:rsidRDefault="00914D2B" w:rsidP="00DF5931">
      <w:pPr>
        <w:pStyle w:val="johnEndNote"/>
        <w:spacing w:before="96" w:after="96"/>
      </w:pPr>
      <w:r w:rsidRPr="00C03271">
        <w:t>Zhu, B., &amp; Hou, R. (2022). Carbon risk and dividend policy: evidence from China. </w:t>
      </w:r>
      <w:r w:rsidRPr="00C03271">
        <w:rPr>
          <w:i/>
          <w:iCs/>
        </w:rPr>
        <w:t>International Review of Financial Analysis</w:t>
      </w:r>
      <w:r w:rsidRPr="00C03271">
        <w:t>, </w:t>
      </w:r>
      <w:r w:rsidRPr="00C03271">
        <w:rPr>
          <w:i/>
          <w:iCs/>
        </w:rPr>
        <w:t>84</w:t>
      </w:r>
      <w:r w:rsidRPr="00C03271">
        <w:t>, 102360.</w:t>
      </w:r>
    </w:p>
    <w:bookmarkEnd w:id="10"/>
    <w:p w14:paraId="5842BFBE" w14:textId="77777777" w:rsidR="00C03271" w:rsidRDefault="00C03271" w:rsidP="000367C5">
      <w:pPr>
        <w:spacing w:line="480" w:lineRule="auto"/>
        <w:jc w:val="both"/>
        <w:rPr>
          <w:rFonts w:ascii="Times New Roman" w:hAnsi="Times New Roman" w:cs="Times New Roman"/>
          <w:sz w:val="24"/>
          <w:szCs w:val="24"/>
        </w:rPr>
        <w:sectPr w:rsidR="00C03271">
          <w:pgSz w:w="11906" w:h="16838"/>
          <w:pgMar w:top="1440" w:right="1440" w:bottom="1440" w:left="1440" w:header="708" w:footer="708" w:gutter="0"/>
          <w:cols w:space="708"/>
          <w:docGrid w:linePitch="360"/>
        </w:sectPr>
      </w:pPr>
    </w:p>
    <w:p w14:paraId="68468FBE" w14:textId="4679C89C" w:rsidR="00B77E42" w:rsidRPr="00C90D22" w:rsidRDefault="00C90D22" w:rsidP="00C90D22">
      <w:pPr>
        <w:spacing w:line="240" w:lineRule="auto"/>
        <w:ind w:hanging="630"/>
        <w:rPr>
          <w:rFonts w:ascii="Times New Roman" w:hAnsi="Times New Roman" w:cs="Times New Roman"/>
          <w:b/>
          <w:bCs/>
        </w:rPr>
      </w:pPr>
      <w:r w:rsidRPr="00C90D22">
        <w:rPr>
          <w:rFonts w:ascii="Times New Roman" w:eastAsia="Times New Roman" w:hAnsi="Times New Roman" w:cs="Times New Roman"/>
          <w:b/>
          <w:bCs/>
          <w:color w:val="000000"/>
          <w:kern w:val="0"/>
          <w14:ligatures w14:val="none"/>
        </w:rPr>
        <w:lastRenderedPageBreak/>
        <w:t xml:space="preserve">Table 1: </w:t>
      </w:r>
      <w:r w:rsidR="00874982">
        <w:rPr>
          <w:rFonts w:ascii="Times New Roman" w:eastAsia="Times New Roman" w:hAnsi="Times New Roman" w:cs="Times New Roman"/>
          <w:b/>
          <w:bCs/>
          <w:color w:val="000000"/>
          <w:kern w:val="0"/>
          <w14:ligatures w14:val="none"/>
        </w:rPr>
        <w:t>Variable</w:t>
      </w:r>
      <w:r w:rsidRPr="00C90D22">
        <w:rPr>
          <w:rFonts w:ascii="Times New Roman" w:eastAsia="Times New Roman" w:hAnsi="Times New Roman" w:cs="Times New Roman"/>
          <w:b/>
          <w:bCs/>
          <w:color w:val="000000"/>
          <w:kern w:val="0"/>
          <w14:ligatures w14:val="none"/>
        </w:rPr>
        <w:t xml:space="preserve"> definitions</w:t>
      </w:r>
    </w:p>
    <w:tbl>
      <w:tblPr>
        <w:tblW w:w="7212" w:type="dxa"/>
        <w:tblInd w:w="-623" w:type="dxa"/>
        <w:tblLook w:val="04A0" w:firstRow="1" w:lastRow="0" w:firstColumn="1" w:lastColumn="0" w:noHBand="0" w:noVBand="1"/>
      </w:tblPr>
      <w:tblGrid>
        <w:gridCol w:w="3116"/>
        <w:gridCol w:w="2048"/>
        <w:gridCol w:w="2048"/>
      </w:tblGrid>
      <w:tr w:rsidR="00C90D22" w:rsidRPr="00C90D22" w14:paraId="2D449C4C" w14:textId="46EBEA12" w:rsidTr="00C90D22">
        <w:trPr>
          <w:trHeight w:val="306"/>
        </w:trPr>
        <w:tc>
          <w:tcPr>
            <w:tcW w:w="3116" w:type="dxa"/>
            <w:tcBorders>
              <w:top w:val="nil"/>
              <w:left w:val="nil"/>
              <w:bottom w:val="nil"/>
              <w:right w:val="nil"/>
            </w:tcBorders>
            <w:shd w:val="clear" w:color="auto" w:fill="auto"/>
            <w:noWrap/>
            <w:vAlign w:val="bottom"/>
            <w:hideMark/>
          </w:tcPr>
          <w:p w14:paraId="5BFCF145" w14:textId="7D4FF552" w:rsidR="00C90D22" w:rsidRPr="00C90D22" w:rsidRDefault="00C90D22" w:rsidP="00356F41">
            <w:pPr>
              <w:spacing w:beforeLines="40" w:before="96" w:afterLines="40" w:after="96" w:line="240" w:lineRule="auto"/>
              <w:rPr>
                <w:rFonts w:ascii="Times New Roman" w:eastAsia="Times New Roman" w:hAnsi="Times New Roman" w:cs="Times New Roman"/>
                <w:color w:val="000000"/>
                <w:kern w:val="0"/>
                <w:sz w:val="20"/>
                <w:szCs w:val="20"/>
                <w14:ligatures w14:val="none"/>
              </w:rPr>
            </w:pPr>
          </w:p>
        </w:tc>
        <w:tc>
          <w:tcPr>
            <w:tcW w:w="2048" w:type="dxa"/>
            <w:tcBorders>
              <w:top w:val="nil"/>
              <w:left w:val="nil"/>
              <w:bottom w:val="nil"/>
              <w:right w:val="nil"/>
            </w:tcBorders>
          </w:tcPr>
          <w:p w14:paraId="325AE980" w14:textId="77777777" w:rsidR="00C90D22" w:rsidRPr="00C90D22" w:rsidRDefault="00C90D22" w:rsidP="00356F41">
            <w:pPr>
              <w:spacing w:beforeLines="40" w:before="96" w:afterLines="40" w:after="96" w:line="240" w:lineRule="auto"/>
              <w:rPr>
                <w:rFonts w:ascii="Times New Roman" w:eastAsia="Times New Roman" w:hAnsi="Times New Roman" w:cs="Times New Roman"/>
                <w:color w:val="C00000"/>
                <w:kern w:val="0"/>
                <w:sz w:val="20"/>
                <w:szCs w:val="20"/>
                <w14:ligatures w14:val="none"/>
              </w:rPr>
            </w:pPr>
          </w:p>
        </w:tc>
        <w:tc>
          <w:tcPr>
            <w:tcW w:w="2048" w:type="dxa"/>
            <w:tcBorders>
              <w:top w:val="nil"/>
              <w:left w:val="nil"/>
              <w:bottom w:val="nil"/>
              <w:right w:val="nil"/>
            </w:tcBorders>
          </w:tcPr>
          <w:p w14:paraId="637F8EFA" w14:textId="77777777" w:rsidR="00C90D22" w:rsidRPr="00C90D22" w:rsidRDefault="00C90D22" w:rsidP="00356F41">
            <w:pPr>
              <w:spacing w:beforeLines="40" w:before="96" w:afterLines="40" w:after="96" w:line="240" w:lineRule="auto"/>
              <w:rPr>
                <w:rFonts w:ascii="Times New Roman" w:eastAsia="Times New Roman" w:hAnsi="Times New Roman" w:cs="Times New Roman"/>
                <w:color w:val="C00000"/>
                <w:kern w:val="0"/>
                <w:sz w:val="20"/>
                <w:szCs w:val="20"/>
                <w14:ligatures w14:val="none"/>
              </w:rPr>
            </w:pPr>
          </w:p>
        </w:tc>
      </w:tr>
      <w:tr w:rsidR="00C90D22" w:rsidRPr="00C90D22" w14:paraId="130EDE72" w14:textId="2F9CEFE0" w:rsidTr="00C90D22">
        <w:trPr>
          <w:trHeight w:val="306"/>
        </w:trPr>
        <w:tc>
          <w:tcPr>
            <w:tcW w:w="3116" w:type="dxa"/>
            <w:tcBorders>
              <w:top w:val="single" w:sz="4" w:space="0" w:color="auto"/>
              <w:left w:val="nil"/>
              <w:bottom w:val="single" w:sz="4" w:space="0" w:color="auto"/>
              <w:right w:val="nil"/>
            </w:tcBorders>
            <w:shd w:val="clear" w:color="auto" w:fill="auto"/>
            <w:noWrap/>
            <w:vAlign w:val="center"/>
            <w:hideMark/>
          </w:tcPr>
          <w:p w14:paraId="3C2CCABA" w14:textId="36CDE62E" w:rsidR="00C90D22" w:rsidRPr="00C90D22" w:rsidRDefault="00C90D22" w:rsidP="00356F41">
            <w:pPr>
              <w:spacing w:beforeLines="40" w:before="96" w:afterLines="40" w:after="96" w:line="240" w:lineRule="auto"/>
              <w:rPr>
                <w:rFonts w:ascii="Times New Roman" w:eastAsia="Times New Roman" w:hAnsi="Times New Roman" w:cs="Times New Roman"/>
                <w:color w:val="000000"/>
                <w:kern w:val="0"/>
                <w:sz w:val="20"/>
                <w:szCs w:val="20"/>
                <w14:ligatures w14:val="none"/>
              </w:rPr>
            </w:pPr>
            <w:r w:rsidRPr="00C90D22">
              <w:rPr>
                <w:rFonts w:ascii="Times New Roman" w:eastAsia="Times New Roman" w:hAnsi="Times New Roman" w:cs="Times New Roman"/>
                <w:color w:val="000000"/>
                <w:kern w:val="0"/>
                <w:sz w:val="20"/>
                <w:szCs w:val="20"/>
                <w14:ligatures w14:val="none"/>
              </w:rPr>
              <w:t>Variable</w:t>
            </w:r>
          </w:p>
        </w:tc>
        <w:tc>
          <w:tcPr>
            <w:tcW w:w="2048" w:type="dxa"/>
            <w:tcBorders>
              <w:top w:val="single" w:sz="4" w:space="0" w:color="auto"/>
              <w:left w:val="nil"/>
              <w:bottom w:val="single" w:sz="4" w:space="0" w:color="auto"/>
              <w:right w:val="nil"/>
            </w:tcBorders>
          </w:tcPr>
          <w:p w14:paraId="322DD87D" w14:textId="0284AC2D" w:rsidR="00C90D22" w:rsidRPr="00C90D22" w:rsidRDefault="00C90D22" w:rsidP="00356F41">
            <w:pPr>
              <w:spacing w:beforeLines="40" w:before="96" w:afterLines="40" w:after="96" w:line="240" w:lineRule="auto"/>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Definition</w:t>
            </w:r>
          </w:p>
        </w:tc>
        <w:tc>
          <w:tcPr>
            <w:tcW w:w="2048" w:type="dxa"/>
            <w:tcBorders>
              <w:top w:val="single" w:sz="4" w:space="0" w:color="auto"/>
              <w:left w:val="nil"/>
              <w:bottom w:val="single" w:sz="4" w:space="0" w:color="auto"/>
              <w:right w:val="nil"/>
            </w:tcBorders>
          </w:tcPr>
          <w:p w14:paraId="32AB4329" w14:textId="13C25CC3" w:rsidR="00C90D22" w:rsidRDefault="00C90D22" w:rsidP="00356F41">
            <w:pPr>
              <w:spacing w:beforeLines="40" w:before="96" w:afterLines="40" w:after="96" w:line="240" w:lineRule="auto"/>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Source</w:t>
            </w:r>
          </w:p>
        </w:tc>
      </w:tr>
      <w:tr w:rsidR="00C90D22" w:rsidRPr="00C90D22" w14:paraId="4337A811" w14:textId="6F3C4D1D" w:rsidTr="00C90D22">
        <w:trPr>
          <w:trHeight w:val="306"/>
        </w:trPr>
        <w:tc>
          <w:tcPr>
            <w:tcW w:w="3116" w:type="dxa"/>
            <w:tcBorders>
              <w:top w:val="nil"/>
              <w:left w:val="nil"/>
              <w:bottom w:val="nil"/>
              <w:right w:val="nil"/>
            </w:tcBorders>
            <w:shd w:val="clear" w:color="auto" w:fill="auto"/>
            <w:noWrap/>
            <w:vAlign w:val="center"/>
            <w:hideMark/>
          </w:tcPr>
          <w:p w14:paraId="3C787483" w14:textId="2596551C" w:rsidR="00C90D22" w:rsidRPr="00C90D22" w:rsidRDefault="00C90D22" w:rsidP="00C90D22">
            <w:pPr>
              <w:spacing w:beforeLines="40" w:before="96" w:afterLines="40" w:after="96" w:line="240" w:lineRule="auto"/>
              <w:rPr>
                <w:rFonts w:ascii="Times New Roman" w:eastAsia="Times New Roman" w:hAnsi="Times New Roman" w:cs="Times New Roman"/>
                <w:color w:val="000000"/>
                <w:kern w:val="0"/>
                <w:sz w:val="20"/>
                <w:szCs w:val="20"/>
                <w14:ligatures w14:val="none"/>
              </w:rPr>
            </w:pPr>
            <w:proofErr w:type="spellStart"/>
            <w:r w:rsidRPr="00C90D22">
              <w:rPr>
                <w:rFonts w:ascii="Times New Roman" w:eastAsia="Times New Roman" w:hAnsi="Times New Roman" w:cs="Times New Roman"/>
                <w:color w:val="000000"/>
                <w:kern w:val="0"/>
                <w:sz w:val="20"/>
                <w:szCs w:val="20"/>
                <w14:ligatures w14:val="none"/>
              </w:rPr>
              <w:t>Firm</w:t>
            </w:r>
            <w:r w:rsidR="00253D36">
              <w:rPr>
                <w:rFonts w:ascii="Times New Roman" w:eastAsia="Times New Roman" w:hAnsi="Times New Roman" w:cs="Times New Roman"/>
                <w:color w:val="000000"/>
                <w:kern w:val="0"/>
                <w:sz w:val="20"/>
                <w:szCs w:val="20"/>
                <w14:ligatures w14:val="none"/>
              </w:rPr>
              <w:t>V</w:t>
            </w:r>
            <w:r w:rsidRPr="00C90D22">
              <w:rPr>
                <w:rFonts w:ascii="Times New Roman" w:eastAsia="Times New Roman" w:hAnsi="Times New Roman" w:cs="Times New Roman"/>
                <w:color w:val="000000"/>
                <w:kern w:val="0"/>
                <w:sz w:val="20"/>
                <w:szCs w:val="20"/>
                <w14:ligatures w14:val="none"/>
              </w:rPr>
              <w:t>alue</w:t>
            </w:r>
            <w:proofErr w:type="spellEnd"/>
          </w:p>
        </w:tc>
        <w:tc>
          <w:tcPr>
            <w:tcW w:w="2048" w:type="dxa"/>
            <w:tcBorders>
              <w:top w:val="nil"/>
              <w:left w:val="nil"/>
              <w:bottom w:val="nil"/>
              <w:right w:val="nil"/>
            </w:tcBorders>
            <w:vAlign w:val="bottom"/>
          </w:tcPr>
          <w:p w14:paraId="0C85DD87" w14:textId="67E9C027" w:rsidR="00C90D22" w:rsidRPr="00C90D22" w:rsidRDefault="00C90D22" w:rsidP="00C90D22">
            <w:pPr>
              <w:spacing w:beforeLines="40" w:before="96" w:afterLines="40" w:after="96" w:line="240" w:lineRule="auto"/>
              <w:rPr>
                <w:rFonts w:ascii="Times New Roman" w:eastAsia="Times New Roman" w:hAnsi="Times New Roman" w:cs="Times New Roman"/>
                <w:color w:val="000000"/>
                <w:kern w:val="0"/>
                <w:sz w:val="20"/>
                <w:szCs w:val="20"/>
                <w14:ligatures w14:val="none"/>
              </w:rPr>
            </w:pPr>
            <w:r w:rsidRPr="00C90D22">
              <w:rPr>
                <w:rFonts w:ascii="Times New Roman" w:eastAsia="Times New Roman" w:hAnsi="Times New Roman" w:cs="Times New Roman"/>
                <w:color w:val="000000"/>
                <w:kern w:val="0"/>
                <w:sz w:val="20"/>
                <w:szCs w:val="20"/>
                <w14:ligatures w14:val="none"/>
              </w:rPr>
              <w:t xml:space="preserve">Log of total market capitalization </w:t>
            </w:r>
          </w:p>
        </w:tc>
        <w:tc>
          <w:tcPr>
            <w:tcW w:w="2048" w:type="dxa"/>
            <w:tcBorders>
              <w:top w:val="nil"/>
              <w:left w:val="nil"/>
              <w:bottom w:val="nil"/>
              <w:right w:val="nil"/>
            </w:tcBorders>
          </w:tcPr>
          <w:p w14:paraId="77674DD7" w14:textId="710DD624" w:rsidR="00C90D22" w:rsidRPr="004201D8" w:rsidRDefault="004201D8" w:rsidP="00C90D22">
            <w:pPr>
              <w:spacing w:beforeLines="40" w:before="96" w:afterLines="40" w:after="96" w:line="240" w:lineRule="auto"/>
              <w:rPr>
                <w:rFonts w:ascii="Times New Roman" w:hAnsi="Times New Roman" w:cs="Times New Roman"/>
                <w:color w:val="000000"/>
                <w:kern w:val="0"/>
                <w:sz w:val="20"/>
                <w:szCs w:val="20"/>
                <w:lang w:eastAsia="zh-CN"/>
                <w14:ligatures w14:val="none"/>
              </w:rPr>
            </w:pPr>
            <w:r>
              <w:rPr>
                <w:rFonts w:ascii="Times New Roman" w:hAnsi="Times New Roman" w:cs="Times New Roman" w:hint="eastAsia"/>
                <w:color w:val="000000"/>
                <w:kern w:val="0"/>
                <w:sz w:val="20"/>
                <w:szCs w:val="20"/>
                <w:lang w:eastAsia="zh-CN"/>
                <w14:ligatures w14:val="none"/>
              </w:rPr>
              <w:t>Eikon</w:t>
            </w:r>
          </w:p>
        </w:tc>
      </w:tr>
      <w:tr w:rsidR="00C90D22" w:rsidRPr="00C90D22" w14:paraId="5C679554" w14:textId="51221822" w:rsidTr="00C90D22">
        <w:trPr>
          <w:trHeight w:val="306"/>
        </w:trPr>
        <w:tc>
          <w:tcPr>
            <w:tcW w:w="3116" w:type="dxa"/>
            <w:tcBorders>
              <w:top w:val="nil"/>
              <w:left w:val="nil"/>
              <w:bottom w:val="nil"/>
              <w:right w:val="nil"/>
            </w:tcBorders>
            <w:shd w:val="clear" w:color="auto" w:fill="auto"/>
            <w:noWrap/>
            <w:vAlign w:val="center"/>
            <w:hideMark/>
          </w:tcPr>
          <w:p w14:paraId="49376818" w14:textId="77777777" w:rsidR="00C90D22" w:rsidRPr="00C90D22" w:rsidRDefault="00C90D22" w:rsidP="00C90D22">
            <w:pPr>
              <w:spacing w:beforeLines="40" w:before="96" w:afterLines="40" w:after="96" w:line="240" w:lineRule="auto"/>
              <w:rPr>
                <w:rFonts w:ascii="Times New Roman" w:eastAsia="Times New Roman" w:hAnsi="Times New Roman" w:cs="Times New Roman"/>
                <w:color w:val="000000"/>
                <w:kern w:val="0"/>
                <w:sz w:val="20"/>
                <w:szCs w:val="20"/>
                <w14:ligatures w14:val="none"/>
              </w:rPr>
            </w:pPr>
            <w:r w:rsidRPr="00C90D22">
              <w:rPr>
                <w:rFonts w:ascii="Times New Roman" w:eastAsia="Times New Roman" w:hAnsi="Times New Roman" w:cs="Times New Roman"/>
                <w:color w:val="000000"/>
                <w:kern w:val="0"/>
                <w:sz w:val="20"/>
                <w:szCs w:val="20"/>
                <w14:ligatures w14:val="none"/>
              </w:rPr>
              <w:t>Dividend</w:t>
            </w:r>
          </w:p>
        </w:tc>
        <w:tc>
          <w:tcPr>
            <w:tcW w:w="2048" w:type="dxa"/>
            <w:tcBorders>
              <w:top w:val="nil"/>
              <w:left w:val="nil"/>
              <w:bottom w:val="nil"/>
              <w:right w:val="nil"/>
            </w:tcBorders>
            <w:vAlign w:val="bottom"/>
          </w:tcPr>
          <w:p w14:paraId="679D24BE" w14:textId="0D7D7768" w:rsidR="00C90D22" w:rsidRPr="00C90D22" w:rsidRDefault="00C90D22" w:rsidP="00C90D22">
            <w:pPr>
              <w:spacing w:beforeLines="40" w:before="96" w:afterLines="40" w:after="96" w:line="240" w:lineRule="auto"/>
              <w:rPr>
                <w:rFonts w:ascii="Times New Roman" w:eastAsia="Times New Roman" w:hAnsi="Times New Roman" w:cs="Times New Roman"/>
                <w:color w:val="000000"/>
                <w:kern w:val="0"/>
                <w:sz w:val="20"/>
                <w:szCs w:val="20"/>
                <w14:ligatures w14:val="none"/>
              </w:rPr>
            </w:pPr>
            <w:r w:rsidRPr="00C90D22">
              <w:rPr>
                <w:rFonts w:ascii="Times New Roman" w:eastAsia="Times New Roman" w:hAnsi="Times New Roman" w:cs="Times New Roman"/>
                <w:color w:val="000000"/>
                <w:kern w:val="0"/>
                <w:sz w:val="20"/>
                <w:szCs w:val="20"/>
                <w14:ligatures w14:val="none"/>
              </w:rPr>
              <w:t>Dividend per share</w:t>
            </w:r>
          </w:p>
        </w:tc>
        <w:tc>
          <w:tcPr>
            <w:tcW w:w="2048" w:type="dxa"/>
            <w:tcBorders>
              <w:top w:val="nil"/>
              <w:left w:val="nil"/>
              <w:bottom w:val="nil"/>
              <w:right w:val="nil"/>
            </w:tcBorders>
          </w:tcPr>
          <w:p w14:paraId="2404A0E7" w14:textId="4E2975B8" w:rsidR="00C90D22" w:rsidRPr="00C90D22" w:rsidRDefault="004201D8" w:rsidP="00C90D22">
            <w:pPr>
              <w:spacing w:beforeLines="40" w:before="96" w:afterLines="40" w:after="96" w:line="240" w:lineRule="auto"/>
              <w:rPr>
                <w:rFonts w:ascii="Times New Roman" w:eastAsia="Times New Roman" w:hAnsi="Times New Roman" w:cs="Times New Roman"/>
                <w:color w:val="000000"/>
                <w:kern w:val="0"/>
                <w:sz w:val="20"/>
                <w:szCs w:val="20"/>
                <w14:ligatures w14:val="none"/>
              </w:rPr>
            </w:pPr>
            <w:r>
              <w:rPr>
                <w:rFonts w:ascii="Times New Roman" w:hAnsi="Times New Roman" w:cs="Times New Roman" w:hint="eastAsia"/>
                <w:color w:val="000000"/>
                <w:kern w:val="0"/>
                <w:sz w:val="20"/>
                <w:szCs w:val="20"/>
                <w:lang w:eastAsia="zh-CN"/>
                <w14:ligatures w14:val="none"/>
              </w:rPr>
              <w:t>Eikon</w:t>
            </w:r>
          </w:p>
        </w:tc>
      </w:tr>
      <w:tr w:rsidR="00C90D22" w:rsidRPr="00C90D22" w14:paraId="501339EB" w14:textId="609D7B82" w:rsidTr="00C90D22">
        <w:trPr>
          <w:trHeight w:val="306"/>
        </w:trPr>
        <w:tc>
          <w:tcPr>
            <w:tcW w:w="3116" w:type="dxa"/>
            <w:tcBorders>
              <w:top w:val="nil"/>
              <w:left w:val="nil"/>
              <w:bottom w:val="nil"/>
              <w:right w:val="nil"/>
            </w:tcBorders>
            <w:shd w:val="clear" w:color="auto" w:fill="auto"/>
            <w:noWrap/>
            <w:vAlign w:val="center"/>
            <w:hideMark/>
          </w:tcPr>
          <w:p w14:paraId="0CD89122" w14:textId="2EDDE7BE" w:rsidR="00C90D22" w:rsidRPr="00C90D22" w:rsidRDefault="00C90D22" w:rsidP="00C90D22">
            <w:pPr>
              <w:spacing w:beforeLines="40" w:before="96" w:afterLines="40" w:after="96" w:line="240" w:lineRule="auto"/>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F</w:t>
            </w:r>
            <w:r w:rsidRPr="00C90D22">
              <w:rPr>
                <w:rFonts w:ascii="Times New Roman" w:eastAsia="Times New Roman" w:hAnsi="Times New Roman" w:cs="Times New Roman"/>
                <w:color w:val="000000"/>
                <w:kern w:val="0"/>
                <w:sz w:val="20"/>
                <w:szCs w:val="20"/>
                <w14:ligatures w14:val="none"/>
              </w:rPr>
              <w:t>intech</w:t>
            </w:r>
            <w:r>
              <w:rPr>
                <w:rFonts w:ascii="Times New Roman" w:eastAsia="Times New Roman" w:hAnsi="Times New Roman" w:cs="Times New Roman"/>
                <w:color w:val="000000"/>
                <w:kern w:val="0"/>
                <w:sz w:val="20"/>
                <w:szCs w:val="20"/>
                <w14:ligatures w14:val="none"/>
              </w:rPr>
              <w:t xml:space="preserve"> development</w:t>
            </w:r>
          </w:p>
        </w:tc>
        <w:tc>
          <w:tcPr>
            <w:tcW w:w="2048" w:type="dxa"/>
            <w:tcBorders>
              <w:top w:val="nil"/>
              <w:left w:val="nil"/>
              <w:bottom w:val="nil"/>
              <w:right w:val="nil"/>
            </w:tcBorders>
            <w:vAlign w:val="bottom"/>
          </w:tcPr>
          <w:p w14:paraId="58431C13" w14:textId="27D74DB1" w:rsidR="00C90D22" w:rsidRPr="00C90D22" w:rsidRDefault="00C90D22" w:rsidP="00C90D22">
            <w:pPr>
              <w:spacing w:beforeLines="40" w:before="96" w:afterLines="40" w:after="96" w:line="240" w:lineRule="auto"/>
              <w:rPr>
                <w:rFonts w:ascii="Times New Roman" w:eastAsia="Times New Roman" w:hAnsi="Times New Roman" w:cs="Times New Roman"/>
                <w:color w:val="000000"/>
                <w:kern w:val="0"/>
                <w:sz w:val="20"/>
                <w:szCs w:val="20"/>
                <w14:ligatures w14:val="none"/>
              </w:rPr>
            </w:pPr>
            <w:r w:rsidRPr="00C90D22">
              <w:rPr>
                <w:rFonts w:ascii="Times New Roman" w:eastAsia="Times New Roman" w:hAnsi="Times New Roman" w:cs="Times New Roman"/>
                <w:color w:val="000000"/>
                <w:kern w:val="0"/>
                <w:sz w:val="20"/>
                <w:szCs w:val="20"/>
                <w14:ligatures w14:val="none"/>
              </w:rPr>
              <w:t xml:space="preserve">Ratio of </w:t>
            </w:r>
            <w:proofErr w:type="spellStart"/>
            <w:r>
              <w:rPr>
                <w:rFonts w:ascii="Times New Roman" w:eastAsia="Times New Roman" w:hAnsi="Times New Roman" w:cs="Times New Roman"/>
                <w:color w:val="000000"/>
                <w:kern w:val="0"/>
                <w:sz w:val="20"/>
                <w:szCs w:val="20"/>
                <w14:ligatures w14:val="none"/>
              </w:rPr>
              <w:t>f</w:t>
            </w:r>
            <w:r w:rsidRPr="00C90D22">
              <w:rPr>
                <w:rFonts w:ascii="Times New Roman" w:eastAsia="Times New Roman" w:hAnsi="Times New Roman" w:cs="Times New Roman"/>
                <w:color w:val="000000"/>
                <w:kern w:val="0"/>
                <w:sz w:val="20"/>
                <w:szCs w:val="20"/>
                <w14:ligatures w14:val="none"/>
              </w:rPr>
              <w:t>intech</w:t>
            </w:r>
            <w:r>
              <w:rPr>
                <w:rFonts w:ascii="Times New Roman" w:eastAsia="Times New Roman" w:hAnsi="Times New Roman" w:cs="Times New Roman"/>
                <w:color w:val="000000"/>
                <w:kern w:val="0"/>
                <w:sz w:val="20"/>
                <w:szCs w:val="20"/>
                <w14:ligatures w14:val="none"/>
              </w:rPr>
              <w:t>s</w:t>
            </w:r>
            <w:proofErr w:type="spellEnd"/>
            <w:r w:rsidRPr="00C90D22">
              <w:rPr>
                <w:rFonts w:ascii="Times New Roman" w:eastAsia="Times New Roman" w:hAnsi="Times New Roman" w:cs="Times New Roman"/>
                <w:color w:val="000000"/>
                <w:kern w:val="0"/>
                <w:sz w:val="20"/>
                <w:szCs w:val="20"/>
                <w14:ligatures w14:val="none"/>
              </w:rPr>
              <w:t xml:space="preserve"> in a country to total </w:t>
            </w:r>
            <w:proofErr w:type="spellStart"/>
            <w:r>
              <w:rPr>
                <w:rFonts w:ascii="Times New Roman" w:eastAsia="Times New Roman" w:hAnsi="Times New Roman" w:cs="Times New Roman"/>
                <w:color w:val="000000"/>
                <w:kern w:val="0"/>
                <w:sz w:val="20"/>
                <w:szCs w:val="20"/>
                <w14:ligatures w14:val="none"/>
              </w:rPr>
              <w:t>f</w:t>
            </w:r>
            <w:r w:rsidRPr="00C90D22">
              <w:rPr>
                <w:rFonts w:ascii="Times New Roman" w:eastAsia="Times New Roman" w:hAnsi="Times New Roman" w:cs="Times New Roman"/>
                <w:color w:val="000000"/>
                <w:kern w:val="0"/>
                <w:sz w:val="20"/>
                <w:szCs w:val="20"/>
                <w14:ligatures w14:val="none"/>
              </w:rPr>
              <w:t>intechs</w:t>
            </w:r>
            <w:proofErr w:type="spellEnd"/>
            <w:r w:rsidRPr="00C90D22">
              <w:rPr>
                <w:rFonts w:ascii="Times New Roman" w:eastAsia="Times New Roman" w:hAnsi="Times New Roman" w:cs="Times New Roman"/>
                <w:color w:val="000000"/>
                <w:kern w:val="0"/>
                <w:sz w:val="20"/>
                <w:szCs w:val="20"/>
                <w14:ligatures w14:val="none"/>
              </w:rPr>
              <w:t xml:space="preserve"> in the world</w:t>
            </w:r>
          </w:p>
        </w:tc>
        <w:tc>
          <w:tcPr>
            <w:tcW w:w="2048" w:type="dxa"/>
            <w:tcBorders>
              <w:top w:val="nil"/>
              <w:left w:val="nil"/>
              <w:bottom w:val="nil"/>
              <w:right w:val="nil"/>
            </w:tcBorders>
          </w:tcPr>
          <w:p w14:paraId="14980FE8" w14:textId="3DA9FFD4" w:rsidR="00C90D22" w:rsidRPr="004201D8" w:rsidRDefault="004201D8" w:rsidP="00C90D22">
            <w:pPr>
              <w:spacing w:beforeLines="40" w:before="96" w:afterLines="40" w:after="96" w:line="240" w:lineRule="auto"/>
              <w:rPr>
                <w:rFonts w:ascii="Times New Roman" w:hAnsi="Times New Roman" w:cs="Times New Roman"/>
                <w:color w:val="000000"/>
                <w:kern w:val="0"/>
                <w:sz w:val="20"/>
                <w:szCs w:val="20"/>
                <w:lang w:eastAsia="zh-CN"/>
                <w14:ligatures w14:val="none"/>
              </w:rPr>
            </w:pPr>
            <w:r>
              <w:rPr>
                <w:rFonts w:ascii="Times New Roman" w:hAnsi="Times New Roman" w:cs="Times New Roman" w:hint="eastAsia"/>
                <w:color w:val="000000"/>
                <w:kern w:val="0"/>
                <w:sz w:val="20"/>
                <w:szCs w:val="20"/>
                <w:lang w:eastAsia="zh-CN"/>
                <w14:ligatures w14:val="none"/>
              </w:rPr>
              <w:t>Crunchbase</w:t>
            </w:r>
          </w:p>
        </w:tc>
      </w:tr>
      <w:tr w:rsidR="00C90D22" w:rsidRPr="00C90D22" w14:paraId="00B48A14" w14:textId="28A6FD6A" w:rsidTr="00C90D22">
        <w:trPr>
          <w:trHeight w:val="306"/>
        </w:trPr>
        <w:tc>
          <w:tcPr>
            <w:tcW w:w="3116" w:type="dxa"/>
            <w:tcBorders>
              <w:top w:val="nil"/>
              <w:left w:val="nil"/>
              <w:bottom w:val="nil"/>
              <w:right w:val="nil"/>
            </w:tcBorders>
            <w:shd w:val="clear" w:color="auto" w:fill="auto"/>
            <w:noWrap/>
            <w:vAlign w:val="center"/>
            <w:hideMark/>
          </w:tcPr>
          <w:p w14:paraId="0CA1D0A1" w14:textId="77777777" w:rsidR="00C90D22" w:rsidRPr="00C90D22" w:rsidRDefault="00C90D22" w:rsidP="00C90D22">
            <w:pPr>
              <w:spacing w:beforeLines="40" w:before="96" w:afterLines="40" w:after="96" w:line="240" w:lineRule="auto"/>
              <w:rPr>
                <w:rFonts w:ascii="Times New Roman" w:eastAsia="Times New Roman" w:hAnsi="Times New Roman" w:cs="Times New Roman"/>
                <w:color w:val="000000"/>
                <w:kern w:val="0"/>
                <w:sz w:val="20"/>
                <w:szCs w:val="20"/>
                <w14:ligatures w14:val="none"/>
              </w:rPr>
            </w:pPr>
            <w:proofErr w:type="spellStart"/>
            <w:r w:rsidRPr="00C90D22">
              <w:rPr>
                <w:rFonts w:ascii="Times New Roman" w:eastAsia="Times New Roman" w:hAnsi="Times New Roman" w:cs="Times New Roman"/>
                <w:color w:val="000000"/>
                <w:kern w:val="0"/>
                <w:sz w:val="20"/>
                <w:szCs w:val="20"/>
                <w14:ligatures w14:val="none"/>
              </w:rPr>
              <w:t>ClimateRisk</w:t>
            </w:r>
            <w:proofErr w:type="spellEnd"/>
          </w:p>
        </w:tc>
        <w:tc>
          <w:tcPr>
            <w:tcW w:w="2048" w:type="dxa"/>
            <w:tcBorders>
              <w:top w:val="nil"/>
              <w:left w:val="nil"/>
              <w:bottom w:val="nil"/>
              <w:right w:val="nil"/>
            </w:tcBorders>
            <w:vAlign w:val="bottom"/>
          </w:tcPr>
          <w:p w14:paraId="7FBFFB0A" w14:textId="7329AD9A" w:rsidR="00C90D22" w:rsidRPr="00C90D22" w:rsidRDefault="00C90D22" w:rsidP="00C90D22">
            <w:pPr>
              <w:spacing w:beforeLines="40" w:before="96" w:afterLines="40" w:after="96" w:line="240" w:lineRule="auto"/>
              <w:rPr>
                <w:rFonts w:ascii="Times New Roman" w:eastAsia="Times New Roman" w:hAnsi="Times New Roman" w:cs="Times New Roman"/>
                <w:color w:val="000000"/>
                <w:kern w:val="0"/>
                <w:sz w:val="20"/>
                <w:szCs w:val="20"/>
                <w14:ligatures w14:val="none"/>
              </w:rPr>
            </w:pPr>
            <w:r w:rsidRPr="00C90D22">
              <w:rPr>
                <w:rFonts w:ascii="Times New Roman" w:eastAsia="Times New Roman" w:hAnsi="Times New Roman" w:cs="Times New Roman"/>
                <w:color w:val="000000"/>
                <w:kern w:val="0"/>
                <w:sz w:val="20"/>
                <w:szCs w:val="20"/>
                <w14:ligatures w14:val="none"/>
              </w:rPr>
              <w:t xml:space="preserve">An index incorporating extreme rainfall, extreme high temperature, </w:t>
            </w:r>
            <w:r w:rsidR="00514308" w:rsidRPr="00C90D22">
              <w:rPr>
                <w:rFonts w:ascii="Times New Roman" w:eastAsia="Times New Roman" w:hAnsi="Times New Roman" w:cs="Times New Roman"/>
                <w:color w:val="000000"/>
                <w:kern w:val="0"/>
                <w:sz w:val="20"/>
                <w:szCs w:val="20"/>
                <w14:ligatures w14:val="none"/>
              </w:rPr>
              <w:t>extreme low temperature and extreme drought in a country</w:t>
            </w:r>
          </w:p>
        </w:tc>
        <w:tc>
          <w:tcPr>
            <w:tcW w:w="2048" w:type="dxa"/>
            <w:tcBorders>
              <w:top w:val="nil"/>
              <w:left w:val="nil"/>
              <w:bottom w:val="nil"/>
              <w:right w:val="nil"/>
            </w:tcBorders>
          </w:tcPr>
          <w:p w14:paraId="2954A5F3" w14:textId="4ED469E0" w:rsidR="00C90D22" w:rsidRPr="004201D8" w:rsidRDefault="004201D8" w:rsidP="00C90D22">
            <w:pPr>
              <w:spacing w:beforeLines="40" w:before="96" w:afterLines="40" w:after="96" w:line="240" w:lineRule="auto"/>
              <w:rPr>
                <w:rFonts w:ascii="Times New Roman" w:hAnsi="Times New Roman" w:cs="Times New Roman"/>
                <w:color w:val="000000"/>
                <w:kern w:val="0"/>
                <w:sz w:val="20"/>
                <w:szCs w:val="20"/>
                <w:lang w:eastAsia="zh-CN"/>
                <w14:ligatures w14:val="none"/>
              </w:rPr>
            </w:pPr>
            <w:r>
              <w:rPr>
                <w:rFonts w:ascii="Times New Roman" w:hAnsi="Times New Roman" w:cs="Times New Roman" w:hint="eastAsia"/>
                <w:color w:val="000000"/>
                <w:kern w:val="0"/>
                <w:sz w:val="20"/>
                <w:szCs w:val="20"/>
                <w:lang w:eastAsia="zh-CN"/>
                <w14:ligatures w14:val="none"/>
              </w:rPr>
              <w:t>Guo et al. (2024)</w:t>
            </w:r>
          </w:p>
        </w:tc>
      </w:tr>
      <w:tr w:rsidR="00C90D22" w:rsidRPr="00C90D22" w14:paraId="1666BAEA" w14:textId="54BF7FF6" w:rsidTr="00C90D22">
        <w:trPr>
          <w:trHeight w:val="306"/>
        </w:trPr>
        <w:tc>
          <w:tcPr>
            <w:tcW w:w="3116" w:type="dxa"/>
            <w:tcBorders>
              <w:top w:val="nil"/>
              <w:left w:val="nil"/>
              <w:bottom w:val="nil"/>
              <w:right w:val="nil"/>
            </w:tcBorders>
            <w:shd w:val="clear" w:color="auto" w:fill="auto"/>
            <w:noWrap/>
            <w:vAlign w:val="center"/>
            <w:hideMark/>
          </w:tcPr>
          <w:p w14:paraId="711B7C5C" w14:textId="77777777" w:rsidR="00C90D22" w:rsidRPr="00C90D22" w:rsidRDefault="00C90D22" w:rsidP="00C90D22">
            <w:pPr>
              <w:spacing w:beforeLines="40" w:before="96" w:afterLines="40" w:after="96" w:line="240" w:lineRule="auto"/>
              <w:rPr>
                <w:rFonts w:ascii="Times New Roman" w:eastAsia="Times New Roman" w:hAnsi="Times New Roman" w:cs="Times New Roman"/>
                <w:color w:val="000000"/>
                <w:kern w:val="0"/>
                <w:sz w:val="20"/>
                <w:szCs w:val="20"/>
                <w14:ligatures w14:val="none"/>
              </w:rPr>
            </w:pPr>
            <w:proofErr w:type="spellStart"/>
            <w:r w:rsidRPr="00C90D22">
              <w:rPr>
                <w:rFonts w:ascii="Times New Roman" w:eastAsia="Times New Roman" w:hAnsi="Times New Roman" w:cs="Times New Roman"/>
                <w:color w:val="000000"/>
                <w:kern w:val="0"/>
                <w:sz w:val="20"/>
                <w:szCs w:val="20"/>
                <w14:ligatures w14:val="none"/>
              </w:rPr>
              <w:t>CSRcom</w:t>
            </w:r>
            <w:proofErr w:type="spellEnd"/>
          </w:p>
        </w:tc>
        <w:tc>
          <w:tcPr>
            <w:tcW w:w="2048" w:type="dxa"/>
            <w:tcBorders>
              <w:top w:val="nil"/>
              <w:left w:val="nil"/>
              <w:bottom w:val="nil"/>
              <w:right w:val="nil"/>
            </w:tcBorders>
            <w:vAlign w:val="bottom"/>
          </w:tcPr>
          <w:p w14:paraId="2CEB4B48" w14:textId="5656CA1E" w:rsidR="00C90D22" w:rsidRPr="00C90D22" w:rsidRDefault="00C90D22" w:rsidP="00C90D22">
            <w:pPr>
              <w:spacing w:beforeLines="40" w:before="96" w:afterLines="40" w:after="96" w:line="240" w:lineRule="auto"/>
              <w:rPr>
                <w:rFonts w:ascii="Times New Roman" w:eastAsia="Times New Roman" w:hAnsi="Times New Roman" w:cs="Times New Roman"/>
                <w:color w:val="000000"/>
                <w:kern w:val="0"/>
                <w:sz w:val="20"/>
                <w:szCs w:val="20"/>
                <w14:ligatures w14:val="none"/>
              </w:rPr>
            </w:pPr>
            <w:r w:rsidRPr="00C90D22">
              <w:rPr>
                <w:rFonts w:ascii="Times New Roman" w:eastAsia="Times New Roman" w:hAnsi="Times New Roman" w:cs="Times New Roman"/>
                <w:color w:val="000000"/>
                <w:kern w:val="0"/>
                <w:sz w:val="20"/>
                <w:szCs w:val="20"/>
                <w14:ligatures w14:val="none"/>
              </w:rPr>
              <w:t xml:space="preserve">1 if there is a CSR committee </w:t>
            </w:r>
            <w:proofErr w:type="spellStart"/>
            <w:r w:rsidRPr="00C90D22">
              <w:rPr>
                <w:rFonts w:ascii="Times New Roman" w:eastAsia="Times New Roman" w:hAnsi="Times New Roman" w:cs="Times New Roman"/>
                <w:color w:val="000000"/>
                <w:kern w:val="0"/>
                <w:sz w:val="20"/>
                <w:szCs w:val="20"/>
                <w14:ligatures w14:val="none"/>
              </w:rPr>
              <w:t>ina</w:t>
            </w:r>
            <w:proofErr w:type="spellEnd"/>
            <w:r w:rsidRPr="00C90D22">
              <w:rPr>
                <w:rFonts w:ascii="Times New Roman" w:eastAsia="Times New Roman" w:hAnsi="Times New Roman" w:cs="Times New Roman"/>
                <w:color w:val="000000"/>
                <w:kern w:val="0"/>
                <w:sz w:val="20"/>
                <w:szCs w:val="20"/>
                <w14:ligatures w14:val="none"/>
              </w:rPr>
              <w:t xml:space="preserve"> firm otherwise 0</w:t>
            </w:r>
          </w:p>
        </w:tc>
        <w:tc>
          <w:tcPr>
            <w:tcW w:w="2048" w:type="dxa"/>
            <w:tcBorders>
              <w:top w:val="nil"/>
              <w:left w:val="nil"/>
              <w:bottom w:val="nil"/>
              <w:right w:val="nil"/>
            </w:tcBorders>
          </w:tcPr>
          <w:p w14:paraId="519CD64F" w14:textId="45EE93A9" w:rsidR="00C90D22" w:rsidRPr="00C90D22" w:rsidRDefault="004201D8" w:rsidP="00C90D22">
            <w:pPr>
              <w:spacing w:beforeLines="40" w:before="96" w:afterLines="40" w:after="96" w:line="240" w:lineRule="auto"/>
              <w:rPr>
                <w:rFonts w:ascii="Times New Roman" w:eastAsia="Times New Roman" w:hAnsi="Times New Roman" w:cs="Times New Roman"/>
                <w:color w:val="000000"/>
                <w:kern w:val="0"/>
                <w:sz w:val="20"/>
                <w:szCs w:val="20"/>
                <w14:ligatures w14:val="none"/>
              </w:rPr>
            </w:pPr>
            <w:r>
              <w:rPr>
                <w:rFonts w:ascii="Times New Roman" w:hAnsi="Times New Roman" w:cs="Times New Roman" w:hint="eastAsia"/>
                <w:color w:val="000000"/>
                <w:kern w:val="0"/>
                <w:sz w:val="20"/>
                <w:szCs w:val="20"/>
                <w:lang w:eastAsia="zh-CN"/>
                <w14:ligatures w14:val="none"/>
              </w:rPr>
              <w:t>Eikon</w:t>
            </w:r>
          </w:p>
        </w:tc>
      </w:tr>
      <w:tr w:rsidR="00C90D22" w:rsidRPr="00C90D22" w14:paraId="2089494E" w14:textId="08D67BA8" w:rsidTr="00C90D22">
        <w:trPr>
          <w:trHeight w:val="306"/>
        </w:trPr>
        <w:tc>
          <w:tcPr>
            <w:tcW w:w="3116" w:type="dxa"/>
            <w:tcBorders>
              <w:top w:val="nil"/>
              <w:left w:val="nil"/>
              <w:bottom w:val="nil"/>
              <w:right w:val="nil"/>
            </w:tcBorders>
            <w:shd w:val="clear" w:color="auto" w:fill="auto"/>
            <w:noWrap/>
            <w:vAlign w:val="center"/>
            <w:hideMark/>
          </w:tcPr>
          <w:p w14:paraId="7E1D6EE8" w14:textId="77777777" w:rsidR="00C90D22" w:rsidRPr="00C90D22" w:rsidRDefault="00C90D22" w:rsidP="00C90D22">
            <w:pPr>
              <w:spacing w:beforeLines="40" w:before="96" w:afterLines="40" w:after="96" w:line="240" w:lineRule="auto"/>
              <w:rPr>
                <w:rFonts w:ascii="Times New Roman" w:eastAsia="Times New Roman" w:hAnsi="Times New Roman" w:cs="Times New Roman"/>
                <w:color w:val="000000"/>
                <w:kern w:val="0"/>
                <w:sz w:val="20"/>
                <w:szCs w:val="20"/>
                <w14:ligatures w14:val="none"/>
              </w:rPr>
            </w:pPr>
            <w:proofErr w:type="spellStart"/>
            <w:r w:rsidRPr="00C90D22">
              <w:rPr>
                <w:rFonts w:ascii="Times New Roman" w:eastAsia="Times New Roman" w:hAnsi="Times New Roman" w:cs="Times New Roman"/>
                <w:color w:val="000000"/>
                <w:kern w:val="0"/>
                <w:sz w:val="20"/>
                <w:szCs w:val="20"/>
                <w14:ligatures w14:val="none"/>
              </w:rPr>
              <w:t>IndBoard</w:t>
            </w:r>
            <w:proofErr w:type="spellEnd"/>
          </w:p>
        </w:tc>
        <w:tc>
          <w:tcPr>
            <w:tcW w:w="2048" w:type="dxa"/>
            <w:tcBorders>
              <w:top w:val="nil"/>
              <w:left w:val="nil"/>
              <w:bottom w:val="nil"/>
              <w:right w:val="nil"/>
            </w:tcBorders>
            <w:vAlign w:val="bottom"/>
          </w:tcPr>
          <w:p w14:paraId="6562DEF2" w14:textId="5A94D5B6" w:rsidR="00C90D22" w:rsidRPr="00C90D22" w:rsidRDefault="00C90D22" w:rsidP="00C90D22">
            <w:pPr>
              <w:spacing w:beforeLines="40" w:before="96" w:afterLines="40" w:after="96" w:line="240" w:lineRule="auto"/>
              <w:rPr>
                <w:rFonts w:ascii="Times New Roman" w:eastAsia="Times New Roman" w:hAnsi="Times New Roman" w:cs="Times New Roman"/>
                <w:color w:val="000000"/>
                <w:kern w:val="0"/>
                <w:sz w:val="20"/>
                <w:szCs w:val="20"/>
                <w14:ligatures w14:val="none"/>
              </w:rPr>
            </w:pPr>
            <w:r w:rsidRPr="00C90D22">
              <w:rPr>
                <w:rFonts w:ascii="Times New Roman" w:eastAsia="Times New Roman" w:hAnsi="Times New Roman" w:cs="Times New Roman"/>
                <w:color w:val="000000"/>
                <w:kern w:val="0"/>
                <w:sz w:val="20"/>
                <w:szCs w:val="20"/>
                <w14:ligatures w14:val="none"/>
              </w:rPr>
              <w:t>Percentage of independent directors</w:t>
            </w:r>
          </w:p>
        </w:tc>
        <w:tc>
          <w:tcPr>
            <w:tcW w:w="2048" w:type="dxa"/>
            <w:tcBorders>
              <w:top w:val="nil"/>
              <w:left w:val="nil"/>
              <w:bottom w:val="nil"/>
              <w:right w:val="nil"/>
            </w:tcBorders>
          </w:tcPr>
          <w:p w14:paraId="27527F2D" w14:textId="6CA399B3" w:rsidR="00C90D22" w:rsidRPr="00C90D22" w:rsidRDefault="004201D8" w:rsidP="00C90D22">
            <w:pPr>
              <w:spacing w:beforeLines="40" w:before="96" w:afterLines="40" w:after="96" w:line="240" w:lineRule="auto"/>
              <w:rPr>
                <w:rFonts w:ascii="Times New Roman" w:eastAsia="Times New Roman" w:hAnsi="Times New Roman" w:cs="Times New Roman"/>
                <w:color w:val="000000"/>
                <w:kern w:val="0"/>
                <w:sz w:val="20"/>
                <w:szCs w:val="20"/>
                <w14:ligatures w14:val="none"/>
              </w:rPr>
            </w:pPr>
            <w:r>
              <w:rPr>
                <w:rFonts w:ascii="Times New Roman" w:hAnsi="Times New Roman" w:cs="Times New Roman" w:hint="eastAsia"/>
                <w:color w:val="000000"/>
                <w:kern w:val="0"/>
                <w:sz w:val="20"/>
                <w:szCs w:val="20"/>
                <w:lang w:eastAsia="zh-CN"/>
                <w14:ligatures w14:val="none"/>
              </w:rPr>
              <w:t>Eikon</w:t>
            </w:r>
          </w:p>
        </w:tc>
      </w:tr>
      <w:tr w:rsidR="00C90D22" w:rsidRPr="00C90D22" w14:paraId="50FD1AFC" w14:textId="22E59C18" w:rsidTr="00C90D22">
        <w:trPr>
          <w:trHeight w:val="306"/>
        </w:trPr>
        <w:tc>
          <w:tcPr>
            <w:tcW w:w="3116" w:type="dxa"/>
            <w:tcBorders>
              <w:top w:val="nil"/>
              <w:left w:val="nil"/>
              <w:bottom w:val="nil"/>
              <w:right w:val="nil"/>
            </w:tcBorders>
            <w:shd w:val="clear" w:color="auto" w:fill="auto"/>
            <w:noWrap/>
            <w:vAlign w:val="center"/>
            <w:hideMark/>
          </w:tcPr>
          <w:p w14:paraId="4DCDECB6" w14:textId="77777777" w:rsidR="00C90D22" w:rsidRPr="00C90D22" w:rsidRDefault="00C90D22" w:rsidP="00C90D22">
            <w:pPr>
              <w:spacing w:beforeLines="40" w:before="96" w:afterLines="40" w:after="96" w:line="240" w:lineRule="auto"/>
              <w:rPr>
                <w:rFonts w:ascii="Times New Roman" w:eastAsia="Times New Roman" w:hAnsi="Times New Roman" w:cs="Times New Roman"/>
                <w:color w:val="000000"/>
                <w:kern w:val="0"/>
                <w:sz w:val="20"/>
                <w:szCs w:val="20"/>
                <w14:ligatures w14:val="none"/>
              </w:rPr>
            </w:pPr>
            <w:proofErr w:type="spellStart"/>
            <w:r w:rsidRPr="00C90D22">
              <w:rPr>
                <w:rFonts w:ascii="Times New Roman" w:eastAsia="Times New Roman" w:hAnsi="Times New Roman" w:cs="Times New Roman"/>
                <w:color w:val="000000"/>
                <w:kern w:val="0"/>
                <w:sz w:val="20"/>
                <w:szCs w:val="20"/>
                <w14:ligatures w14:val="none"/>
              </w:rPr>
              <w:t>FemaleBoard</w:t>
            </w:r>
            <w:proofErr w:type="spellEnd"/>
          </w:p>
        </w:tc>
        <w:tc>
          <w:tcPr>
            <w:tcW w:w="2048" w:type="dxa"/>
            <w:tcBorders>
              <w:top w:val="nil"/>
              <w:left w:val="nil"/>
              <w:bottom w:val="nil"/>
              <w:right w:val="nil"/>
            </w:tcBorders>
            <w:vAlign w:val="bottom"/>
          </w:tcPr>
          <w:p w14:paraId="01F507DB" w14:textId="1AD787C7" w:rsidR="00C90D22" w:rsidRPr="00C90D22" w:rsidRDefault="00C90D22" w:rsidP="00C90D22">
            <w:pPr>
              <w:spacing w:beforeLines="40" w:before="96" w:afterLines="40" w:after="96" w:line="240" w:lineRule="auto"/>
              <w:rPr>
                <w:rFonts w:ascii="Times New Roman" w:eastAsia="Times New Roman" w:hAnsi="Times New Roman" w:cs="Times New Roman"/>
                <w:color w:val="000000"/>
                <w:kern w:val="0"/>
                <w:sz w:val="20"/>
                <w:szCs w:val="20"/>
                <w14:ligatures w14:val="none"/>
              </w:rPr>
            </w:pPr>
            <w:r w:rsidRPr="00C90D22">
              <w:rPr>
                <w:rFonts w:ascii="Times New Roman" w:eastAsia="Times New Roman" w:hAnsi="Times New Roman" w:cs="Times New Roman"/>
                <w:color w:val="000000"/>
                <w:kern w:val="0"/>
                <w:sz w:val="20"/>
                <w:szCs w:val="20"/>
                <w14:ligatures w14:val="none"/>
              </w:rPr>
              <w:t>Percentage of female directors</w:t>
            </w:r>
          </w:p>
        </w:tc>
        <w:tc>
          <w:tcPr>
            <w:tcW w:w="2048" w:type="dxa"/>
            <w:tcBorders>
              <w:top w:val="nil"/>
              <w:left w:val="nil"/>
              <w:bottom w:val="nil"/>
              <w:right w:val="nil"/>
            </w:tcBorders>
          </w:tcPr>
          <w:p w14:paraId="5DA207C7" w14:textId="5B4C6A07" w:rsidR="00C90D22" w:rsidRPr="00C90D22" w:rsidRDefault="004201D8" w:rsidP="00C90D22">
            <w:pPr>
              <w:spacing w:beforeLines="40" w:before="96" w:afterLines="40" w:after="96" w:line="240" w:lineRule="auto"/>
              <w:rPr>
                <w:rFonts w:ascii="Times New Roman" w:eastAsia="Times New Roman" w:hAnsi="Times New Roman" w:cs="Times New Roman"/>
                <w:color w:val="000000"/>
                <w:kern w:val="0"/>
                <w:sz w:val="20"/>
                <w:szCs w:val="20"/>
                <w14:ligatures w14:val="none"/>
              </w:rPr>
            </w:pPr>
            <w:r>
              <w:rPr>
                <w:rFonts w:ascii="Times New Roman" w:hAnsi="Times New Roman" w:cs="Times New Roman" w:hint="eastAsia"/>
                <w:color w:val="000000"/>
                <w:kern w:val="0"/>
                <w:sz w:val="20"/>
                <w:szCs w:val="20"/>
                <w:lang w:eastAsia="zh-CN"/>
                <w14:ligatures w14:val="none"/>
              </w:rPr>
              <w:t>Eikon</w:t>
            </w:r>
          </w:p>
        </w:tc>
      </w:tr>
      <w:tr w:rsidR="00C90D22" w:rsidRPr="00C90D22" w14:paraId="5AE19EE4" w14:textId="2C114CF0" w:rsidTr="00C90D22">
        <w:trPr>
          <w:trHeight w:val="306"/>
        </w:trPr>
        <w:tc>
          <w:tcPr>
            <w:tcW w:w="3116" w:type="dxa"/>
            <w:tcBorders>
              <w:top w:val="nil"/>
              <w:left w:val="nil"/>
              <w:bottom w:val="nil"/>
              <w:right w:val="nil"/>
            </w:tcBorders>
            <w:shd w:val="clear" w:color="auto" w:fill="auto"/>
            <w:noWrap/>
            <w:vAlign w:val="center"/>
            <w:hideMark/>
          </w:tcPr>
          <w:p w14:paraId="190108DF" w14:textId="77777777" w:rsidR="00C90D22" w:rsidRPr="00C90D22" w:rsidRDefault="00C90D22" w:rsidP="00C90D22">
            <w:pPr>
              <w:spacing w:beforeLines="40" w:before="96" w:afterLines="40" w:after="96" w:line="240" w:lineRule="auto"/>
              <w:rPr>
                <w:rFonts w:ascii="Times New Roman" w:eastAsia="Times New Roman" w:hAnsi="Times New Roman" w:cs="Times New Roman"/>
                <w:color w:val="000000"/>
                <w:kern w:val="0"/>
                <w:sz w:val="20"/>
                <w:szCs w:val="20"/>
                <w14:ligatures w14:val="none"/>
              </w:rPr>
            </w:pPr>
            <w:proofErr w:type="spellStart"/>
            <w:r w:rsidRPr="00C90D22">
              <w:rPr>
                <w:rFonts w:ascii="Times New Roman" w:eastAsia="Times New Roman" w:hAnsi="Times New Roman" w:cs="Times New Roman"/>
                <w:color w:val="000000"/>
                <w:kern w:val="0"/>
                <w:sz w:val="20"/>
                <w:szCs w:val="20"/>
                <w14:ligatures w14:val="none"/>
              </w:rPr>
              <w:t>FirmGrow</w:t>
            </w:r>
            <w:proofErr w:type="spellEnd"/>
          </w:p>
        </w:tc>
        <w:tc>
          <w:tcPr>
            <w:tcW w:w="2048" w:type="dxa"/>
            <w:tcBorders>
              <w:top w:val="nil"/>
              <w:left w:val="nil"/>
              <w:bottom w:val="nil"/>
              <w:right w:val="nil"/>
            </w:tcBorders>
            <w:vAlign w:val="bottom"/>
          </w:tcPr>
          <w:p w14:paraId="664D2AA6" w14:textId="59809CE8" w:rsidR="00C90D22" w:rsidRPr="00C90D22" w:rsidRDefault="00C90D22" w:rsidP="00C90D22">
            <w:pPr>
              <w:spacing w:beforeLines="40" w:before="96" w:afterLines="40" w:after="96" w:line="240" w:lineRule="auto"/>
              <w:rPr>
                <w:rFonts w:ascii="Times New Roman" w:eastAsia="Times New Roman" w:hAnsi="Times New Roman" w:cs="Times New Roman"/>
                <w:color w:val="000000"/>
                <w:kern w:val="0"/>
                <w:sz w:val="20"/>
                <w:szCs w:val="20"/>
                <w14:ligatures w14:val="none"/>
              </w:rPr>
            </w:pPr>
            <w:r w:rsidRPr="00C90D22">
              <w:rPr>
                <w:rFonts w:ascii="Times New Roman" w:eastAsia="Times New Roman" w:hAnsi="Times New Roman" w:cs="Times New Roman"/>
                <w:color w:val="000000"/>
                <w:kern w:val="0"/>
                <w:sz w:val="20"/>
                <w:szCs w:val="20"/>
                <w14:ligatures w14:val="none"/>
              </w:rPr>
              <w:t>Ratio of market value of equity to book value of equity</w:t>
            </w:r>
          </w:p>
        </w:tc>
        <w:tc>
          <w:tcPr>
            <w:tcW w:w="2048" w:type="dxa"/>
            <w:tcBorders>
              <w:top w:val="nil"/>
              <w:left w:val="nil"/>
              <w:bottom w:val="nil"/>
              <w:right w:val="nil"/>
            </w:tcBorders>
          </w:tcPr>
          <w:p w14:paraId="2EC15F64" w14:textId="1D8C6E14" w:rsidR="00C90D22" w:rsidRPr="00C90D22" w:rsidRDefault="004201D8" w:rsidP="00C90D22">
            <w:pPr>
              <w:spacing w:beforeLines="40" w:before="96" w:afterLines="40" w:after="96" w:line="240" w:lineRule="auto"/>
              <w:rPr>
                <w:rFonts w:ascii="Times New Roman" w:eastAsia="Times New Roman" w:hAnsi="Times New Roman" w:cs="Times New Roman"/>
                <w:color w:val="000000"/>
                <w:kern w:val="0"/>
                <w:sz w:val="20"/>
                <w:szCs w:val="20"/>
                <w14:ligatures w14:val="none"/>
              </w:rPr>
            </w:pPr>
            <w:r>
              <w:rPr>
                <w:rFonts w:ascii="Times New Roman" w:hAnsi="Times New Roman" w:cs="Times New Roman" w:hint="eastAsia"/>
                <w:color w:val="000000"/>
                <w:kern w:val="0"/>
                <w:sz w:val="20"/>
                <w:szCs w:val="20"/>
                <w:lang w:eastAsia="zh-CN"/>
                <w14:ligatures w14:val="none"/>
              </w:rPr>
              <w:t>Eikon</w:t>
            </w:r>
          </w:p>
        </w:tc>
      </w:tr>
      <w:tr w:rsidR="00C90D22" w:rsidRPr="00C90D22" w14:paraId="3559D30F" w14:textId="4B754EC0" w:rsidTr="00C90D22">
        <w:trPr>
          <w:trHeight w:val="306"/>
        </w:trPr>
        <w:tc>
          <w:tcPr>
            <w:tcW w:w="3116" w:type="dxa"/>
            <w:tcBorders>
              <w:top w:val="nil"/>
              <w:left w:val="nil"/>
              <w:bottom w:val="nil"/>
              <w:right w:val="nil"/>
            </w:tcBorders>
            <w:shd w:val="clear" w:color="auto" w:fill="auto"/>
            <w:noWrap/>
            <w:vAlign w:val="center"/>
            <w:hideMark/>
          </w:tcPr>
          <w:p w14:paraId="1C99826C" w14:textId="77777777" w:rsidR="00C90D22" w:rsidRPr="00C90D22" w:rsidRDefault="00C90D22" w:rsidP="00C90D22">
            <w:pPr>
              <w:spacing w:beforeLines="40" w:before="96" w:afterLines="40" w:after="96" w:line="240" w:lineRule="auto"/>
              <w:rPr>
                <w:rFonts w:ascii="Times New Roman" w:eastAsia="Times New Roman" w:hAnsi="Times New Roman" w:cs="Times New Roman"/>
                <w:color w:val="000000"/>
                <w:kern w:val="0"/>
                <w:sz w:val="20"/>
                <w:szCs w:val="20"/>
                <w14:ligatures w14:val="none"/>
              </w:rPr>
            </w:pPr>
            <w:r w:rsidRPr="00C90D22">
              <w:rPr>
                <w:rFonts w:ascii="Times New Roman" w:eastAsia="Times New Roman" w:hAnsi="Times New Roman" w:cs="Times New Roman"/>
                <w:color w:val="000000"/>
                <w:kern w:val="0"/>
                <w:sz w:val="20"/>
                <w:szCs w:val="20"/>
                <w14:ligatures w14:val="none"/>
              </w:rPr>
              <w:t>ROE</w:t>
            </w:r>
          </w:p>
        </w:tc>
        <w:tc>
          <w:tcPr>
            <w:tcW w:w="2048" w:type="dxa"/>
            <w:tcBorders>
              <w:top w:val="nil"/>
              <w:left w:val="nil"/>
              <w:bottom w:val="nil"/>
              <w:right w:val="nil"/>
            </w:tcBorders>
            <w:vAlign w:val="bottom"/>
          </w:tcPr>
          <w:p w14:paraId="3248859F" w14:textId="628AA4A0" w:rsidR="00C90D22" w:rsidRPr="00C90D22" w:rsidRDefault="00C90D22" w:rsidP="00C90D22">
            <w:pPr>
              <w:spacing w:beforeLines="40" w:before="96" w:afterLines="40" w:after="96" w:line="240" w:lineRule="auto"/>
              <w:rPr>
                <w:rFonts w:ascii="Times New Roman" w:eastAsia="Times New Roman" w:hAnsi="Times New Roman" w:cs="Times New Roman"/>
                <w:color w:val="000000"/>
                <w:kern w:val="0"/>
                <w:sz w:val="20"/>
                <w:szCs w:val="20"/>
                <w14:ligatures w14:val="none"/>
              </w:rPr>
            </w:pPr>
            <w:r w:rsidRPr="00C90D22">
              <w:rPr>
                <w:rFonts w:ascii="Times New Roman" w:eastAsia="Times New Roman" w:hAnsi="Times New Roman" w:cs="Times New Roman"/>
                <w:color w:val="000000"/>
                <w:kern w:val="0"/>
                <w:sz w:val="20"/>
                <w:szCs w:val="20"/>
                <w14:ligatures w14:val="none"/>
              </w:rPr>
              <w:t xml:space="preserve">Return on </w:t>
            </w:r>
            <w:r>
              <w:rPr>
                <w:rFonts w:ascii="Times New Roman" w:eastAsia="Times New Roman" w:hAnsi="Times New Roman" w:cs="Times New Roman"/>
                <w:color w:val="000000"/>
                <w:kern w:val="0"/>
                <w:sz w:val="20"/>
                <w:szCs w:val="20"/>
                <w14:ligatures w14:val="none"/>
              </w:rPr>
              <w:t>e</w:t>
            </w:r>
            <w:r w:rsidRPr="00C90D22">
              <w:rPr>
                <w:rFonts w:ascii="Times New Roman" w:eastAsia="Times New Roman" w:hAnsi="Times New Roman" w:cs="Times New Roman"/>
                <w:color w:val="000000"/>
                <w:kern w:val="0"/>
                <w:sz w:val="20"/>
                <w:szCs w:val="20"/>
                <w14:ligatures w14:val="none"/>
              </w:rPr>
              <w:t>quity</w:t>
            </w:r>
          </w:p>
        </w:tc>
        <w:tc>
          <w:tcPr>
            <w:tcW w:w="2048" w:type="dxa"/>
            <w:tcBorders>
              <w:top w:val="nil"/>
              <w:left w:val="nil"/>
              <w:bottom w:val="nil"/>
              <w:right w:val="nil"/>
            </w:tcBorders>
          </w:tcPr>
          <w:p w14:paraId="6E5B0A44" w14:textId="2F67BF72" w:rsidR="00C90D22" w:rsidRPr="00C90D22" w:rsidRDefault="004201D8" w:rsidP="00C90D22">
            <w:pPr>
              <w:spacing w:beforeLines="40" w:before="96" w:afterLines="40" w:after="96" w:line="240" w:lineRule="auto"/>
              <w:rPr>
                <w:rFonts w:ascii="Times New Roman" w:eastAsia="Times New Roman" w:hAnsi="Times New Roman" w:cs="Times New Roman"/>
                <w:color w:val="000000"/>
                <w:kern w:val="0"/>
                <w:sz w:val="20"/>
                <w:szCs w:val="20"/>
                <w14:ligatures w14:val="none"/>
              </w:rPr>
            </w:pPr>
            <w:r>
              <w:rPr>
                <w:rFonts w:ascii="Times New Roman" w:hAnsi="Times New Roman" w:cs="Times New Roman" w:hint="eastAsia"/>
                <w:color w:val="000000"/>
                <w:kern w:val="0"/>
                <w:sz w:val="20"/>
                <w:szCs w:val="20"/>
                <w:lang w:eastAsia="zh-CN"/>
                <w14:ligatures w14:val="none"/>
              </w:rPr>
              <w:t>Eikon</w:t>
            </w:r>
          </w:p>
        </w:tc>
      </w:tr>
      <w:tr w:rsidR="00C90D22" w:rsidRPr="00C90D22" w14:paraId="5BEF1500" w14:textId="35A5CFD6" w:rsidTr="00C90D22">
        <w:trPr>
          <w:trHeight w:val="306"/>
        </w:trPr>
        <w:tc>
          <w:tcPr>
            <w:tcW w:w="3116" w:type="dxa"/>
            <w:tcBorders>
              <w:top w:val="nil"/>
              <w:left w:val="nil"/>
              <w:bottom w:val="nil"/>
              <w:right w:val="nil"/>
            </w:tcBorders>
            <w:shd w:val="clear" w:color="auto" w:fill="auto"/>
            <w:noWrap/>
            <w:vAlign w:val="center"/>
            <w:hideMark/>
          </w:tcPr>
          <w:p w14:paraId="5202AFE1" w14:textId="77777777" w:rsidR="00C90D22" w:rsidRPr="00C90D22" w:rsidRDefault="00C90D22" w:rsidP="00C90D22">
            <w:pPr>
              <w:spacing w:beforeLines="40" w:before="96" w:afterLines="40" w:after="96" w:line="240" w:lineRule="auto"/>
              <w:rPr>
                <w:rFonts w:ascii="Times New Roman" w:eastAsia="Times New Roman" w:hAnsi="Times New Roman" w:cs="Times New Roman"/>
                <w:color w:val="000000"/>
                <w:kern w:val="0"/>
                <w:sz w:val="20"/>
                <w:szCs w:val="20"/>
                <w14:ligatures w14:val="none"/>
              </w:rPr>
            </w:pPr>
            <w:r w:rsidRPr="00C90D22">
              <w:rPr>
                <w:rFonts w:ascii="Times New Roman" w:eastAsia="Times New Roman" w:hAnsi="Times New Roman" w:cs="Times New Roman"/>
                <w:color w:val="000000"/>
                <w:kern w:val="0"/>
                <w:sz w:val="20"/>
                <w:szCs w:val="20"/>
                <w14:ligatures w14:val="none"/>
              </w:rPr>
              <w:t>Leverage</w:t>
            </w:r>
          </w:p>
        </w:tc>
        <w:tc>
          <w:tcPr>
            <w:tcW w:w="2048" w:type="dxa"/>
            <w:tcBorders>
              <w:top w:val="nil"/>
              <w:left w:val="nil"/>
              <w:bottom w:val="nil"/>
              <w:right w:val="nil"/>
            </w:tcBorders>
            <w:vAlign w:val="bottom"/>
          </w:tcPr>
          <w:p w14:paraId="29C785CD" w14:textId="2B73B84C" w:rsidR="00C90D22" w:rsidRPr="00C90D22" w:rsidRDefault="00C90D22" w:rsidP="00C90D22">
            <w:pPr>
              <w:spacing w:beforeLines="40" w:before="96" w:afterLines="40" w:after="96" w:line="240" w:lineRule="auto"/>
              <w:rPr>
                <w:rFonts w:ascii="Times New Roman" w:eastAsia="Times New Roman" w:hAnsi="Times New Roman" w:cs="Times New Roman"/>
                <w:color w:val="000000"/>
                <w:kern w:val="0"/>
                <w:sz w:val="20"/>
                <w:szCs w:val="20"/>
                <w14:ligatures w14:val="none"/>
              </w:rPr>
            </w:pPr>
            <w:r w:rsidRPr="00C90D22">
              <w:rPr>
                <w:rFonts w:ascii="Times New Roman" w:eastAsia="Times New Roman" w:hAnsi="Times New Roman" w:cs="Times New Roman"/>
                <w:color w:val="000000"/>
                <w:kern w:val="0"/>
                <w:sz w:val="20"/>
                <w:szCs w:val="20"/>
                <w14:ligatures w14:val="none"/>
              </w:rPr>
              <w:t>Log of the proportion of debt to assets</w:t>
            </w:r>
          </w:p>
        </w:tc>
        <w:tc>
          <w:tcPr>
            <w:tcW w:w="2048" w:type="dxa"/>
            <w:tcBorders>
              <w:top w:val="nil"/>
              <w:left w:val="nil"/>
              <w:bottom w:val="nil"/>
              <w:right w:val="nil"/>
            </w:tcBorders>
          </w:tcPr>
          <w:p w14:paraId="35230568" w14:textId="3A284B83" w:rsidR="00C90D22" w:rsidRPr="00C90D22" w:rsidRDefault="004201D8" w:rsidP="00C90D22">
            <w:pPr>
              <w:spacing w:beforeLines="40" w:before="96" w:afterLines="40" w:after="96" w:line="240" w:lineRule="auto"/>
              <w:rPr>
                <w:rFonts w:ascii="Times New Roman" w:eastAsia="Times New Roman" w:hAnsi="Times New Roman" w:cs="Times New Roman"/>
                <w:color w:val="000000"/>
                <w:kern w:val="0"/>
                <w:sz w:val="20"/>
                <w:szCs w:val="20"/>
                <w14:ligatures w14:val="none"/>
              </w:rPr>
            </w:pPr>
            <w:r>
              <w:rPr>
                <w:rFonts w:ascii="Times New Roman" w:hAnsi="Times New Roman" w:cs="Times New Roman" w:hint="eastAsia"/>
                <w:color w:val="000000"/>
                <w:kern w:val="0"/>
                <w:sz w:val="20"/>
                <w:szCs w:val="20"/>
                <w:lang w:eastAsia="zh-CN"/>
                <w14:ligatures w14:val="none"/>
              </w:rPr>
              <w:t>Eikon</w:t>
            </w:r>
          </w:p>
        </w:tc>
      </w:tr>
      <w:tr w:rsidR="00C90D22" w:rsidRPr="00C90D22" w14:paraId="1C9068A7" w14:textId="1B933742" w:rsidTr="00C90D22">
        <w:trPr>
          <w:trHeight w:val="306"/>
        </w:trPr>
        <w:tc>
          <w:tcPr>
            <w:tcW w:w="3116" w:type="dxa"/>
            <w:tcBorders>
              <w:top w:val="nil"/>
              <w:left w:val="nil"/>
              <w:bottom w:val="nil"/>
              <w:right w:val="nil"/>
            </w:tcBorders>
            <w:shd w:val="clear" w:color="auto" w:fill="auto"/>
            <w:noWrap/>
            <w:vAlign w:val="center"/>
            <w:hideMark/>
          </w:tcPr>
          <w:p w14:paraId="7E058DA4" w14:textId="77777777" w:rsidR="00C90D22" w:rsidRPr="00C90D22" w:rsidRDefault="00C90D22" w:rsidP="00C90D22">
            <w:pPr>
              <w:spacing w:beforeLines="40" w:before="96" w:afterLines="40" w:after="96" w:line="240" w:lineRule="auto"/>
              <w:rPr>
                <w:rFonts w:ascii="Times New Roman" w:eastAsia="Times New Roman" w:hAnsi="Times New Roman" w:cs="Times New Roman"/>
                <w:color w:val="000000"/>
                <w:kern w:val="0"/>
                <w:sz w:val="20"/>
                <w:szCs w:val="20"/>
                <w14:ligatures w14:val="none"/>
              </w:rPr>
            </w:pPr>
            <w:proofErr w:type="spellStart"/>
            <w:r w:rsidRPr="00C90D22">
              <w:rPr>
                <w:rFonts w:ascii="Times New Roman" w:eastAsia="Times New Roman" w:hAnsi="Times New Roman" w:cs="Times New Roman"/>
                <w:color w:val="000000"/>
                <w:kern w:val="0"/>
                <w:sz w:val="20"/>
                <w:szCs w:val="20"/>
                <w14:ligatures w14:val="none"/>
              </w:rPr>
              <w:t>FirmSize</w:t>
            </w:r>
            <w:proofErr w:type="spellEnd"/>
          </w:p>
        </w:tc>
        <w:tc>
          <w:tcPr>
            <w:tcW w:w="2048" w:type="dxa"/>
            <w:tcBorders>
              <w:top w:val="nil"/>
              <w:left w:val="nil"/>
              <w:bottom w:val="nil"/>
              <w:right w:val="nil"/>
            </w:tcBorders>
            <w:vAlign w:val="bottom"/>
          </w:tcPr>
          <w:p w14:paraId="42949DBC" w14:textId="11720C4F" w:rsidR="00C90D22" w:rsidRPr="00C90D22" w:rsidRDefault="00C90D22" w:rsidP="00C90D22">
            <w:pPr>
              <w:spacing w:beforeLines="40" w:before="96" w:afterLines="40" w:after="96" w:line="240" w:lineRule="auto"/>
              <w:rPr>
                <w:rFonts w:ascii="Times New Roman" w:eastAsia="Times New Roman" w:hAnsi="Times New Roman" w:cs="Times New Roman"/>
                <w:color w:val="000000"/>
                <w:kern w:val="0"/>
                <w:sz w:val="20"/>
                <w:szCs w:val="20"/>
                <w14:ligatures w14:val="none"/>
              </w:rPr>
            </w:pPr>
            <w:r w:rsidRPr="00C90D22">
              <w:rPr>
                <w:rFonts w:ascii="Times New Roman" w:eastAsia="Times New Roman" w:hAnsi="Times New Roman" w:cs="Times New Roman"/>
                <w:color w:val="000000"/>
                <w:kern w:val="0"/>
                <w:sz w:val="20"/>
                <w:szCs w:val="20"/>
                <w14:ligatures w14:val="none"/>
              </w:rPr>
              <w:t>Log of total assets</w:t>
            </w:r>
          </w:p>
        </w:tc>
        <w:tc>
          <w:tcPr>
            <w:tcW w:w="2048" w:type="dxa"/>
            <w:tcBorders>
              <w:top w:val="nil"/>
              <w:left w:val="nil"/>
              <w:bottom w:val="nil"/>
              <w:right w:val="nil"/>
            </w:tcBorders>
          </w:tcPr>
          <w:p w14:paraId="79BB9599" w14:textId="36E5A4ED" w:rsidR="00C90D22" w:rsidRPr="00C90D22" w:rsidRDefault="004201D8" w:rsidP="00C90D22">
            <w:pPr>
              <w:spacing w:beforeLines="40" w:before="96" w:afterLines="40" w:after="96" w:line="240" w:lineRule="auto"/>
              <w:rPr>
                <w:rFonts w:ascii="Times New Roman" w:eastAsia="Times New Roman" w:hAnsi="Times New Roman" w:cs="Times New Roman"/>
                <w:color w:val="000000"/>
                <w:kern w:val="0"/>
                <w:sz w:val="20"/>
                <w:szCs w:val="20"/>
                <w14:ligatures w14:val="none"/>
              </w:rPr>
            </w:pPr>
            <w:r>
              <w:rPr>
                <w:rFonts w:ascii="Times New Roman" w:hAnsi="Times New Roman" w:cs="Times New Roman" w:hint="eastAsia"/>
                <w:color w:val="000000"/>
                <w:kern w:val="0"/>
                <w:sz w:val="20"/>
                <w:szCs w:val="20"/>
                <w:lang w:eastAsia="zh-CN"/>
                <w14:ligatures w14:val="none"/>
              </w:rPr>
              <w:t>Eikon</w:t>
            </w:r>
          </w:p>
        </w:tc>
      </w:tr>
      <w:tr w:rsidR="00C90D22" w:rsidRPr="00C90D22" w14:paraId="6EA87217" w14:textId="2C66F862" w:rsidTr="00C90D22">
        <w:trPr>
          <w:trHeight w:val="306"/>
        </w:trPr>
        <w:tc>
          <w:tcPr>
            <w:tcW w:w="3116" w:type="dxa"/>
            <w:tcBorders>
              <w:top w:val="nil"/>
              <w:left w:val="nil"/>
              <w:bottom w:val="nil"/>
              <w:right w:val="nil"/>
            </w:tcBorders>
            <w:shd w:val="clear" w:color="auto" w:fill="auto"/>
            <w:noWrap/>
            <w:vAlign w:val="center"/>
            <w:hideMark/>
          </w:tcPr>
          <w:p w14:paraId="6B0B7D0C" w14:textId="77777777" w:rsidR="00C90D22" w:rsidRPr="00C90D22" w:rsidRDefault="00C90D22" w:rsidP="00C90D22">
            <w:pPr>
              <w:spacing w:beforeLines="40" w:before="96" w:afterLines="40" w:after="96" w:line="240" w:lineRule="auto"/>
              <w:rPr>
                <w:rFonts w:ascii="Times New Roman" w:eastAsia="Times New Roman" w:hAnsi="Times New Roman" w:cs="Times New Roman"/>
                <w:color w:val="000000"/>
                <w:kern w:val="0"/>
                <w:sz w:val="20"/>
                <w:szCs w:val="20"/>
                <w14:ligatures w14:val="none"/>
              </w:rPr>
            </w:pPr>
            <w:proofErr w:type="spellStart"/>
            <w:r w:rsidRPr="00C90D22">
              <w:rPr>
                <w:rFonts w:ascii="Times New Roman" w:eastAsia="Times New Roman" w:hAnsi="Times New Roman" w:cs="Times New Roman"/>
                <w:color w:val="000000"/>
                <w:kern w:val="0"/>
                <w:sz w:val="20"/>
                <w:szCs w:val="20"/>
                <w14:ligatures w14:val="none"/>
              </w:rPr>
              <w:t>BoardSize</w:t>
            </w:r>
            <w:proofErr w:type="spellEnd"/>
          </w:p>
        </w:tc>
        <w:tc>
          <w:tcPr>
            <w:tcW w:w="2048" w:type="dxa"/>
            <w:tcBorders>
              <w:top w:val="nil"/>
              <w:left w:val="nil"/>
              <w:bottom w:val="nil"/>
              <w:right w:val="nil"/>
            </w:tcBorders>
            <w:vAlign w:val="bottom"/>
          </w:tcPr>
          <w:p w14:paraId="2E98845E" w14:textId="747BD481" w:rsidR="00C90D22" w:rsidRPr="00C90D22" w:rsidRDefault="00C90D22" w:rsidP="00C90D22">
            <w:pPr>
              <w:spacing w:beforeLines="40" w:before="96" w:afterLines="40" w:after="96" w:line="240" w:lineRule="auto"/>
              <w:rPr>
                <w:rFonts w:ascii="Times New Roman" w:eastAsia="Times New Roman" w:hAnsi="Times New Roman" w:cs="Times New Roman"/>
                <w:color w:val="000000"/>
                <w:kern w:val="0"/>
                <w:sz w:val="20"/>
                <w:szCs w:val="20"/>
                <w14:ligatures w14:val="none"/>
              </w:rPr>
            </w:pPr>
            <w:r w:rsidRPr="00C90D22">
              <w:rPr>
                <w:rFonts w:ascii="Times New Roman" w:eastAsia="Times New Roman" w:hAnsi="Times New Roman" w:cs="Times New Roman"/>
                <w:color w:val="000000"/>
                <w:kern w:val="0"/>
                <w:sz w:val="20"/>
                <w:szCs w:val="20"/>
                <w14:ligatures w14:val="none"/>
              </w:rPr>
              <w:t>Number of board members</w:t>
            </w:r>
          </w:p>
        </w:tc>
        <w:tc>
          <w:tcPr>
            <w:tcW w:w="2048" w:type="dxa"/>
            <w:tcBorders>
              <w:top w:val="nil"/>
              <w:left w:val="nil"/>
              <w:bottom w:val="nil"/>
              <w:right w:val="nil"/>
            </w:tcBorders>
          </w:tcPr>
          <w:p w14:paraId="05538D5D" w14:textId="22F4E4C0" w:rsidR="00C90D22" w:rsidRPr="00C90D22" w:rsidRDefault="004201D8" w:rsidP="00C90D22">
            <w:pPr>
              <w:spacing w:beforeLines="40" w:before="96" w:afterLines="40" w:after="96" w:line="240" w:lineRule="auto"/>
              <w:rPr>
                <w:rFonts w:ascii="Times New Roman" w:eastAsia="Times New Roman" w:hAnsi="Times New Roman" w:cs="Times New Roman"/>
                <w:color w:val="000000"/>
                <w:kern w:val="0"/>
                <w:sz w:val="20"/>
                <w:szCs w:val="20"/>
                <w14:ligatures w14:val="none"/>
              </w:rPr>
            </w:pPr>
            <w:r>
              <w:rPr>
                <w:rFonts w:ascii="Times New Roman" w:hAnsi="Times New Roman" w:cs="Times New Roman" w:hint="eastAsia"/>
                <w:color w:val="000000"/>
                <w:kern w:val="0"/>
                <w:sz w:val="20"/>
                <w:szCs w:val="20"/>
                <w:lang w:eastAsia="zh-CN"/>
                <w14:ligatures w14:val="none"/>
              </w:rPr>
              <w:t>Eikon</w:t>
            </w:r>
          </w:p>
        </w:tc>
      </w:tr>
      <w:tr w:rsidR="00C90D22" w:rsidRPr="00C90D22" w14:paraId="0D7FC5FA" w14:textId="7162E061" w:rsidTr="00C90D22">
        <w:trPr>
          <w:trHeight w:val="306"/>
        </w:trPr>
        <w:tc>
          <w:tcPr>
            <w:tcW w:w="3116" w:type="dxa"/>
            <w:tcBorders>
              <w:top w:val="nil"/>
              <w:left w:val="nil"/>
              <w:bottom w:val="nil"/>
              <w:right w:val="nil"/>
            </w:tcBorders>
            <w:shd w:val="clear" w:color="auto" w:fill="auto"/>
            <w:noWrap/>
            <w:vAlign w:val="center"/>
            <w:hideMark/>
          </w:tcPr>
          <w:p w14:paraId="4F2DDC7B" w14:textId="77777777" w:rsidR="00C90D22" w:rsidRPr="00C90D22" w:rsidRDefault="00C90D22" w:rsidP="00C90D22">
            <w:pPr>
              <w:spacing w:beforeLines="40" w:before="96" w:afterLines="40" w:after="96" w:line="240" w:lineRule="auto"/>
              <w:rPr>
                <w:rFonts w:ascii="Times New Roman" w:eastAsia="Times New Roman" w:hAnsi="Times New Roman" w:cs="Times New Roman"/>
                <w:color w:val="000000"/>
                <w:kern w:val="0"/>
                <w:sz w:val="20"/>
                <w:szCs w:val="20"/>
                <w14:ligatures w14:val="none"/>
              </w:rPr>
            </w:pPr>
            <w:proofErr w:type="spellStart"/>
            <w:r w:rsidRPr="00C90D22">
              <w:rPr>
                <w:rFonts w:ascii="Times New Roman" w:eastAsia="Times New Roman" w:hAnsi="Times New Roman" w:cs="Times New Roman"/>
                <w:color w:val="000000"/>
                <w:kern w:val="0"/>
                <w:sz w:val="20"/>
                <w:szCs w:val="20"/>
                <w14:ligatures w14:val="none"/>
              </w:rPr>
              <w:t>BoardDirectorships</w:t>
            </w:r>
            <w:proofErr w:type="spellEnd"/>
          </w:p>
        </w:tc>
        <w:tc>
          <w:tcPr>
            <w:tcW w:w="2048" w:type="dxa"/>
            <w:tcBorders>
              <w:top w:val="nil"/>
              <w:left w:val="nil"/>
              <w:bottom w:val="nil"/>
              <w:right w:val="nil"/>
            </w:tcBorders>
            <w:vAlign w:val="bottom"/>
          </w:tcPr>
          <w:p w14:paraId="1B19FB95" w14:textId="4D94461C" w:rsidR="00C90D22" w:rsidRPr="00C90D22" w:rsidRDefault="00C90D22" w:rsidP="00C90D22">
            <w:pPr>
              <w:spacing w:beforeLines="40" w:before="96" w:afterLines="40" w:after="96" w:line="240" w:lineRule="auto"/>
              <w:rPr>
                <w:rFonts w:ascii="Times New Roman" w:eastAsia="Times New Roman" w:hAnsi="Times New Roman" w:cs="Times New Roman"/>
                <w:color w:val="000000"/>
                <w:kern w:val="0"/>
                <w:sz w:val="20"/>
                <w:szCs w:val="20"/>
                <w14:ligatures w14:val="none"/>
              </w:rPr>
            </w:pPr>
            <w:r w:rsidRPr="00C90D22">
              <w:rPr>
                <w:rFonts w:ascii="Times New Roman" w:eastAsia="Times New Roman" w:hAnsi="Times New Roman" w:cs="Times New Roman"/>
                <w:color w:val="000000"/>
                <w:kern w:val="0"/>
                <w:sz w:val="20"/>
                <w:szCs w:val="20"/>
                <w14:ligatures w14:val="none"/>
              </w:rPr>
              <w:t>Average additional board seats held by board members</w:t>
            </w:r>
          </w:p>
        </w:tc>
        <w:tc>
          <w:tcPr>
            <w:tcW w:w="2048" w:type="dxa"/>
            <w:tcBorders>
              <w:top w:val="nil"/>
              <w:left w:val="nil"/>
              <w:bottom w:val="nil"/>
              <w:right w:val="nil"/>
            </w:tcBorders>
          </w:tcPr>
          <w:p w14:paraId="7946E0E5" w14:textId="27F86C9F" w:rsidR="00C90D22" w:rsidRPr="00C90D22" w:rsidRDefault="004201D8" w:rsidP="00C90D22">
            <w:pPr>
              <w:spacing w:beforeLines="40" w:before="96" w:afterLines="40" w:after="96" w:line="240" w:lineRule="auto"/>
              <w:rPr>
                <w:rFonts w:ascii="Times New Roman" w:eastAsia="Times New Roman" w:hAnsi="Times New Roman" w:cs="Times New Roman"/>
                <w:color w:val="000000"/>
                <w:kern w:val="0"/>
                <w:sz w:val="20"/>
                <w:szCs w:val="20"/>
                <w14:ligatures w14:val="none"/>
              </w:rPr>
            </w:pPr>
            <w:r>
              <w:rPr>
                <w:rFonts w:ascii="Times New Roman" w:hAnsi="Times New Roman" w:cs="Times New Roman" w:hint="eastAsia"/>
                <w:color w:val="000000"/>
                <w:kern w:val="0"/>
                <w:sz w:val="20"/>
                <w:szCs w:val="20"/>
                <w:lang w:eastAsia="zh-CN"/>
                <w14:ligatures w14:val="none"/>
              </w:rPr>
              <w:t>Eikon</w:t>
            </w:r>
          </w:p>
        </w:tc>
      </w:tr>
      <w:tr w:rsidR="00C90D22" w:rsidRPr="00C90D22" w14:paraId="59601964" w14:textId="2F2EB48B" w:rsidTr="00C90D22">
        <w:trPr>
          <w:trHeight w:val="306"/>
        </w:trPr>
        <w:tc>
          <w:tcPr>
            <w:tcW w:w="3116" w:type="dxa"/>
            <w:tcBorders>
              <w:top w:val="nil"/>
              <w:left w:val="nil"/>
              <w:bottom w:val="nil"/>
              <w:right w:val="nil"/>
            </w:tcBorders>
            <w:shd w:val="clear" w:color="auto" w:fill="auto"/>
            <w:noWrap/>
            <w:vAlign w:val="center"/>
            <w:hideMark/>
          </w:tcPr>
          <w:p w14:paraId="79DAB17A" w14:textId="77777777" w:rsidR="00C90D22" w:rsidRPr="00C90D22" w:rsidRDefault="00C90D22" w:rsidP="00C90D22">
            <w:pPr>
              <w:spacing w:beforeLines="40" w:before="96" w:afterLines="40" w:after="96" w:line="240" w:lineRule="auto"/>
              <w:rPr>
                <w:rFonts w:ascii="Times New Roman" w:eastAsia="Times New Roman" w:hAnsi="Times New Roman" w:cs="Times New Roman"/>
                <w:color w:val="000000"/>
                <w:kern w:val="0"/>
                <w:sz w:val="20"/>
                <w:szCs w:val="20"/>
                <w14:ligatures w14:val="none"/>
              </w:rPr>
            </w:pPr>
            <w:proofErr w:type="spellStart"/>
            <w:r w:rsidRPr="00C90D22">
              <w:rPr>
                <w:rFonts w:ascii="Times New Roman" w:eastAsia="Times New Roman" w:hAnsi="Times New Roman" w:cs="Times New Roman"/>
                <w:color w:val="000000"/>
                <w:kern w:val="0"/>
                <w:sz w:val="20"/>
                <w:szCs w:val="20"/>
                <w14:ligatures w14:val="none"/>
              </w:rPr>
              <w:t>QuickRatio</w:t>
            </w:r>
            <w:proofErr w:type="spellEnd"/>
          </w:p>
        </w:tc>
        <w:tc>
          <w:tcPr>
            <w:tcW w:w="2048" w:type="dxa"/>
            <w:tcBorders>
              <w:top w:val="nil"/>
              <w:left w:val="nil"/>
              <w:bottom w:val="nil"/>
              <w:right w:val="nil"/>
            </w:tcBorders>
            <w:vAlign w:val="bottom"/>
          </w:tcPr>
          <w:p w14:paraId="64D90743" w14:textId="4C5273B7" w:rsidR="00C90D22" w:rsidRPr="00C90D22" w:rsidRDefault="00C90D22" w:rsidP="00C90D22">
            <w:pPr>
              <w:spacing w:beforeLines="40" w:before="96" w:afterLines="40" w:after="96" w:line="240" w:lineRule="auto"/>
              <w:rPr>
                <w:rFonts w:ascii="Times New Roman" w:eastAsia="Times New Roman" w:hAnsi="Times New Roman" w:cs="Times New Roman"/>
                <w:color w:val="000000"/>
                <w:kern w:val="0"/>
                <w:sz w:val="20"/>
                <w:szCs w:val="20"/>
                <w14:ligatures w14:val="none"/>
              </w:rPr>
            </w:pPr>
            <w:r w:rsidRPr="00C90D22">
              <w:rPr>
                <w:rFonts w:ascii="Times New Roman" w:eastAsia="Times New Roman" w:hAnsi="Times New Roman" w:cs="Times New Roman"/>
                <w:color w:val="000000"/>
                <w:kern w:val="0"/>
                <w:sz w:val="20"/>
                <w:szCs w:val="20"/>
                <w14:ligatures w14:val="none"/>
              </w:rPr>
              <w:t>Ratio of current assets minus inventory to current liabilities</w:t>
            </w:r>
          </w:p>
        </w:tc>
        <w:tc>
          <w:tcPr>
            <w:tcW w:w="2048" w:type="dxa"/>
            <w:tcBorders>
              <w:top w:val="nil"/>
              <w:left w:val="nil"/>
              <w:bottom w:val="nil"/>
              <w:right w:val="nil"/>
            </w:tcBorders>
          </w:tcPr>
          <w:p w14:paraId="2DD0FC02" w14:textId="006BE58F" w:rsidR="00C90D22" w:rsidRPr="00C90D22" w:rsidRDefault="004201D8" w:rsidP="00C90D22">
            <w:pPr>
              <w:spacing w:beforeLines="40" w:before="96" w:afterLines="40" w:after="96" w:line="240" w:lineRule="auto"/>
              <w:rPr>
                <w:rFonts w:ascii="Times New Roman" w:eastAsia="Times New Roman" w:hAnsi="Times New Roman" w:cs="Times New Roman"/>
                <w:color w:val="000000"/>
                <w:kern w:val="0"/>
                <w:sz w:val="20"/>
                <w:szCs w:val="20"/>
                <w14:ligatures w14:val="none"/>
              </w:rPr>
            </w:pPr>
            <w:r>
              <w:rPr>
                <w:rFonts w:ascii="Times New Roman" w:hAnsi="Times New Roman" w:cs="Times New Roman" w:hint="eastAsia"/>
                <w:color w:val="000000"/>
                <w:kern w:val="0"/>
                <w:sz w:val="20"/>
                <w:szCs w:val="20"/>
                <w:lang w:eastAsia="zh-CN"/>
                <w14:ligatures w14:val="none"/>
              </w:rPr>
              <w:t>Eikon</w:t>
            </w:r>
          </w:p>
        </w:tc>
      </w:tr>
      <w:tr w:rsidR="00C90D22" w:rsidRPr="00C90D22" w14:paraId="09599B01" w14:textId="4560A574" w:rsidTr="00C90D22">
        <w:trPr>
          <w:trHeight w:val="306"/>
        </w:trPr>
        <w:tc>
          <w:tcPr>
            <w:tcW w:w="3116" w:type="dxa"/>
            <w:tcBorders>
              <w:top w:val="nil"/>
              <w:left w:val="nil"/>
              <w:bottom w:val="single" w:sz="4" w:space="0" w:color="auto"/>
              <w:right w:val="nil"/>
            </w:tcBorders>
            <w:shd w:val="clear" w:color="auto" w:fill="auto"/>
            <w:noWrap/>
            <w:vAlign w:val="center"/>
            <w:hideMark/>
          </w:tcPr>
          <w:p w14:paraId="56BB004C" w14:textId="77777777" w:rsidR="00C90D22" w:rsidRPr="00C90D22" w:rsidRDefault="00C90D22" w:rsidP="00C90D22">
            <w:pPr>
              <w:spacing w:beforeLines="40" w:before="96" w:afterLines="40" w:after="96" w:line="240" w:lineRule="auto"/>
              <w:rPr>
                <w:rFonts w:ascii="Times New Roman" w:eastAsia="Times New Roman" w:hAnsi="Times New Roman" w:cs="Times New Roman"/>
                <w:color w:val="000000"/>
                <w:kern w:val="0"/>
                <w:sz w:val="20"/>
                <w:szCs w:val="20"/>
                <w14:ligatures w14:val="none"/>
              </w:rPr>
            </w:pPr>
            <w:r w:rsidRPr="00C90D22">
              <w:rPr>
                <w:rFonts w:ascii="Times New Roman" w:eastAsia="Times New Roman" w:hAnsi="Times New Roman" w:cs="Times New Roman"/>
                <w:color w:val="000000"/>
                <w:kern w:val="0"/>
                <w:sz w:val="20"/>
                <w:szCs w:val="20"/>
                <w14:ligatures w14:val="none"/>
              </w:rPr>
              <w:t>Cash</w:t>
            </w:r>
          </w:p>
        </w:tc>
        <w:tc>
          <w:tcPr>
            <w:tcW w:w="2048" w:type="dxa"/>
            <w:tcBorders>
              <w:top w:val="nil"/>
              <w:left w:val="nil"/>
              <w:bottom w:val="single" w:sz="4" w:space="0" w:color="auto"/>
              <w:right w:val="nil"/>
            </w:tcBorders>
            <w:vAlign w:val="bottom"/>
          </w:tcPr>
          <w:p w14:paraId="7E03F8E2" w14:textId="122E21A1" w:rsidR="00C90D22" w:rsidRPr="00C90D22" w:rsidRDefault="00C90D22" w:rsidP="00C90D22">
            <w:pPr>
              <w:spacing w:beforeLines="40" w:before="96" w:afterLines="40" w:after="96" w:line="240" w:lineRule="auto"/>
              <w:rPr>
                <w:rFonts w:ascii="Times New Roman" w:eastAsia="Times New Roman" w:hAnsi="Times New Roman" w:cs="Times New Roman"/>
                <w:color w:val="000000"/>
                <w:kern w:val="0"/>
                <w:sz w:val="20"/>
                <w:szCs w:val="20"/>
                <w14:ligatures w14:val="none"/>
              </w:rPr>
            </w:pPr>
            <w:r w:rsidRPr="00C90D22">
              <w:rPr>
                <w:rFonts w:ascii="Times New Roman" w:eastAsia="Times New Roman" w:hAnsi="Times New Roman" w:cs="Times New Roman"/>
                <w:color w:val="000000"/>
                <w:kern w:val="0"/>
                <w:sz w:val="20"/>
                <w:szCs w:val="20"/>
                <w14:ligatures w14:val="none"/>
              </w:rPr>
              <w:t>Log of total cash balance</w:t>
            </w:r>
          </w:p>
        </w:tc>
        <w:tc>
          <w:tcPr>
            <w:tcW w:w="2048" w:type="dxa"/>
            <w:tcBorders>
              <w:top w:val="nil"/>
              <w:left w:val="nil"/>
              <w:bottom w:val="single" w:sz="4" w:space="0" w:color="auto"/>
              <w:right w:val="nil"/>
            </w:tcBorders>
          </w:tcPr>
          <w:p w14:paraId="27B82CFB" w14:textId="4652519A" w:rsidR="00C90D22" w:rsidRPr="00C90D22" w:rsidRDefault="004201D8" w:rsidP="00C90D22">
            <w:pPr>
              <w:spacing w:beforeLines="40" w:before="96" w:afterLines="40" w:after="96" w:line="240" w:lineRule="auto"/>
              <w:rPr>
                <w:rFonts w:ascii="Times New Roman" w:eastAsia="Times New Roman" w:hAnsi="Times New Roman" w:cs="Times New Roman"/>
                <w:color w:val="000000"/>
                <w:kern w:val="0"/>
                <w:sz w:val="20"/>
                <w:szCs w:val="20"/>
                <w14:ligatures w14:val="none"/>
              </w:rPr>
            </w:pPr>
            <w:r>
              <w:rPr>
                <w:rFonts w:ascii="Times New Roman" w:hAnsi="Times New Roman" w:cs="Times New Roman" w:hint="eastAsia"/>
                <w:color w:val="000000"/>
                <w:kern w:val="0"/>
                <w:sz w:val="20"/>
                <w:szCs w:val="20"/>
                <w:lang w:eastAsia="zh-CN"/>
                <w14:ligatures w14:val="none"/>
              </w:rPr>
              <w:t>Eikon</w:t>
            </w:r>
          </w:p>
        </w:tc>
      </w:tr>
    </w:tbl>
    <w:p w14:paraId="74723234" w14:textId="77777777" w:rsidR="00C90D22" w:rsidRDefault="00C90D22" w:rsidP="000367C5">
      <w:pPr>
        <w:spacing w:line="480" w:lineRule="auto"/>
        <w:jc w:val="both"/>
        <w:rPr>
          <w:rFonts w:ascii="Times New Roman" w:hAnsi="Times New Roman" w:cs="Times New Roman"/>
          <w:sz w:val="24"/>
          <w:szCs w:val="24"/>
        </w:rPr>
      </w:pPr>
    </w:p>
    <w:p w14:paraId="6E852951" w14:textId="77777777" w:rsidR="002D6FFF" w:rsidRDefault="002D6FFF" w:rsidP="000367C5">
      <w:pPr>
        <w:spacing w:line="480" w:lineRule="auto"/>
        <w:jc w:val="both"/>
        <w:rPr>
          <w:rFonts w:ascii="Times New Roman" w:hAnsi="Times New Roman" w:cs="Times New Roman"/>
          <w:sz w:val="24"/>
          <w:szCs w:val="24"/>
        </w:rPr>
        <w:sectPr w:rsidR="002D6FFF">
          <w:pgSz w:w="11906" w:h="16838"/>
          <w:pgMar w:top="1440" w:right="1440" w:bottom="1440" w:left="1440" w:header="708" w:footer="708" w:gutter="0"/>
          <w:cols w:space="708"/>
          <w:docGrid w:linePitch="360"/>
        </w:sectPr>
      </w:pPr>
    </w:p>
    <w:p w14:paraId="2BB26E0F" w14:textId="0A3EACED" w:rsidR="00514308" w:rsidRPr="00514308" w:rsidRDefault="00514308">
      <w:pPr>
        <w:rPr>
          <w:b/>
          <w:bCs/>
        </w:rPr>
      </w:pPr>
      <w:r w:rsidRPr="00514308">
        <w:rPr>
          <w:rFonts w:ascii="Times New Roman" w:eastAsia="Times New Roman" w:hAnsi="Times New Roman" w:cs="Times New Roman"/>
          <w:b/>
          <w:bCs/>
          <w:color w:val="000000"/>
          <w:kern w:val="0"/>
          <w14:ligatures w14:val="none"/>
        </w:rPr>
        <w:lastRenderedPageBreak/>
        <w:t>Table 2: Descriptive statistics</w:t>
      </w:r>
    </w:p>
    <w:tbl>
      <w:tblPr>
        <w:tblW w:w="9360" w:type="dxa"/>
        <w:tblLook w:val="04A0" w:firstRow="1" w:lastRow="0" w:firstColumn="1" w:lastColumn="0" w:noHBand="0" w:noVBand="1"/>
      </w:tblPr>
      <w:tblGrid>
        <w:gridCol w:w="3238"/>
        <w:gridCol w:w="1519"/>
        <w:gridCol w:w="1497"/>
        <w:gridCol w:w="1553"/>
        <w:gridCol w:w="1553"/>
      </w:tblGrid>
      <w:tr w:rsidR="00514308" w:rsidRPr="00514308" w14:paraId="72FEAEFD" w14:textId="77777777" w:rsidTr="004201D8">
        <w:trPr>
          <w:trHeight w:val="297"/>
        </w:trPr>
        <w:tc>
          <w:tcPr>
            <w:tcW w:w="3238" w:type="dxa"/>
            <w:tcBorders>
              <w:top w:val="single" w:sz="4" w:space="0" w:color="auto"/>
              <w:left w:val="nil"/>
              <w:bottom w:val="single" w:sz="4" w:space="0" w:color="auto"/>
              <w:right w:val="nil"/>
            </w:tcBorders>
            <w:shd w:val="clear" w:color="auto" w:fill="auto"/>
            <w:noWrap/>
            <w:vAlign w:val="center"/>
            <w:hideMark/>
          </w:tcPr>
          <w:p w14:paraId="763B5152" w14:textId="217CC0B0" w:rsidR="00514308" w:rsidRPr="00514308" w:rsidRDefault="00514308" w:rsidP="00514308">
            <w:pPr>
              <w:spacing w:beforeLines="20" w:before="48" w:afterLines="40" w:after="96" w:line="240" w:lineRule="auto"/>
              <w:rPr>
                <w:rFonts w:ascii="Times New Roman" w:eastAsia="Times New Roman" w:hAnsi="Times New Roman" w:cs="Times New Roman"/>
                <w:b/>
                <w:bCs/>
                <w:color w:val="000000"/>
                <w:kern w:val="0"/>
                <w:sz w:val="20"/>
                <w:szCs w:val="20"/>
                <w14:ligatures w14:val="none"/>
              </w:rPr>
            </w:pPr>
            <w:r w:rsidRPr="00514308">
              <w:rPr>
                <w:rFonts w:ascii="Times New Roman" w:eastAsia="Times New Roman" w:hAnsi="Times New Roman" w:cs="Times New Roman"/>
                <w:b/>
                <w:bCs/>
                <w:color w:val="000000"/>
                <w:kern w:val="0"/>
                <w:sz w:val="20"/>
                <w:szCs w:val="20"/>
                <w14:ligatures w14:val="none"/>
              </w:rPr>
              <w:t>Variable</w:t>
            </w:r>
          </w:p>
        </w:tc>
        <w:tc>
          <w:tcPr>
            <w:tcW w:w="1519" w:type="dxa"/>
            <w:tcBorders>
              <w:top w:val="single" w:sz="4" w:space="0" w:color="auto"/>
              <w:left w:val="nil"/>
              <w:bottom w:val="single" w:sz="4" w:space="0" w:color="auto"/>
              <w:right w:val="nil"/>
            </w:tcBorders>
            <w:shd w:val="clear" w:color="auto" w:fill="auto"/>
            <w:noWrap/>
            <w:vAlign w:val="center"/>
            <w:hideMark/>
          </w:tcPr>
          <w:p w14:paraId="42F11C16" w14:textId="77777777" w:rsidR="00514308" w:rsidRPr="00514308" w:rsidRDefault="00514308" w:rsidP="00514308">
            <w:pPr>
              <w:spacing w:beforeLines="20" w:before="48" w:afterLines="40" w:after="96" w:line="240" w:lineRule="auto"/>
              <w:jc w:val="center"/>
              <w:rPr>
                <w:rFonts w:ascii="Times New Roman" w:eastAsia="Times New Roman" w:hAnsi="Times New Roman" w:cs="Times New Roman"/>
                <w:b/>
                <w:bCs/>
                <w:color w:val="000000"/>
                <w:kern w:val="0"/>
                <w:sz w:val="20"/>
                <w:szCs w:val="20"/>
                <w14:ligatures w14:val="none"/>
              </w:rPr>
            </w:pPr>
            <w:r w:rsidRPr="00514308">
              <w:rPr>
                <w:rFonts w:ascii="Times New Roman" w:eastAsia="Times New Roman" w:hAnsi="Times New Roman" w:cs="Times New Roman"/>
                <w:b/>
                <w:bCs/>
                <w:color w:val="000000"/>
                <w:kern w:val="0"/>
                <w:sz w:val="20"/>
                <w:szCs w:val="20"/>
                <w14:ligatures w14:val="none"/>
              </w:rPr>
              <w:t>Mean</w:t>
            </w:r>
          </w:p>
        </w:tc>
        <w:tc>
          <w:tcPr>
            <w:tcW w:w="1497" w:type="dxa"/>
            <w:tcBorders>
              <w:top w:val="single" w:sz="4" w:space="0" w:color="auto"/>
              <w:left w:val="nil"/>
              <w:bottom w:val="single" w:sz="4" w:space="0" w:color="auto"/>
              <w:right w:val="nil"/>
            </w:tcBorders>
            <w:shd w:val="clear" w:color="auto" w:fill="auto"/>
            <w:noWrap/>
            <w:vAlign w:val="center"/>
            <w:hideMark/>
          </w:tcPr>
          <w:p w14:paraId="36CF52A8" w14:textId="77777777" w:rsidR="00514308" w:rsidRPr="00514308" w:rsidRDefault="00514308" w:rsidP="00514308">
            <w:pPr>
              <w:spacing w:beforeLines="20" w:before="48" w:afterLines="40" w:after="96" w:line="240" w:lineRule="auto"/>
              <w:jc w:val="center"/>
              <w:rPr>
                <w:rFonts w:ascii="Times New Roman" w:eastAsia="Times New Roman" w:hAnsi="Times New Roman" w:cs="Times New Roman"/>
                <w:b/>
                <w:bCs/>
                <w:color w:val="000000"/>
                <w:kern w:val="0"/>
                <w:sz w:val="20"/>
                <w:szCs w:val="20"/>
                <w14:ligatures w14:val="none"/>
              </w:rPr>
            </w:pPr>
            <w:r w:rsidRPr="00514308">
              <w:rPr>
                <w:rFonts w:ascii="Times New Roman" w:eastAsia="Times New Roman" w:hAnsi="Times New Roman" w:cs="Times New Roman"/>
                <w:b/>
                <w:bCs/>
                <w:color w:val="000000"/>
                <w:kern w:val="0"/>
                <w:sz w:val="20"/>
                <w:szCs w:val="20"/>
                <w14:ligatures w14:val="none"/>
              </w:rPr>
              <w:t>Std. Dev.</w:t>
            </w:r>
          </w:p>
        </w:tc>
        <w:tc>
          <w:tcPr>
            <w:tcW w:w="1553" w:type="dxa"/>
            <w:tcBorders>
              <w:top w:val="single" w:sz="4" w:space="0" w:color="auto"/>
              <w:left w:val="nil"/>
              <w:bottom w:val="single" w:sz="4" w:space="0" w:color="auto"/>
              <w:right w:val="nil"/>
            </w:tcBorders>
            <w:shd w:val="clear" w:color="auto" w:fill="auto"/>
            <w:noWrap/>
            <w:vAlign w:val="center"/>
            <w:hideMark/>
          </w:tcPr>
          <w:p w14:paraId="4AA2C8A1" w14:textId="77777777" w:rsidR="00514308" w:rsidRPr="00514308" w:rsidRDefault="00514308" w:rsidP="00514308">
            <w:pPr>
              <w:spacing w:beforeLines="20" w:before="48" w:afterLines="40" w:after="96" w:line="240" w:lineRule="auto"/>
              <w:jc w:val="center"/>
              <w:rPr>
                <w:rFonts w:ascii="Times New Roman" w:eastAsia="Times New Roman" w:hAnsi="Times New Roman" w:cs="Times New Roman"/>
                <w:b/>
                <w:bCs/>
                <w:color w:val="000000"/>
                <w:kern w:val="0"/>
                <w:sz w:val="20"/>
                <w:szCs w:val="20"/>
                <w14:ligatures w14:val="none"/>
              </w:rPr>
            </w:pPr>
            <w:r w:rsidRPr="00514308">
              <w:rPr>
                <w:rFonts w:ascii="Times New Roman" w:eastAsia="Times New Roman" w:hAnsi="Times New Roman" w:cs="Times New Roman"/>
                <w:b/>
                <w:bCs/>
                <w:color w:val="000000"/>
                <w:kern w:val="0"/>
                <w:sz w:val="20"/>
                <w:szCs w:val="20"/>
                <w14:ligatures w14:val="none"/>
              </w:rPr>
              <w:t>Min</w:t>
            </w:r>
          </w:p>
        </w:tc>
        <w:tc>
          <w:tcPr>
            <w:tcW w:w="1553" w:type="dxa"/>
            <w:tcBorders>
              <w:top w:val="single" w:sz="4" w:space="0" w:color="auto"/>
              <w:left w:val="nil"/>
              <w:bottom w:val="single" w:sz="4" w:space="0" w:color="auto"/>
              <w:right w:val="nil"/>
            </w:tcBorders>
            <w:shd w:val="clear" w:color="auto" w:fill="auto"/>
            <w:noWrap/>
            <w:vAlign w:val="center"/>
            <w:hideMark/>
          </w:tcPr>
          <w:p w14:paraId="61F79AE8" w14:textId="77777777" w:rsidR="00514308" w:rsidRPr="00514308" w:rsidRDefault="00514308" w:rsidP="00514308">
            <w:pPr>
              <w:spacing w:beforeLines="20" w:before="48" w:afterLines="40" w:after="96" w:line="240" w:lineRule="auto"/>
              <w:jc w:val="center"/>
              <w:rPr>
                <w:rFonts w:ascii="Times New Roman" w:eastAsia="Times New Roman" w:hAnsi="Times New Roman" w:cs="Times New Roman"/>
                <w:b/>
                <w:bCs/>
                <w:color w:val="000000"/>
                <w:kern w:val="0"/>
                <w:sz w:val="20"/>
                <w:szCs w:val="20"/>
                <w14:ligatures w14:val="none"/>
              </w:rPr>
            </w:pPr>
            <w:r w:rsidRPr="00514308">
              <w:rPr>
                <w:rFonts w:ascii="Times New Roman" w:eastAsia="Times New Roman" w:hAnsi="Times New Roman" w:cs="Times New Roman"/>
                <w:b/>
                <w:bCs/>
                <w:color w:val="000000"/>
                <w:kern w:val="0"/>
                <w:sz w:val="20"/>
                <w:szCs w:val="20"/>
                <w14:ligatures w14:val="none"/>
              </w:rPr>
              <w:t>Max</w:t>
            </w:r>
          </w:p>
        </w:tc>
      </w:tr>
      <w:tr w:rsidR="00514308" w:rsidRPr="00514308" w14:paraId="3F47BB40" w14:textId="77777777" w:rsidTr="004201D8">
        <w:trPr>
          <w:trHeight w:val="297"/>
        </w:trPr>
        <w:tc>
          <w:tcPr>
            <w:tcW w:w="3238" w:type="dxa"/>
            <w:tcBorders>
              <w:top w:val="nil"/>
              <w:left w:val="nil"/>
              <w:bottom w:val="nil"/>
              <w:right w:val="nil"/>
            </w:tcBorders>
            <w:shd w:val="clear" w:color="auto" w:fill="auto"/>
            <w:noWrap/>
            <w:vAlign w:val="center"/>
            <w:hideMark/>
          </w:tcPr>
          <w:p w14:paraId="2F8C11A7" w14:textId="77777777" w:rsidR="00514308" w:rsidRPr="00514308" w:rsidRDefault="00514308" w:rsidP="00514308">
            <w:pPr>
              <w:spacing w:beforeLines="20" w:before="48" w:afterLines="40" w:after="96" w:line="240" w:lineRule="auto"/>
              <w:rPr>
                <w:rFonts w:ascii="Times New Roman" w:eastAsia="Times New Roman" w:hAnsi="Times New Roman" w:cs="Times New Roman"/>
                <w:color w:val="000000"/>
                <w:kern w:val="0"/>
                <w:sz w:val="20"/>
                <w:szCs w:val="20"/>
                <w14:ligatures w14:val="none"/>
              </w:rPr>
            </w:pPr>
            <w:proofErr w:type="spellStart"/>
            <w:r w:rsidRPr="00514308">
              <w:rPr>
                <w:rFonts w:ascii="Times New Roman" w:eastAsia="Times New Roman" w:hAnsi="Times New Roman" w:cs="Times New Roman"/>
                <w:color w:val="000000"/>
                <w:kern w:val="0"/>
                <w:sz w:val="20"/>
                <w:szCs w:val="20"/>
                <w14:ligatures w14:val="none"/>
              </w:rPr>
              <w:t>FirmValue</w:t>
            </w:r>
            <w:proofErr w:type="spellEnd"/>
          </w:p>
        </w:tc>
        <w:tc>
          <w:tcPr>
            <w:tcW w:w="1519" w:type="dxa"/>
            <w:tcBorders>
              <w:top w:val="nil"/>
              <w:left w:val="nil"/>
              <w:bottom w:val="nil"/>
              <w:right w:val="nil"/>
            </w:tcBorders>
            <w:shd w:val="clear" w:color="auto" w:fill="auto"/>
            <w:noWrap/>
            <w:vAlign w:val="bottom"/>
            <w:hideMark/>
          </w:tcPr>
          <w:p w14:paraId="0222177E" w14:textId="77777777" w:rsidR="00514308" w:rsidRPr="00514308" w:rsidRDefault="00514308" w:rsidP="00514308">
            <w:pPr>
              <w:spacing w:beforeLines="20" w:before="48" w:afterLines="40" w:after="96" w:line="240" w:lineRule="auto"/>
              <w:jc w:val="right"/>
              <w:rPr>
                <w:rFonts w:ascii="Times New Roman" w:eastAsia="Times New Roman" w:hAnsi="Times New Roman" w:cs="Times New Roman"/>
                <w:color w:val="000000"/>
                <w:kern w:val="0"/>
                <w:sz w:val="20"/>
                <w:szCs w:val="20"/>
                <w14:ligatures w14:val="none"/>
              </w:rPr>
            </w:pPr>
            <w:r w:rsidRPr="00514308">
              <w:rPr>
                <w:rFonts w:ascii="Times New Roman" w:eastAsia="Times New Roman" w:hAnsi="Times New Roman" w:cs="Times New Roman"/>
                <w:color w:val="000000"/>
                <w:kern w:val="0"/>
                <w:sz w:val="20"/>
                <w:szCs w:val="20"/>
                <w14:ligatures w14:val="none"/>
              </w:rPr>
              <w:t>21.41</w:t>
            </w:r>
          </w:p>
        </w:tc>
        <w:tc>
          <w:tcPr>
            <w:tcW w:w="1497" w:type="dxa"/>
            <w:tcBorders>
              <w:top w:val="nil"/>
              <w:left w:val="nil"/>
              <w:bottom w:val="nil"/>
              <w:right w:val="nil"/>
            </w:tcBorders>
            <w:shd w:val="clear" w:color="auto" w:fill="auto"/>
            <w:noWrap/>
            <w:vAlign w:val="bottom"/>
            <w:hideMark/>
          </w:tcPr>
          <w:p w14:paraId="70EBE0D0" w14:textId="77777777" w:rsidR="00514308" w:rsidRPr="00514308" w:rsidRDefault="00514308" w:rsidP="00514308">
            <w:pPr>
              <w:spacing w:beforeLines="20" w:before="48" w:afterLines="40" w:after="96" w:line="240" w:lineRule="auto"/>
              <w:jc w:val="right"/>
              <w:rPr>
                <w:rFonts w:ascii="Times New Roman" w:eastAsia="Times New Roman" w:hAnsi="Times New Roman" w:cs="Times New Roman"/>
                <w:color w:val="000000"/>
                <w:kern w:val="0"/>
                <w:sz w:val="20"/>
                <w:szCs w:val="20"/>
                <w14:ligatures w14:val="none"/>
              </w:rPr>
            </w:pPr>
            <w:r w:rsidRPr="00514308">
              <w:rPr>
                <w:rFonts w:ascii="Times New Roman" w:eastAsia="Times New Roman" w:hAnsi="Times New Roman" w:cs="Times New Roman"/>
                <w:color w:val="000000"/>
                <w:kern w:val="0"/>
                <w:sz w:val="20"/>
                <w:szCs w:val="20"/>
                <w14:ligatures w14:val="none"/>
              </w:rPr>
              <w:t>2.00</w:t>
            </w:r>
          </w:p>
        </w:tc>
        <w:tc>
          <w:tcPr>
            <w:tcW w:w="1553" w:type="dxa"/>
            <w:tcBorders>
              <w:top w:val="nil"/>
              <w:left w:val="nil"/>
              <w:bottom w:val="nil"/>
              <w:right w:val="nil"/>
            </w:tcBorders>
            <w:shd w:val="clear" w:color="auto" w:fill="auto"/>
            <w:noWrap/>
            <w:vAlign w:val="bottom"/>
            <w:hideMark/>
          </w:tcPr>
          <w:p w14:paraId="241C7391" w14:textId="77777777" w:rsidR="00514308" w:rsidRPr="00514308" w:rsidRDefault="00514308" w:rsidP="00514308">
            <w:pPr>
              <w:spacing w:beforeLines="20" w:before="48" w:afterLines="40" w:after="96" w:line="240" w:lineRule="auto"/>
              <w:jc w:val="right"/>
              <w:rPr>
                <w:rFonts w:ascii="Times New Roman" w:eastAsia="Times New Roman" w:hAnsi="Times New Roman" w:cs="Times New Roman"/>
                <w:color w:val="000000"/>
                <w:kern w:val="0"/>
                <w:sz w:val="20"/>
                <w:szCs w:val="20"/>
                <w14:ligatures w14:val="none"/>
              </w:rPr>
            </w:pPr>
            <w:r w:rsidRPr="00514308">
              <w:rPr>
                <w:rFonts w:ascii="Times New Roman" w:eastAsia="Times New Roman" w:hAnsi="Times New Roman" w:cs="Times New Roman"/>
                <w:color w:val="000000"/>
                <w:kern w:val="0"/>
                <w:sz w:val="20"/>
                <w:szCs w:val="20"/>
                <w14:ligatures w14:val="none"/>
              </w:rPr>
              <w:t>14.91</w:t>
            </w:r>
          </w:p>
        </w:tc>
        <w:tc>
          <w:tcPr>
            <w:tcW w:w="1553" w:type="dxa"/>
            <w:tcBorders>
              <w:top w:val="nil"/>
              <w:left w:val="nil"/>
              <w:bottom w:val="nil"/>
              <w:right w:val="nil"/>
            </w:tcBorders>
            <w:shd w:val="clear" w:color="auto" w:fill="auto"/>
            <w:noWrap/>
            <w:vAlign w:val="bottom"/>
            <w:hideMark/>
          </w:tcPr>
          <w:p w14:paraId="728A50B9" w14:textId="77777777" w:rsidR="00514308" w:rsidRPr="00514308" w:rsidRDefault="00514308" w:rsidP="00514308">
            <w:pPr>
              <w:spacing w:beforeLines="20" w:before="48" w:afterLines="40" w:after="96" w:line="240" w:lineRule="auto"/>
              <w:jc w:val="right"/>
              <w:rPr>
                <w:rFonts w:ascii="Times New Roman" w:eastAsia="Times New Roman" w:hAnsi="Times New Roman" w:cs="Times New Roman"/>
                <w:color w:val="000000"/>
                <w:kern w:val="0"/>
                <w:sz w:val="20"/>
                <w:szCs w:val="20"/>
                <w14:ligatures w14:val="none"/>
              </w:rPr>
            </w:pPr>
            <w:r w:rsidRPr="00514308">
              <w:rPr>
                <w:rFonts w:ascii="Times New Roman" w:eastAsia="Times New Roman" w:hAnsi="Times New Roman" w:cs="Times New Roman"/>
                <w:color w:val="000000"/>
                <w:kern w:val="0"/>
                <w:sz w:val="20"/>
                <w:szCs w:val="20"/>
                <w14:ligatures w14:val="none"/>
              </w:rPr>
              <w:t>28.39</w:t>
            </w:r>
          </w:p>
        </w:tc>
      </w:tr>
      <w:tr w:rsidR="00514308" w:rsidRPr="00514308" w14:paraId="49D05C59" w14:textId="77777777" w:rsidTr="004201D8">
        <w:trPr>
          <w:trHeight w:val="297"/>
        </w:trPr>
        <w:tc>
          <w:tcPr>
            <w:tcW w:w="3238" w:type="dxa"/>
            <w:tcBorders>
              <w:top w:val="nil"/>
              <w:left w:val="nil"/>
              <w:bottom w:val="nil"/>
              <w:right w:val="nil"/>
            </w:tcBorders>
            <w:shd w:val="clear" w:color="auto" w:fill="auto"/>
            <w:noWrap/>
            <w:vAlign w:val="center"/>
            <w:hideMark/>
          </w:tcPr>
          <w:p w14:paraId="3DE74B69" w14:textId="77777777" w:rsidR="00514308" w:rsidRPr="00514308" w:rsidRDefault="00514308" w:rsidP="00514308">
            <w:pPr>
              <w:spacing w:beforeLines="20" w:before="48" w:afterLines="40" w:after="96" w:line="240" w:lineRule="auto"/>
              <w:rPr>
                <w:rFonts w:ascii="Times New Roman" w:eastAsia="Times New Roman" w:hAnsi="Times New Roman" w:cs="Times New Roman"/>
                <w:color w:val="000000"/>
                <w:kern w:val="0"/>
                <w:sz w:val="20"/>
                <w:szCs w:val="20"/>
                <w14:ligatures w14:val="none"/>
              </w:rPr>
            </w:pPr>
            <w:r w:rsidRPr="00514308">
              <w:rPr>
                <w:rFonts w:ascii="Times New Roman" w:eastAsia="Times New Roman" w:hAnsi="Times New Roman" w:cs="Times New Roman"/>
                <w:color w:val="000000"/>
                <w:kern w:val="0"/>
                <w:sz w:val="20"/>
                <w:szCs w:val="20"/>
                <w14:ligatures w14:val="none"/>
              </w:rPr>
              <w:t>Dividend</w:t>
            </w:r>
          </w:p>
        </w:tc>
        <w:tc>
          <w:tcPr>
            <w:tcW w:w="1519" w:type="dxa"/>
            <w:tcBorders>
              <w:top w:val="nil"/>
              <w:left w:val="nil"/>
              <w:bottom w:val="nil"/>
              <w:right w:val="nil"/>
            </w:tcBorders>
            <w:shd w:val="clear" w:color="auto" w:fill="auto"/>
            <w:noWrap/>
            <w:vAlign w:val="bottom"/>
            <w:hideMark/>
          </w:tcPr>
          <w:p w14:paraId="02AED01D" w14:textId="77777777" w:rsidR="00514308" w:rsidRPr="00514308" w:rsidRDefault="00514308" w:rsidP="00514308">
            <w:pPr>
              <w:spacing w:beforeLines="20" w:before="48" w:afterLines="40" w:after="96" w:line="240" w:lineRule="auto"/>
              <w:jc w:val="right"/>
              <w:rPr>
                <w:rFonts w:ascii="Times New Roman" w:eastAsia="Times New Roman" w:hAnsi="Times New Roman" w:cs="Times New Roman"/>
                <w:color w:val="000000"/>
                <w:kern w:val="0"/>
                <w:sz w:val="20"/>
                <w:szCs w:val="20"/>
                <w14:ligatures w14:val="none"/>
              </w:rPr>
            </w:pPr>
            <w:r w:rsidRPr="00514308">
              <w:rPr>
                <w:rFonts w:ascii="Times New Roman" w:eastAsia="Times New Roman" w:hAnsi="Times New Roman" w:cs="Times New Roman"/>
                <w:color w:val="000000"/>
                <w:kern w:val="0"/>
                <w:sz w:val="20"/>
                <w:szCs w:val="20"/>
                <w14:ligatures w14:val="none"/>
              </w:rPr>
              <w:t>0.64</w:t>
            </w:r>
          </w:p>
        </w:tc>
        <w:tc>
          <w:tcPr>
            <w:tcW w:w="1497" w:type="dxa"/>
            <w:tcBorders>
              <w:top w:val="nil"/>
              <w:left w:val="nil"/>
              <w:bottom w:val="nil"/>
              <w:right w:val="nil"/>
            </w:tcBorders>
            <w:shd w:val="clear" w:color="auto" w:fill="auto"/>
            <w:noWrap/>
            <w:vAlign w:val="bottom"/>
            <w:hideMark/>
          </w:tcPr>
          <w:p w14:paraId="07729C2A" w14:textId="77777777" w:rsidR="00514308" w:rsidRPr="00514308" w:rsidRDefault="00514308" w:rsidP="00514308">
            <w:pPr>
              <w:spacing w:beforeLines="20" w:before="48" w:afterLines="40" w:after="96" w:line="240" w:lineRule="auto"/>
              <w:jc w:val="right"/>
              <w:rPr>
                <w:rFonts w:ascii="Times New Roman" w:eastAsia="Times New Roman" w:hAnsi="Times New Roman" w:cs="Times New Roman"/>
                <w:color w:val="000000"/>
                <w:kern w:val="0"/>
                <w:sz w:val="20"/>
                <w:szCs w:val="20"/>
                <w14:ligatures w14:val="none"/>
              </w:rPr>
            </w:pPr>
            <w:r w:rsidRPr="00514308">
              <w:rPr>
                <w:rFonts w:ascii="Times New Roman" w:eastAsia="Times New Roman" w:hAnsi="Times New Roman" w:cs="Times New Roman"/>
                <w:color w:val="000000"/>
                <w:kern w:val="0"/>
                <w:sz w:val="20"/>
                <w:szCs w:val="20"/>
                <w14:ligatures w14:val="none"/>
              </w:rPr>
              <w:t>1.50</w:t>
            </w:r>
          </w:p>
        </w:tc>
        <w:tc>
          <w:tcPr>
            <w:tcW w:w="1553" w:type="dxa"/>
            <w:tcBorders>
              <w:top w:val="nil"/>
              <w:left w:val="nil"/>
              <w:bottom w:val="nil"/>
              <w:right w:val="nil"/>
            </w:tcBorders>
            <w:shd w:val="clear" w:color="auto" w:fill="auto"/>
            <w:noWrap/>
            <w:vAlign w:val="bottom"/>
            <w:hideMark/>
          </w:tcPr>
          <w:p w14:paraId="52DDB081" w14:textId="77777777" w:rsidR="00514308" w:rsidRPr="00514308" w:rsidRDefault="00514308" w:rsidP="00514308">
            <w:pPr>
              <w:spacing w:beforeLines="20" w:before="48" w:afterLines="40" w:after="96" w:line="240" w:lineRule="auto"/>
              <w:jc w:val="right"/>
              <w:rPr>
                <w:rFonts w:ascii="Times New Roman" w:eastAsia="Times New Roman" w:hAnsi="Times New Roman" w:cs="Times New Roman"/>
                <w:color w:val="000000"/>
                <w:kern w:val="0"/>
                <w:sz w:val="20"/>
                <w:szCs w:val="20"/>
                <w14:ligatures w14:val="none"/>
              </w:rPr>
            </w:pPr>
            <w:r w:rsidRPr="00514308">
              <w:rPr>
                <w:rFonts w:ascii="Times New Roman" w:eastAsia="Times New Roman" w:hAnsi="Times New Roman" w:cs="Times New Roman"/>
                <w:color w:val="000000"/>
                <w:kern w:val="0"/>
                <w:sz w:val="20"/>
                <w:szCs w:val="20"/>
                <w14:ligatures w14:val="none"/>
              </w:rPr>
              <w:t>0.00</w:t>
            </w:r>
          </w:p>
        </w:tc>
        <w:tc>
          <w:tcPr>
            <w:tcW w:w="1553" w:type="dxa"/>
            <w:tcBorders>
              <w:top w:val="nil"/>
              <w:left w:val="nil"/>
              <w:bottom w:val="nil"/>
              <w:right w:val="nil"/>
            </w:tcBorders>
            <w:shd w:val="clear" w:color="auto" w:fill="auto"/>
            <w:noWrap/>
            <w:vAlign w:val="bottom"/>
            <w:hideMark/>
          </w:tcPr>
          <w:p w14:paraId="1DC92D02" w14:textId="77777777" w:rsidR="00514308" w:rsidRPr="00514308" w:rsidRDefault="00514308" w:rsidP="00514308">
            <w:pPr>
              <w:spacing w:beforeLines="20" w:before="48" w:afterLines="40" w:after="96" w:line="240" w:lineRule="auto"/>
              <w:jc w:val="right"/>
              <w:rPr>
                <w:rFonts w:ascii="Times New Roman" w:eastAsia="Times New Roman" w:hAnsi="Times New Roman" w:cs="Times New Roman"/>
                <w:color w:val="000000"/>
                <w:kern w:val="0"/>
                <w:sz w:val="20"/>
                <w:szCs w:val="20"/>
                <w14:ligatures w14:val="none"/>
              </w:rPr>
            </w:pPr>
            <w:r w:rsidRPr="00514308">
              <w:rPr>
                <w:rFonts w:ascii="Times New Roman" w:eastAsia="Times New Roman" w:hAnsi="Times New Roman" w:cs="Times New Roman"/>
                <w:color w:val="000000"/>
                <w:kern w:val="0"/>
                <w:sz w:val="20"/>
                <w:szCs w:val="20"/>
                <w14:ligatures w14:val="none"/>
              </w:rPr>
              <w:t>27.03</w:t>
            </w:r>
          </w:p>
        </w:tc>
      </w:tr>
      <w:tr w:rsidR="00514308" w:rsidRPr="00514308" w14:paraId="7220E984" w14:textId="77777777" w:rsidTr="004201D8">
        <w:trPr>
          <w:trHeight w:val="297"/>
        </w:trPr>
        <w:tc>
          <w:tcPr>
            <w:tcW w:w="3238" w:type="dxa"/>
            <w:tcBorders>
              <w:top w:val="nil"/>
              <w:left w:val="nil"/>
              <w:bottom w:val="nil"/>
              <w:right w:val="nil"/>
            </w:tcBorders>
            <w:shd w:val="clear" w:color="auto" w:fill="auto"/>
            <w:noWrap/>
            <w:vAlign w:val="center"/>
            <w:hideMark/>
          </w:tcPr>
          <w:p w14:paraId="5973AC21" w14:textId="7B675F0A" w:rsidR="00514308" w:rsidRPr="004201D8" w:rsidRDefault="00514308" w:rsidP="00514308">
            <w:pPr>
              <w:spacing w:beforeLines="20" w:before="48" w:afterLines="40" w:after="96" w:line="240" w:lineRule="auto"/>
              <w:rPr>
                <w:rFonts w:ascii="Times New Roman" w:hAnsi="Times New Roman" w:cs="Times New Roman"/>
                <w:color w:val="000000"/>
                <w:kern w:val="0"/>
                <w:sz w:val="20"/>
                <w:szCs w:val="20"/>
                <w:lang w:eastAsia="zh-CN"/>
                <w14:ligatures w14:val="none"/>
              </w:rPr>
            </w:pPr>
            <w:r w:rsidRPr="00514308">
              <w:rPr>
                <w:rFonts w:ascii="Times New Roman" w:eastAsia="Times New Roman" w:hAnsi="Times New Roman" w:cs="Times New Roman"/>
                <w:color w:val="000000"/>
                <w:kern w:val="0"/>
                <w:sz w:val="20"/>
                <w:szCs w:val="20"/>
                <w14:ligatures w14:val="none"/>
              </w:rPr>
              <w:t>Fintech</w:t>
            </w:r>
            <w:r w:rsidR="004201D8">
              <w:rPr>
                <w:rFonts w:ascii="Times New Roman" w:hAnsi="Times New Roman" w:cs="Times New Roman" w:hint="eastAsia"/>
                <w:color w:val="000000"/>
                <w:kern w:val="0"/>
                <w:sz w:val="20"/>
                <w:szCs w:val="20"/>
                <w:lang w:eastAsia="zh-CN"/>
                <w14:ligatures w14:val="none"/>
              </w:rPr>
              <w:t>*</w:t>
            </w:r>
            <w:r w:rsidR="004201D8" w:rsidRPr="00514308">
              <w:rPr>
                <w:rFonts w:ascii="Times New Roman" w:eastAsia="Times New Roman" w:hAnsi="Times New Roman" w:cs="Times New Roman"/>
                <w:color w:val="000000"/>
                <w:kern w:val="0"/>
                <w:sz w:val="20"/>
                <w:szCs w:val="20"/>
                <w14:ligatures w14:val="none"/>
              </w:rPr>
              <w:t xml:space="preserve"> </w:t>
            </w:r>
            <w:proofErr w:type="spellStart"/>
            <w:r w:rsidR="004201D8" w:rsidRPr="00514308">
              <w:rPr>
                <w:rFonts w:ascii="Times New Roman" w:eastAsia="Times New Roman" w:hAnsi="Times New Roman" w:cs="Times New Roman"/>
                <w:color w:val="000000"/>
                <w:kern w:val="0"/>
                <w:sz w:val="20"/>
                <w:szCs w:val="20"/>
                <w14:ligatures w14:val="none"/>
              </w:rPr>
              <w:t>ClimateRisk</w:t>
            </w:r>
            <w:proofErr w:type="spellEnd"/>
          </w:p>
        </w:tc>
        <w:tc>
          <w:tcPr>
            <w:tcW w:w="1519" w:type="dxa"/>
            <w:tcBorders>
              <w:top w:val="nil"/>
              <w:left w:val="nil"/>
              <w:bottom w:val="nil"/>
              <w:right w:val="nil"/>
            </w:tcBorders>
            <w:shd w:val="clear" w:color="auto" w:fill="auto"/>
            <w:noWrap/>
            <w:vAlign w:val="bottom"/>
            <w:hideMark/>
          </w:tcPr>
          <w:p w14:paraId="0D50C223" w14:textId="76A650D1" w:rsidR="00514308" w:rsidRPr="004201D8" w:rsidRDefault="004201D8" w:rsidP="00514308">
            <w:pPr>
              <w:spacing w:beforeLines="20" w:before="48" w:afterLines="40" w:after="96" w:line="240" w:lineRule="auto"/>
              <w:jc w:val="right"/>
              <w:rPr>
                <w:rFonts w:ascii="Times New Roman" w:hAnsi="Times New Roman" w:cs="Times New Roman"/>
                <w:color w:val="000000"/>
                <w:kern w:val="0"/>
                <w:sz w:val="20"/>
                <w:szCs w:val="20"/>
                <w:lang w:eastAsia="zh-CN"/>
                <w14:ligatures w14:val="none"/>
              </w:rPr>
            </w:pPr>
            <w:r>
              <w:rPr>
                <w:rFonts w:ascii="Times New Roman" w:hAnsi="Times New Roman" w:cs="Times New Roman" w:hint="eastAsia"/>
                <w:color w:val="000000"/>
                <w:kern w:val="0"/>
                <w:sz w:val="20"/>
                <w:szCs w:val="20"/>
                <w:lang w:eastAsia="zh-CN"/>
                <w14:ligatures w14:val="none"/>
              </w:rPr>
              <w:t>-7.22</w:t>
            </w:r>
          </w:p>
        </w:tc>
        <w:tc>
          <w:tcPr>
            <w:tcW w:w="1497" w:type="dxa"/>
            <w:tcBorders>
              <w:top w:val="nil"/>
              <w:left w:val="nil"/>
              <w:bottom w:val="nil"/>
              <w:right w:val="nil"/>
            </w:tcBorders>
            <w:shd w:val="clear" w:color="auto" w:fill="auto"/>
            <w:noWrap/>
            <w:vAlign w:val="bottom"/>
            <w:hideMark/>
          </w:tcPr>
          <w:p w14:paraId="6E3463A5" w14:textId="096C3326" w:rsidR="00514308" w:rsidRPr="004201D8" w:rsidRDefault="004201D8" w:rsidP="00514308">
            <w:pPr>
              <w:spacing w:beforeLines="20" w:before="48" w:afterLines="40" w:after="96" w:line="240" w:lineRule="auto"/>
              <w:jc w:val="right"/>
              <w:rPr>
                <w:rFonts w:ascii="Times New Roman" w:hAnsi="Times New Roman" w:cs="Times New Roman"/>
                <w:color w:val="000000"/>
                <w:kern w:val="0"/>
                <w:sz w:val="20"/>
                <w:szCs w:val="20"/>
                <w:lang w:eastAsia="zh-CN"/>
                <w14:ligatures w14:val="none"/>
              </w:rPr>
            </w:pPr>
            <w:r>
              <w:rPr>
                <w:rFonts w:ascii="Times New Roman" w:hAnsi="Times New Roman" w:cs="Times New Roman" w:hint="eastAsia"/>
                <w:color w:val="000000"/>
                <w:kern w:val="0"/>
                <w:sz w:val="20"/>
                <w:szCs w:val="20"/>
                <w:lang w:eastAsia="zh-CN"/>
                <w14:ligatures w14:val="none"/>
              </w:rPr>
              <w:t>68.74</w:t>
            </w:r>
          </w:p>
        </w:tc>
        <w:tc>
          <w:tcPr>
            <w:tcW w:w="1553" w:type="dxa"/>
            <w:tcBorders>
              <w:top w:val="nil"/>
              <w:left w:val="nil"/>
              <w:bottom w:val="nil"/>
              <w:right w:val="nil"/>
            </w:tcBorders>
            <w:shd w:val="clear" w:color="auto" w:fill="auto"/>
            <w:noWrap/>
            <w:vAlign w:val="bottom"/>
            <w:hideMark/>
          </w:tcPr>
          <w:p w14:paraId="6ADFB437" w14:textId="543652F3" w:rsidR="00514308" w:rsidRPr="004201D8" w:rsidRDefault="004201D8" w:rsidP="00514308">
            <w:pPr>
              <w:spacing w:beforeLines="20" w:before="48" w:afterLines="40" w:after="96" w:line="240" w:lineRule="auto"/>
              <w:jc w:val="right"/>
              <w:rPr>
                <w:rFonts w:ascii="Times New Roman" w:hAnsi="Times New Roman" w:cs="Times New Roman"/>
                <w:color w:val="000000"/>
                <w:kern w:val="0"/>
                <w:sz w:val="20"/>
                <w:szCs w:val="20"/>
                <w:lang w:eastAsia="zh-CN"/>
                <w14:ligatures w14:val="none"/>
              </w:rPr>
            </w:pPr>
            <w:r>
              <w:rPr>
                <w:rFonts w:ascii="Times New Roman" w:hAnsi="Times New Roman" w:cs="Times New Roman" w:hint="eastAsia"/>
                <w:color w:val="000000"/>
                <w:kern w:val="0"/>
                <w:sz w:val="20"/>
                <w:szCs w:val="20"/>
                <w:lang w:eastAsia="zh-CN"/>
                <w14:ligatures w14:val="none"/>
              </w:rPr>
              <w:t>-696.49</w:t>
            </w:r>
          </w:p>
        </w:tc>
        <w:tc>
          <w:tcPr>
            <w:tcW w:w="1553" w:type="dxa"/>
            <w:tcBorders>
              <w:top w:val="nil"/>
              <w:left w:val="nil"/>
              <w:bottom w:val="nil"/>
              <w:right w:val="nil"/>
            </w:tcBorders>
            <w:shd w:val="clear" w:color="auto" w:fill="auto"/>
            <w:noWrap/>
            <w:vAlign w:val="bottom"/>
            <w:hideMark/>
          </w:tcPr>
          <w:p w14:paraId="231184D0" w14:textId="4CD908C4" w:rsidR="00514308" w:rsidRPr="004201D8" w:rsidRDefault="004201D8" w:rsidP="00514308">
            <w:pPr>
              <w:spacing w:beforeLines="20" w:before="48" w:afterLines="40" w:after="96" w:line="240" w:lineRule="auto"/>
              <w:jc w:val="right"/>
              <w:rPr>
                <w:rFonts w:ascii="Times New Roman" w:hAnsi="Times New Roman" w:cs="Times New Roman"/>
                <w:color w:val="000000"/>
                <w:kern w:val="0"/>
                <w:sz w:val="20"/>
                <w:szCs w:val="20"/>
                <w:lang w:eastAsia="zh-CN"/>
                <w14:ligatures w14:val="none"/>
              </w:rPr>
            </w:pPr>
            <w:r>
              <w:rPr>
                <w:rFonts w:ascii="Times New Roman" w:hAnsi="Times New Roman" w:cs="Times New Roman" w:hint="eastAsia"/>
                <w:color w:val="000000"/>
                <w:kern w:val="0"/>
                <w:sz w:val="20"/>
                <w:szCs w:val="20"/>
                <w:lang w:eastAsia="zh-CN"/>
                <w14:ligatures w14:val="none"/>
              </w:rPr>
              <w:t>215.21</w:t>
            </w:r>
          </w:p>
        </w:tc>
      </w:tr>
      <w:tr w:rsidR="00514308" w:rsidRPr="00514308" w14:paraId="6537C54A" w14:textId="77777777" w:rsidTr="004201D8">
        <w:trPr>
          <w:trHeight w:val="297"/>
        </w:trPr>
        <w:tc>
          <w:tcPr>
            <w:tcW w:w="3238" w:type="dxa"/>
            <w:tcBorders>
              <w:top w:val="nil"/>
              <w:left w:val="nil"/>
              <w:bottom w:val="nil"/>
              <w:right w:val="nil"/>
            </w:tcBorders>
            <w:shd w:val="clear" w:color="auto" w:fill="auto"/>
            <w:noWrap/>
            <w:vAlign w:val="center"/>
            <w:hideMark/>
          </w:tcPr>
          <w:p w14:paraId="3B860693" w14:textId="77777777" w:rsidR="00514308" w:rsidRPr="00514308" w:rsidRDefault="00514308" w:rsidP="00514308">
            <w:pPr>
              <w:spacing w:beforeLines="20" w:before="48" w:afterLines="40" w:after="96" w:line="240" w:lineRule="auto"/>
              <w:rPr>
                <w:rFonts w:ascii="Times New Roman" w:eastAsia="Times New Roman" w:hAnsi="Times New Roman" w:cs="Times New Roman"/>
                <w:color w:val="000000"/>
                <w:kern w:val="0"/>
                <w:sz w:val="20"/>
                <w:szCs w:val="20"/>
                <w14:ligatures w14:val="none"/>
              </w:rPr>
            </w:pPr>
            <w:proofErr w:type="spellStart"/>
            <w:r w:rsidRPr="00514308">
              <w:rPr>
                <w:rFonts w:ascii="Times New Roman" w:eastAsia="Times New Roman" w:hAnsi="Times New Roman" w:cs="Times New Roman"/>
                <w:color w:val="000000"/>
                <w:kern w:val="0"/>
                <w:sz w:val="20"/>
                <w:szCs w:val="20"/>
                <w14:ligatures w14:val="none"/>
              </w:rPr>
              <w:t>CSRcom</w:t>
            </w:r>
            <w:proofErr w:type="spellEnd"/>
          </w:p>
        </w:tc>
        <w:tc>
          <w:tcPr>
            <w:tcW w:w="1519" w:type="dxa"/>
            <w:tcBorders>
              <w:top w:val="nil"/>
              <w:left w:val="nil"/>
              <w:bottom w:val="nil"/>
              <w:right w:val="nil"/>
            </w:tcBorders>
            <w:shd w:val="clear" w:color="auto" w:fill="auto"/>
            <w:noWrap/>
            <w:vAlign w:val="bottom"/>
            <w:hideMark/>
          </w:tcPr>
          <w:p w14:paraId="4BBF7B7B" w14:textId="77777777" w:rsidR="00514308" w:rsidRPr="00514308" w:rsidRDefault="00514308" w:rsidP="00514308">
            <w:pPr>
              <w:spacing w:beforeLines="20" w:before="48" w:afterLines="40" w:after="96" w:line="240" w:lineRule="auto"/>
              <w:jc w:val="right"/>
              <w:rPr>
                <w:rFonts w:ascii="Times New Roman" w:eastAsia="Times New Roman" w:hAnsi="Times New Roman" w:cs="Times New Roman"/>
                <w:color w:val="000000"/>
                <w:kern w:val="0"/>
                <w:sz w:val="20"/>
                <w:szCs w:val="20"/>
                <w14:ligatures w14:val="none"/>
              </w:rPr>
            </w:pPr>
            <w:r w:rsidRPr="00514308">
              <w:rPr>
                <w:rFonts w:ascii="Times New Roman" w:eastAsia="Times New Roman" w:hAnsi="Times New Roman" w:cs="Times New Roman"/>
                <w:color w:val="000000"/>
                <w:kern w:val="0"/>
                <w:sz w:val="20"/>
                <w:szCs w:val="20"/>
                <w14:ligatures w14:val="none"/>
              </w:rPr>
              <w:t>0.67</w:t>
            </w:r>
          </w:p>
        </w:tc>
        <w:tc>
          <w:tcPr>
            <w:tcW w:w="1497" w:type="dxa"/>
            <w:tcBorders>
              <w:top w:val="nil"/>
              <w:left w:val="nil"/>
              <w:bottom w:val="nil"/>
              <w:right w:val="nil"/>
            </w:tcBorders>
            <w:shd w:val="clear" w:color="auto" w:fill="auto"/>
            <w:noWrap/>
            <w:vAlign w:val="bottom"/>
            <w:hideMark/>
          </w:tcPr>
          <w:p w14:paraId="0BF0FEF2" w14:textId="77777777" w:rsidR="00514308" w:rsidRPr="00514308" w:rsidRDefault="00514308" w:rsidP="00514308">
            <w:pPr>
              <w:spacing w:beforeLines="20" w:before="48" w:afterLines="40" w:after="96" w:line="240" w:lineRule="auto"/>
              <w:jc w:val="right"/>
              <w:rPr>
                <w:rFonts w:ascii="Times New Roman" w:eastAsia="Times New Roman" w:hAnsi="Times New Roman" w:cs="Times New Roman"/>
                <w:color w:val="000000"/>
                <w:kern w:val="0"/>
                <w:sz w:val="20"/>
                <w:szCs w:val="20"/>
                <w14:ligatures w14:val="none"/>
              </w:rPr>
            </w:pPr>
            <w:r w:rsidRPr="00514308">
              <w:rPr>
                <w:rFonts w:ascii="Times New Roman" w:eastAsia="Times New Roman" w:hAnsi="Times New Roman" w:cs="Times New Roman"/>
                <w:color w:val="000000"/>
                <w:kern w:val="0"/>
                <w:sz w:val="20"/>
                <w:szCs w:val="20"/>
                <w14:ligatures w14:val="none"/>
              </w:rPr>
              <w:t>0.47</w:t>
            </w:r>
          </w:p>
        </w:tc>
        <w:tc>
          <w:tcPr>
            <w:tcW w:w="1553" w:type="dxa"/>
            <w:tcBorders>
              <w:top w:val="nil"/>
              <w:left w:val="nil"/>
              <w:bottom w:val="nil"/>
              <w:right w:val="nil"/>
            </w:tcBorders>
            <w:shd w:val="clear" w:color="auto" w:fill="auto"/>
            <w:noWrap/>
            <w:vAlign w:val="bottom"/>
            <w:hideMark/>
          </w:tcPr>
          <w:p w14:paraId="3771348D" w14:textId="77777777" w:rsidR="00514308" w:rsidRPr="00514308" w:rsidRDefault="00514308" w:rsidP="00514308">
            <w:pPr>
              <w:spacing w:beforeLines="20" w:before="48" w:afterLines="40" w:after="96" w:line="240" w:lineRule="auto"/>
              <w:jc w:val="right"/>
              <w:rPr>
                <w:rFonts w:ascii="Times New Roman" w:eastAsia="Times New Roman" w:hAnsi="Times New Roman" w:cs="Times New Roman"/>
                <w:color w:val="000000"/>
                <w:kern w:val="0"/>
                <w:sz w:val="20"/>
                <w:szCs w:val="20"/>
                <w14:ligatures w14:val="none"/>
              </w:rPr>
            </w:pPr>
            <w:r w:rsidRPr="00514308">
              <w:rPr>
                <w:rFonts w:ascii="Times New Roman" w:eastAsia="Times New Roman" w:hAnsi="Times New Roman" w:cs="Times New Roman"/>
                <w:color w:val="000000"/>
                <w:kern w:val="0"/>
                <w:sz w:val="20"/>
                <w:szCs w:val="20"/>
                <w14:ligatures w14:val="none"/>
              </w:rPr>
              <w:t>0.00</w:t>
            </w:r>
          </w:p>
        </w:tc>
        <w:tc>
          <w:tcPr>
            <w:tcW w:w="1553" w:type="dxa"/>
            <w:tcBorders>
              <w:top w:val="nil"/>
              <w:left w:val="nil"/>
              <w:bottom w:val="nil"/>
              <w:right w:val="nil"/>
            </w:tcBorders>
            <w:shd w:val="clear" w:color="auto" w:fill="auto"/>
            <w:noWrap/>
            <w:vAlign w:val="bottom"/>
            <w:hideMark/>
          </w:tcPr>
          <w:p w14:paraId="0CF9C644" w14:textId="77777777" w:rsidR="00514308" w:rsidRPr="00514308" w:rsidRDefault="00514308" w:rsidP="00514308">
            <w:pPr>
              <w:spacing w:beforeLines="20" w:before="48" w:afterLines="40" w:after="96" w:line="240" w:lineRule="auto"/>
              <w:jc w:val="right"/>
              <w:rPr>
                <w:rFonts w:ascii="Times New Roman" w:eastAsia="Times New Roman" w:hAnsi="Times New Roman" w:cs="Times New Roman"/>
                <w:color w:val="000000"/>
                <w:kern w:val="0"/>
                <w:sz w:val="20"/>
                <w:szCs w:val="20"/>
                <w14:ligatures w14:val="none"/>
              </w:rPr>
            </w:pPr>
            <w:r w:rsidRPr="00514308">
              <w:rPr>
                <w:rFonts w:ascii="Times New Roman" w:eastAsia="Times New Roman" w:hAnsi="Times New Roman" w:cs="Times New Roman"/>
                <w:color w:val="000000"/>
                <w:kern w:val="0"/>
                <w:sz w:val="20"/>
                <w:szCs w:val="20"/>
                <w14:ligatures w14:val="none"/>
              </w:rPr>
              <w:t>1.00</w:t>
            </w:r>
          </w:p>
        </w:tc>
      </w:tr>
      <w:tr w:rsidR="00514308" w:rsidRPr="00514308" w14:paraId="67DE2E38" w14:textId="77777777" w:rsidTr="004201D8">
        <w:trPr>
          <w:trHeight w:val="297"/>
        </w:trPr>
        <w:tc>
          <w:tcPr>
            <w:tcW w:w="3238" w:type="dxa"/>
            <w:tcBorders>
              <w:top w:val="nil"/>
              <w:left w:val="nil"/>
              <w:bottom w:val="nil"/>
              <w:right w:val="nil"/>
            </w:tcBorders>
            <w:shd w:val="clear" w:color="auto" w:fill="auto"/>
            <w:noWrap/>
            <w:vAlign w:val="center"/>
            <w:hideMark/>
          </w:tcPr>
          <w:p w14:paraId="279896A1" w14:textId="77777777" w:rsidR="00514308" w:rsidRPr="00514308" w:rsidRDefault="00514308" w:rsidP="00514308">
            <w:pPr>
              <w:spacing w:beforeLines="20" w:before="48" w:afterLines="40" w:after="96" w:line="240" w:lineRule="auto"/>
              <w:rPr>
                <w:rFonts w:ascii="Times New Roman" w:eastAsia="Times New Roman" w:hAnsi="Times New Roman" w:cs="Times New Roman"/>
                <w:color w:val="000000"/>
                <w:kern w:val="0"/>
                <w:sz w:val="20"/>
                <w:szCs w:val="20"/>
                <w14:ligatures w14:val="none"/>
              </w:rPr>
            </w:pPr>
            <w:proofErr w:type="spellStart"/>
            <w:r w:rsidRPr="00514308">
              <w:rPr>
                <w:rFonts w:ascii="Times New Roman" w:eastAsia="Times New Roman" w:hAnsi="Times New Roman" w:cs="Times New Roman"/>
                <w:color w:val="000000"/>
                <w:kern w:val="0"/>
                <w:sz w:val="20"/>
                <w:szCs w:val="20"/>
                <w14:ligatures w14:val="none"/>
              </w:rPr>
              <w:t>IndBoard</w:t>
            </w:r>
            <w:proofErr w:type="spellEnd"/>
          </w:p>
        </w:tc>
        <w:tc>
          <w:tcPr>
            <w:tcW w:w="1519" w:type="dxa"/>
            <w:tcBorders>
              <w:top w:val="nil"/>
              <w:left w:val="nil"/>
              <w:bottom w:val="nil"/>
              <w:right w:val="nil"/>
            </w:tcBorders>
            <w:shd w:val="clear" w:color="auto" w:fill="auto"/>
            <w:noWrap/>
            <w:vAlign w:val="bottom"/>
            <w:hideMark/>
          </w:tcPr>
          <w:p w14:paraId="191C63A0" w14:textId="77777777" w:rsidR="00514308" w:rsidRPr="00514308" w:rsidRDefault="00514308" w:rsidP="00514308">
            <w:pPr>
              <w:spacing w:beforeLines="20" w:before="48" w:afterLines="40" w:after="96" w:line="240" w:lineRule="auto"/>
              <w:jc w:val="right"/>
              <w:rPr>
                <w:rFonts w:ascii="Times New Roman" w:eastAsia="Times New Roman" w:hAnsi="Times New Roman" w:cs="Times New Roman"/>
                <w:color w:val="000000"/>
                <w:kern w:val="0"/>
                <w:sz w:val="20"/>
                <w:szCs w:val="20"/>
                <w14:ligatures w14:val="none"/>
              </w:rPr>
            </w:pPr>
            <w:r w:rsidRPr="00514308">
              <w:rPr>
                <w:rFonts w:ascii="Times New Roman" w:eastAsia="Times New Roman" w:hAnsi="Times New Roman" w:cs="Times New Roman"/>
                <w:color w:val="000000"/>
                <w:kern w:val="0"/>
                <w:sz w:val="20"/>
                <w:szCs w:val="20"/>
                <w14:ligatures w14:val="none"/>
              </w:rPr>
              <w:t>62.50</w:t>
            </w:r>
          </w:p>
        </w:tc>
        <w:tc>
          <w:tcPr>
            <w:tcW w:w="1497" w:type="dxa"/>
            <w:tcBorders>
              <w:top w:val="nil"/>
              <w:left w:val="nil"/>
              <w:bottom w:val="nil"/>
              <w:right w:val="nil"/>
            </w:tcBorders>
            <w:shd w:val="clear" w:color="auto" w:fill="auto"/>
            <w:noWrap/>
            <w:vAlign w:val="bottom"/>
            <w:hideMark/>
          </w:tcPr>
          <w:p w14:paraId="7126B4C8" w14:textId="77777777" w:rsidR="00514308" w:rsidRPr="00514308" w:rsidRDefault="00514308" w:rsidP="00514308">
            <w:pPr>
              <w:spacing w:beforeLines="20" w:before="48" w:afterLines="40" w:after="96" w:line="240" w:lineRule="auto"/>
              <w:jc w:val="right"/>
              <w:rPr>
                <w:rFonts w:ascii="Times New Roman" w:eastAsia="Times New Roman" w:hAnsi="Times New Roman" w:cs="Times New Roman"/>
                <w:color w:val="000000"/>
                <w:kern w:val="0"/>
                <w:sz w:val="20"/>
                <w:szCs w:val="20"/>
                <w14:ligatures w14:val="none"/>
              </w:rPr>
            </w:pPr>
            <w:r w:rsidRPr="00514308">
              <w:rPr>
                <w:rFonts w:ascii="Times New Roman" w:eastAsia="Times New Roman" w:hAnsi="Times New Roman" w:cs="Times New Roman"/>
                <w:color w:val="000000"/>
                <w:kern w:val="0"/>
                <w:sz w:val="20"/>
                <w:szCs w:val="20"/>
                <w14:ligatures w14:val="none"/>
              </w:rPr>
              <w:t>24.17</w:t>
            </w:r>
          </w:p>
        </w:tc>
        <w:tc>
          <w:tcPr>
            <w:tcW w:w="1553" w:type="dxa"/>
            <w:tcBorders>
              <w:top w:val="nil"/>
              <w:left w:val="nil"/>
              <w:bottom w:val="nil"/>
              <w:right w:val="nil"/>
            </w:tcBorders>
            <w:shd w:val="clear" w:color="auto" w:fill="auto"/>
            <w:noWrap/>
            <w:vAlign w:val="bottom"/>
            <w:hideMark/>
          </w:tcPr>
          <w:p w14:paraId="74F25DAE" w14:textId="77777777" w:rsidR="00514308" w:rsidRPr="00514308" w:rsidRDefault="00514308" w:rsidP="00514308">
            <w:pPr>
              <w:spacing w:beforeLines="20" w:before="48" w:afterLines="40" w:after="96" w:line="240" w:lineRule="auto"/>
              <w:jc w:val="right"/>
              <w:rPr>
                <w:rFonts w:ascii="Times New Roman" w:eastAsia="Times New Roman" w:hAnsi="Times New Roman" w:cs="Times New Roman"/>
                <w:color w:val="000000"/>
                <w:kern w:val="0"/>
                <w:sz w:val="20"/>
                <w:szCs w:val="20"/>
                <w14:ligatures w14:val="none"/>
              </w:rPr>
            </w:pPr>
            <w:r w:rsidRPr="00514308">
              <w:rPr>
                <w:rFonts w:ascii="Times New Roman" w:eastAsia="Times New Roman" w:hAnsi="Times New Roman" w:cs="Times New Roman"/>
                <w:color w:val="000000"/>
                <w:kern w:val="0"/>
                <w:sz w:val="20"/>
                <w:szCs w:val="20"/>
                <w14:ligatures w14:val="none"/>
              </w:rPr>
              <w:t>0.00</w:t>
            </w:r>
          </w:p>
        </w:tc>
        <w:tc>
          <w:tcPr>
            <w:tcW w:w="1553" w:type="dxa"/>
            <w:tcBorders>
              <w:top w:val="nil"/>
              <w:left w:val="nil"/>
              <w:bottom w:val="nil"/>
              <w:right w:val="nil"/>
            </w:tcBorders>
            <w:shd w:val="clear" w:color="auto" w:fill="auto"/>
            <w:noWrap/>
            <w:vAlign w:val="bottom"/>
            <w:hideMark/>
          </w:tcPr>
          <w:p w14:paraId="1100D453" w14:textId="77777777" w:rsidR="00514308" w:rsidRPr="00514308" w:rsidRDefault="00514308" w:rsidP="00514308">
            <w:pPr>
              <w:spacing w:beforeLines="20" w:before="48" w:afterLines="40" w:after="96" w:line="240" w:lineRule="auto"/>
              <w:jc w:val="right"/>
              <w:rPr>
                <w:rFonts w:ascii="Times New Roman" w:eastAsia="Times New Roman" w:hAnsi="Times New Roman" w:cs="Times New Roman"/>
                <w:color w:val="000000"/>
                <w:kern w:val="0"/>
                <w:sz w:val="20"/>
                <w:szCs w:val="20"/>
                <w14:ligatures w14:val="none"/>
              </w:rPr>
            </w:pPr>
            <w:r w:rsidRPr="00514308">
              <w:rPr>
                <w:rFonts w:ascii="Times New Roman" w:eastAsia="Times New Roman" w:hAnsi="Times New Roman" w:cs="Times New Roman"/>
                <w:color w:val="000000"/>
                <w:kern w:val="0"/>
                <w:sz w:val="20"/>
                <w:szCs w:val="20"/>
                <w14:ligatures w14:val="none"/>
              </w:rPr>
              <w:t>100.00</w:t>
            </w:r>
          </w:p>
        </w:tc>
      </w:tr>
      <w:tr w:rsidR="00514308" w:rsidRPr="00514308" w14:paraId="544D4D96" w14:textId="77777777" w:rsidTr="004201D8">
        <w:trPr>
          <w:trHeight w:val="297"/>
        </w:trPr>
        <w:tc>
          <w:tcPr>
            <w:tcW w:w="3238" w:type="dxa"/>
            <w:tcBorders>
              <w:top w:val="nil"/>
              <w:left w:val="nil"/>
              <w:bottom w:val="nil"/>
              <w:right w:val="nil"/>
            </w:tcBorders>
            <w:shd w:val="clear" w:color="auto" w:fill="auto"/>
            <w:noWrap/>
            <w:vAlign w:val="center"/>
            <w:hideMark/>
          </w:tcPr>
          <w:p w14:paraId="51A011C7" w14:textId="77777777" w:rsidR="00514308" w:rsidRPr="00514308" w:rsidRDefault="00514308" w:rsidP="00514308">
            <w:pPr>
              <w:spacing w:beforeLines="20" w:before="48" w:afterLines="40" w:after="96" w:line="240" w:lineRule="auto"/>
              <w:rPr>
                <w:rFonts w:ascii="Times New Roman" w:eastAsia="Times New Roman" w:hAnsi="Times New Roman" w:cs="Times New Roman"/>
                <w:color w:val="000000"/>
                <w:kern w:val="0"/>
                <w:sz w:val="20"/>
                <w:szCs w:val="20"/>
                <w14:ligatures w14:val="none"/>
              </w:rPr>
            </w:pPr>
            <w:proofErr w:type="spellStart"/>
            <w:r w:rsidRPr="00514308">
              <w:rPr>
                <w:rFonts w:ascii="Times New Roman" w:eastAsia="Times New Roman" w:hAnsi="Times New Roman" w:cs="Times New Roman"/>
                <w:color w:val="000000"/>
                <w:kern w:val="0"/>
                <w:sz w:val="20"/>
                <w:szCs w:val="20"/>
                <w14:ligatures w14:val="none"/>
              </w:rPr>
              <w:t>FemaleBoard</w:t>
            </w:r>
            <w:proofErr w:type="spellEnd"/>
          </w:p>
        </w:tc>
        <w:tc>
          <w:tcPr>
            <w:tcW w:w="1519" w:type="dxa"/>
            <w:tcBorders>
              <w:top w:val="nil"/>
              <w:left w:val="nil"/>
              <w:bottom w:val="nil"/>
              <w:right w:val="nil"/>
            </w:tcBorders>
            <w:shd w:val="clear" w:color="auto" w:fill="auto"/>
            <w:noWrap/>
            <w:vAlign w:val="bottom"/>
            <w:hideMark/>
          </w:tcPr>
          <w:p w14:paraId="44685B97" w14:textId="77777777" w:rsidR="00514308" w:rsidRPr="00514308" w:rsidRDefault="00514308" w:rsidP="00514308">
            <w:pPr>
              <w:spacing w:beforeLines="20" w:before="48" w:afterLines="40" w:after="96" w:line="240" w:lineRule="auto"/>
              <w:jc w:val="right"/>
              <w:rPr>
                <w:rFonts w:ascii="Times New Roman" w:eastAsia="Times New Roman" w:hAnsi="Times New Roman" w:cs="Times New Roman"/>
                <w:color w:val="000000"/>
                <w:kern w:val="0"/>
                <w:sz w:val="20"/>
                <w:szCs w:val="20"/>
                <w14:ligatures w14:val="none"/>
              </w:rPr>
            </w:pPr>
            <w:r w:rsidRPr="00514308">
              <w:rPr>
                <w:rFonts w:ascii="Times New Roman" w:eastAsia="Times New Roman" w:hAnsi="Times New Roman" w:cs="Times New Roman"/>
                <w:color w:val="000000"/>
                <w:kern w:val="0"/>
                <w:sz w:val="20"/>
                <w:szCs w:val="20"/>
                <w14:ligatures w14:val="none"/>
              </w:rPr>
              <w:t>17.12</w:t>
            </w:r>
          </w:p>
        </w:tc>
        <w:tc>
          <w:tcPr>
            <w:tcW w:w="1497" w:type="dxa"/>
            <w:tcBorders>
              <w:top w:val="nil"/>
              <w:left w:val="nil"/>
              <w:bottom w:val="nil"/>
              <w:right w:val="nil"/>
            </w:tcBorders>
            <w:shd w:val="clear" w:color="auto" w:fill="auto"/>
            <w:noWrap/>
            <w:vAlign w:val="bottom"/>
            <w:hideMark/>
          </w:tcPr>
          <w:p w14:paraId="728E789C" w14:textId="77777777" w:rsidR="00514308" w:rsidRPr="00514308" w:rsidRDefault="00514308" w:rsidP="00514308">
            <w:pPr>
              <w:spacing w:beforeLines="20" w:before="48" w:afterLines="40" w:after="96" w:line="240" w:lineRule="auto"/>
              <w:jc w:val="right"/>
              <w:rPr>
                <w:rFonts w:ascii="Times New Roman" w:eastAsia="Times New Roman" w:hAnsi="Times New Roman" w:cs="Times New Roman"/>
                <w:color w:val="000000"/>
                <w:kern w:val="0"/>
                <w:sz w:val="20"/>
                <w:szCs w:val="20"/>
                <w14:ligatures w14:val="none"/>
              </w:rPr>
            </w:pPr>
            <w:r w:rsidRPr="00514308">
              <w:rPr>
                <w:rFonts w:ascii="Times New Roman" w:eastAsia="Times New Roman" w:hAnsi="Times New Roman" w:cs="Times New Roman"/>
                <w:color w:val="000000"/>
                <w:kern w:val="0"/>
                <w:sz w:val="20"/>
                <w:szCs w:val="20"/>
                <w14:ligatures w14:val="none"/>
              </w:rPr>
              <w:t>13.41</w:t>
            </w:r>
          </w:p>
        </w:tc>
        <w:tc>
          <w:tcPr>
            <w:tcW w:w="1553" w:type="dxa"/>
            <w:tcBorders>
              <w:top w:val="nil"/>
              <w:left w:val="nil"/>
              <w:bottom w:val="nil"/>
              <w:right w:val="nil"/>
            </w:tcBorders>
            <w:shd w:val="clear" w:color="auto" w:fill="auto"/>
            <w:noWrap/>
            <w:vAlign w:val="bottom"/>
            <w:hideMark/>
          </w:tcPr>
          <w:p w14:paraId="5EB5E0D2" w14:textId="77777777" w:rsidR="00514308" w:rsidRPr="00514308" w:rsidRDefault="00514308" w:rsidP="00514308">
            <w:pPr>
              <w:spacing w:beforeLines="20" w:before="48" w:afterLines="40" w:after="96" w:line="240" w:lineRule="auto"/>
              <w:jc w:val="right"/>
              <w:rPr>
                <w:rFonts w:ascii="Times New Roman" w:eastAsia="Times New Roman" w:hAnsi="Times New Roman" w:cs="Times New Roman"/>
                <w:color w:val="000000"/>
                <w:kern w:val="0"/>
                <w:sz w:val="20"/>
                <w:szCs w:val="20"/>
                <w14:ligatures w14:val="none"/>
              </w:rPr>
            </w:pPr>
            <w:r w:rsidRPr="00514308">
              <w:rPr>
                <w:rFonts w:ascii="Times New Roman" w:eastAsia="Times New Roman" w:hAnsi="Times New Roman" w:cs="Times New Roman"/>
                <w:color w:val="000000"/>
                <w:kern w:val="0"/>
                <w:sz w:val="20"/>
                <w:szCs w:val="20"/>
                <w14:ligatures w14:val="none"/>
              </w:rPr>
              <w:t>0.00</w:t>
            </w:r>
          </w:p>
        </w:tc>
        <w:tc>
          <w:tcPr>
            <w:tcW w:w="1553" w:type="dxa"/>
            <w:tcBorders>
              <w:top w:val="nil"/>
              <w:left w:val="nil"/>
              <w:bottom w:val="nil"/>
              <w:right w:val="nil"/>
            </w:tcBorders>
            <w:shd w:val="clear" w:color="auto" w:fill="auto"/>
            <w:noWrap/>
            <w:vAlign w:val="bottom"/>
            <w:hideMark/>
          </w:tcPr>
          <w:p w14:paraId="027EC4B7" w14:textId="77777777" w:rsidR="00514308" w:rsidRPr="00514308" w:rsidRDefault="00514308" w:rsidP="00514308">
            <w:pPr>
              <w:spacing w:beforeLines="20" w:before="48" w:afterLines="40" w:after="96" w:line="240" w:lineRule="auto"/>
              <w:jc w:val="right"/>
              <w:rPr>
                <w:rFonts w:ascii="Times New Roman" w:eastAsia="Times New Roman" w:hAnsi="Times New Roman" w:cs="Times New Roman"/>
                <w:color w:val="000000"/>
                <w:kern w:val="0"/>
                <w:sz w:val="20"/>
                <w:szCs w:val="20"/>
                <w14:ligatures w14:val="none"/>
              </w:rPr>
            </w:pPr>
            <w:r w:rsidRPr="00514308">
              <w:rPr>
                <w:rFonts w:ascii="Times New Roman" w:eastAsia="Times New Roman" w:hAnsi="Times New Roman" w:cs="Times New Roman"/>
                <w:color w:val="000000"/>
                <w:kern w:val="0"/>
                <w:sz w:val="20"/>
                <w:szCs w:val="20"/>
                <w14:ligatures w14:val="none"/>
              </w:rPr>
              <w:t>66.67</w:t>
            </w:r>
          </w:p>
        </w:tc>
      </w:tr>
      <w:tr w:rsidR="00514308" w:rsidRPr="00514308" w14:paraId="33FD879D" w14:textId="77777777" w:rsidTr="004201D8">
        <w:trPr>
          <w:trHeight w:val="297"/>
        </w:trPr>
        <w:tc>
          <w:tcPr>
            <w:tcW w:w="3238" w:type="dxa"/>
            <w:tcBorders>
              <w:top w:val="nil"/>
              <w:left w:val="nil"/>
              <w:bottom w:val="nil"/>
              <w:right w:val="nil"/>
            </w:tcBorders>
            <w:shd w:val="clear" w:color="auto" w:fill="auto"/>
            <w:noWrap/>
            <w:vAlign w:val="center"/>
            <w:hideMark/>
          </w:tcPr>
          <w:p w14:paraId="34A65AAC" w14:textId="77777777" w:rsidR="00514308" w:rsidRPr="00514308" w:rsidRDefault="00514308" w:rsidP="00514308">
            <w:pPr>
              <w:spacing w:beforeLines="20" w:before="48" w:afterLines="40" w:after="96" w:line="240" w:lineRule="auto"/>
              <w:rPr>
                <w:rFonts w:ascii="Times New Roman" w:eastAsia="Times New Roman" w:hAnsi="Times New Roman" w:cs="Times New Roman"/>
                <w:color w:val="000000"/>
                <w:kern w:val="0"/>
                <w:sz w:val="20"/>
                <w:szCs w:val="20"/>
                <w14:ligatures w14:val="none"/>
              </w:rPr>
            </w:pPr>
            <w:proofErr w:type="spellStart"/>
            <w:r w:rsidRPr="00514308">
              <w:rPr>
                <w:rFonts w:ascii="Times New Roman" w:eastAsia="Times New Roman" w:hAnsi="Times New Roman" w:cs="Times New Roman"/>
                <w:color w:val="000000"/>
                <w:kern w:val="0"/>
                <w:sz w:val="20"/>
                <w:szCs w:val="20"/>
                <w14:ligatures w14:val="none"/>
              </w:rPr>
              <w:t>FirmGrow</w:t>
            </w:r>
            <w:proofErr w:type="spellEnd"/>
          </w:p>
        </w:tc>
        <w:tc>
          <w:tcPr>
            <w:tcW w:w="1519" w:type="dxa"/>
            <w:tcBorders>
              <w:top w:val="nil"/>
              <w:left w:val="nil"/>
              <w:bottom w:val="nil"/>
              <w:right w:val="nil"/>
            </w:tcBorders>
            <w:shd w:val="clear" w:color="auto" w:fill="auto"/>
            <w:noWrap/>
            <w:vAlign w:val="bottom"/>
            <w:hideMark/>
          </w:tcPr>
          <w:p w14:paraId="7F521E72" w14:textId="77777777" w:rsidR="00514308" w:rsidRPr="00514308" w:rsidRDefault="00514308" w:rsidP="00514308">
            <w:pPr>
              <w:spacing w:beforeLines="20" w:before="48" w:afterLines="40" w:after="96" w:line="240" w:lineRule="auto"/>
              <w:jc w:val="right"/>
              <w:rPr>
                <w:rFonts w:ascii="Times New Roman" w:eastAsia="Times New Roman" w:hAnsi="Times New Roman" w:cs="Times New Roman"/>
                <w:color w:val="000000"/>
                <w:kern w:val="0"/>
                <w:sz w:val="20"/>
                <w:szCs w:val="20"/>
                <w14:ligatures w14:val="none"/>
              </w:rPr>
            </w:pPr>
            <w:r w:rsidRPr="00514308">
              <w:rPr>
                <w:rFonts w:ascii="Times New Roman" w:eastAsia="Times New Roman" w:hAnsi="Times New Roman" w:cs="Times New Roman"/>
                <w:color w:val="000000"/>
                <w:kern w:val="0"/>
                <w:sz w:val="20"/>
                <w:szCs w:val="20"/>
                <w14:ligatures w14:val="none"/>
              </w:rPr>
              <w:t>0.64</w:t>
            </w:r>
          </w:p>
        </w:tc>
        <w:tc>
          <w:tcPr>
            <w:tcW w:w="1497" w:type="dxa"/>
            <w:tcBorders>
              <w:top w:val="nil"/>
              <w:left w:val="nil"/>
              <w:bottom w:val="nil"/>
              <w:right w:val="nil"/>
            </w:tcBorders>
            <w:shd w:val="clear" w:color="auto" w:fill="auto"/>
            <w:noWrap/>
            <w:vAlign w:val="bottom"/>
            <w:hideMark/>
          </w:tcPr>
          <w:p w14:paraId="0C66E6F1" w14:textId="77777777" w:rsidR="00514308" w:rsidRPr="00514308" w:rsidRDefault="00514308" w:rsidP="00514308">
            <w:pPr>
              <w:spacing w:beforeLines="20" w:before="48" w:afterLines="40" w:after="96" w:line="240" w:lineRule="auto"/>
              <w:jc w:val="right"/>
              <w:rPr>
                <w:rFonts w:ascii="Times New Roman" w:eastAsia="Times New Roman" w:hAnsi="Times New Roman" w:cs="Times New Roman"/>
                <w:color w:val="000000"/>
                <w:kern w:val="0"/>
                <w:sz w:val="20"/>
                <w:szCs w:val="20"/>
                <w14:ligatures w14:val="none"/>
              </w:rPr>
            </w:pPr>
            <w:r w:rsidRPr="00514308">
              <w:rPr>
                <w:rFonts w:ascii="Times New Roman" w:eastAsia="Times New Roman" w:hAnsi="Times New Roman" w:cs="Times New Roman"/>
                <w:color w:val="000000"/>
                <w:kern w:val="0"/>
                <w:sz w:val="20"/>
                <w:szCs w:val="20"/>
                <w14:ligatures w14:val="none"/>
              </w:rPr>
              <w:t>103.07</w:t>
            </w:r>
          </w:p>
        </w:tc>
        <w:tc>
          <w:tcPr>
            <w:tcW w:w="1553" w:type="dxa"/>
            <w:tcBorders>
              <w:top w:val="nil"/>
              <w:left w:val="nil"/>
              <w:bottom w:val="nil"/>
              <w:right w:val="nil"/>
            </w:tcBorders>
            <w:shd w:val="clear" w:color="auto" w:fill="auto"/>
            <w:noWrap/>
            <w:vAlign w:val="bottom"/>
            <w:hideMark/>
          </w:tcPr>
          <w:p w14:paraId="62B651D6" w14:textId="77777777" w:rsidR="00514308" w:rsidRPr="00514308" w:rsidRDefault="00514308" w:rsidP="00514308">
            <w:pPr>
              <w:spacing w:beforeLines="20" w:before="48" w:afterLines="40" w:after="96" w:line="240" w:lineRule="auto"/>
              <w:jc w:val="right"/>
              <w:rPr>
                <w:rFonts w:ascii="Times New Roman" w:eastAsia="Times New Roman" w:hAnsi="Times New Roman" w:cs="Times New Roman"/>
                <w:color w:val="000000"/>
                <w:kern w:val="0"/>
                <w:sz w:val="20"/>
                <w:szCs w:val="20"/>
                <w14:ligatures w14:val="none"/>
              </w:rPr>
            </w:pPr>
            <w:r w:rsidRPr="00514308">
              <w:rPr>
                <w:rFonts w:ascii="Times New Roman" w:eastAsia="Times New Roman" w:hAnsi="Times New Roman" w:cs="Times New Roman"/>
                <w:color w:val="000000"/>
                <w:kern w:val="0"/>
                <w:sz w:val="20"/>
                <w:szCs w:val="20"/>
                <w14:ligatures w14:val="none"/>
              </w:rPr>
              <w:t>-1000.62</w:t>
            </w:r>
          </w:p>
        </w:tc>
        <w:tc>
          <w:tcPr>
            <w:tcW w:w="1553" w:type="dxa"/>
            <w:tcBorders>
              <w:top w:val="nil"/>
              <w:left w:val="nil"/>
              <w:bottom w:val="nil"/>
              <w:right w:val="nil"/>
            </w:tcBorders>
            <w:shd w:val="clear" w:color="auto" w:fill="auto"/>
            <w:noWrap/>
            <w:vAlign w:val="bottom"/>
            <w:hideMark/>
          </w:tcPr>
          <w:p w14:paraId="076E77FB" w14:textId="77777777" w:rsidR="00514308" w:rsidRPr="00514308" w:rsidRDefault="00514308" w:rsidP="00514308">
            <w:pPr>
              <w:spacing w:beforeLines="20" w:before="48" w:afterLines="40" w:after="96" w:line="240" w:lineRule="auto"/>
              <w:jc w:val="right"/>
              <w:rPr>
                <w:rFonts w:ascii="Times New Roman" w:eastAsia="Times New Roman" w:hAnsi="Times New Roman" w:cs="Times New Roman"/>
                <w:color w:val="000000"/>
                <w:kern w:val="0"/>
                <w:sz w:val="20"/>
                <w:szCs w:val="20"/>
                <w14:ligatures w14:val="none"/>
              </w:rPr>
            </w:pPr>
            <w:r w:rsidRPr="00514308">
              <w:rPr>
                <w:rFonts w:ascii="Times New Roman" w:eastAsia="Times New Roman" w:hAnsi="Times New Roman" w:cs="Times New Roman"/>
                <w:color w:val="000000"/>
                <w:kern w:val="0"/>
                <w:sz w:val="20"/>
                <w:szCs w:val="20"/>
                <w14:ligatures w14:val="none"/>
              </w:rPr>
              <w:t>4460.14</w:t>
            </w:r>
          </w:p>
        </w:tc>
      </w:tr>
      <w:tr w:rsidR="00514308" w:rsidRPr="00514308" w14:paraId="6C074F6B" w14:textId="77777777" w:rsidTr="004201D8">
        <w:trPr>
          <w:trHeight w:val="297"/>
        </w:trPr>
        <w:tc>
          <w:tcPr>
            <w:tcW w:w="3238" w:type="dxa"/>
            <w:tcBorders>
              <w:top w:val="nil"/>
              <w:left w:val="nil"/>
              <w:bottom w:val="nil"/>
              <w:right w:val="nil"/>
            </w:tcBorders>
            <w:shd w:val="clear" w:color="auto" w:fill="auto"/>
            <w:noWrap/>
            <w:vAlign w:val="center"/>
            <w:hideMark/>
          </w:tcPr>
          <w:p w14:paraId="20486B0D" w14:textId="77777777" w:rsidR="00514308" w:rsidRPr="00514308" w:rsidRDefault="00514308" w:rsidP="00514308">
            <w:pPr>
              <w:spacing w:beforeLines="20" w:before="48" w:afterLines="40" w:after="96" w:line="240" w:lineRule="auto"/>
              <w:rPr>
                <w:rFonts w:ascii="Times New Roman" w:eastAsia="Times New Roman" w:hAnsi="Times New Roman" w:cs="Times New Roman"/>
                <w:color w:val="000000"/>
                <w:kern w:val="0"/>
                <w:sz w:val="20"/>
                <w:szCs w:val="20"/>
                <w14:ligatures w14:val="none"/>
              </w:rPr>
            </w:pPr>
            <w:r w:rsidRPr="00514308">
              <w:rPr>
                <w:rFonts w:ascii="Times New Roman" w:eastAsia="Times New Roman" w:hAnsi="Times New Roman" w:cs="Times New Roman"/>
                <w:color w:val="000000"/>
                <w:kern w:val="0"/>
                <w:sz w:val="20"/>
                <w:szCs w:val="20"/>
                <w14:ligatures w14:val="none"/>
              </w:rPr>
              <w:t>ROE</w:t>
            </w:r>
          </w:p>
        </w:tc>
        <w:tc>
          <w:tcPr>
            <w:tcW w:w="1519" w:type="dxa"/>
            <w:tcBorders>
              <w:top w:val="nil"/>
              <w:left w:val="nil"/>
              <w:bottom w:val="nil"/>
              <w:right w:val="nil"/>
            </w:tcBorders>
            <w:shd w:val="clear" w:color="auto" w:fill="auto"/>
            <w:noWrap/>
            <w:vAlign w:val="bottom"/>
            <w:hideMark/>
          </w:tcPr>
          <w:p w14:paraId="456F12F4" w14:textId="77777777" w:rsidR="00514308" w:rsidRPr="00514308" w:rsidRDefault="00514308" w:rsidP="00514308">
            <w:pPr>
              <w:spacing w:beforeLines="20" w:before="48" w:afterLines="40" w:after="96" w:line="240" w:lineRule="auto"/>
              <w:jc w:val="right"/>
              <w:rPr>
                <w:rFonts w:ascii="Times New Roman" w:eastAsia="Times New Roman" w:hAnsi="Times New Roman" w:cs="Times New Roman"/>
                <w:color w:val="000000"/>
                <w:kern w:val="0"/>
                <w:sz w:val="20"/>
                <w:szCs w:val="20"/>
                <w14:ligatures w14:val="none"/>
              </w:rPr>
            </w:pPr>
            <w:r w:rsidRPr="00514308">
              <w:rPr>
                <w:rFonts w:ascii="Times New Roman" w:eastAsia="Times New Roman" w:hAnsi="Times New Roman" w:cs="Times New Roman"/>
                <w:color w:val="000000"/>
                <w:kern w:val="0"/>
                <w:sz w:val="20"/>
                <w:szCs w:val="20"/>
                <w14:ligatures w14:val="none"/>
              </w:rPr>
              <w:t>0.04</w:t>
            </w:r>
          </w:p>
        </w:tc>
        <w:tc>
          <w:tcPr>
            <w:tcW w:w="1497" w:type="dxa"/>
            <w:tcBorders>
              <w:top w:val="nil"/>
              <w:left w:val="nil"/>
              <w:bottom w:val="nil"/>
              <w:right w:val="nil"/>
            </w:tcBorders>
            <w:shd w:val="clear" w:color="auto" w:fill="auto"/>
            <w:noWrap/>
            <w:vAlign w:val="bottom"/>
            <w:hideMark/>
          </w:tcPr>
          <w:p w14:paraId="5136E4BE" w14:textId="77777777" w:rsidR="00514308" w:rsidRPr="00514308" w:rsidRDefault="00514308" w:rsidP="00514308">
            <w:pPr>
              <w:spacing w:beforeLines="20" w:before="48" w:afterLines="40" w:after="96" w:line="240" w:lineRule="auto"/>
              <w:jc w:val="right"/>
              <w:rPr>
                <w:rFonts w:ascii="Times New Roman" w:eastAsia="Times New Roman" w:hAnsi="Times New Roman" w:cs="Times New Roman"/>
                <w:color w:val="000000"/>
                <w:kern w:val="0"/>
                <w:sz w:val="20"/>
                <w:szCs w:val="20"/>
                <w14:ligatures w14:val="none"/>
              </w:rPr>
            </w:pPr>
            <w:r w:rsidRPr="00514308">
              <w:rPr>
                <w:rFonts w:ascii="Times New Roman" w:eastAsia="Times New Roman" w:hAnsi="Times New Roman" w:cs="Times New Roman"/>
                <w:color w:val="000000"/>
                <w:kern w:val="0"/>
                <w:sz w:val="20"/>
                <w:szCs w:val="20"/>
                <w14:ligatures w14:val="none"/>
              </w:rPr>
              <w:t>1.19</w:t>
            </w:r>
          </w:p>
        </w:tc>
        <w:tc>
          <w:tcPr>
            <w:tcW w:w="1553" w:type="dxa"/>
            <w:tcBorders>
              <w:top w:val="nil"/>
              <w:left w:val="nil"/>
              <w:bottom w:val="nil"/>
              <w:right w:val="nil"/>
            </w:tcBorders>
            <w:shd w:val="clear" w:color="auto" w:fill="auto"/>
            <w:noWrap/>
            <w:vAlign w:val="bottom"/>
            <w:hideMark/>
          </w:tcPr>
          <w:p w14:paraId="41F23F84" w14:textId="77777777" w:rsidR="00514308" w:rsidRPr="00514308" w:rsidRDefault="00514308" w:rsidP="00514308">
            <w:pPr>
              <w:spacing w:beforeLines="20" w:before="48" w:afterLines="40" w:after="96" w:line="240" w:lineRule="auto"/>
              <w:jc w:val="right"/>
              <w:rPr>
                <w:rFonts w:ascii="Times New Roman" w:eastAsia="Times New Roman" w:hAnsi="Times New Roman" w:cs="Times New Roman"/>
                <w:color w:val="000000"/>
                <w:kern w:val="0"/>
                <w:sz w:val="20"/>
                <w:szCs w:val="20"/>
                <w14:ligatures w14:val="none"/>
              </w:rPr>
            </w:pPr>
            <w:r w:rsidRPr="00514308">
              <w:rPr>
                <w:rFonts w:ascii="Times New Roman" w:eastAsia="Times New Roman" w:hAnsi="Times New Roman" w:cs="Times New Roman"/>
                <w:color w:val="000000"/>
                <w:kern w:val="0"/>
                <w:sz w:val="20"/>
                <w:szCs w:val="20"/>
                <w14:ligatures w14:val="none"/>
              </w:rPr>
              <w:t>-25.47</w:t>
            </w:r>
          </w:p>
        </w:tc>
        <w:tc>
          <w:tcPr>
            <w:tcW w:w="1553" w:type="dxa"/>
            <w:tcBorders>
              <w:top w:val="nil"/>
              <w:left w:val="nil"/>
              <w:bottom w:val="nil"/>
              <w:right w:val="nil"/>
            </w:tcBorders>
            <w:shd w:val="clear" w:color="auto" w:fill="auto"/>
            <w:noWrap/>
            <w:vAlign w:val="bottom"/>
            <w:hideMark/>
          </w:tcPr>
          <w:p w14:paraId="057B736A" w14:textId="77777777" w:rsidR="00514308" w:rsidRPr="00514308" w:rsidRDefault="00514308" w:rsidP="00514308">
            <w:pPr>
              <w:spacing w:beforeLines="20" w:before="48" w:afterLines="40" w:after="96" w:line="240" w:lineRule="auto"/>
              <w:jc w:val="right"/>
              <w:rPr>
                <w:rFonts w:ascii="Times New Roman" w:eastAsia="Times New Roman" w:hAnsi="Times New Roman" w:cs="Times New Roman"/>
                <w:color w:val="000000"/>
                <w:kern w:val="0"/>
                <w:sz w:val="20"/>
                <w:szCs w:val="20"/>
                <w14:ligatures w14:val="none"/>
              </w:rPr>
            </w:pPr>
            <w:r w:rsidRPr="00514308">
              <w:rPr>
                <w:rFonts w:ascii="Times New Roman" w:eastAsia="Times New Roman" w:hAnsi="Times New Roman" w:cs="Times New Roman"/>
                <w:color w:val="000000"/>
                <w:kern w:val="0"/>
                <w:sz w:val="20"/>
                <w:szCs w:val="20"/>
                <w14:ligatures w14:val="none"/>
              </w:rPr>
              <w:t>38.35</w:t>
            </w:r>
          </w:p>
        </w:tc>
      </w:tr>
      <w:tr w:rsidR="00514308" w:rsidRPr="00514308" w14:paraId="167AB97A" w14:textId="77777777" w:rsidTr="004201D8">
        <w:trPr>
          <w:trHeight w:val="297"/>
        </w:trPr>
        <w:tc>
          <w:tcPr>
            <w:tcW w:w="3238" w:type="dxa"/>
            <w:tcBorders>
              <w:top w:val="nil"/>
              <w:left w:val="nil"/>
              <w:bottom w:val="nil"/>
              <w:right w:val="nil"/>
            </w:tcBorders>
            <w:shd w:val="clear" w:color="auto" w:fill="auto"/>
            <w:noWrap/>
            <w:vAlign w:val="center"/>
            <w:hideMark/>
          </w:tcPr>
          <w:p w14:paraId="6F7EB8A0" w14:textId="77777777" w:rsidR="00514308" w:rsidRPr="00514308" w:rsidRDefault="00514308" w:rsidP="00514308">
            <w:pPr>
              <w:spacing w:beforeLines="20" w:before="48" w:afterLines="40" w:after="96" w:line="240" w:lineRule="auto"/>
              <w:rPr>
                <w:rFonts w:ascii="Times New Roman" w:eastAsia="Times New Roman" w:hAnsi="Times New Roman" w:cs="Times New Roman"/>
                <w:color w:val="000000"/>
                <w:kern w:val="0"/>
                <w:sz w:val="20"/>
                <w:szCs w:val="20"/>
                <w14:ligatures w14:val="none"/>
              </w:rPr>
            </w:pPr>
            <w:r w:rsidRPr="00514308">
              <w:rPr>
                <w:rFonts w:ascii="Times New Roman" w:eastAsia="Times New Roman" w:hAnsi="Times New Roman" w:cs="Times New Roman"/>
                <w:color w:val="000000"/>
                <w:kern w:val="0"/>
                <w:sz w:val="20"/>
                <w:szCs w:val="20"/>
                <w14:ligatures w14:val="none"/>
              </w:rPr>
              <w:t>Leverage</w:t>
            </w:r>
          </w:p>
        </w:tc>
        <w:tc>
          <w:tcPr>
            <w:tcW w:w="1519" w:type="dxa"/>
            <w:tcBorders>
              <w:top w:val="nil"/>
              <w:left w:val="nil"/>
              <w:bottom w:val="nil"/>
              <w:right w:val="nil"/>
            </w:tcBorders>
            <w:shd w:val="clear" w:color="auto" w:fill="auto"/>
            <w:noWrap/>
            <w:vAlign w:val="bottom"/>
            <w:hideMark/>
          </w:tcPr>
          <w:p w14:paraId="51B917C4" w14:textId="77777777" w:rsidR="00514308" w:rsidRPr="00514308" w:rsidRDefault="00514308" w:rsidP="00514308">
            <w:pPr>
              <w:spacing w:beforeLines="20" w:before="48" w:afterLines="40" w:after="96" w:line="240" w:lineRule="auto"/>
              <w:jc w:val="right"/>
              <w:rPr>
                <w:rFonts w:ascii="Times New Roman" w:eastAsia="Times New Roman" w:hAnsi="Times New Roman" w:cs="Times New Roman"/>
                <w:color w:val="000000"/>
                <w:kern w:val="0"/>
                <w:sz w:val="20"/>
                <w:szCs w:val="20"/>
                <w14:ligatures w14:val="none"/>
              </w:rPr>
            </w:pPr>
            <w:r w:rsidRPr="00514308">
              <w:rPr>
                <w:rFonts w:ascii="Times New Roman" w:eastAsia="Times New Roman" w:hAnsi="Times New Roman" w:cs="Times New Roman"/>
                <w:color w:val="000000"/>
                <w:kern w:val="0"/>
                <w:sz w:val="20"/>
                <w:szCs w:val="20"/>
                <w14:ligatures w14:val="none"/>
              </w:rPr>
              <w:t>2.92</w:t>
            </w:r>
          </w:p>
        </w:tc>
        <w:tc>
          <w:tcPr>
            <w:tcW w:w="1497" w:type="dxa"/>
            <w:tcBorders>
              <w:top w:val="nil"/>
              <w:left w:val="nil"/>
              <w:bottom w:val="nil"/>
              <w:right w:val="nil"/>
            </w:tcBorders>
            <w:shd w:val="clear" w:color="auto" w:fill="auto"/>
            <w:noWrap/>
            <w:vAlign w:val="bottom"/>
            <w:hideMark/>
          </w:tcPr>
          <w:p w14:paraId="44D1A07B" w14:textId="77777777" w:rsidR="00514308" w:rsidRPr="00514308" w:rsidRDefault="00514308" w:rsidP="00514308">
            <w:pPr>
              <w:spacing w:beforeLines="20" w:before="48" w:afterLines="40" w:after="96" w:line="240" w:lineRule="auto"/>
              <w:jc w:val="right"/>
              <w:rPr>
                <w:rFonts w:ascii="Times New Roman" w:eastAsia="Times New Roman" w:hAnsi="Times New Roman" w:cs="Times New Roman"/>
                <w:color w:val="000000"/>
                <w:kern w:val="0"/>
                <w:sz w:val="20"/>
                <w:szCs w:val="20"/>
                <w14:ligatures w14:val="none"/>
              </w:rPr>
            </w:pPr>
            <w:r w:rsidRPr="00514308">
              <w:rPr>
                <w:rFonts w:ascii="Times New Roman" w:eastAsia="Times New Roman" w:hAnsi="Times New Roman" w:cs="Times New Roman"/>
                <w:color w:val="000000"/>
                <w:kern w:val="0"/>
                <w:sz w:val="20"/>
                <w:szCs w:val="20"/>
                <w14:ligatures w14:val="none"/>
              </w:rPr>
              <w:t>3.63</w:t>
            </w:r>
          </w:p>
        </w:tc>
        <w:tc>
          <w:tcPr>
            <w:tcW w:w="1553" w:type="dxa"/>
            <w:tcBorders>
              <w:top w:val="nil"/>
              <w:left w:val="nil"/>
              <w:bottom w:val="nil"/>
              <w:right w:val="nil"/>
            </w:tcBorders>
            <w:shd w:val="clear" w:color="auto" w:fill="auto"/>
            <w:noWrap/>
            <w:vAlign w:val="bottom"/>
            <w:hideMark/>
          </w:tcPr>
          <w:p w14:paraId="39066633" w14:textId="77777777" w:rsidR="00514308" w:rsidRPr="00514308" w:rsidRDefault="00514308" w:rsidP="00514308">
            <w:pPr>
              <w:spacing w:beforeLines="20" w:before="48" w:afterLines="40" w:after="96" w:line="240" w:lineRule="auto"/>
              <w:jc w:val="right"/>
              <w:rPr>
                <w:rFonts w:ascii="Times New Roman" w:eastAsia="Times New Roman" w:hAnsi="Times New Roman" w:cs="Times New Roman"/>
                <w:color w:val="000000"/>
                <w:kern w:val="0"/>
                <w:sz w:val="20"/>
                <w:szCs w:val="20"/>
                <w14:ligatures w14:val="none"/>
              </w:rPr>
            </w:pPr>
            <w:r w:rsidRPr="00514308">
              <w:rPr>
                <w:rFonts w:ascii="Times New Roman" w:eastAsia="Times New Roman" w:hAnsi="Times New Roman" w:cs="Times New Roman"/>
                <w:color w:val="000000"/>
                <w:kern w:val="0"/>
                <w:sz w:val="20"/>
                <w:szCs w:val="20"/>
                <w14:ligatures w14:val="none"/>
              </w:rPr>
              <w:t>-8.49</w:t>
            </w:r>
          </w:p>
        </w:tc>
        <w:tc>
          <w:tcPr>
            <w:tcW w:w="1553" w:type="dxa"/>
            <w:tcBorders>
              <w:top w:val="nil"/>
              <w:left w:val="nil"/>
              <w:bottom w:val="nil"/>
              <w:right w:val="nil"/>
            </w:tcBorders>
            <w:shd w:val="clear" w:color="auto" w:fill="auto"/>
            <w:noWrap/>
            <w:vAlign w:val="bottom"/>
            <w:hideMark/>
          </w:tcPr>
          <w:p w14:paraId="458B925C" w14:textId="77777777" w:rsidR="00514308" w:rsidRPr="00514308" w:rsidRDefault="00514308" w:rsidP="00514308">
            <w:pPr>
              <w:spacing w:beforeLines="20" w:before="48" w:afterLines="40" w:after="96" w:line="240" w:lineRule="auto"/>
              <w:jc w:val="right"/>
              <w:rPr>
                <w:rFonts w:ascii="Times New Roman" w:eastAsia="Times New Roman" w:hAnsi="Times New Roman" w:cs="Times New Roman"/>
                <w:color w:val="000000"/>
                <w:kern w:val="0"/>
                <w:sz w:val="20"/>
                <w:szCs w:val="20"/>
                <w14:ligatures w14:val="none"/>
              </w:rPr>
            </w:pPr>
            <w:r w:rsidRPr="00514308">
              <w:rPr>
                <w:rFonts w:ascii="Times New Roman" w:eastAsia="Times New Roman" w:hAnsi="Times New Roman" w:cs="Times New Roman"/>
                <w:color w:val="000000"/>
                <w:kern w:val="0"/>
                <w:sz w:val="20"/>
                <w:szCs w:val="20"/>
                <w14:ligatures w14:val="none"/>
              </w:rPr>
              <w:t>19.01</w:t>
            </w:r>
          </w:p>
        </w:tc>
      </w:tr>
      <w:tr w:rsidR="00514308" w:rsidRPr="00514308" w14:paraId="34F32B5E" w14:textId="77777777" w:rsidTr="004201D8">
        <w:trPr>
          <w:trHeight w:val="297"/>
        </w:trPr>
        <w:tc>
          <w:tcPr>
            <w:tcW w:w="3238" w:type="dxa"/>
            <w:tcBorders>
              <w:top w:val="nil"/>
              <w:left w:val="nil"/>
              <w:bottom w:val="single" w:sz="4" w:space="0" w:color="auto"/>
              <w:right w:val="nil"/>
            </w:tcBorders>
            <w:shd w:val="clear" w:color="auto" w:fill="auto"/>
            <w:noWrap/>
            <w:vAlign w:val="center"/>
            <w:hideMark/>
          </w:tcPr>
          <w:p w14:paraId="7D2A3FEE" w14:textId="77777777" w:rsidR="00514308" w:rsidRPr="00514308" w:rsidRDefault="00514308" w:rsidP="00514308">
            <w:pPr>
              <w:spacing w:beforeLines="20" w:before="48" w:afterLines="40" w:after="96" w:line="240" w:lineRule="auto"/>
              <w:rPr>
                <w:rFonts w:ascii="Times New Roman" w:eastAsia="Times New Roman" w:hAnsi="Times New Roman" w:cs="Times New Roman"/>
                <w:color w:val="000000"/>
                <w:kern w:val="0"/>
                <w:sz w:val="20"/>
                <w:szCs w:val="20"/>
                <w14:ligatures w14:val="none"/>
              </w:rPr>
            </w:pPr>
            <w:proofErr w:type="spellStart"/>
            <w:r w:rsidRPr="00514308">
              <w:rPr>
                <w:rFonts w:ascii="Times New Roman" w:eastAsia="Times New Roman" w:hAnsi="Times New Roman" w:cs="Times New Roman"/>
                <w:color w:val="000000"/>
                <w:kern w:val="0"/>
                <w:sz w:val="20"/>
                <w:szCs w:val="20"/>
                <w14:ligatures w14:val="none"/>
              </w:rPr>
              <w:t>FirmSize</w:t>
            </w:r>
            <w:proofErr w:type="spellEnd"/>
          </w:p>
        </w:tc>
        <w:tc>
          <w:tcPr>
            <w:tcW w:w="1519" w:type="dxa"/>
            <w:tcBorders>
              <w:top w:val="nil"/>
              <w:left w:val="nil"/>
              <w:bottom w:val="single" w:sz="4" w:space="0" w:color="auto"/>
              <w:right w:val="nil"/>
            </w:tcBorders>
            <w:shd w:val="clear" w:color="auto" w:fill="auto"/>
            <w:noWrap/>
            <w:vAlign w:val="bottom"/>
            <w:hideMark/>
          </w:tcPr>
          <w:p w14:paraId="29BF06F6" w14:textId="77777777" w:rsidR="00514308" w:rsidRPr="00514308" w:rsidRDefault="00514308" w:rsidP="00514308">
            <w:pPr>
              <w:spacing w:beforeLines="20" w:before="48" w:afterLines="40" w:after="96" w:line="240" w:lineRule="auto"/>
              <w:jc w:val="right"/>
              <w:rPr>
                <w:rFonts w:ascii="Times New Roman" w:eastAsia="Times New Roman" w:hAnsi="Times New Roman" w:cs="Times New Roman"/>
                <w:color w:val="000000"/>
                <w:kern w:val="0"/>
                <w:sz w:val="20"/>
                <w:szCs w:val="20"/>
                <w14:ligatures w14:val="none"/>
              </w:rPr>
            </w:pPr>
            <w:r w:rsidRPr="00514308">
              <w:rPr>
                <w:rFonts w:ascii="Times New Roman" w:eastAsia="Times New Roman" w:hAnsi="Times New Roman" w:cs="Times New Roman"/>
                <w:color w:val="000000"/>
                <w:kern w:val="0"/>
                <w:sz w:val="20"/>
                <w:szCs w:val="20"/>
                <w14:ligatures w14:val="none"/>
              </w:rPr>
              <w:t>18.36</w:t>
            </w:r>
          </w:p>
        </w:tc>
        <w:tc>
          <w:tcPr>
            <w:tcW w:w="1497" w:type="dxa"/>
            <w:tcBorders>
              <w:top w:val="nil"/>
              <w:left w:val="nil"/>
              <w:bottom w:val="single" w:sz="4" w:space="0" w:color="auto"/>
              <w:right w:val="nil"/>
            </w:tcBorders>
            <w:shd w:val="clear" w:color="auto" w:fill="auto"/>
            <w:noWrap/>
            <w:vAlign w:val="bottom"/>
            <w:hideMark/>
          </w:tcPr>
          <w:p w14:paraId="207AD88C" w14:textId="77777777" w:rsidR="00514308" w:rsidRPr="00514308" w:rsidRDefault="00514308" w:rsidP="00514308">
            <w:pPr>
              <w:spacing w:beforeLines="20" w:before="48" w:afterLines="40" w:after="96" w:line="240" w:lineRule="auto"/>
              <w:jc w:val="right"/>
              <w:rPr>
                <w:rFonts w:ascii="Times New Roman" w:eastAsia="Times New Roman" w:hAnsi="Times New Roman" w:cs="Times New Roman"/>
                <w:color w:val="000000"/>
                <w:kern w:val="0"/>
                <w:sz w:val="20"/>
                <w:szCs w:val="20"/>
                <w14:ligatures w14:val="none"/>
              </w:rPr>
            </w:pPr>
            <w:r w:rsidRPr="00514308">
              <w:rPr>
                <w:rFonts w:ascii="Times New Roman" w:eastAsia="Times New Roman" w:hAnsi="Times New Roman" w:cs="Times New Roman"/>
                <w:color w:val="000000"/>
                <w:kern w:val="0"/>
                <w:sz w:val="20"/>
                <w:szCs w:val="20"/>
                <w14:ligatures w14:val="none"/>
              </w:rPr>
              <w:t>3.01</w:t>
            </w:r>
          </w:p>
        </w:tc>
        <w:tc>
          <w:tcPr>
            <w:tcW w:w="1553" w:type="dxa"/>
            <w:tcBorders>
              <w:top w:val="nil"/>
              <w:left w:val="nil"/>
              <w:bottom w:val="single" w:sz="4" w:space="0" w:color="auto"/>
              <w:right w:val="nil"/>
            </w:tcBorders>
            <w:shd w:val="clear" w:color="auto" w:fill="auto"/>
            <w:noWrap/>
            <w:vAlign w:val="bottom"/>
            <w:hideMark/>
          </w:tcPr>
          <w:p w14:paraId="23D229C9" w14:textId="77777777" w:rsidR="00514308" w:rsidRPr="00514308" w:rsidRDefault="00514308" w:rsidP="00514308">
            <w:pPr>
              <w:spacing w:beforeLines="20" w:before="48" w:afterLines="40" w:after="96" w:line="240" w:lineRule="auto"/>
              <w:jc w:val="right"/>
              <w:rPr>
                <w:rFonts w:ascii="Times New Roman" w:eastAsia="Times New Roman" w:hAnsi="Times New Roman" w:cs="Times New Roman"/>
                <w:color w:val="000000"/>
                <w:kern w:val="0"/>
                <w:sz w:val="20"/>
                <w:szCs w:val="20"/>
                <w14:ligatures w14:val="none"/>
              </w:rPr>
            </w:pPr>
            <w:r w:rsidRPr="00514308">
              <w:rPr>
                <w:rFonts w:ascii="Times New Roman" w:eastAsia="Times New Roman" w:hAnsi="Times New Roman" w:cs="Times New Roman"/>
                <w:color w:val="000000"/>
                <w:kern w:val="0"/>
                <w:sz w:val="20"/>
                <w:szCs w:val="20"/>
                <w14:ligatures w14:val="none"/>
              </w:rPr>
              <w:t>4.09</w:t>
            </w:r>
          </w:p>
        </w:tc>
        <w:tc>
          <w:tcPr>
            <w:tcW w:w="1553" w:type="dxa"/>
            <w:tcBorders>
              <w:top w:val="nil"/>
              <w:left w:val="nil"/>
              <w:bottom w:val="single" w:sz="4" w:space="0" w:color="auto"/>
              <w:right w:val="nil"/>
            </w:tcBorders>
            <w:shd w:val="clear" w:color="auto" w:fill="auto"/>
            <w:noWrap/>
            <w:vAlign w:val="bottom"/>
            <w:hideMark/>
          </w:tcPr>
          <w:p w14:paraId="5099BCF7" w14:textId="77777777" w:rsidR="00514308" w:rsidRPr="00514308" w:rsidRDefault="00514308" w:rsidP="00514308">
            <w:pPr>
              <w:spacing w:beforeLines="20" w:before="48" w:afterLines="40" w:after="96" w:line="240" w:lineRule="auto"/>
              <w:jc w:val="right"/>
              <w:rPr>
                <w:rFonts w:ascii="Times New Roman" w:eastAsia="Times New Roman" w:hAnsi="Times New Roman" w:cs="Times New Roman"/>
                <w:color w:val="000000"/>
                <w:kern w:val="0"/>
                <w:sz w:val="20"/>
                <w:szCs w:val="20"/>
                <w14:ligatures w14:val="none"/>
              </w:rPr>
            </w:pPr>
            <w:r w:rsidRPr="00514308">
              <w:rPr>
                <w:rFonts w:ascii="Times New Roman" w:eastAsia="Times New Roman" w:hAnsi="Times New Roman" w:cs="Times New Roman"/>
                <w:color w:val="000000"/>
                <w:kern w:val="0"/>
                <w:sz w:val="20"/>
                <w:szCs w:val="20"/>
                <w14:ligatures w14:val="none"/>
              </w:rPr>
              <w:t>26.65</w:t>
            </w:r>
          </w:p>
        </w:tc>
      </w:tr>
    </w:tbl>
    <w:p w14:paraId="20F5E5E2" w14:textId="589D099C" w:rsidR="00514308" w:rsidRPr="00874982" w:rsidRDefault="00874982">
      <w:pPr>
        <w:rPr>
          <w:i/>
          <w:iCs/>
          <w:sz w:val="18"/>
          <w:szCs w:val="18"/>
        </w:rPr>
      </w:pPr>
      <w:r w:rsidRPr="00874982">
        <w:rPr>
          <w:i/>
          <w:iCs/>
          <w:sz w:val="18"/>
          <w:szCs w:val="18"/>
        </w:rPr>
        <w:t>Sources: Authors</w:t>
      </w:r>
      <w:r>
        <w:rPr>
          <w:i/>
          <w:iCs/>
          <w:sz w:val="18"/>
          <w:szCs w:val="18"/>
        </w:rPr>
        <w:t>’</w:t>
      </w:r>
      <w:r w:rsidRPr="00874982">
        <w:rPr>
          <w:i/>
          <w:iCs/>
          <w:sz w:val="18"/>
          <w:szCs w:val="18"/>
        </w:rPr>
        <w:t xml:space="preserve"> calculation</w:t>
      </w:r>
    </w:p>
    <w:p w14:paraId="6D083278" w14:textId="77777777" w:rsidR="002D6FFF" w:rsidRDefault="002D6FFF" w:rsidP="000367C5">
      <w:pPr>
        <w:spacing w:line="480" w:lineRule="auto"/>
        <w:jc w:val="both"/>
        <w:rPr>
          <w:rFonts w:ascii="Times New Roman" w:hAnsi="Times New Roman" w:cs="Times New Roman"/>
          <w:sz w:val="24"/>
          <w:szCs w:val="24"/>
        </w:rPr>
      </w:pPr>
    </w:p>
    <w:p w14:paraId="48453BE3" w14:textId="77777777" w:rsidR="0048495A" w:rsidRDefault="0048495A" w:rsidP="000367C5">
      <w:pPr>
        <w:spacing w:line="480" w:lineRule="auto"/>
        <w:jc w:val="both"/>
        <w:rPr>
          <w:rFonts w:ascii="Times New Roman" w:hAnsi="Times New Roman" w:cs="Times New Roman"/>
          <w:sz w:val="24"/>
          <w:szCs w:val="24"/>
        </w:rPr>
        <w:sectPr w:rsidR="0048495A">
          <w:pgSz w:w="11906" w:h="16838"/>
          <w:pgMar w:top="1440" w:right="1440" w:bottom="1440" w:left="1440" w:header="708" w:footer="708" w:gutter="0"/>
          <w:cols w:space="708"/>
          <w:docGrid w:linePitch="360"/>
        </w:sectPr>
      </w:pPr>
    </w:p>
    <w:p w14:paraId="4B593E74" w14:textId="77777777" w:rsidR="0048495A" w:rsidRPr="00514308" w:rsidRDefault="0048495A" w:rsidP="00514308">
      <w:pPr>
        <w:widowControl w:val="0"/>
        <w:autoSpaceDE w:val="0"/>
        <w:autoSpaceDN w:val="0"/>
        <w:adjustRightInd w:val="0"/>
        <w:spacing w:after="60" w:line="240" w:lineRule="auto"/>
        <w:ind w:hanging="180"/>
        <w:rPr>
          <w:rFonts w:ascii="Times New Roman" w:hAnsi="Times New Roman" w:cs="Times New Roman"/>
          <w:b/>
          <w:bCs/>
          <w:kern w:val="0"/>
        </w:rPr>
      </w:pPr>
      <w:r w:rsidRPr="00514308">
        <w:rPr>
          <w:rFonts w:ascii="Times New Roman" w:hAnsi="Times New Roman" w:cs="Times New Roman"/>
          <w:b/>
          <w:bCs/>
          <w:kern w:val="0"/>
        </w:rPr>
        <w:lastRenderedPageBreak/>
        <w:t>Table 3: Main regression results</w:t>
      </w:r>
    </w:p>
    <w:tbl>
      <w:tblPr>
        <w:tblW w:w="9360" w:type="dxa"/>
        <w:jc w:val="center"/>
        <w:tblLayout w:type="fixed"/>
        <w:tblCellMar>
          <w:left w:w="75" w:type="dxa"/>
          <w:right w:w="75" w:type="dxa"/>
        </w:tblCellMar>
        <w:tblLook w:val="0000" w:firstRow="0" w:lastRow="0" w:firstColumn="0" w:lastColumn="0" w:noHBand="0" w:noVBand="0"/>
      </w:tblPr>
      <w:tblGrid>
        <w:gridCol w:w="2787"/>
        <w:gridCol w:w="1685"/>
        <w:gridCol w:w="1685"/>
        <w:gridCol w:w="1685"/>
        <w:gridCol w:w="1518"/>
      </w:tblGrid>
      <w:tr w:rsidR="0048495A" w:rsidRPr="00514308" w14:paraId="5B965DB1" w14:textId="77777777" w:rsidTr="00514308">
        <w:trPr>
          <w:trHeight w:val="295"/>
          <w:jc w:val="center"/>
        </w:trPr>
        <w:tc>
          <w:tcPr>
            <w:tcW w:w="2787" w:type="dxa"/>
            <w:tcBorders>
              <w:top w:val="single" w:sz="4" w:space="0" w:color="auto"/>
              <w:left w:val="nil"/>
              <w:bottom w:val="single" w:sz="6" w:space="0" w:color="auto"/>
              <w:right w:val="nil"/>
            </w:tcBorders>
          </w:tcPr>
          <w:p w14:paraId="39BDD1A4" w14:textId="49F8E971" w:rsidR="0048495A" w:rsidRPr="00514308" w:rsidRDefault="0048495A" w:rsidP="00514308">
            <w:pPr>
              <w:widowControl w:val="0"/>
              <w:autoSpaceDE w:val="0"/>
              <w:autoSpaceDN w:val="0"/>
              <w:adjustRightInd w:val="0"/>
              <w:spacing w:beforeLines="20" w:before="48" w:afterLines="40" w:after="96" w:line="240" w:lineRule="auto"/>
              <w:rPr>
                <w:rFonts w:ascii="Times New Roman" w:hAnsi="Times New Roman" w:cs="Times New Roman"/>
                <w:b/>
                <w:bCs/>
                <w:kern w:val="0"/>
                <w:sz w:val="20"/>
                <w:szCs w:val="20"/>
              </w:rPr>
            </w:pPr>
            <w:r w:rsidRPr="00514308">
              <w:rPr>
                <w:rFonts w:ascii="Times New Roman" w:hAnsi="Times New Roman" w:cs="Times New Roman"/>
                <w:b/>
                <w:bCs/>
                <w:kern w:val="0"/>
                <w:sz w:val="20"/>
                <w:szCs w:val="20"/>
              </w:rPr>
              <w:t>Variable</w:t>
            </w:r>
          </w:p>
        </w:tc>
        <w:tc>
          <w:tcPr>
            <w:tcW w:w="1685" w:type="dxa"/>
            <w:tcBorders>
              <w:top w:val="single" w:sz="4" w:space="0" w:color="auto"/>
              <w:left w:val="nil"/>
              <w:bottom w:val="single" w:sz="6" w:space="0" w:color="auto"/>
              <w:right w:val="nil"/>
            </w:tcBorders>
          </w:tcPr>
          <w:p w14:paraId="422050D4"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b/>
                <w:bCs/>
                <w:kern w:val="0"/>
                <w:sz w:val="20"/>
                <w:szCs w:val="20"/>
              </w:rPr>
            </w:pPr>
            <w:r w:rsidRPr="00514308">
              <w:rPr>
                <w:rFonts w:ascii="Times New Roman" w:hAnsi="Times New Roman" w:cs="Times New Roman"/>
                <w:b/>
                <w:bCs/>
                <w:kern w:val="0"/>
                <w:sz w:val="20"/>
                <w:szCs w:val="20"/>
              </w:rPr>
              <w:t>Firm Value</w:t>
            </w:r>
          </w:p>
        </w:tc>
        <w:tc>
          <w:tcPr>
            <w:tcW w:w="1685" w:type="dxa"/>
            <w:tcBorders>
              <w:top w:val="single" w:sz="4" w:space="0" w:color="auto"/>
              <w:left w:val="nil"/>
              <w:bottom w:val="single" w:sz="6" w:space="0" w:color="auto"/>
              <w:right w:val="nil"/>
            </w:tcBorders>
          </w:tcPr>
          <w:p w14:paraId="6CC99D18"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b/>
                <w:bCs/>
                <w:kern w:val="0"/>
                <w:sz w:val="20"/>
                <w:szCs w:val="20"/>
              </w:rPr>
            </w:pPr>
            <w:r w:rsidRPr="00514308">
              <w:rPr>
                <w:rFonts w:ascii="Times New Roman" w:hAnsi="Times New Roman" w:cs="Times New Roman"/>
                <w:b/>
                <w:bCs/>
                <w:kern w:val="0"/>
                <w:sz w:val="20"/>
                <w:szCs w:val="20"/>
              </w:rPr>
              <w:t>Dividend</w:t>
            </w:r>
          </w:p>
        </w:tc>
        <w:tc>
          <w:tcPr>
            <w:tcW w:w="1685" w:type="dxa"/>
            <w:tcBorders>
              <w:top w:val="single" w:sz="4" w:space="0" w:color="auto"/>
              <w:left w:val="nil"/>
              <w:bottom w:val="single" w:sz="6" w:space="0" w:color="auto"/>
              <w:right w:val="nil"/>
            </w:tcBorders>
          </w:tcPr>
          <w:p w14:paraId="0D9C97E2"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b/>
                <w:bCs/>
                <w:kern w:val="0"/>
                <w:sz w:val="20"/>
                <w:szCs w:val="20"/>
              </w:rPr>
            </w:pPr>
            <w:r w:rsidRPr="00514308">
              <w:rPr>
                <w:rFonts w:ascii="Times New Roman" w:hAnsi="Times New Roman" w:cs="Times New Roman"/>
                <w:b/>
                <w:bCs/>
                <w:kern w:val="0"/>
                <w:sz w:val="20"/>
                <w:szCs w:val="20"/>
              </w:rPr>
              <w:t>Firm Value</w:t>
            </w:r>
          </w:p>
        </w:tc>
        <w:tc>
          <w:tcPr>
            <w:tcW w:w="1518" w:type="dxa"/>
            <w:tcBorders>
              <w:top w:val="single" w:sz="4" w:space="0" w:color="auto"/>
              <w:left w:val="nil"/>
              <w:bottom w:val="single" w:sz="6" w:space="0" w:color="auto"/>
              <w:right w:val="nil"/>
            </w:tcBorders>
          </w:tcPr>
          <w:p w14:paraId="4B7B7DCF"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b/>
                <w:bCs/>
                <w:kern w:val="0"/>
                <w:sz w:val="20"/>
                <w:szCs w:val="20"/>
              </w:rPr>
            </w:pPr>
            <w:r w:rsidRPr="00514308">
              <w:rPr>
                <w:rFonts w:ascii="Times New Roman" w:hAnsi="Times New Roman" w:cs="Times New Roman"/>
                <w:b/>
                <w:bCs/>
                <w:kern w:val="0"/>
                <w:sz w:val="20"/>
                <w:szCs w:val="20"/>
              </w:rPr>
              <w:t>Dividend</w:t>
            </w:r>
          </w:p>
        </w:tc>
      </w:tr>
      <w:tr w:rsidR="0048495A" w:rsidRPr="00514308" w14:paraId="0FA71DDD" w14:textId="77777777" w:rsidTr="00514308">
        <w:trPr>
          <w:trHeight w:val="295"/>
          <w:jc w:val="center"/>
        </w:trPr>
        <w:tc>
          <w:tcPr>
            <w:tcW w:w="2787" w:type="dxa"/>
            <w:tcBorders>
              <w:top w:val="nil"/>
              <w:left w:val="nil"/>
              <w:bottom w:val="nil"/>
              <w:right w:val="nil"/>
            </w:tcBorders>
          </w:tcPr>
          <w:p w14:paraId="329533EE" w14:textId="77777777" w:rsidR="0048495A" w:rsidRPr="00514308" w:rsidRDefault="0048495A" w:rsidP="00514308">
            <w:pPr>
              <w:widowControl w:val="0"/>
              <w:autoSpaceDE w:val="0"/>
              <w:autoSpaceDN w:val="0"/>
              <w:adjustRightInd w:val="0"/>
              <w:spacing w:beforeLines="20" w:before="48" w:afterLines="40" w:after="96" w:line="240" w:lineRule="auto"/>
              <w:rPr>
                <w:rFonts w:ascii="Times New Roman" w:hAnsi="Times New Roman" w:cs="Times New Roman"/>
                <w:kern w:val="0"/>
                <w:sz w:val="20"/>
                <w:szCs w:val="20"/>
              </w:rPr>
            </w:pPr>
            <w:proofErr w:type="spellStart"/>
            <w:r w:rsidRPr="00514308">
              <w:rPr>
                <w:rFonts w:ascii="Times New Roman" w:hAnsi="Times New Roman" w:cs="Times New Roman"/>
                <w:kern w:val="0"/>
                <w:sz w:val="20"/>
                <w:szCs w:val="20"/>
              </w:rPr>
              <w:t>ClimateRisk</w:t>
            </w:r>
            <w:proofErr w:type="spellEnd"/>
          </w:p>
        </w:tc>
        <w:tc>
          <w:tcPr>
            <w:tcW w:w="1685" w:type="dxa"/>
            <w:tcBorders>
              <w:top w:val="nil"/>
              <w:left w:val="nil"/>
              <w:bottom w:val="nil"/>
              <w:right w:val="nil"/>
            </w:tcBorders>
          </w:tcPr>
          <w:p w14:paraId="20F60921"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-0.000</w:t>
            </w:r>
          </w:p>
        </w:tc>
        <w:tc>
          <w:tcPr>
            <w:tcW w:w="1685" w:type="dxa"/>
            <w:tcBorders>
              <w:top w:val="nil"/>
              <w:left w:val="nil"/>
              <w:bottom w:val="nil"/>
              <w:right w:val="nil"/>
            </w:tcBorders>
          </w:tcPr>
          <w:p w14:paraId="19C8FE66"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0.012</w:t>
            </w:r>
          </w:p>
        </w:tc>
        <w:tc>
          <w:tcPr>
            <w:tcW w:w="1685" w:type="dxa"/>
            <w:tcBorders>
              <w:top w:val="nil"/>
              <w:left w:val="nil"/>
              <w:bottom w:val="nil"/>
              <w:right w:val="nil"/>
            </w:tcBorders>
          </w:tcPr>
          <w:p w14:paraId="4ED44680"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p>
        </w:tc>
        <w:tc>
          <w:tcPr>
            <w:tcW w:w="1518" w:type="dxa"/>
            <w:tcBorders>
              <w:top w:val="nil"/>
              <w:left w:val="nil"/>
              <w:bottom w:val="nil"/>
              <w:right w:val="nil"/>
            </w:tcBorders>
          </w:tcPr>
          <w:p w14:paraId="40A18639"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p>
        </w:tc>
      </w:tr>
      <w:tr w:rsidR="0048495A" w:rsidRPr="00514308" w14:paraId="3E34AEFB" w14:textId="77777777" w:rsidTr="00514308">
        <w:trPr>
          <w:trHeight w:val="295"/>
          <w:jc w:val="center"/>
        </w:trPr>
        <w:tc>
          <w:tcPr>
            <w:tcW w:w="2787" w:type="dxa"/>
            <w:tcBorders>
              <w:top w:val="nil"/>
              <w:left w:val="nil"/>
              <w:bottom w:val="nil"/>
              <w:right w:val="nil"/>
            </w:tcBorders>
          </w:tcPr>
          <w:p w14:paraId="19316301" w14:textId="77777777" w:rsidR="0048495A" w:rsidRPr="00514308" w:rsidRDefault="0048495A" w:rsidP="00514308">
            <w:pPr>
              <w:widowControl w:val="0"/>
              <w:autoSpaceDE w:val="0"/>
              <w:autoSpaceDN w:val="0"/>
              <w:adjustRightInd w:val="0"/>
              <w:spacing w:beforeLines="20" w:before="48" w:afterLines="40" w:after="96" w:line="240" w:lineRule="auto"/>
              <w:rPr>
                <w:rFonts w:ascii="Times New Roman" w:hAnsi="Times New Roman" w:cs="Times New Roman"/>
                <w:kern w:val="0"/>
                <w:sz w:val="20"/>
                <w:szCs w:val="20"/>
              </w:rPr>
            </w:pPr>
          </w:p>
        </w:tc>
        <w:tc>
          <w:tcPr>
            <w:tcW w:w="1685" w:type="dxa"/>
            <w:tcBorders>
              <w:top w:val="nil"/>
              <w:left w:val="nil"/>
              <w:bottom w:val="nil"/>
              <w:right w:val="nil"/>
            </w:tcBorders>
          </w:tcPr>
          <w:p w14:paraId="16AFEE4A"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(-0.004)</w:t>
            </w:r>
          </w:p>
        </w:tc>
        <w:tc>
          <w:tcPr>
            <w:tcW w:w="1685" w:type="dxa"/>
            <w:tcBorders>
              <w:top w:val="nil"/>
              <w:left w:val="nil"/>
              <w:bottom w:val="nil"/>
              <w:right w:val="nil"/>
            </w:tcBorders>
          </w:tcPr>
          <w:p w14:paraId="765546F3"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(1.086)</w:t>
            </w:r>
          </w:p>
        </w:tc>
        <w:tc>
          <w:tcPr>
            <w:tcW w:w="1685" w:type="dxa"/>
            <w:tcBorders>
              <w:top w:val="nil"/>
              <w:left w:val="nil"/>
              <w:bottom w:val="nil"/>
              <w:right w:val="nil"/>
            </w:tcBorders>
          </w:tcPr>
          <w:p w14:paraId="408FCFB7"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p>
        </w:tc>
        <w:tc>
          <w:tcPr>
            <w:tcW w:w="1518" w:type="dxa"/>
            <w:tcBorders>
              <w:top w:val="nil"/>
              <w:left w:val="nil"/>
              <w:bottom w:val="nil"/>
              <w:right w:val="nil"/>
            </w:tcBorders>
          </w:tcPr>
          <w:p w14:paraId="682067A2"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p>
        </w:tc>
      </w:tr>
      <w:tr w:rsidR="0048495A" w:rsidRPr="00514308" w14:paraId="02970549" w14:textId="77777777" w:rsidTr="00514308">
        <w:trPr>
          <w:trHeight w:val="295"/>
          <w:jc w:val="center"/>
        </w:trPr>
        <w:tc>
          <w:tcPr>
            <w:tcW w:w="2787" w:type="dxa"/>
            <w:tcBorders>
              <w:top w:val="nil"/>
              <w:left w:val="nil"/>
              <w:bottom w:val="nil"/>
              <w:right w:val="nil"/>
            </w:tcBorders>
          </w:tcPr>
          <w:p w14:paraId="0629BA10" w14:textId="2601AFB1" w:rsidR="0048495A" w:rsidRPr="00514308" w:rsidRDefault="0048495A" w:rsidP="00514308">
            <w:pPr>
              <w:widowControl w:val="0"/>
              <w:autoSpaceDE w:val="0"/>
              <w:autoSpaceDN w:val="0"/>
              <w:adjustRightInd w:val="0"/>
              <w:spacing w:beforeLines="20" w:before="48" w:afterLines="40" w:after="96" w:line="240" w:lineRule="auto"/>
              <w:rPr>
                <w:rFonts w:ascii="Times New Roman" w:hAnsi="Times New Roman" w:cs="Times New Roman"/>
                <w:kern w:val="0"/>
                <w:sz w:val="20"/>
                <w:szCs w:val="20"/>
              </w:rPr>
            </w:pPr>
            <w:r w:rsidRPr="00514308">
              <w:rPr>
                <w:rFonts w:ascii="Times New Roman" w:hAnsi="Times New Roman" w:cs="Times New Roman"/>
                <w:kern w:val="0"/>
                <w:sz w:val="20"/>
                <w:szCs w:val="20"/>
              </w:rPr>
              <w:t xml:space="preserve">Fintech * </w:t>
            </w:r>
            <w:proofErr w:type="spellStart"/>
            <w:r w:rsidRPr="00514308">
              <w:rPr>
                <w:rFonts w:ascii="Times New Roman" w:hAnsi="Times New Roman" w:cs="Times New Roman"/>
                <w:kern w:val="0"/>
                <w:sz w:val="20"/>
                <w:szCs w:val="20"/>
              </w:rPr>
              <w:t>ClimateRisk</w:t>
            </w:r>
            <w:proofErr w:type="spellEnd"/>
          </w:p>
        </w:tc>
        <w:tc>
          <w:tcPr>
            <w:tcW w:w="1685" w:type="dxa"/>
            <w:tcBorders>
              <w:top w:val="nil"/>
              <w:left w:val="nil"/>
              <w:bottom w:val="nil"/>
              <w:right w:val="nil"/>
            </w:tcBorders>
          </w:tcPr>
          <w:p w14:paraId="09D3BA5A"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p>
        </w:tc>
        <w:tc>
          <w:tcPr>
            <w:tcW w:w="1685" w:type="dxa"/>
            <w:tcBorders>
              <w:top w:val="nil"/>
              <w:left w:val="nil"/>
              <w:bottom w:val="nil"/>
              <w:right w:val="nil"/>
            </w:tcBorders>
          </w:tcPr>
          <w:p w14:paraId="1AA0CD90"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p>
        </w:tc>
        <w:tc>
          <w:tcPr>
            <w:tcW w:w="1685" w:type="dxa"/>
            <w:tcBorders>
              <w:top w:val="nil"/>
              <w:left w:val="nil"/>
              <w:bottom w:val="nil"/>
              <w:right w:val="nil"/>
            </w:tcBorders>
          </w:tcPr>
          <w:p w14:paraId="25FAD000"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0.127***</w:t>
            </w:r>
          </w:p>
        </w:tc>
        <w:tc>
          <w:tcPr>
            <w:tcW w:w="1518" w:type="dxa"/>
            <w:tcBorders>
              <w:top w:val="nil"/>
              <w:left w:val="nil"/>
              <w:bottom w:val="nil"/>
              <w:right w:val="nil"/>
            </w:tcBorders>
          </w:tcPr>
          <w:p w14:paraId="220A5CCE"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0.392**</w:t>
            </w:r>
          </w:p>
        </w:tc>
      </w:tr>
      <w:tr w:rsidR="0048495A" w:rsidRPr="00514308" w14:paraId="291D2AE0" w14:textId="77777777" w:rsidTr="00514308">
        <w:trPr>
          <w:trHeight w:val="295"/>
          <w:jc w:val="center"/>
        </w:trPr>
        <w:tc>
          <w:tcPr>
            <w:tcW w:w="2787" w:type="dxa"/>
            <w:tcBorders>
              <w:top w:val="nil"/>
              <w:left w:val="nil"/>
              <w:bottom w:val="nil"/>
              <w:right w:val="nil"/>
            </w:tcBorders>
          </w:tcPr>
          <w:p w14:paraId="76B268B4" w14:textId="77777777" w:rsidR="0048495A" w:rsidRPr="00514308" w:rsidRDefault="0048495A" w:rsidP="00514308">
            <w:pPr>
              <w:widowControl w:val="0"/>
              <w:autoSpaceDE w:val="0"/>
              <w:autoSpaceDN w:val="0"/>
              <w:adjustRightInd w:val="0"/>
              <w:spacing w:beforeLines="20" w:before="48" w:afterLines="40" w:after="96" w:line="240" w:lineRule="auto"/>
              <w:rPr>
                <w:rFonts w:ascii="Times New Roman" w:hAnsi="Times New Roman" w:cs="Times New Roman"/>
                <w:kern w:val="0"/>
                <w:sz w:val="20"/>
                <w:szCs w:val="20"/>
              </w:rPr>
            </w:pPr>
          </w:p>
        </w:tc>
        <w:tc>
          <w:tcPr>
            <w:tcW w:w="1685" w:type="dxa"/>
            <w:tcBorders>
              <w:top w:val="nil"/>
              <w:left w:val="nil"/>
              <w:bottom w:val="nil"/>
              <w:right w:val="nil"/>
            </w:tcBorders>
          </w:tcPr>
          <w:p w14:paraId="3567C185"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p>
        </w:tc>
        <w:tc>
          <w:tcPr>
            <w:tcW w:w="1685" w:type="dxa"/>
            <w:tcBorders>
              <w:top w:val="nil"/>
              <w:left w:val="nil"/>
              <w:bottom w:val="nil"/>
              <w:right w:val="nil"/>
            </w:tcBorders>
          </w:tcPr>
          <w:p w14:paraId="6877ED18"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p>
        </w:tc>
        <w:tc>
          <w:tcPr>
            <w:tcW w:w="1685" w:type="dxa"/>
            <w:tcBorders>
              <w:top w:val="nil"/>
              <w:left w:val="nil"/>
              <w:bottom w:val="nil"/>
              <w:right w:val="nil"/>
            </w:tcBorders>
          </w:tcPr>
          <w:p w14:paraId="5BCFB37E"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(2.736)</w:t>
            </w:r>
          </w:p>
        </w:tc>
        <w:tc>
          <w:tcPr>
            <w:tcW w:w="1518" w:type="dxa"/>
            <w:tcBorders>
              <w:top w:val="nil"/>
              <w:left w:val="nil"/>
              <w:bottom w:val="nil"/>
              <w:right w:val="nil"/>
            </w:tcBorders>
          </w:tcPr>
          <w:p w14:paraId="4A25D9B1"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(2.062)</w:t>
            </w:r>
          </w:p>
        </w:tc>
      </w:tr>
      <w:tr w:rsidR="0048495A" w:rsidRPr="00514308" w14:paraId="5873A3AD" w14:textId="77777777" w:rsidTr="00514308">
        <w:trPr>
          <w:trHeight w:val="295"/>
          <w:jc w:val="center"/>
        </w:trPr>
        <w:tc>
          <w:tcPr>
            <w:tcW w:w="2787" w:type="dxa"/>
            <w:tcBorders>
              <w:top w:val="nil"/>
              <w:left w:val="nil"/>
              <w:bottom w:val="nil"/>
              <w:right w:val="nil"/>
            </w:tcBorders>
          </w:tcPr>
          <w:p w14:paraId="5F02A977" w14:textId="29BDE73A" w:rsidR="0048495A" w:rsidRPr="00514308" w:rsidRDefault="0048495A" w:rsidP="00514308">
            <w:pPr>
              <w:widowControl w:val="0"/>
              <w:autoSpaceDE w:val="0"/>
              <w:autoSpaceDN w:val="0"/>
              <w:adjustRightInd w:val="0"/>
              <w:spacing w:beforeLines="20" w:before="48" w:afterLines="40" w:after="96" w:line="240" w:lineRule="auto"/>
              <w:rPr>
                <w:rFonts w:ascii="Times New Roman" w:hAnsi="Times New Roman" w:cs="Times New Roman"/>
                <w:kern w:val="0"/>
                <w:sz w:val="20"/>
                <w:szCs w:val="20"/>
              </w:rPr>
            </w:pPr>
            <w:r w:rsidRPr="00514308">
              <w:rPr>
                <w:rFonts w:ascii="Times New Roman" w:hAnsi="Times New Roman" w:cs="Times New Roman"/>
                <w:kern w:val="0"/>
                <w:sz w:val="20"/>
                <w:szCs w:val="20"/>
              </w:rPr>
              <w:t>Fintech</w:t>
            </w:r>
          </w:p>
        </w:tc>
        <w:tc>
          <w:tcPr>
            <w:tcW w:w="1685" w:type="dxa"/>
            <w:tcBorders>
              <w:top w:val="nil"/>
              <w:left w:val="nil"/>
              <w:bottom w:val="nil"/>
              <w:right w:val="nil"/>
            </w:tcBorders>
          </w:tcPr>
          <w:p w14:paraId="042C2F1F"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p>
        </w:tc>
        <w:tc>
          <w:tcPr>
            <w:tcW w:w="1685" w:type="dxa"/>
            <w:tcBorders>
              <w:top w:val="nil"/>
              <w:left w:val="nil"/>
              <w:bottom w:val="nil"/>
              <w:right w:val="nil"/>
            </w:tcBorders>
          </w:tcPr>
          <w:p w14:paraId="2E187987"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p>
        </w:tc>
        <w:tc>
          <w:tcPr>
            <w:tcW w:w="1685" w:type="dxa"/>
            <w:tcBorders>
              <w:top w:val="nil"/>
              <w:left w:val="nil"/>
              <w:bottom w:val="nil"/>
              <w:right w:val="nil"/>
            </w:tcBorders>
          </w:tcPr>
          <w:p w14:paraId="7BFAEB88"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15.122*</w:t>
            </w:r>
          </w:p>
        </w:tc>
        <w:tc>
          <w:tcPr>
            <w:tcW w:w="1518" w:type="dxa"/>
            <w:tcBorders>
              <w:top w:val="nil"/>
              <w:left w:val="nil"/>
              <w:bottom w:val="nil"/>
              <w:right w:val="nil"/>
            </w:tcBorders>
          </w:tcPr>
          <w:p w14:paraId="642AC926"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2.596</w:t>
            </w:r>
          </w:p>
        </w:tc>
      </w:tr>
      <w:tr w:rsidR="0048495A" w:rsidRPr="00514308" w14:paraId="74F1DF97" w14:textId="77777777" w:rsidTr="00514308">
        <w:trPr>
          <w:trHeight w:val="295"/>
          <w:jc w:val="center"/>
        </w:trPr>
        <w:tc>
          <w:tcPr>
            <w:tcW w:w="2787" w:type="dxa"/>
            <w:tcBorders>
              <w:top w:val="nil"/>
              <w:left w:val="nil"/>
              <w:bottom w:val="nil"/>
              <w:right w:val="nil"/>
            </w:tcBorders>
          </w:tcPr>
          <w:p w14:paraId="675AFAC3" w14:textId="77777777" w:rsidR="0048495A" w:rsidRPr="00514308" w:rsidRDefault="0048495A" w:rsidP="00514308">
            <w:pPr>
              <w:widowControl w:val="0"/>
              <w:autoSpaceDE w:val="0"/>
              <w:autoSpaceDN w:val="0"/>
              <w:adjustRightInd w:val="0"/>
              <w:spacing w:beforeLines="20" w:before="48" w:afterLines="40" w:after="96" w:line="240" w:lineRule="auto"/>
              <w:rPr>
                <w:rFonts w:ascii="Times New Roman" w:hAnsi="Times New Roman" w:cs="Times New Roman"/>
                <w:kern w:val="0"/>
                <w:sz w:val="20"/>
                <w:szCs w:val="20"/>
              </w:rPr>
            </w:pPr>
          </w:p>
        </w:tc>
        <w:tc>
          <w:tcPr>
            <w:tcW w:w="1685" w:type="dxa"/>
            <w:tcBorders>
              <w:top w:val="nil"/>
              <w:left w:val="nil"/>
              <w:bottom w:val="nil"/>
              <w:right w:val="nil"/>
            </w:tcBorders>
          </w:tcPr>
          <w:p w14:paraId="2852FFA8"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p>
        </w:tc>
        <w:tc>
          <w:tcPr>
            <w:tcW w:w="1685" w:type="dxa"/>
            <w:tcBorders>
              <w:top w:val="nil"/>
              <w:left w:val="nil"/>
              <w:bottom w:val="nil"/>
              <w:right w:val="nil"/>
            </w:tcBorders>
          </w:tcPr>
          <w:p w14:paraId="13268A54"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p>
        </w:tc>
        <w:tc>
          <w:tcPr>
            <w:tcW w:w="1685" w:type="dxa"/>
            <w:tcBorders>
              <w:top w:val="nil"/>
              <w:left w:val="nil"/>
              <w:bottom w:val="nil"/>
              <w:right w:val="nil"/>
            </w:tcBorders>
          </w:tcPr>
          <w:p w14:paraId="48957821"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(1.753)</w:t>
            </w:r>
          </w:p>
        </w:tc>
        <w:tc>
          <w:tcPr>
            <w:tcW w:w="1518" w:type="dxa"/>
            <w:tcBorders>
              <w:top w:val="nil"/>
              <w:left w:val="nil"/>
              <w:bottom w:val="nil"/>
              <w:right w:val="nil"/>
            </w:tcBorders>
          </w:tcPr>
          <w:p w14:paraId="292E6BFF"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(0.207)</w:t>
            </w:r>
          </w:p>
        </w:tc>
      </w:tr>
      <w:tr w:rsidR="0048495A" w:rsidRPr="00514308" w14:paraId="71809162" w14:textId="77777777" w:rsidTr="00514308">
        <w:trPr>
          <w:trHeight w:val="295"/>
          <w:jc w:val="center"/>
        </w:trPr>
        <w:tc>
          <w:tcPr>
            <w:tcW w:w="2787" w:type="dxa"/>
            <w:tcBorders>
              <w:top w:val="nil"/>
              <w:left w:val="nil"/>
              <w:bottom w:val="nil"/>
              <w:right w:val="nil"/>
            </w:tcBorders>
          </w:tcPr>
          <w:p w14:paraId="7E1B8868" w14:textId="77777777" w:rsidR="0048495A" w:rsidRPr="00514308" w:rsidRDefault="0048495A" w:rsidP="00514308">
            <w:pPr>
              <w:widowControl w:val="0"/>
              <w:autoSpaceDE w:val="0"/>
              <w:autoSpaceDN w:val="0"/>
              <w:adjustRightInd w:val="0"/>
              <w:spacing w:beforeLines="20" w:before="48" w:afterLines="40" w:after="96" w:line="240" w:lineRule="auto"/>
              <w:rPr>
                <w:rFonts w:ascii="Times New Roman" w:hAnsi="Times New Roman" w:cs="Times New Roman"/>
                <w:kern w:val="0"/>
                <w:sz w:val="20"/>
                <w:szCs w:val="20"/>
              </w:rPr>
            </w:pPr>
            <w:proofErr w:type="spellStart"/>
            <w:r w:rsidRPr="00514308">
              <w:rPr>
                <w:rFonts w:ascii="Times New Roman" w:hAnsi="Times New Roman" w:cs="Times New Roman"/>
                <w:kern w:val="0"/>
                <w:sz w:val="20"/>
                <w:szCs w:val="20"/>
              </w:rPr>
              <w:t>ClimateRisk</w:t>
            </w:r>
            <w:proofErr w:type="spellEnd"/>
          </w:p>
        </w:tc>
        <w:tc>
          <w:tcPr>
            <w:tcW w:w="1685" w:type="dxa"/>
            <w:tcBorders>
              <w:top w:val="nil"/>
              <w:left w:val="nil"/>
              <w:bottom w:val="nil"/>
              <w:right w:val="nil"/>
            </w:tcBorders>
          </w:tcPr>
          <w:p w14:paraId="014CF4FF"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p>
        </w:tc>
        <w:tc>
          <w:tcPr>
            <w:tcW w:w="1685" w:type="dxa"/>
            <w:tcBorders>
              <w:top w:val="nil"/>
              <w:left w:val="nil"/>
              <w:bottom w:val="nil"/>
              <w:right w:val="nil"/>
            </w:tcBorders>
          </w:tcPr>
          <w:p w14:paraId="005F8DD1"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p>
        </w:tc>
        <w:tc>
          <w:tcPr>
            <w:tcW w:w="1685" w:type="dxa"/>
            <w:tcBorders>
              <w:top w:val="nil"/>
              <w:left w:val="nil"/>
              <w:bottom w:val="nil"/>
              <w:right w:val="nil"/>
            </w:tcBorders>
          </w:tcPr>
          <w:p w14:paraId="6CD040B9"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2.377***</w:t>
            </w:r>
          </w:p>
        </w:tc>
        <w:tc>
          <w:tcPr>
            <w:tcW w:w="1518" w:type="dxa"/>
            <w:tcBorders>
              <w:top w:val="nil"/>
              <w:left w:val="nil"/>
              <w:bottom w:val="nil"/>
              <w:right w:val="nil"/>
            </w:tcBorders>
          </w:tcPr>
          <w:p w14:paraId="0C4FEE95"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7.364**</w:t>
            </w:r>
          </w:p>
        </w:tc>
      </w:tr>
      <w:tr w:rsidR="0048495A" w:rsidRPr="00514308" w14:paraId="6AE86419" w14:textId="77777777" w:rsidTr="00514308">
        <w:trPr>
          <w:trHeight w:val="295"/>
          <w:jc w:val="center"/>
        </w:trPr>
        <w:tc>
          <w:tcPr>
            <w:tcW w:w="2787" w:type="dxa"/>
            <w:tcBorders>
              <w:top w:val="nil"/>
              <w:left w:val="nil"/>
              <w:bottom w:val="nil"/>
              <w:right w:val="nil"/>
            </w:tcBorders>
          </w:tcPr>
          <w:p w14:paraId="6C5652D6" w14:textId="77777777" w:rsidR="0048495A" w:rsidRPr="00514308" w:rsidRDefault="0048495A" w:rsidP="00514308">
            <w:pPr>
              <w:widowControl w:val="0"/>
              <w:autoSpaceDE w:val="0"/>
              <w:autoSpaceDN w:val="0"/>
              <w:adjustRightInd w:val="0"/>
              <w:spacing w:beforeLines="20" w:before="48" w:afterLines="40" w:after="96" w:line="240" w:lineRule="auto"/>
              <w:rPr>
                <w:rFonts w:ascii="Times New Roman" w:hAnsi="Times New Roman" w:cs="Times New Roman"/>
                <w:kern w:val="0"/>
                <w:sz w:val="20"/>
                <w:szCs w:val="20"/>
              </w:rPr>
            </w:pPr>
          </w:p>
        </w:tc>
        <w:tc>
          <w:tcPr>
            <w:tcW w:w="1685" w:type="dxa"/>
            <w:tcBorders>
              <w:top w:val="nil"/>
              <w:left w:val="nil"/>
              <w:bottom w:val="nil"/>
              <w:right w:val="nil"/>
            </w:tcBorders>
          </w:tcPr>
          <w:p w14:paraId="46B4CDDC"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p>
        </w:tc>
        <w:tc>
          <w:tcPr>
            <w:tcW w:w="1685" w:type="dxa"/>
            <w:tcBorders>
              <w:top w:val="nil"/>
              <w:left w:val="nil"/>
              <w:bottom w:val="nil"/>
              <w:right w:val="nil"/>
            </w:tcBorders>
          </w:tcPr>
          <w:p w14:paraId="214A3CFA"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p>
        </w:tc>
        <w:tc>
          <w:tcPr>
            <w:tcW w:w="1685" w:type="dxa"/>
            <w:tcBorders>
              <w:top w:val="nil"/>
              <w:left w:val="nil"/>
              <w:bottom w:val="nil"/>
              <w:right w:val="nil"/>
            </w:tcBorders>
          </w:tcPr>
          <w:p w14:paraId="3812044F"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(2.743)</w:t>
            </w:r>
          </w:p>
        </w:tc>
        <w:tc>
          <w:tcPr>
            <w:tcW w:w="1518" w:type="dxa"/>
            <w:tcBorders>
              <w:top w:val="nil"/>
              <w:left w:val="nil"/>
              <w:bottom w:val="nil"/>
              <w:right w:val="nil"/>
            </w:tcBorders>
          </w:tcPr>
          <w:p w14:paraId="263C1B19"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(2.064)</w:t>
            </w:r>
          </w:p>
        </w:tc>
      </w:tr>
      <w:tr w:rsidR="0048495A" w:rsidRPr="00514308" w14:paraId="035BCDFE" w14:textId="77777777" w:rsidTr="00514308">
        <w:trPr>
          <w:trHeight w:val="295"/>
          <w:jc w:val="center"/>
        </w:trPr>
        <w:tc>
          <w:tcPr>
            <w:tcW w:w="2787" w:type="dxa"/>
            <w:tcBorders>
              <w:top w:val="nil"/>
              <w:left w:val="nil"/>
              <w:bottom w:val="nil"/>
              <w:right w:val="nil"/>
            </w:tcBorders>
          </w:tcPr>
          <w:p w14:paraId="70550100" w14:textId="77777777" w:rsidR="0048495A" w:rsidRPr="00514308" w:rsidRDefault="0048495A" w:rsidP="00514308">
            <w:pPr>
              <w:widowControl w:val="0"/>
              <w:autoSpaceDE w:val="0"/>
              <w:autoSpaceDN w:val="0"/>
              <w:adjustRightInd w:val="0"/>
              <w:spacing w:beforeLines="20" w:before="48" w:afterLines="40" w:after="96" w:line="240" w:lineRule="auto"/>
              <w:rPr>
                <w:rFonts w:ascii="Times New Roman" w:hAnsi="Times New Roman" w:cs="Times New Roman"/>
                <w:kern w:val="0"/>
                <w:sz w:val="20"/>
                <w:szCs w:val="20"/>
              </w:rPr>
            </w:pPr>
            <w:proofErr w:type="spellStart"/>
            <w:r w:rsidRPr="00514308">
              <w:rPr>
                <w:rFonts w:ascii="Times New Roman" w:hAnsi="Times New Roman" w:cs="Times New Roman"/>
                <w:kern w:val="0"/>
                <w:sz w:val="20"/>
                <w:szCs w:val="20"/>
              </w:rPr>
              <w:t>CSRcom</w:t>
            </w:r>
            <w:proofErr w:type="spellEnd"/>
          </w:p>
        </w:tc>
        <w:tc>
          <w:tcPr>
            <w:tcW w:w="1685" w:type="dxa"/>
            <w:tcBorders>
              <w:top w:val="nil"/>
              <w:left w:val="nil"/>
              <w:bottom w:val="nil"/>
              <w:right w:val="nil"/>
            </w:tcBorders>
          </w:tcPr>
          <w:p w14:paraId="081448D3"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0.155</w:t>
            </w:r>
          </w:p>
        </w:tc>
        <w:tc>
          <w:tcPr>
            <w:tcW w:w="1685" w:type="dxa"/>
            <w:tcBorders>
              <w:top w:val="nil"/>
              <w:left w:val="nil"/>
              <w:bottom w:val="nil"/>
              <w:right w:val="nil"/>
            </w:tcBorders>
          </w:tcPr>
          <w:p w14:paraId="0D3A88D1"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0.042</w:t>
            </w:r>
          </w:p>
        </w:tc>
        <w:tc>
          <w:tcPr>
            <w:tcW w:w="1685" w:type="dxa"/>
            <w:tcBorders>
              <w:top w:val="nil"/>
              <w:left w:val="nil"/>
              <w:bottom w:val="nil"/>
              <w:right w:val="nil"/>
            </w:tcBorders>
          </w:tcPr>
          <w:p w14:paraId="199F7C51"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0.153</w:t>
            </w:r>
          </w:p>
        </w:tc>
        <w:tc>
          <w:tcPr>
            <w:tcW w:w="1518" w:type="dxa"/>
            <w:tcBorders>
              <w:top w:val="nil"/>
              <w:left w:val="nil"/>
              <w:bottom w:val="nil"/>
              <w:right w:val="nil"/>
            </w:tcBorders>
          </w:tcPr>
          <w:p w14:paraId="1670E05B"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0.044</w:t>
            </w:r>
          </w:p>
        </w:tc>
      </w:tr>
      <w:tr w:rsidR="0048495A" w:rsidRPr="00514308" w14:paraId="08417C1F" w14:textId="77777777" w:rsidTr="00514308">
        <w:trPr>
          <w:trHeight w:val="295"/>
          <w:jc w:val="center"/>
        </w:trPr>
        <w:tc>
          <w:tcPr>
            <w:tcW w:w="2787" w:type="dxa"/>
            <w:tcBorders>
              <w:top w:val="nil"/>
              <w:left w:val="nil"/>
              <w:bottom w:val="nil"/>
              <w:right w:val="nil"/>
            </w:tcBorders>
          </w:tcPr>
          <w:p w14:paraId="73FA2EF6" w14:textId="77777777" w:rsidR="0048495A" w:rsidRPr="00514308" w:rsidRDefault="0048495A" w:rsidP="00514308">
            <w:pPr>
              <w:widowControl w:val="0"/>
              <w:autoSpaceDE w:val="0"/>
              <w:autoSpaceDN w:val="0"/>
              <w:adjustRightInd w:val="0"/>
              <w:spacing w:beforeLines="20" w:before="48" w:afterLines="40" w:after="96" w:line="240" w:lineRule="auto"/>
              <w:rPr>
                <w:rFonts w:ascii="Times New Roman" w:hAnsi="Times New Roman" w:cs="Times New Roman"/>
                <w:kern w:val="0"/>
                <w:sz w:val="20"/>
                <w:szCs w:val="20"/>
              </w:rPr>
            </w:pPr>
          </w:p>
        </w:tc>
        <w:tc>
          <w:tcPr>
            <w:tcW w:w="1685" w:type="dxa"/>
            <w:tcBorders>
              <w:top w:val="nil"/>
              <w:left w:val="nil"/>
              <w:bottom w:val="nil"/>
              <w:right w:val="nil"/>
            </w:tcBorders>
          </w:tcPr>
          <w:p w14:paraId="5FE87B37"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(1.596)</w:t>
            </w:r>
          </w:p>
        </w:tc>
        <w:tc>
          <w:tcPr>
            <w:tcW w:w="1685" w:type="dxa"/>
            <w:tcBorders>
              <w:top w:val="nil"/>
              <w:left w:val="nil"/>
              <w:bottom w:val="nil"/>
              <w:right w:val="nil"/>
            </w:tcBorders>
          </w:tcPr>
          <w:p w14:paraId="74CBE3E4"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(0.411)</w:t>
            </w:r>
          </w:p>
        </w:tc>
        <w:tc>
          <w:tcPr>
            <w:tcW w:w="1685" w:type="dxa"/>
            <w:tcBorders>
              <w:top w:val="nil"/>
              <w:left w:val="nil"/>
              <w:bottom w:val="nil"/>
              <w:right w:val="nil"/>
            </w:tcBorders>
          </w:tcPr>
          <w:p w14:paraId="4CF285C8"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(1.576)</w:t>
            </w:r>
          </w:p>
        </w:tc>
        <w:tc>
          <w:tcPr>
            <w:tcW w:w="1518" w:type="dxa"/>
            <w:tcBorders>
              <w:top w:val="nil"/>
              <w:left w:val="nil"/>
              <w:bottom w:val="nil"/>
              <w:right w:val="nil"/>
            </w:tcBorders>
          </w:tcPr>
          <w:p w14:paraId="0F032F7D"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(0.430)</w:t>
            </w:r>
          </w:p>
        </w:tc>
      </w:tr>
      <w:tr w:rsidR="0048495A" w:rsidRPr="00514308" w14:paraId="0D725B86" w14:textId="77777777" w:rsidTr="00514308">
        <w:trPr>
          <w:trHeight w:val="295"/>
          <w:jc w:val="center"/>
        </w:trPr>
        <w:tc>
          <w:tcPr>
            <w:tcW w:w="2787" w:type="dxa"/>
            <w:tcBorders>
              <w:top w:val="nil"/>
              <w:left w:val="nil"/>
              <w:bottom w:val="nil"/>
              <w:right w:val="nil"/>
            </w:tcBorders>
          </w:tcPr>
          <w:p w14:paraId="53435D18" w14:textId="77777777" w:rsidR="0048495A" w:rsidRPr="00514308" w:rsidRDefault="0048495A" w:rsidP="00514308">
            <w:pPr>
              <w:widowControl w:val="0"/>
              <w:autoSpaceDE w:val="0"/>
              <w:autoSpaceDN w:val="0"/>
              <w:adjustRightInd w:val="0"/>
              <w:spacing w:beforeLines="20" w:before="48" w:afterLines="40" w:after="96" w:line="240" w:lineRule="auto"/>
              <w:rPr>
                <w:rFonts w:ascii="Times New Roman" w:hAnsi="Times New Roman" w:cs="Times New Roman"/>
                <w:kern w:val="0"/>
                <w:sz w:val="20"/>
                <w:szCs w:val="20"/>
              </w:rPr>
            </w:pPr>
            <w:proofErr w:type="spellStart"/>
            <w:r w:rsidRPr="00514308">
              <w:rPr>
                <w:rFonts w:ascii="Times New Roman" w:hAnsi="Times New Roman" w:cs="Times New Roman"/>
                <w:kern w:val="0"/>
                <w:sz w:val="20"/>
                <w:szCs w:val="20"/>
              </w:rPr>
              <w:t>IndBoard</w:t>
            </w:r>
            <w:proofErr w:type="spellEnd"/>
          </w:p>
        </w:tc>
        <w:tc>
          <w:tcPr>
            <w:tcW w:w="1685" w:type="dxa"/>
            <w:tcBorders>
              <w:top w:val="nil"/>
              <w:left w:val="nil"/>
              <w:bottom w:val="nil"/>
              <w:right w:val="nil"/>
            </w:tcBorders>
          </w:tcPr>
          <w:p w14:paraId="5A574586"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0.002</w:t>
            </w:r>
          </w:p>
        </w:tc>
        <w:tc>
          <w:tcPr>
            <w:tcW w:w="1685" w:type="dxa"/>
            <w:tcBorders>
              <w:top w:val="nil"/>
              <w:left w:val="nil"/>
              <w:bottom w:val="nil"/>
              <w:right w:val="nil"/>
            </w:tcBorders>
          </w:tcPr>
          <w:p w14:paraId="6112FD6B"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0.001</w:t>
            </w:r>
          </w:p>
        </w:tc>
        <w:tc>
          <w:tcPr>
            <w:tcW w:w="1685" w:type="dxa"/>
            <w:tcBorders>
              <w:top w:val="nil"/>
              <w:left w:val="nil"/>
              <w:bottom w:val="nil"/>
              <w:right w:val="nil"/>
            </w:tcBorders>
          </w:tcPr>
          <w:p w14:paraId="3090E69C"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0.002</w:t>
            </w:r>
          </w:p>
        </w:tc>
        <w:tc>
          <w:tcPr>
            <w:tcW w:w="1518" w:type="dxa"/>
            <w:tcBorders>
              <w:top w:val="nil"/>
              <w:left w:val="nil"/>
              <w:bottom w:val="nil"/>
              <w:right w:val="nil"/>
            </w:tcBorders>
          </w:tcPr>
          <w:p w14:paraId="41EBC85C"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0.001</w:t>
            </w:r>
          </w:p>
        </w:tc>
      </w:tr>
      <w:tr w:rsidR="0048495A" w:rsidRPr="00514308" w14:paraId="322153B6" w14:textId="77777777" w:rsidTr="00514308">
        <w:trPr>
          <w:trHeight w:val="295"/>
          <w:jc w:val="center"/>
        </w:trPr>
        <w:tc>
          <w:tcPr>
            <w:tcW w:w="2787" w:type="dxa"/>
            <w:tcBorders>
              <w:top w:val="nil"/>
              <w:left w:val="nil"/>
              <w:bottom w:val="nil"/>
              <w:right w:val="nil"/>
            </w:tcBorders>
          </w:tcPr>
          <w:p w14:paraId="772DDEF2" w14:textId="77777777" w:rsidR="0048495A" w:rsidRPr="00514308" w:rsidRDefault="0048495A" w:rsidP="00514308">
            <w:pPr>
              <w:widowControl w:val="0"/>
              <w:autoSpaceDE w:val="0"/>
              <w:autoSpaceDN w:val="0"/>
              <w:adjustRightInd w:val="0"/>
              <w:spacing w:beforeLines="20" w:before="48" w:afterLines="40" w:after="96" w:line="240" w:lineRule="auto"/>
              <w:rPr>
                <w:rFonts w:ascii="Times New Roman" w:hAnsi="Times New Roman" w:cs="Times New Roman"/>
                <w:kern w:val="0"/>
                <w:sz w:val="20"/>
                <w:szCs w:val="20"/>
              </w:rPr>
            </w:pPr>
          </w:p>
        </w:tc>
        <w:tc>
          <w:tcPr>
            <w:tcW w:w="1685" w:type="dxa"/>
            <w:tcBorders>
              <w:top w:val="nil"/>
              <w:left w:val="nil"/>
              <w:bottom w:val="nil"/>
              <w:right w:val="nil"/>
            </w:tcBorders>
          </w:tcPr>
          <w:p w14:paraId="35CEDDC1"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(0.890)</w:t>
            </w:r>
          </w:p>
        </w:tc>
        <w:tc>
          <w:tcPr>
            <w:tcW w:w="1685" w:type="dxa"/>
            <w:tcBorders>
              <w:top w:val="nil"/>
              <w:left w:val="nil"/>
              <w:bottom w:val="nil"/>
              <w:right w:val="nil"/>
            </w:tcBorders>
          </w:tcPr>
          <w:p w14:paraId="5C1E080F"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(0.343)</w:t>
            </w:r>
          </w:p>
        </w:tc>
        <w:tc>
          <w:tcPr>
            <w:tcW w:w="1685" w:type="dxa"/>
            <w:tcBorders>
              <w:top w:val="nil"/>
              <w:left w:val="nil"/>
              <w:bottom w:val="nil"/>
              <w:right w:val="nil"/>
            </w:tcBorders>
          </w:tcPr>
          <w:p w14:paraId="07280437"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(0.856)</w:t>
            </w:r>
          </w:p>
        </w:tc>
        <w:tc>
          <w:tcPr>
            <w:tcW w:w="1518" w:type="dxa"/>
            <w:tcBorders>
              <w:top w:val="nil"/>
              <w:left w:val="nil"/>
              <w:bottom w:val="nil"/>
              <w:right w:val="nil"/>
            </w:tcBorders>
          </w:tcPr>
          <w:p w14:paraId="25366083"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(0.327)</w:t>
            </w:r>
          </w:p>
        </w:tc>
      </w:tr>
      <w:tr w:rsidR="0048495A" w:rsidRPr="00514308" w14:paraId="4E2B0614" w14:textId="77777777" w:rsidTr="00514308">
        <w:trPr>
          <w:trHeight w:val="295"/>
          <w:jc w:val="center"/>
        </w:trPr>
        <w:tc>
          <w:tcPr>
            <w:tcW w:w="2787" w:type="dxa"/>
            <w:tcBorders>
              <w:top w:val="nil"/>
              <w:left w:val="nil"/>
              <w:bottom w:val="nil"/>
              <w:right w:val="nil"/>
            </w:tcBorders>
          </w:tcPr>
          <w:p w14:paraId="439549F4" w14:textId="77777777" w:rsidR="0048495A" w:rsidRPr="00514308" w:rsidRDefault="0048495A" w:rsidP="00514308">
            <w:pPr>
              <w:widowControl w:val="0"/>
              <w:autoSpaceDE w:val="0"/>
              <w:autoSpaceDN w:val="0"/>
              <w:adjustRightInd w:val="0"/>
              <w:spacing w:beforeLines="20" w:before="48" w:afterLines="40" w:after="96" w:line="240" w:lineRule="auto"/>
              <w:rPr>
                <w:rFonts w:ascii="Times New Roman" w:hAnsi="Times New Roman" w:cs="Times New Roman"/>
                <w:kern w:val="0"/>
                <w:sz w:val="20"/>
                <w:szCs w:val="20"/>
              </w:rPr>
            </w:pPr>
            <w:proofErr w:type="spellStart"/>
            <w:r w:rsidRPr="00514308">
              <w:rPr>
                <w:rFonts w:ascii="Times New Roman" w:hAnsi="Times New Roman" w:cs="Times New Roman"/>
                <w:kern w:val="0"/>
                <w:sz w:val="20"/>
                <w:szCs w:val="20"/>
              </w:rPr>
              <w:t>FemaleBoard</w:t>
            </w:r>
            <w:proofErr w:type="spellEnd"/>
          </w:p>
        </w:tc>
        <w:tc>
          <w:tcPr>
            <w:tcW w:w="1685" w:type="dxa"/>
            <w:tcBorders>
              <w:top w:val="nil"/>
              <w:left w:val="nil"/>
              <w:bottom w:val="nil"/>
              <w:right w:val="nil"/>
            </w:tcBorders>
          </w:tcPr>
          <w:p w14:paraId="5142F181"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0.014***</w:t>
            </w:r>
          </w:p>
        </w:tc>
        <w:tc>
          <w:tcPr>
            <w:tcW w:w="1685" w:type="dxa"/>
            <w:tcBorders>
              <w:top w:val="nil"/>
              <w:left w:val="nil"/>
              <w:bottom w:val="nil"/>
              <w:right w:val="nil"/>
            </w:tcBorders>
          </w:tcPr>
          <w:p w14:paraId="1037AFDE"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0.006</w:t>
            </w:r>
          </w:p>
        </w:tc>
        <w:tc>
          <w:tcPr>
            <w:tcW w:w="1685" w:type="dxa"/>
            <w:tcBorders>
              <w:top w:val="nil"/>
              <w:left w:val="nil"/>
              <w:bottom w:val="nil"/>
              <w:right w:val="nil"/>
            </w:tcBorders>
          </w:tcPr>
          <w:p w14:paraId="43628E7F"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0.014***</w:t>
            </w:r>
          </w:p>
        </w:tc>
        <w:tc>
          <w:tcPr>
            <w:tcW w:w="1518" w:type="dxa"/>
            <w:tcBorders>
              <w:top w:val="nil"/>
              <w:left w:val="nil"/>
              <w:bottom w:val="nil"/>
              <w:right w:val="nil"/>
            </w:tcBorders>
          </w:tcPr>
          <w:p w14:paraId="3701767A"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0.006</w:t>
            </w:r>
          </w:p>
        </w:tc>
      </w:tr>
      <w:tr w:rsidR="0048495A" w:rsidRPr="00514308" w14:paraId="7ADBA873" w14:textId="77777777" w:rsidTr="00514308">
        <w:trPr>
          <w:trHeight w:val="295"/>
          <w:jc w:val="center"/>
        </w:trPr>
        <w:tc>
          <w:tcPr>
            <w:tcW w:w="2787" w:type="dxa"/>
            <w:tcBorders>
              <w:top w:val="nil"/>
              <w:left w:val="nil"/>
              <w:bottom w:val="nil"/>
              <w:right w:val="nil"/>
            </w:tcBorders>
          </w:tcPr>
          <w:p w14:paraId="63950C59" w14:textId="77777777" w:rsidR="0048495A" w:rsidRPr="00514308" w:rsidRDefault="0048495A" w:rsidP="00514308">
            <w:pPr>
              <w:widowControl w:val="0"/>
              <w:autoSpaceDE w:val="0"/>
              <w:autoSpaceDN w:val="0"/>
              <w:adjustRightInd w:val="0"/>
              <w:spacing w:beforeLines="20" w:before="48" w:afterLines="40" w:after="96" w:line="240" w:lineRule="auto"/>
              <w:rPr>
                <w:rFonts w:ascii="Times New Roman" w:hAnsi="Times New Roman" w:cs="Times New Roman"/>
                <w:kern w:val="0"/>
                <w:sz w:val="20"/>
                <w:szCs w:val="20"/>
              </w:rPr>
            </w:pPr>
          </w:p>
        </w:tc>
        <w:tc>
          <w:tcPr>
            <w:tcW w:w="1685" w:type="dxa"/>
            <w:tcBorders>
              <w:top w:val="nil"/>
              <w:left w:val="nil"/>
              <w:bottom w:val="nil"/>
              <w:right w:val="nil"/>
            </w:tcBorders>
          </w:tcPr>
          <w:p w14:paraId="68079F6D"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(3.881)</w:t>
            </w:r>
          </w:p>
        </w:tc>
        <w:tc>
          <w:tcPr>
            <w:tcW w:w="1685" w:type="dxa"/>
            <w:tcBorders>
              <w:top w:val="nil"/>
              <w:left w:val="nil"/>
              <w:bottom w:val="nil"/>
              <w:right w:val="nil"/>
            </w:tcBorders>
          </w:tcPr>
          <w:p w14:paraId="077C046C"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(0.923)</w:t>
            </w:r>
          </w:p>
        </w:tc>
        <w:tc>
          <w:tcPr>
            <w:tcW w:w="1685" w:type="dxa"/>
            <w:tcBorders>
              <w:top w:val="nil"/>
              <w:left w:val="nil"/>
              <w:bottom w:val="nil"/>
              <w:right w:val="nil"/>
            </w:tcBorders>
          </w:tcPr>
          <w:p w14:paraId="3BC26552"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(3.909)</w:t>
            </w:r>
          </w:p>
        </w:tc>
        <w:tc>
          <w:tcPr>
            <w:tcW w:w="1518" w:type="dxa"/>
            <w:tcBorders>
              <w:top w:val="nil"/>
              <w:left w:val="nil"/>
              <w:bottom w:val="nil"/>
              <w:right w:val="nil"/>
            </w:tcBorders>
          </w:tcPr>
          <w:p w14:paraId="2BB5DC92"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(0.925)</w:t>
            </w:r>
          </w:p>
        </w:tc>
      </w:tr>
      <w:tr w:rsidR="0048495A" w:rsidRPr="00514308" w14:paraId="4116BED5" w14:textId="77777777" w:rsidTr="00514308">
        <w:trPr>
          <w:trHeight w:val="295"/>
          <w:jc w:val="center"/>
        </w:trPr>
        <w:tc>
          <w:tcPr>
            <w:tcW w:w="2787" w:type="dxa"/>
            <w:tcBorders>
              <w:top w:val="nil"/>
              <w:left w:val="nil"/>
              <w:bottom w:val="nil"/>
              <w:right w:val="nil"/>
            </w:tcBorders>
          </w:tcPr>
          <w:p w14:paraId="57DA34B1" w14:textId="77777777" w:rsidR="0048495A" w:rsidRPr="00514308" w:rsidRDefault="0048495A" w:rsidP="00514308">
            <w:pPr>
              <w:widowControl w:val="0"/>
              <w:autoSpaceDE w:val="0"/>
              <w:autoSpaceDN w:val="0"/>
              <w:adjustRightInd w:val="0"/>
              <w:spacing w:beforeLines="20" w:before="48" w:afterLines="40" w:after="96" w:line="240" w:lineRule="auto"/>
              <w:rPr>
                <w:rFonts w:ascii="Times New Roman" w:hAnsi="Times New Roman" w:cs="Times New Roman"/>
                <w:kern w:val="0"/>
                <w:sz w:val="20"/>
                <w:szCs w:val="20"/>
              </w:rPr>
            </w:pPr>
            <w:proofErr w:type="spellStart"/>
            <w:r w:rsidRPr="00514308">
              <w:rPr>
                <w:rFonts w:ascii="Times New Roman" w:hAnsi="Times New Roman" w:cs="Times New Roman"/>
                <w:kern w:val="0"/>
                <w:sz w:val="20"/>
                <w:szCs w:val="20"/>
              </w:rPr>
              <w:t>FirmGrow</w:t>
            </w:r>
            <w:proofErr w:type="spellEnd"/>
          </w:p>
        </w:tc>
        <w:tc>
          <w:tcPr>
            <w:tcW w:w="1685" w:type="dxa"/>
            <w:tcBorders>
              <w:top w:val="nil"/>
              <w:left w:val="nil"/>
              <w:bottom w:val="nil"/>
              <w:right w:val="nil"/>
            </w:tcBorders>
          </w:tcPr>
          <w:p w14:paraId="69246050"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0.001***</w:t>
            </w:r>
          </w:p>
        </w:tc>
        <w:tc>
          <w:tcPr>
            <w:tcW w:w="1685" w:type="dxa"/>
            <w:tcBorders>
              <w:top w:val="nil"/>
              <w:left w:val="nil"/>
              <w:bottom w:val="nil"/>
              <w:right w:val="nil"/>
            </w:tcBorders>
          </w:tcPr>
          <w:p w14:paraId="338FBA20"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0.000***</w:t>
            </w:r>
          </w:p>
        </w:tc>
        <w:tc>
          <w:tcPr>
            <w:tcW w:w="1685" w:type="dxa"/>
            <w:tcBorders>
              <w:top w:val="nil"/>
              <w:left w:val="nil"/>
              <w:bottom w:val="nil"/>
              <w:right w:val="nil"/>
            </w:tcBorders>
          </w:tcPr>
          <w:p w14:paraId="2BE42808"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0.001***</w:t>
            </w:r>
          </w:p>
        </w:tc>
        <w:tc>
          <w:tcPr>
            <w:tcW w:w="1518" w:type="dxa"/>
            <w:tcBorders>
              <w:top w:val="nil"/>
              <w:left w:val="nil"/>
              <w:bottom w:val="nil"/>
              <w:right w:val="nil"/>
            </w:tcBorders>
          </w:tcPr>
          <w:p w14:paraId="6AE07C8B"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0.000***</w:t>
            </w:r>
          </w:p>
        </w:tc>
      </w:tr>
      <w:tr w:rsidR="0048495A" w:rsidRPr="00514308" w14:paraId="766266E4" w14:textId="77777777" w:rsidTr="00514308">
        <w:trPr>
          <w:trHeight w:val="295"/>
          <w:jc w:val="center"/>
        </w:trPr>
        <w:tc>
          <w:tcPr>
            <w:tcW w:w="2787" w:type="dxa"/>
            <w:tcBorders>
              <w:top w:val="nil"/>
              <w:left w:val="nil"/>
              <w:bottom w:val="nil"/>
              <w:right w:val="nil"/>
            </w:tcBorders>
          </w:tcPr>
          <w:p w14:paraId="20A3BF3B" w14:textId="77777777" w:rsidR="0048495A" w:rsidRPr="00514308" w:rsidRDefault="0048495A" w:rsidP="00514308">
            <w:pPr>
              <w:widowControl w:val="0"/>
              <w:autoSpaceDE w:val="0"/>
              <w:autoSpaceDN w:val="0"/>
              <w:adjustRightInd w:val="0"/>
              <w:spacing w:beforeLines="20" w:before="48" w:afterLines="40" w:after="96" w:line="240" w:lineRule="auto"/>
              <w:rPr>
                <w:rFonts w:ascii="Times New Roman" w:hAnsi="Times New Roman" w:cs="Times New Roman"/>
                <w:kern w:val="0"/>
                <w:sz w:val="20"/>
                <w:szCs w:val="20"/>
              </w:rPr>
            </w:pPr>
          </w:p>
        </w:tc>
        <w:tc>
          <w:tcPr>
            <w:tcW w:w="1685" w:type="dxa"/>
            <w:tcBorders>
              <w:top w:val="nil"/>
              <w:left w:val="nil"/>
              <w:bottom w:val="nil"/>
              <w:right w:val="nil"/>
            </w:tcBorders>
          </w:tcPr>
          <w:p w14:paraId="44EC09B5"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(4.886)</w:t>
            </w:r>
          </w:p>
        </w:tc>
        <w:tc>
          <w:tcPr>
            <w:tcW w:w="1685" w:type="dxa"/>
            <w:tcBorders>
              <w:top w:val="nil"/>
              <w:left w:val="nil"/>
              <w:bottom w:val="nil"/>
              <w:right w:val="nil"/>
            </w:tcBorders>
          </w:tcPr>
          <w:p w14:paraId="2E3D4556"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(3.086)</w:t>
            </w:r>
          </w:p>
        </w:tc>
        <w:tc>
          <w:tcPr>
            <w:tcW w:w="1685" w:type="dxa"/>
            <w:tcBorders>
              <w:top w:val="nil"/>
              <w:left w:val="nil"/>
              <w:bottom w:val="nil"/>
              <w:right w:val="nil"/>
            </w:tcBorders>
          </w:tcPr>
          <w:p w14:paraId="7F99D33F"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(4.860)</w:t>
            </w:r>
          </w:p>
        </w:tc>
        <w:tc>
          <w:tcPr>
            <w:tcW w:w="1518" w:type="dxa"/>
            <w:tcBorders>
              <w:top w:val="nil"/>
              <w:left w:val="nil"/>
              <w:bottom w:val="nil"/>
              <w:right w:val="nil"/>
            </w:tcBorders>
          </w:tcPr>
          <w:p w14:paraId="4B4A2460"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(3.207)</w:t>
            </w:r>
          </w:p>
        </w:tc>
      </w:tr>
      <w:tr w:rsidR="0048495A" w:rsidRPr="00514308" w14:paraId="3D547693" w14:textId="77777777" w:rsidTr="00514308">
        <w:trPr>
          <w:trHeight w:val="295"/>
          <w:jc w:val="center"/>
        </w:trPr>
        <w:tc>
          <w:tcPr>
            <w:tcW w:w="2787" w:type="dxa"/>
            <w:tcBorders>
              <w:top w:val="nil"/>
              <w:left w:val="nil"/>
              <w:bottom w:val="nil"/>
              <w:right w:val="nil"/>
            </w:tcBorders>
          </w:tcPr>
          <w:p w14:paraId="381227DF" w14:textId="77777777" w:rsidR="0048495A" w:rsidRPr="00514308" w:rsidRDefault="0048495A" w:rsidP="00514308">
            <w:pPr>
              <w:widowControl w:val="0"/>
              <w:autoSpaceDE w:val="0"/>
              <w:autoSpaceDN w:val="0"/>
              <w:adjustRightInd w:val="0"/>
              <w:spacing w:beforeLines="20" w:before="48" w:afterLines="40" w:after="96" w:line="240" w:lineRule="auto"/>
              <w:rPr>
                <w:rFonts w:ascii="Times New Roman" w:hAnsi="Times New Roman" w:cs="Times New Roman"/>
                <w:kern w:val="0"/>
                <w:sz w:val="20"/>
                <w:szCs w:val="20"/>
              </w:rPr>
            </w:pPr>
            <w:r w:rsidRPr="00514308">
              <w:rPr>
                <w:rFonts w:ascii="Times New Roman" w:hAnsi="Times New Roman" w:cs="Times New Roman"/>
                <w:kern w:val="0"/>
                <w:sz w:val="20"/>
                <w:szCs w:val="20"/>
              </w:rPr>
              <w:t>ROE</w:t>
            </w:r>
          </w:p>
        </w:tc>
        <w:tc>
          <w:tcPr>
            <w:tcW w:w="1685" w:type="dxa"/>
            <w:tcBorders>
              <w:top w:val="nil"/>
              <w:left w:val="nil"/>
              <w:bottom w:val="nil"/>
              <w:right w:val="nil"/>
            </w:tcBorders>
          </w:tcPr>
          <w:p w14:paraId="2B907758"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0.098**</w:t>
            </w:r>
          </w:p>
        </w:tc>
        <w:tc>
          <w:tcPr>
            <w:tcW w:w="1685" w:type="dxa"/>
            <w:tcBorders>
              <w:top w:val="nil"/>
              <w:left w:val="nil"/>
              <w:bottom w:val="nil"/>
              <w:right w:val="nil"/>
            </w:tcBorders>
          </w:tcPr>
          <w:p w14:paraId="603F42EF"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0.041*</w:t>
            </w:r>
          </w:p>
        </w:tc>
        <w:tc>
          <w:tcPr>
            <w:tcW w:w="1685" w:type="dxa"/>
            <w:tcBorders>
              <w:top w:val="nil"/>
              <w:left w:val="nil"/>
              <w:bottom w:val="nil"/>
              <w:right w:val="nil"/>
            </w:tcBorders>
          </w:tcPr>
          <w:p w14:paraId="75F7AE1A"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0.098**</w:t>
            </w:r>
          </w:p>
        </w:tc>
        <w:tc>
          <w:tcPr>
            <w:tcW w:w="1518" w:type="dxa"/>
            <w:tcBorders>
              <w:top w:val="nil"/>
              <w:left w:val="nil"/>
              <w:bottom w:val="nil"/>
              <w:right w:val="nil"/>
            </w:tcBorders>
          </w:tcPr>
          <w:p w14:paraId="39DF0F23"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0.041*</w:t>
            </w:r>
          </w:p>
        </w:tc>
      </w:tr>
      <w:tr w:rsidR="0048495A" w:rsidRPr="00514308" w14:paraId="67D82E24" w14:textId="77777777" w:rsidTr="00514308">
        <w:trPr>
          <w:trHeight w:val="295"/>
          <w:jc w:val="center"/>
        </w:trPr>
        <w:tc>
          <w:tcPr>
            <w:tcW w:w="2787" w:type="dxa"/>
            <w:tcBorders>
              <w:top w:val="nil"/>
              <w:left w:val="nil"/>
              <w:bottom w:val="nil"/>
              <w:right w:val="nil"/>
            </w:tcBorders>
          </w:tcPr>
          <w:p w14:paraId="6C55BC77" w14:textId="77777777" w:rsidR="0048495A" w:rsidRPr="00514308" w:rsidRDefault="0048495A" w:rsidP="00514308">
            <w:pPr>
              <w:widowControl w:val="0"/>
              <w:autoSpaceDE w:val="0"/>
              <w:autoSpaceDN w:val="0"/>
              <w:adjustRightInd w:val="0"/>
              <w:spacing w:beforeLines="20" w:before="48" w:afterLines="40" w:after="96" w:line="240" w:lineRule="auto"/>
              <w:rPr>
                <w:rFonts w:ascii="Times New Roman" w:hAnsi="Times New Roman" w:cs="Times New Roman"/>
                <w:kern w:val="0"/>
                <w:sz w:val="20"/>
                <w:szCs w:val="20"/>
              </w:rPr>
            </w:pPr>
          </w:p>
        </w:tc>
        <w:tc>
          <w:tcPr>
            <w:tcW w:w="1685" w:type="dxa"/>
            <w:tcBorders>
              <w:top w:val="nil"/>
              <w:left w:val="nil"/>
              <w:bottom w:val="nil"/>
              <w:right w:val="nil"/>
            </w:tcBorders>
          </w:tcPr>
          <w:p w14:paraId="302C23FB"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(2.273)</w:t>
            </w:r>
          </w:p>
        </w:tc>
        <w:tc>
          <w:tcPr>
            <w:tcW w:w="1685" w:type="dxa"/>
            <w:tcBorders>
              <w:top w:val="nil"/>
              <w:left w:val="nil"/>
              <w:bottom w:val="nil"/>
              <w:right w:val="nil"/>
            </w:tcBorders>
          </w:tcPr>
          <w:p w14:paraId="286D2CAD"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(1.651)</w:t>
            </w:r>
          </w:p>
        </w:tc>
        <w:tc>
          <w:tcPr>
            <w:tcW w:w="1685" w:type="dxa"/>
            <w:tcBorders>
              <w:top w:val="nil"/>
              <w:left w:val="nil"/>
              <w:bottom w:val="nil"/>
              <w:right w:val="nil"/>
            </w:tcBorders>
          </w:tcPr>
          <w:p w14:paraId="7F57B02D"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(2.285)</w:t>
            </w:r>
          </w:p>
        </w:tc>
        <w:tc>
          <w:tcPr>
            <w:tcW w:w="1518" w:type="dxa"/>
            <w:tcBorders>
              <w:top w:val="nil"/>
              <w:left w:val="nil"/>
              <w:bottom w:val="nil"/>
              <w:right w:val="nil"/>
            </w:tcBorders>
          </w:tcPr>
          <w:p w14:paraId="620EAB8D"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(1.684)</w:t>
            </w:r>
          </w:p>
        </w:tc>
      </w:tr>
      <w:tr w:rsidR="0048495A" w:rsidRPr="00514308" w14:paraId="0C700D69" w14:textId="77777777" w:rsidTr="00514308">
        <w:trPr>
          <w:trHeight w:val="295"/>
          <w:jc w:val="center"/>
        </w:trPr>
        <w:tc>
          <w:tcPr>
            <w:tcW w:w="2787" w:type="dxa"/>
            <w:tcBorders>
              <w:top w:val="nil"/>
              <w:left w:val="nil"/>
              <w:bottom w:val="nil"/>
              <w:right w:val="nil"/>
            </w:tcBorders>
          </w:tcPr>
          <w:p w14:paraId="6B6F06D3" w14:textId="77777777" w:rsidR="0048495A" w:rsidRPr="00514308" w:rsidRDefault="0048495A" w:rsidP="00514308">
            <w:pPr>
              <w:widowControl w:val="0"/>
              <w:autoSpaceDE w:val="0"/>
              <w:autoSpaceDN w:val="0"/>
              <w:adjustRightInd w:val="0"/>
              <w:spacing w:beforeLines="20" w:before="48" w:afterLines="40" w:after="96" w:line="240" w:lineRule="auto"/>
              <w:rPr>
                <w:rFonts w:ascii="Times New Roman" w:hAnsi="Times New Roman" w:cs="Times New Roman"/>
                <w:kern w:val="0"/>
                <w:sz w:val="20"/>
                <w:szCs w:val="20"/>
              </w:rPr>
            </w:pPr>
            <w:r w:rsidRPr="00514308">
              <w:rPr>
                <w:rFonts w:ascii="Times New Roman" w:hAnsi="Times New Roman" w:cs="Times New Roman"/>
                <w:kern w:val="0"/>
                <w:sz w:val="20"/>
                <w:szCs w:val="20"/>
              </w:rPr>
              <w:t>Leverage</w:t>
            </w:r>
          </w:p>
        </w:tc>
        <w:tc>
          <w:tcPr>
            <w:tcW w:w="1685" w:type="dxa"/>
            <w:tcBorders>
              <w:top w:val="nil"/>
              <w:left w:val="nil"/>
              <w:bottom w:val="nil"/>
              <w:right w:val="nil"/>
            </w:tcBorders>
          </w:tcPr>
          <w:p w14:paraId="1D65AE23"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0.710***</w:t>
            </w:r>
          </w:p>
        </w:tc>
        <w:tc>
          <w:tcPr>
            <w:tcW w:w="1685" w:type="dxa"/>
            <w:tcBorders>
              <w:top w:val="nil"/>
              <w:left w:val="nil"/>
              <w:bottom w:val="nil"/>
              <w:right w:val="nil"/>
            </w:tcBorders>
          </w:tcPr>
          <w:p w14:paraId="60D63454"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0.192***</w:t>
            </w:r>
          </w:p>
        </w:tc>
        <w:tc>
          <w:tcPr>
            <w:tcW w:w="1685" w:type="dxa"/>
            <w:tcBorders>
              <w:top w:val="nil"/>
              <w:left w:val="nil"/>
              <w:bottom w:val="nil"/>
              <w:right w:val="nil"/>
            </w:tcBorders>
          </w:tcPr>
          <w:p w14:paraId="14A25C86"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0.708***</w:t>
            </w:r>
          </w:p>
        </w:tc>
        <w:tc>
          <w:tcPr>
            <w:tcW w:w="1518" w:type="dxa"/>
            <w:tcBorders>
              <w:top w:val="nil"/>
              <w:left w:val="nil"/>
              <w:bottom w:val="nil"/>
              <w:right w:val="nil"/>
            </w:tcBorders>
          </w:tcPr>
          <w:p w14:paraId="33C44AA3"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0.192***</w:t>
            </w:r>
          </w:p>
        </w:tc>
      </w:tr>
      <w:tr w:rsidR="0048495A" w:rsidRPr="00514308" w14:paraId="1785315D" w14:textId="77777777" w:rsidTr="00514308">
        <w:trPr>
          <w:trHeight w:val="295"/>
          <w:jc w:val="center"/>
        </w:trPr>
        <w:tc>
          <w:tcPr>
            <w:tcW w:w="2787" w:type="dxa"/>
            <w:tcBorders>
              <w:top w:val="nil"/>
              <w:left w:val="nil"/>
              <w:bottom w:val="nil"/>
              <w:right w:val="nil"/>
            </w:tcBorders>
          </w:tcPr>
          <w:p w14:paraId="41BF1F7B" w14:textId="77777777" w:rsidR="0048495A" w:rsidRPr="00514308" w:rsidRDefault="0048495A" w:rsidP="00514308">
            <w:pPr>
              <w:widowControl w:val="0"/>
              <w:autoSpaceDE w:val="0"/>
              <w:autoSpaceDN w:val="0"/>
              <w:adjustRightInd w:val="0"/>
              <w:spacing w:beforeLines="20" w:before="48" w:afterLines="40" w:after="96" w:line="240" w:lineRule="auto"/>
              <w:rPr>
                <w:rFonts w:ascii="Times New Roman" w:hAnsi="Times New Roman" w:cs="Times New Roman"/>
                <w:kern w:val="0"/>
                <w:sz w:val="20"/>
                <w:szCs w:val="20"/>
              </w:rPr>
            </w:pPr>
          </w:p>
        </w:tc>
        <w:tc>
          <w:tcPr>
            <w:tcW w:w="1685" w:type="dxa"/>
            <w:tcBorders>
              <w:top w:val="nil"/>
              <w:left w:val="nil"/>
              <w:bottom w:val="nil"/>
              <w:right w:val="nil"/>
            </w:tcBorders>
          </w:tcPr>
          <w:p w14:paraId="5C277D36"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(25.757)</w:t>
            </w:r>
          </w:p>
        </w:tc>
        <w:tc>
          <w:tcPr>
            <w:tcW w:w="1685" w:type="dxa"/>
            <w:tcBorders>
              <w:top w:val="nil"/>
              <w:left w:val="nil"/>
              <w:bottom w:val="nil"/>
              <w:right w:val="nil"/>
            </w:tcBorders>
          </w:tcPr>
          <w:p w14:paraId="71FB5E0D"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(6.039)</w:t>
            </w:r>
          </w:p>
        </w:tc>
        <w:tc>
          <w:tcPr>
            <w:tcW w:w="1685" w:type="dxa"/>
            <w:tcBorders>
              <w:top w:val="nil"/>
              <w:left w:val="nil"/>
              <w:bottom w:val="nil"/>
              <w:right w:val="nil"/>
            </w:tcBorders>
          </w:tcPr>
          <w:p w14:paraId="535405F8"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(25.628)</w:t>
            </w:r>
          </w:p>
        </w:tc>
        <w:tc>
          <w:tcPr>
            <w:tcW w:w="1518" w:type="dxa"/>
            <w:tcBorders>
              <w:top w:val="nil"/>
              <w:left w:val="nil"/>
              <w:bottom w:val="nil"/>
              <w:right w:val="nil"/>
            </w:tcBorders>
          </w:tcPr>
          <w:p w14:paraId="5975CEA3"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(5.995)</w:t>
            </w:r>
          </w:p>
        </w:tc>
      </w:tr>
      <w:tr w:rsidR="0048495A" w:rsidRPr="00514308" w14:paraId="2AABA879" w14:textId="77777777" w:rsidTr="00514308">
        <w:trPr>
          <w:trHeight w:val="295"/>
          <w:jc w:val="center"/>
        </w:trPr>
        <w:tc>
          <w:tcPr>
            <w:tcW w:w="2787" w:type="dxa"/>
            <w:tcBorders>
              <w:top w:val="nil"/>
              <w:left w:val="nil"/>
              <w:bottom w:val="nil"/>
              <w:right w:val="nil"/>
            </w:tcBorders>
          </w:tcPr>
          <w:p w14:paraId="6BC370B5" w14:textId="77777777" w:rsidR="0048495A" w:rsidRPr="00514308" w:rsidRDefault="0048495A" w:rsidP="00514308">
            <w:pPr>
              <w:widowControl w:val="0"/>
              <w:autoSpaceDE w:val="0"/>
              <w:autoSpaceDN w:val="0"/>
              <w:adjustRightInd w:val="0"/>
              <w:spacing w:beforeLines="20" w:before="48" w:afterLines="40" w:after="96" w:line="240" w:lineRule="auto"/>
              <w:rPr>
                <w:rFonts w:ascii="Times New Roman" w:hAnsi="Times New Roman" w:cs="Times New Roman"/>
                <w:kern w:val="0"/>
                <w:sz w:val="20"/>
                <w:szCs w:val="20"/>
              </w:rPr>
            </w:pPr>
            <w:proofErr w:type="spellStart"/>
            <w:r w:rsidRPr="00514308">
              <w:rPr>
                <w:rFonts w:ascii="Times New Roman" w:hAnsi="Times New Roman" w:cs="Times New Roman"/>
                <w:kern w:val="0"/>
                <w:sz w:val="20"/>
                <w:szCs w:val="20"/>
              </w:rPr>
              <w:t>FirmSize</w:t>
            </w:r>
            <w:proofErr w:type="spellEnd"/>
          </w:p>
        </w:tc>
        <w:tc>
          <w:tcPr>
            <w:tcW w:w="1685" w:type="dxa"/>
            <w:tcBorders>
              <w:top w:val="nil"/>
              <w:left w:val="nil"/>
              <w:bottom w:val="nil"/>
              <w:right w:val="nil"/>
            </w:tcBorders>
          </w:tcPr>
          <w:p w14:paraId="43C7CB3C"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0.707***</w:t>
            </w:r>
          </w:p>
        </w:tc>
        <w:tc>
          <w:tcPr>
            <w:tcW w:w="1685" w:type="dxa"/>
            <w:tcBorders>
              <w:top w:val="nil"/>
              <w:left w:val="nil"/>
              <w:bottom w:val="nil"/>
              <w:right w:val="nil"/>
            </w:tcBorders>
          </w:tcPr>
          <w:p w14:paraId="62CCA3D2"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0.199***</w:t>
            </w:r>
          </w:p>
        </w:tc>
        <w:tc>
          <w:tcPr>
            <w:tcW w:w="1685" w:type="dxa"/>
            <w:tcBorders>
              <w:top w:val="nil"/>
              <w:left w:val="nil"/>
              <w:bottom w:val="nil"/>
              <w:right w:val="nil"/>
            </w:tcBorders>
          </w:tcPr>
          <w:p w14:paraId="5FB5A620"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0.705***</w:t>
            </w:r>
          </w:p>
        </w:tc>
        <w:tc>
          <w:tcPr>
            <w:tcW w:w="1518" w:type="dxa"/>
            <w:tcBorders>
              <w:top w:val="nil"/>
              <w:left w:val="nil"/>
              <w:bottom w:val="nil"/>
              <w:right w:val="nil"/>
            </w:tcBorders>
          </w:tcPr>
          <w:p w14:paraId="56B2F69C"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0.200***</w:t>
            </w:r>
          </w:p>
        </w:tc>
      </w:tr>
      <w:tr w:rsidR="0048495A" w:rsidRPr="00514308" w14:paraId="4AD23DF0" w14:textId="77777777" w:rsidTr="00514308">
        <w:trPr>
          <w:trHeight w:val="295"/>
          <w:jc w:val="center"/>
        </w:trPr>
        <w:tc>
          <w:tcPr>
            <w:tcW w:w="2787" w:type="dxa"/>
            <w:tcBorders>
              <w:top w:val="nil"/>
              <w:left w:val="nil"/>
              <w:bottom w:val="nil"/>
              <w:right w:val="nil"/>
            </w:tcBorders>
          </w:tcPr>
          <w:p w14:paraId="166AEFB8" w14:textId="77777777" w:rsidR="0048495A" w:rsidRPr="00514308" w:rsidRDefault="0048495A" w:rsidP="00514308">
            <w:pPr>
              <w:widowControl w:val="0"/>
              <w:autoSpaceDE w:val="0"/>
              <w:autoSpaceDN w:val="0"/>
              <w:adjustRightInd w:val="0"/>
              <w:spacing w:beforeLines="20" w:before="48" w:afterLines="40" w:after="96" w:line="240" w:lineRule="auto"/>
              <w:rPr>
                <w:rFonts w:ascii="Times New Roman" w:hAnsi="Times New Roman" w:cs="Times New Roman"/>
                <w:kern w:val="0"/>
                <w:sz w:val="20"/>
                <w:szCs w:val="20"/>
              </w:rPr>
            </w:pPr>
          </w:p>
        </w:tc>
        <w:tc>
          <w:tcPr>
            <w:tcW w:w="1685" w:type="dxa"/>
            <w:tcBorders>
              <w:top w:val="nil"/>
              <w:left w:val="nil"/>
              <w:bottom w:val="nil"/>
              <w:right w:val="nil"/>
            </w:tcBorders>
          </w:tcPr>
          <w:p w14:paraId="1F7B1D71"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(21.642)</w:t>
            </w:r>
          </w:p>
        </w:tc>
        <w:tc>
          <w:tcPr>
            <w:tcW w:w="1685" w:type="dxa"/>
            <w:tcBorders>
              <w:top w:val="nil"/>
              <w:left w:val="nil"/>
              <w:bottom w:val="nil"/>
              <w:right w:val="nil"/>
            </w:tcBorders>
          </w:tcPr>
          <w:p w14:paraId="51254959"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(5.013)</w:t>
            </w:r>
          </w:p>
        </w:tc>
        <w:tc>
          <w:tcPr>
            <w:tcW w:w="1685" w:type="dxa"/>
            <w:tcBorders>
              <w:top w:val="nil"/>
              <w:left w:val="nil"/>
              <w:bottom w:val="nil"/>
              <w:right w:val="nil"/>
            </w:tcBorders>
          </w:tcPr>
          <w:p w14:paraId="1E7BB83F"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(21.558)</w:t>
            </w:r>
          </w:p>
        </w:tc>
        <w:tc>
          <w:tcPr>
            <w:tcW w:w="1518" w:type="dxa"/>
            <w:tcBorders>
              <w:top w:val="nil"/>
              <w:left w:val="nil"/>
              <w:bottom w:val="nil"/>
              <w:right w:val="nil"/>
            </w:tcBorders>
          </w:tcPr>
          <w:p w14:paraId="0B58055B"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(4.997)</w:t>
            </w:r>
          </w:p>
        </w:tc>
      </w:tr>
      <w:tr w:rsidR="0048495A" w:rsidRPr="00514308" w14:paraId="31E1A2CF" w14:textId="77777777" w:rsidTr="00514308">
        <w:trPr>
          <w:trHeight w:val="295"/>
          <w:jc w:val="center"/>
        </w:trPr>
        <w:tc>
          <w:tcPr>
            <w:tcW w:w="2787" w:type="dxa"/>
            <w:tcBorders>
              <w:top w:val="nil"/>
              <w:left w:val="nil"/>
              <w:bottom w:val="nil"/>
              <w:right w:val="nil"/>
            </w:tcBorders>
          </w:tcPr>
          <w:p w14:paraId="7E9EFDC5" w14:textId="77777777" w:rsidR="0048495A" w:rsidRPr="00514308" w:rsidRDefault="0048495A" w:rsidP="00514308">
            <w:pPr>
              <w:widowControl w:val="0"/>
              <w:autoSpaceDE w:val="0"/>
              <w:autoSpaceDN w:val="0"/>
              <w:adjustRightInd w:val="0"/>
              <w:spacing w:beforeLines="20" w:before="48" w:afterLines="40" w:after="96" w:line="240" w:lineRule="auto"/>
              <w:rPr>
                <w:rFonts w:ascii="Times New Roman" w:hAnsi="Times New Roman" w:cs="Times New Roman"/>
                <w:kern w:val="0"/>
                <w:sz w:val="20"/>
                <w:szCs w:val="20"/>
              </w:rPr>
            </w:pPr>
            <w:r w:rsidRPr="00514308">
              <w:rPr>
                <w:rFonts w:ascii="Times New Roman" w:hAnsi="Times New Roman" w:cs="Times New Roman"/>
                <w:kern w:val="0"/>
                <w:sz w:val="20"/>
                <w:szCs w:val="20"/>
              </w:rPr>
              <w:t>Constant</w:t>
            </w:r>
          </w:p>
        </w:tc>
        <w:tc>
          <w:tcPr>
            <w:tcW w:w="1685" w:type="dxa"/>
            <w:tcBorders>
              <w:top w:val="nil"/>
              <w:left w:val="nil"/>
              <w:bottom w:val="nil"/>
              <w:right w:val="nil"/>
            </w:tcBorders>
          </w:tcPr>
          <w:p w14:paraId="347A69C0"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5.833***</w:t>
            </w:r>
          </w:p>
        </w:tc>
        <w:tc>
          <w:tcPr>
            <w:tcW w:w="1685" w:type="dxa"/>
            <w:tcBorders>
              <w:top w:val="nil"/>
              <w:left w:val="nil"/>
              <w:bottom w:val="nil"/>
              <w:right w:val="nil"/>
            </w:tcBorders>
          </w:tcPr>
          <w:p w14:paraId="5737B5E7"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-4.982***</w:t>
            </w:r>
          </w:p>
        </w:tc>
        <w:tc>
          <w:tcPr>
            <w:tcW w:w="1685" w:type="dxa"/>
            <w:tcBorders>
              <w:top w:val="nil"/>
              <w:left w:val="nil"/>
              <w:bottom w:val="nil"/>
              <w:right w:val="nil"/>
            </w:tcBorders>
          </w:tcPr>
          <w:p w14:paraId="0F4A3FE1"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289.791*</w:t>
            </w:r>
          </w:p>
        </w:tc>
        <w:tc>
          <w:tcPr>
            <w:tcW w:w="1518" w:type="dxa"/>
            <w:tcBorders>
              <w:top w:val="nil"/>
              <w:left w:val="nil"/>
              <w:bottom w:val="nil"/>
              <w:right w:val="nil"/>
            </w:tcBorders>
          </w:tcPr>
          <w:p w14:paraId="2E814FDD"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43.942</w:t>
            </w:r>
          </w:p>
        </w:tc>
      </w:tr>
      <w:tr w:rsidR="0048495A" w:rsidRPr="00514308" w14:paraId="6F876D39" w14:textId="77777777" w:rsidTr="00514308">
        <w:trPr>
          <w:trHeight w:val="295"/>
          <w:jc w:val="center"/>
        </w:trPr>
        <w:tc>
          <w:tcPr>
            <w:tcW w:w="2787" w:type="dxa"/>
            <w:tcBorders>
              <w:top w:val="nil"/>
              <w:left w:val="nil"/>
              <w:bottom w:val="nil"/>
              <w:right w:val="nil"/>
            </w:tcBorders>
          </w:tcPr>
          <w:p w14:paraId="382FAAA7" w14:textId="77777777" w:rsidR="0048495A" w:rsidRPr="00514308" w:rsidRDefault="0048495A" w:rsidP="00514308">
            <w:pPr>
              <w:widowControl w:val="0"/>
              <w:autoSpaceDE w:val="0"/>
              <w:autoSpaceDN w:val="0"/>
              <w:adjustRightInd w:val="0"/>
              <w:spacing w:beforeLines="20" w:before="48" w:afterLines="40" w:after="96" w:line="240" w:lineRule="auto"/>
              <w:rPr>
                <w:rFonts w:ascii="Times New Roman" w:hAnsi="Times New Roman" w:cs="Times New Roman"/>
                <w:kern w:val="0"/>
                <w:sz w:val="20"/>
                <w:szCs w:val="20"/>
              </w:rPr>
            </w:pPr>
          </w:p>
        </w:tc>
        <w:tc>
          <w:tcPr>
            <w:tcW w:w="1685" w:type="dxa"/>
            <w:tcBorders>
              <w:top w:val="nil"/>
              <w:left w:val="nil"/>
              <w:bottom w:val="nil"/>
              <w:right w:val="nil"/>
            </w:tcBorders>
          </w:tcPr>
          <w:p w14:paraId="17B29F23"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(7.837)</w:t>
            </w:r>
          </w:p>
        </w:tc>
        <w:tc>
          <w:tcPr>
            <w:tcW w:w="1685" w:type="dxa"/>
            <w:tcBorders>
              <w:top w:val="nil"/>
              <w:left w:val="nil"/>
              <w:bottom w:val="nil"/>
              <w:right w:val="nil"/>
            </w:tcBorders>
          </w:tcPr>
          <w:p w14:paraId="3A8FCCB8"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(-5.988)</w:t>
            </w:r>
          </w:p>
        </w:tc>
        <w:tc>
          <w:tcPr>
            <w:tcW w:w="1685" w:type="dxa"/>
            <w:tcBorders>
              <w:top w:val="nil"/>
              <w:left w:val="nil"/>
              <w:bottom w:val="nil"/>
              <w:right w:val="nil"/>
            </w:tcBorders>
          </w:tcPr>
          <w:p w14:paraId="39AD81DD"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(1.789)</w:t>
            </w:r>
          </w:p>
        </w:tc>
        <w:tc>
          <w:tcPr>
            <w:tcW w:w="1518" w:type="dxa"/>
            <w:tcBorders>
              <w:top w:val="nil"/>
              <w:left w:val="nil"/>
              <w:bottom w:val="nil"/>
              <w:right w:val="nil"/>
            </w:tcBorders>
          </w:tcPr>
          <w:p w14:paraId="505BDF04"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(0.186)</w:t>
            </w:r>
          </w:p>
        </w:tc>
      </w:tr>
      <w:tr w:rsidR="0048495A" w:rsidRPr="00514308" w14:paraId="3666029F" w14:textId="77777777" w:rsidTr="00514308">
        <w:trPr>
          <w:trHeight w:val="295"/>
          <w:jc w:val="center"/>
        </w:trPr>
        <w:tc>
          <w:tcPr>
            <w:tcW w:w="2787" w:type="dxa"/>
            <w:tcBorders>
              <w:top w:val="nil"/>
              <w:left w:val="nil"/>
              <w:bottom w:val="nil"/>
              <w:right w:val="nil"/>
            </w:tcBorders>
          </w:tcPr>
          <w:p w14:paraId="39761C91" w14:textId="77777777" w:rsidR="0048495A" w:rsidRPr="00514308" w:rsidRDefault="0048495A" w:rsidP="00514308">
            <w:pPr>
              <w:widowControl w:val="0"/>
              <w:autoSpaceDE w:val="0"/>
              <w:autoSpaceDN w:val="0"/>
              <w:adjustRightInd w:val="0"/>
              <w:spacing w:beforeLines="20" w:before="48" w:afterLines="40" w:after="96" w:line="240" w:lineRule="auto"/>
              <w:rPr>
                <w:rFonts w:ascii="Times New Roman" w:hAnsi="Times New Roman" w:cs="Times New Roman"/>
                <w:kern w:val="0"/>
                <w:sz w:val="20"/>
                <w:szCs w:val="20"/>
              </w:rPr>
            </w:pPr>
            <w:r w:rsidRPr="00514308">
              <w:rPr>
                <w:rFonts w:ascii="Times New Roman" w:hAnsi="Times New Roman" w:cs="Times New Roman"/>
                <w:kern w:val="0"/>
                <w:sz w:val="20"/>
                <w:szCs w:val="20"/>
              </w:rPr>
              <w:t>Observations</w:t>
            </w:r>
          </w:p>
        </w:tc>
        <w:tc>
          <w:tcPr>
            <w:tcW w:w="1685" w:type="dxa"/>
            <w:tcBorders>
              <w:top w:val="nil"/>
              <w:left w:val="nil"/>
              <w:bottom w:val="nil"/>
              <w:right w:val="nil"/>
            </w:tcBorders>
          </w:tcPr>
          <w:p w14:paraId="0332C012"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2,379</w:t>
            </w:r>
          </w:p>
        </w:tc>
        <w:tc>
          <w:tcPr>
            <w:tcW w:w="1685" w:type="dxa"/>
            <w:tcBorders>
              <w:top w:val="nil"/>
              <w:left w:val="nil"/>
              <w:bottom w:val="nil"/>
              <w:right w:val="nil"/>
            </w:tcBorders>
          </w:tcPr>
          <w:p w14:paraId="4CFF1A67"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1,972</w:t>
            </w:r>
          </w:p>
        </w:tc>
        <w:tc>
          <w:tcPr>
            <w:tcW w:w="1685" w:type="dxa"/>
            <w:tcBorders>
              <w:top w:val="nil"/>
              <w:left w:val="nil"/>
              <w:bottom w:val="nil"/>
              <w:right w:val="nil"/>
            </w:tcBorders>
          </w:tcPr>
          <w:p w14:paraId="71A4AD2C"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2,379</w:t>
            </w:r>
          </w:p>
        </w:tc>
        <w:tc>
          <w:tcPr>
            <w:tcW w:w="1518" w:type="dxa"/>
            <w:tcBorders>
              <w:top w:val="nil"/>
              <w:left w:val="nil"/>
              <w:bottom w:val="nil"/>
              <w:right w:val="nil"/>
            </w:tcBorders>
          </w:tcPr>
          <w:p w14:paraId="559453F7"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1,972</w:t>
            </w:r>
          </w:p>
        </w:tc>
      </w:tr>
      <w:tr w:rsidR="0048495A" w:rsidRPr="00514308" w14:paraId="43F5FCD0" w14:textId="77777777" w:rsidTr="00514308">
        <w:trPr>
          <w:trHeight w:val="295"/>
          <w:jc w:val="center"/>
        </w:trPr>
        <w:tc>
          <w:tcPr>
            <w:tcW w:w="2787" w:type="dxa"/>
            <w:tcBorders>
              <w:top w:val="nil"/>
              <w:left w:val="nil"/>
              <w:bottom w:val="nil"/>
              <w:right w:val="nil"/>
            </w:tcBorders>
          </w:tcPr>
          <w:p w14:paraId="027F6A14" w14:textId="77777777" w:rsidR="0048495A" w:rsidRPr="00514308" w:rsidRDefault="0048495A" w:rsidP="00514308">
            <w:pPr>
              <w:widowControl w:val="0"/>
              <w:autoSpaceDE w:val="0"/>
              <w:autoSpaceDN w:val="0"/>
              <w:adjustRightInd w:val="0"/>
              <w:spacing w:beforeLines="20" w:before="48" w:afterLines="40" w:after="96" w:line="240" w:lineRule="auto"/>
              <w:rPr>
                <w:rFonts w:ascii="Times New Roman" w:hAnsi="Times New Roman" w:cs="Times New Roman"/>
                <w:kern w:val="0"/>
                <w:sz w:val="20"/>
                <w:szCs w:val="20"/>
              </w:rPr>
            </w:pPr>
            <w:r w:rsidRPr="00514308">
              <w:rPr>
                <w:rFonts w:ascii="Times New Roman" w:hAnsi="Times New Roman" w:cs="Times New Roman"/>
                <w:kern w:val="0"/>
                <w:sz w:val="20"/>
                <w:szCs w:val="20"/>
              </w:rPr>
              <w:t>Country effects</w:t>
            </w:r>
          </w:p>
        </w:tc>
        <w:tc>
          <w:tcPr>
            <w:tcW w:w="1685" w:type="dxa"/>
            <w:tcBorders>
              <w:top w:val="nil"/>
              <w:left w:val="nil"/>
              <w:bottom w:val="nil"/>
              <w:right w:val="nil"/>
            </w:tcBorders>
          </w:tcPr>
          <w:p w14:paraId="6D152C59"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YES</w:t>
            </w:r>
          </w:p>
        </w:tc>
        <w:tc>
          <w:tcPr>
            <w:tcW w:w="1685" w:type="dxa"/>
            <w:tcBorders>
              <w:top w:val="nil"/>
              <w:left w:val="nil"/>
              <w:bottom w:val="nil"/>
              <w:right w:val="nil"/>
            </w:tcBorders>
          </w:tcPr>
          <w:p w14:paraId="60533D2E"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YES</w:t>
            </w:r>
          </w:p>
        </w:tc>
        <w:tc>
          <w:tcPr>
            <w:tcW w:w="1685" w:type="dxa"/>
            <w:tcBorders>
              <w:top w:val="nil"/>
              <w:left w:val="nil"/>
              <w:bottom w:val="nil"/>
              <w:right w:val="nil"/>
            </w:tcBorders>
          </w:tcPr>
          <w:p w14:paraId="745EFF60"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YES</w:t>
            </w:r>
          </w:p>
        </w:tc>
        <w:tc>
          <w:tcPr>
            <w:tcW w:w="1518" w:type="dxa"/>
            <w:tcBorders>
              <w:top w:val="nil"/>
              <w:left w:val="nil"/>
              <w:bottom w:val="nil"/>
              <w:right w:val="nil"/>
            </w:tcBorders>
          </w:tcPr>
          <w:p w14:paraId="7B77F4C4"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YES</w:t>
            </w:r>
          </w:p>
        </w:tc>
      </w:tr>
      <w:tr w:rsidR="0048495A" w:rsidRPr="00514308" w14:paraId="3E307C9B" w14:textId="77777777" w:rsidTr="00514308">
        <w:trPr>
          <w:trHeight w:val="295"/>
          <w:jc w:val="center"/>
        </w:trPr>
        <w:tc>
          <w:tcPr>
            <w:tcW w:w="2787" w:type="dxa"/>
            <w:tcBorders>
              <w:top w:val="nil"/>
              <w:left w:val="nil"/>
              <w:bottom w:val="nil"/>
              <w:right w:val="nil"/>
            </w:tcBorders>
          </w:tcPr>
          <w:p w14:paraId="4EF089E8" w14:textId="77777777" w:rsidR="0048495A" w:rsidRPr="00514308" w:rsidRDefault="0048495A" w:rsidP="00514308">
            <w:pPr>
              <w:widowControl w:val="0"/>
              <w:autoSpaceDE w:val="0"/>
              <w:autoSpaceDN w:val="0"/>
              <w:adjustRightInd w:val="0"/>
              <w:spacing w:beforeLines="20" w:before="48" w:afterLines="40" w:after="96" w:line="240" w:lineRule="auto"/>
              <w:rPr>
                <w:rFonts w:ascii="Times New Roman" w:hAnsi="Times New Roman" w:cs="Times New Roman"/>
                <w:kern w:val="0"/>
                <w:sz w:val="20"/>
                <w:szCs w:val="20"/>
              </w:rPr>
            </w:pPr>
            <w:r w:rsidRPr="00514308">
              <w:rPr>
                <w:rFonts w:ascii="Times New Roman" w:hAnsi="Times New Roman" w:cs="Times New Roman"/>
                <w:kern w:val="0"/>
                <w:sz w:val="20"/>
                <w:szCs w:val="20"/>
              </w:rPr>
              <w:t>Year effects</w:t>
            </w:r>
          </w:p>
        </w:tc>
        <w:tc>
          <w:tcPr>
            <w:tcW w:w="1685" w:type="dxa"/>
            <w:tcBorders>
              <w:top w:val="nil"/>
              <w:left w:val="nil"/>
              <w:bottom w:val="nil"/>
              <w:right w:val="nil"/>
            </w:tcBorders>
          </w:tcPr>
          <w:p w14:paraId="7CE77B05"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YES</w:t>
            </w:r>
          </w:p>
        </w:tc>
        <w:tc>
          <w:tcPr>
            <w:tcW w:w="1685" w:type="dxa"/>
            <w:tcBorders>
              <w:top w:val="nil"/>
              <w:left w:val="nil"/>
              <w:bottom w:val="nil"/>
              <w:right w:val="nil"/>
            </w:tcBorders>
          </w:tcPr>
          <w:p w14:paraId="576764AD"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YES</w:t>
            </w:r>
          </w:p>
        </w:tc>
        <w:tc>
          <w:tcPr>
            <w:tcW w:w="1685" w:type="dxa"/>
            <w:tcBorders>
              <w:top w:val="nil"/>
              <w:left w:val="nil"/>
              <w:bottom w:val="nil"/>
              <w:right w:val="nil"/>
            </w:tcBorders>
          </w:tcPr>
          <w:p w14:paraId="348E3669"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YES</w:t>
            </w:r>
          </w:p>
        </w:tc>
        <w:tc>
          <w:tcPr>
            <w:tcW w:w="1518" w:type="dxa"/>
            <w:tcBorders>
              <w:top w:val="nil"/>
              <w:left w:val="nil"/>
              <w:bottom w:val="nil"/>
              <w:right w:val="nil"/>
            </w:tcBorders>
          </w:tcPr>
          <w:p w14:paraId="4ECA33C2"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YES</w:t>
            </w:r>
          </w:p>
        </w:tc>
      </w:tr>
      <w:tr w:rsidR="0048495A" w:rsidRPr="00514308" w14:paraId="2F622E4F" w14:textId="77777777" w:rsidTr="00514308">
        <w:trPr>
          <w:trHeight w:val="295"/>
          <w:jc w:val="center"/>
        </w:trPr>
        <w:tc>
          <w:tcPr>
            <w:tcW w:w="2787" w:type="dxa"/>
            <w:tcBorders>
              <w:top w:val="nil"/>
              <w:left w:val="nil"/>
              <w:bottom w:val="nil"/>
              <w:right w:val="nil"/>
            </w:tcBorders>
          </w:tcPr>
          <w:p w14:paraId="65292C0F" w14:textId="5D76B60A" w:rsidR="0048495A" w:rsidRPr="00514308" w:rsidRDefault="0048495A" w:rsidP="00514308">
            <w:pPr>
              <w:widowControl w:val="0"/>
              <w:autoSpaceDE w:val="0"/>
              <w:autoSpaceDN w:val="0"/>
              <w:adjustRightInd w:val="0"/>
              <w:spacing w:beforeLines="20" w:before="48" w:afterLines="40" w:after="96" w:line="240" w:lineRule="auto"/>
              <w:rPr>
                <w:rFonts w:ascii="Times New Roman" w:hAnsi="Times New Roman" w:cs="Times New Roman"/>
                <w:kern w:val="0"/>
                <w:sz w:val="20"/>
                <w:szCs w:val="20"/>
              </w:rPr>
            </w:pPr>
            <w:r w:rsidRPr="00514308">
              <w:rPr>
                <w:rFonts w:ascii="Times New Roman" w:hAnsi="Times New Roman" w:cs="Times New Roman"/>
                <w:kern w:val="0"/>
                <w:sz w:val="20"/>
                <w:szCs w:val="20"/>
              </w:rPr>
              <w:t>R</w:t>
            </w:r>
            <w:r w:rsidRPr="00514308">
              <w:rPr>
                <w:rFonts w:ascii="Times New Roman" w:hAnsi="Times New Roman" w:cs="Times New Roman"/>
                <w:kern w:val="0"/>
                <w:sz w:val="20"/>
                <w:szCs w:val="20"/>
                <w:vertAlign w:val="superscript"/>
              </w:rPr>
              <w:t>2</w:t>
            </w:r>
          </w:p>
        </w:tc>
        <w:tc>
          <w:tcPr>
            <w:tcW w:w="1685" w:type="dxa"/>
            <w:tcBorders>
              <w:top w:val="nil"/>
              <w:left w:val="nil"/>
              <w:bottom w:val="nil"/>
              <w:right w:val="nil"/>
            </w:tcBorders>
          </w:tcPr>
          <w:p w14:paraId="778C2EE9"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0.777</w:t>
            </w:r>
          </w:p>
        </w:tc>
        <w:tc>
          <w:tcPr>
            <w:tcW w:w="1685" w:type="dxa"/>
            <w:tcBorders>
              <w:top w:val="nil"/>
              <w:left w:val="nil"/>
              <w:bottom w:val="nil"/>
              <w:right w:val="nil"/>
            </w:tcBorders>
          </w:tcPr>
          <w:p w14:paraId="57F09D53" w14:textId="77777777" w:rsidR="0048495A" w:rsidRPr="00514308"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514308">
              <w:rPr>
                <w:rFonts w:ascii="Times New Roman" w:hAnsi="Times New Roman" w:cs="Times New Roman"/>
                <w:kern w:val="0"/>
                <w:sz w:val="20"/>
                <w:szCs w:val="20"/>
              </w:rPr>
              <w:t>0.271</w:t>
            </w:r>
          </w:p>
        </w:tc>
        <w:tc>
          <w:tcPr>
            <w:tcW w:w="1685" w:type="dxa"/>
            <w:tcBorders>
              <w:top w:val="nil"/>
              <w:left w:val="nil"/>
              <w:bottom w:val="nil"/>
              <w:right w:val="nil"/>
            </w:tcBorders>
          </w:tcPr>
          <w:p w14:paraId="44D05C95" w14:textId="77777777" w:rsidR="0048495A" w:rsidRPr="007237FE"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7237FE">
              <w:rPr>
                <w:rFonts w:ascii="Times New Roman" w:hAnsi="Times New Roman" w:cs="Times New Roman"/>
                <w:kern w:val="0"/>
                <w:sz w:val="20"/>
                <w:szCs w:val="20"/>
              </w:rPr>
              <w:t>0.271</w:t>
            </w:r>
          </w:p>
        </w:tc>
        <w:tc>
          <w:tcPr>
            <w:tcW w:w="1518" w:type="dxa"/>
            <w:tcBorders>
              <w:top w:val="nil"/>
              <w:left w:val="nil"/>
              <w:bottom w:val="nil"/>
              <w:right w:val="nil"/>
            </w:tcBorders>
          </w:tcPr>
          <w:p w14:paraId="087C9B65" w14:textId="77777777" w:rsidR="0048495A" w:rsidRPr="007237FE" w:rsidRDefault="0048495A"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7237FE">
              <w:rPr>
                <w:rFonts w:ascii="Times New Roman" w:hAnsi="Times New Roman" w:cs="Times New Roman"/>
                <w:kern w:val="0"/>
                <w:sz w:val="20"/>
                <w:szCs w:val="20"/>
              </w:rPr>
              <w:t>0.272</w:t>
            </w:r>
          </w:p>
        </w:tc>
      </w:tr>
      <w:tr w:rsidR="0048495A" w:rsidRPr="00514308" w14:paraId="45D62C4A" w14:textId="77777777" w:rsidTr="00CD42BF">
        <w:tblPrEx>
          <w:tblBorders>
            <w:bottom w:val="single" w:sz="6" w:space="0" w:color="auto"/>
          </w:tblBorders>
        </w:tblPrEx>
        <w:trPr>
          <w:trHeight w:val="295"/>
          <w:jc w:val="center"/>
        </w:trPr>
        <w:tc>
          <w:tcPr>
            <w:tcW w:w="2787" w:type="dxa"/>
            <w:tcBorders>
              <w:top w:val="nil"/>
              <w:left w:val="nil"/>
              <w:bottom w:val="single" w:sz="6" w:space="0" w:color="auto"/>
              <w:right w:val="nil"/>
            </w:tcBorders>
          </w:tcPr>
          <w:p w14:paraId="64976483" w14:textId="77777777" w:rsidR="0048495A" w:rsidRPr="00514308" w:rsidRDefault="0048495A" w:rsidP="00514308">
            <w:pPr>
              <w:widowControl w:val="0"/>
              <w:autoSpaceDE w:val="0"/>
              <w:autoSpaceDN w:val="0"/>
              <w:adjustRightInd w:val="0"/>
              <w:spacing w:beforeLines="20" w:before="48" w:afterLines="40" w:after="96" w:line="240" w:lineRule="auto"/>
              <w:rPr>
                <w:rFonts w:ascii="Times New Roman" w:hAnsi="Times New Roman" w:cs="Times New Roman"/>
                <w:kern w:val="0"/>
                <w:sz w:val="20"/>
                <w:szCs w:val="20"/>
              </w:rPr>
            </w:pPr>
            <w:r w:rsidRPr="00514308">
              <w:rPr>
                <w:rFonts w:ascii="Times New Roman" w:hAnsi="Times New Roman" w:cs="Times New Roman"/>
                <w:kern w:val="0"/>
                <w:sz w:val="20"/>
                <w:szCs w:val="20"/>
              </w:rPr>
              <w:t>F-test</w:t>
            </w:r>
          </w:p>
        </w:tc>
        <w:tc>
          <w:tcPr>
            <w:tcW w:w="1685" w:type="dxa"/>
            <w:tcBorders>
              <w:top w:val="nil"/>
              <w:left w:val="nil"/>
              <w:bottom w:val="single" w:sz="6" w:space="0" w:color="auto"/>
              <w:right w:val="nil"/>
            </w:tcBorders>
          </w:tcPr>
          <w:p w14:paraId="1EF7F14C" w14:textId="129259AD" w:rsidR="0048495A" w:rsidRPr="00514308" w:rsidRDefault="00B845AF"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B845AF">
              <w:rPr>
                <w:rFonts w:ascii="Times New Roman" w:hAnsi="Times New Roman" w:cs="Times New Roman"/>
                <w:kern w:val="0"/>
                <w:sz w:val="20"/>
                <w:szCs w:val="20"/>
              </w:rPr>
              <w:t>1.0e+12</w:t>
            </w:r>
            <w:r w:rsidR="0048495A" w:rsidRPr="00514308">
              <w:rPr>
                <w:rFonts w:ascii="Times New Roman" w:hAnsi="Times New Roman" w:cs="Times New Roman"/>
                <w:kern w:val="0"/>
                <w:sz w:val="20"/>
                <w:szCs w:val="20"/>
              </w:rPr>
              <w:t>***</w:t>
            </w:r>
          </w:p>
        </w:tc>
        <w:tc>
          <w:tcPr>
            <w:tcW w:w="1685" w:type="dxa"/>
            <w:tcBorders>
              <w:top w:val="nil"/>
              <w:left w:val="nil"/>
              <w:bottom w:val="single" w:sz="6" w:space="0" w:color="auto"/>
              <w:right w:val="nil"/>
            </w:tcBorders>
          </w:tcPr>
          <w:p w14:paraId="28F0C62E" w14:textId="4590047B" w:rsidR="0048495A" w:rsidRPr="00514308" w:rsidRDefault="008A423D"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rPr>
            </w:pPr>
            <w:r w:rsidRPr="008A423D">
              <w:rPr>
                <w:rFonts w:ascii="Times New Roman" w:hAnsi="Times New Roman" w:cs="Times New Roman"/>
                <w:kern w:val="0"/>
                <w:sz w:val="20"/>
                <w:szCs w:val="20"/>
              </w:rPr>
              <w:t>9.6e+06</w:t>
            </w:r>
            <w:r w:rsidR="0048495A" w:rsidRPr="00514308">
              <w:rPr>
                <w:rFonts w:ascii="Times New Roman" w:hAnsi="Times New Roman" w:cs="Times New Roman"/>
                <w:kern w:val="0"/>
                <w:sz w:val="20"/>
                <w:szCs w:val="20"/>
              </w:rPr>
              <w:t>***</w:t>
            </w:r>
          </w:p>
        </w:tc>
        <w:tc>
          <w:tcPr>
            <w:tcW w:w="1685" w:type="dxa"/>
            <w:tcBorders>
              <w:top w:val="nil"/>
              <w:left w:val="nil"/>
              <w:bottom w:val="single" w:sz="6" w:space="0" w:color="auto"/>
              <w:right w:val="nil"/>
            </w:tcBorders>
            <w:shd w:val="clear" w:color="auto" w:fill="auto"/>
          </w:tcPr>
          <w:p w14:paraId="37EF96D2" w14:textId="256957F4" w:rsidR="0048495A" w:rsidRPr="00E85431" w:rsidRDefault="0012659D"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highlight w:val="yellow"/>
              </w:rPr>
            </w:pPr>
            <w:r w:rsidRPr="0012659D">
              <w:rPr>
                <w:rFonts w:ascii="Times New Roman" w:hAnsi="Times New Roman" w:cs="Times New Roman"/>
                <w:kern w:val="0"/>
                <w:sz w:val="20"/>
                <w:szCs w:val="20"/>
              </w:rPr>
              <w:t>2.1e+09</w:t>
            </w:r>
            <w:r w:rsidR="0048495A" w:rsidRPr="00CD42BF">
              <w:rPr>
                <w:rFonts w:ascii="Times New Roman" w:hAnsi="Times New Roman" w:cs="Times New Roman"/>
                <w:kern w:val="0"/>
                <w:sz w:val="20"/>
                <w:szCs w:val="20"/>
              </w:rPr>
              <w:t>***</w:t>
            </w:r>
          </w:p>
        </w:tc>
        <w:tc>
          <w:tcPr>
            <w:tcW w:w="1518" w:type="dxa"/>
            <w:tcBorders>
              <w:top w:val="nil"/>
              <w:left w:val="nil"/>
              <w:bottom w:val="single" w:sz="6" w:space="0" w:color="auto"/>
              <w:right w:val="nil"/>
            </w:tcBorders>
            <w:shd w:val="clear" w:color="auto" w:fill="auto"/>
          </w:tcPr>
          <w:p w14:paraId="7D79D465" w14:textId="26F93E12" w:rsidR="0048495A" w:rsidRPr="00750A01" w:rsidRDefault="00CD42BF" w:rsidP="00514308">
            <w:pPr>
              <w:widowControl w:val="0"/>
              <w:autoSpaceDE w:val="0"/>
              <w:autoSpaceDN w:val="0"/>
              <w:adjustRightInd w:val="0"/>
              <w:spacing w:beforeLines="20" w:before="48" w:afterLines="40" w:after="96" w:line="240" w:lineRule="auto"/>
              <w:jc w:val="center"/>
              <w:rPr>
                <w:rFonts w:ascii="Times New Roman" w:hAnsi="Times New Roman" w:cs="Times New Roman"/>
                <w:kern w:val="0"/>
                <w:sz w:val="20"/>
                <w:szCs w:val="20"/>
                <w:highlight w:val="yellow"/>
              </w:rPr>
            </w:pPr>
            <w:r w:rsidRPr="00CD42BF">
              <w:rPr>
                <w:rFonts w:ascii="Times New Roman" w:hAnsi="Times New Roman" w:cs="Times New Roman"/>
                <w:kern w:val="0"/>
                <w:sz w:val="20"/>
                <w:szCs w:val="20"/>
              </w:rPr>
              <w:t>7.2e+09</w:t>
            </w:r>
            <w:r w:rsidR="0048495A" w:rsidRPr="00CD42BF">
              <w:rPr>
                <w:rFonts w:ascii="Times New Roman" w:hAnsi="Times New Roman" w:cs="Times New Roman"/>
                <w:kern w:val="0"/>
                <w:sz w:val="20"/>
                <w:szCs w:val="20"/>
              </w:rPr>
              <w:t>***</w:t>
            </w:r>
          </w:p>
        </w:tc>
      </w:tr>
    </w:tbl>
    <w:p w14:paraId="446DE7A0" w14:textId="77777777" w:rsidR="0048495A" w:rsidRPr="00514308" w:rsidRDefault="0048495A" w:rsidP="00514308">
      <w:pPr>
        <w:widowControl w:val="0"/>
        <w:autoSpaceDE w:val="0"/>
        <w:autoSpaceDN w:val="0"/>
        <w:adjustRightInd w:val="0"/>
        <w:spacing w:before="120" w:after="0" w:line="240" w:lineRule="auto"/>
        <w:ind w:left="-180" w:right="-154"/>
        <w:jc w:val="both"/>
        <w:rPr>
          <w:rFonts w:ascii="Times New Roman" w:hAnsi="Times New Roman" w:cs="Times New Roman"/>
          <w:kern w:val="0"/>
          <w:sz w:val="20"/>
          <w:szCs w:val="20"/>
        </w:rPr>
      </w:pPr>
      <w:r w:rsidRPr="00514308">
        <w:rPr>
          <w:rFonts w:ascii="Times New Roman" w:hAnsi="Times New Roman" w:cs="Times New Roman"/>
          <w:kern w:val="0"/>
          <w:sz w:val="20"/>
          <w:szCs w:val="20"/>
        </w:rPr>
        <w:t>Table 1 defines the variables. Standard errors are clustered at firm-level. t-statistics in parentheses. *** p&lt;0.01, ** p&lt;0.05, * p&lt;0.1</w:t>
      </w:r>
    </w:p>
    <w:p w14:paraId="475BCFAC" w14:textId="77777777" w:rsidR="0048495A" w:rsidRDefault="0048495A" w:rsidP="0048495A">
      <w:pPr>
        <w:spacing w:line="480" w:lineRule="auto"/>
        <w:jc w:val="both"/>
        <w:rPr>
          <w:rFonts w:ascii="Times New Roman" w:hAnsi="Times New Roman" w:cs="Times New Roman"/>
          <w:sz w:val="24"/>
          <w:szCs w:val="24"/>
        </w:rPr>
      </w:pPr>
    </w:p>
    <w:p w14:paraId="687AB421" w14:textId="77777777" w:rsidR="0048495A" w:rsidRDefault="0048495A" w:rsidP="000367C5">
      <w:pPr>
        <w:spacing w:line="480" w:lineRule="auto"/>
        <w:jc w:val="both"/>
        <w:rPr>
          <w:rFonts w:ascii="Times New Roman" w:hAnsi="Times New Roman" w:cs="Times New Roman"/>
          <w:sz w:val="24"/>
          <w:szCs w:val="24"/>
        </w:rPr>
        <w:sectPr w:rsidR="0048495A">
          <w:pgSz w:w="11906" w:h="16838"/>
          <w:pgMar w:top="1440" w:right="1440" w:bottom="1440" w:left="1440" w:header="708" w:footer="708" w:gutter="0"/>
          <w:cols w:space="708"/>
          <w:docGrid w:linePitch="360"/>
        </w:sectPr>
      </w:pPr>
    </w:p>
    <w:p w14:paraId="7E59400D" w14:textId="4EC5411B" w:rsidR="00FA2AFF" w:rsidRPr="00FA2AFF" w:rsidRDefault="00FA2AFF" w:rsidP="00FA2AFF">
      <w:pPr>
        <w:widowControl w:val="0"/>
        <w:autoSpaceDE w:val="0"/>
        <w:autoSpaceDN w:val="0"/>
        <w:adjustRightInd w:val="0"/>
        <w:spacing w:after="120" w:line="240" w:lineRule="auto"/>
        <w:ind w:hanging="90"/>
        <w:jc w:val="both"/>
        <w:rPr>
          <w:rFonts w:ascii="Times New Roman" w:hAnsi="Times New Roman" w:cs="Times New Roman"/>
          <w:b/>
          <w:bCs/>
          <w:kern w:val="0"/>
        </w:rPr>
      </w:pPr>
      <w:r w:rsidRPr="00FA2AFF">
        <w:rPr>
          <w:rFonts w:ascii="Times New Roman" w:hAnsi="Times New Roman" w:cs="Times New Roman"/>
          <w:b/>
          <w:bCs/>
          <w:kern w:val="0"/>
        </w:rPr>
        <w:lastRenderedPageBreak/>
        <w:t xml:space="preserve">Table 4: Endogeneity testing </w:t>
      </w:r>
    </w:p>
    <w:tbl>
      <w:tblPr>
        <w:tblW w:w="9360" w:type="dxa"/>
        <w:jc w:val="center"/>
        <w:tblLayout w:type="fixed"/>
        <w:tblCellMar>
          <w:left w:w="75" w:type="dxa"/>
          <w:right w:w="75" w:type="dxa"/>
        </w:tblCellMar>
        <w:tblLook w:val="0000" w:firstRow="0" w:lastRow="0" w:firstColumn="0" w:lastColumn="0" w:noHBand="0" w:noVBand="0"/>
      </w:tblPr>
      <w:tblGrid>
        <w:gridCol w:w="2634"/>
        <w:gridCol w:w="1758"/>
        <w:gridCol w:w="1442"/>
        <w:gridCol w:w="2075"/>
        <w:gridCol w:w="1451"/>
      </w:tblGrid>
      <w:tr w:rsidR="00FA2AFF" w:rsidRPr="00FA2AFF" w14:paraId="36FA7D40" w14:textId="77777777" w:rsidTr="00447CE0">
        <w:trPr>
          <w:trHeight w:val="284"/>
          <w:jc w:val="center"/>
        </w:trPr>
        <w:tc>
          <w:tcPr>
            <w:tcW w:w="2634" w:type="dxa"/>
            <w:tcBorders>
              <w:top w:val="single" w:sz="4" w:space="0" w:color="auto"/>
              <w:left w:val="nil"/>
              <w:bottom w:val="single" w:sz="6" w:space="0" w:color="auto"/>
              <w:right w:val="nil"/>
            </w:tcBorders>
          </w:tcPr>
          <w:p w14:paraId="5E3B4390" w14:textId="77777777" w:rsidR="00FA2AFF" w:rsidRPr="00FA2AFF" w:rsidRDefault="00FA2AFF" w:rsidP="00E177DE">
            <w:pPr>
              <w:widowControl w:val="0"/>
              <w:autoSpaceDE w:val="0"/>
              <w:autoSpaceDN w:val="0"/>
              <w:adjustRightInd w:val="0"/>
              <w:spacing w:afterLines="20" w:after="48" w:line="240" w:lineRule="auto"/>
              <w:rPr>
                <w:rFonts w:ascii="Times New Roman" w:hAnsi="Times New Roman" w:cs="Times New Roman"/>
                <w:b/>
                <w:bCs/>
                <w:kern w:val="0"/>
                <w:sz w:val="20"/>
                <w:szCs w:val="20"/>
              </w:rPr>
            </w:pPr>
          </w:p>
        </w:tc>
        <w:tc>
          <w:tcPr>
            <w:tcW w:w="3200" w:type="dxa"/>
            <w:gridSpan w:val="2"/>
            <w:tcBorders>
              <w:top w:val="single" w:sz="4" w:space="0" w:color="auto"/>
              <w:left w:val="nil"/>
              <w:bottom w:val="single" w:sz="6" w:space="0" w:color="auto"/>
              <w:right w:val="nil"/>
            </w:tcBorders>
          </w:tcPr>
          <w:p w14:paraId="4C6DC852" w14:textId="79821B7E"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b/>
                <w:bCs/>
                <w:kern w:val="0"/>
                <w:sz w:val="20"/>
                <w:szCs w:val="20"/>
              </w:rPr>
            </w:pPr>
            <w:r w:rsidRPr="00FA2AFF">
              <w:rPr>
                <w:rFonts w:ascii="Times New Roman" w:hAnsi="Times New Roman" w:cs="Times New Roman"/>
                <w:b/>
                <w:bCs/>
                <w:kern w:val="0"/>
                <w:sz w:val="20"/>
                <w:szCs w:val="20"/>
              </w:rPr>
              <w:t>Fixed effects</w:t>
            </w:r>
          </w:p>
        </w:tc>
        <w:tc>
          <w:tcPr>
            <w:tcW w:w="3526" w:type="dxa"/>
            <w:gridSpan w:val="2"/>
            <w:tcBorders>
              <w:top w:val="single" w:sz="4" w:space="0" w:color="auto"/>
              <w:left w:val="nil"/>
              <w:bottom w:val="single" w:sz="6" w:space="0" w:color="auto"/>
              <w:right w:val="nil"/>
            </w:tcBorders>
          </w:tcPr>
          <w:p w14:paraId="789CEB44" w14:textId="12F728B6"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b/>
                <w:bCs/>
                <w:kern w:val="0"/>
                <w:sz w:val="20"/>
                <w:szCs w:val="20"/>
              </w:rPr>
            </w:pPr>
            <w:r w:rsidRPr="00FA2AFF">
              <w:rPr>
                <w:rFonts w:ascii="Times New Roman" w:hAnsi="Times New Roman" w:cs="Times New Roman"/>
                <w:b/>
                <w:bCs/>
                <w:kern w:val="0"/>
                <w:sz w:val="20"/>
                <w:szCs w:val="20"/>
              </w:rPr>
              <w:t>GMM</w:t>
            </w:r>
          </w:p>
        </w:tc>
      </w:tr>
      <w:tr w:rsidR="00FA2AFF" w:rsidRPr="00FA2AFF" w14:paraId="1AA01AF5" w14:textId="77777777" w:rsidTr="00FA2AFF">
        <w:trPr>
          <w:trHeight w:val="284"/>
          <w:jc w:val="center"/>
        </w:trPr>
        <w:tc>
          <w:tcPr>
            <w:tcW w:w="2634" w:type="dxa"/>
            <w:tcBorders>
              <w:top w:val="single" w:sz="4" w:space="0" w:color="auto"/>
              <w:left w:val="nil"/>
              <w:bottom w:val="single" w:sz="6" w:space="0" w:color="auto"/>
              <w:right w:val="nil"/>
            </w:tcBorders>
          </w:tcPr>
          <w:p w14:paraId="4EF6FEBC" w14:textId="5ABC40C4" w:rsidR="00FA2AFF" w:rsidRPr="00FA2AFF" w:rsidRDefault="00FA2AFF" w:rsidP="00E177DE">
            <w:pPr>
              <w:widowControl w:val="0"/>
              <w:autoSpaceDE w:val="0"/>
              <w:autoSpaceDN w:val="0"/>
              <w:adjustRightInd w:val="0"/>
              <w:spacing w:afterLines="20" w:after="48" w:line="240" w:lineRule="auto"/>
              <w:rPr>
                <w:rFonts w:ascii="Times New Roman" w:hAnsi="Times New Roman" w:cs="Times New Roman"/>
                <w:b/>
                <w:bCs/>
                <w:kern w:val="0"/>
                <w:sz w:val="20"/>
                <w:szCs w:val="20"/>
              </w:rPr>
            </w:pPr>
          </w:p>
        </w:tc>
        <w:tc>
          <w:tcPr>
            <w:tcW w:w="1758" w:type="dxa"/>
            <w:tcBorders>
              <w:top w:val="single" w:sz="4" w:space="0" w:color="auto"/>
              <w:left w:val="nil"/>
              <w:bottom w:val="single" w:sz="6" w:space="0" w:color="auto"/>
              <w:right w:val="nil"/>
            </w:tcBorders>
          </w:tcPr>
          <w:p w14:paraId="74974C48" w14:textId="68E33AAA"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b/>
                <w:bCs/>
                <w:kern w:val="0"/>
                <w:sz w:val="20"/>
                <w:szCs w:val="20"/>
              </w:rPr>
            </w:pPr>
            <w:r w:rsidRPr="00FA2AFF">
              <w:rPr>
                <w:rFonts w:ascii="Times New Roman" w:hAnsi="Times New Roman" w:cs="Times New Roman"/>
                <w:b/>
                <w:bCs/>
                <w:kern w:val="0"/>
                <w:sz w:val="20"/>
                <w:szCs w:val="20"/>
              </w:rPr>
              <w:t>Firm value</w:t>
            </w:r>
          </w:p>
        </w:tc>
        <w:tc>
          <w:tcPr>
            <w:tcW w:w="1442" w:type="dxa"/>
            <w:tcBorders>
              <w:top w:val="single" w:sz="4" w:space="0" w:color="auto"/>
              <w:left w:val="nil"/>
              <w:bottom w:val="single" w:sz="6" w:space="0" w:color="auto"/>
              <w:right w:val="nil"/>
            </w:tcBorders>
          </w:tcPr>
          <w:p w14:paraId="6B566C20" w14:textId="77777777"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b/>
                <w:bCs/>
                <w:kern w:val="0"/>
                <w:sz w:val="20"/>
                <w:szCs w:val="20"/>
              </w:rPr>
            </w:pPr>
            <w:r w:rsidRPr="00FA2AFF">
              <w:rPr>
                <w:rFonts w:ascii="Times New Roman" w:hAnsi="Times New Roman" w:cs="Times New Roman"/>
                <w:b/>
                <w:bCs/>
                <w:kern w:val="0"/>
                <w:sz w:val="20"/>
                <w:szCs w:val="20"/>
              </w:rPr>
              <w:t>Dividend</w:t>
            </w:r>
          </w:p>
        </w:tc>
        <w:tc>
          <w:tcPr>
            <w:tcW w:w="2075" w:type="dxa"/>
            <w:tcBorders>
              <w:top w:val="single" w:sz="4" w:space="0" w:color="auto"/>
              <w:left w:val="nil"/>
              <w:bottom w:val="single" w:sz="6" w:space="0" w:color="auto"/>
              <w:right w:val="nil"/>
            </w:tcBorders>
          </w:tcPr>
          <w:p w14:paraId="6D7EFF22" w14:textId="6AD7253B"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b/>
                <w:bCs/>
                <w:kern w:val="0"/>
                <w:sz w:val="20"/>
                <w:szCs w:val="20"/>
              </w:rPr>
            </w:pPr>
            <w:r w:rsidRPr="00FA2AFF">
              <w:rPr>
                <w:rFonts w:ascii="Times New Roman" w:hAnsi="Times New Roman" w:cs="Times New Roman"/>
                <w:b/>
                <w:bCs/>
                <w:kern w:val="0"/>
                <w:sz w:val="20"/>
                <w:szCs w:val="20"/>
              </w:rPr>
              <w:t>Firm value</w:t>
            </w:r>
          </w:p>
        </w:tc>
        <w:tc>
          <w:tcPr>
            <w:tcW w:w="1451" w:type="dxa"/>
            <w:tcBorders>
              <w:top w:val="single" w:sz="4" w:space="0" w:color="auto"/>
              <w:left w:val="nil"/>
              <w:bottom w:val="single" w:sz="6" w:space="0" w:color="auto"/>
              <w:right w:val="nil"/>
            </w:tcBorders>
          </w:tcPr>
          <w:p w14:paraId="3C0EB0C4" w14:textId="77777777"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b/>
                <w:bCs/>
                <w:kern w:val="0"/>
                <w:sz w:val="20"/>
                <w:szCs w:val="20"/>
              </w:rPr>
            </w:pPr>
            <w:r w:rsidRPr="00FA2AFF">
              <w:rPr>
                <w:rFonts w:ascii="Times New Roman" w:hAnsi="Times New Roman" w:cs="Times New Roman"/>
                <w:b/>
                <w:bCs/>
                <w:kern w:val="0"/>
                <w:sz w:val="20"/>
                <w:szCs w:val="20"/>
              </w:rPr>
              <w:t>Dividend</w:t>
            </w:r>
          </w:p>
        </w:tc>
      </w:tr>
      <w:tr w:rsidR="00FA2AFF" w:rsidRPr="00FA2AFF" w14:paraId="1A49DD49" w14:textId="77777777" w:rsidTr="00FA2AFF">
        <w:trPr>
          <w:trHeight w:val="284"/>
          <w:jc w:val="center"/>
        </w:trPr>
        <w:tc>
          <w:tcPr>
            <w:tcW w:w="2634" w:type="dxa"/>
            <w:tcBorders>
              <w:top w:val="nil"/>
              <w:left w:val="nil"/>
              <w:bottom w:val="nil"/>
              <w:right w:val="nil"/>
            </w:tcBorders>
          </w:tcPr>
          <w:p w14:paraId="0B36F4FC" w14:textId="77777777" w:rsidR="00FA2AFF" w:rsidRPr="00FA2AFF" w:rsidRDefault="00FA2AFF" w:rsidP="00E177DE">
            <w:pPr>
              <w:widowControl w:val="0"/>
              <w:autoSpaceDE w:val="0"/>
              <w:autoSpaceDN w:val="0"/>
              <w:adjustRightInd w:val="0"/>
              <w:spacing w:afterLines="20" w:after="48" w:line="240" w:lineRule="auto"/>
              <w:rPr>
                <w:rFonts w:ascii="Times New Roman" w:hAnsi="Times New Roman" w:cs="Times New Roman"/>
                <w:kern w:val="0"/>
                <w:sz w:val="20"/>
                <w:szCs w:val="20"/>
              </w:rPr>
            </w:pPr>
            <w:r w:rsidRPr="00FA2AFF">
              <w:rPr>
                <w:rFonts w:ascii="Times New Roman" w:hAnsi="Times New Roman" w:cs="Times New Roman"/>
                <w:kern w:val="0"/>
                <w:sz w:val="20"/>
                <w:szCs w:val="20"/>
              </w:rPr>
              <w:t xml:space="preserve">One-year lagged </w:t>
            </w:r>
            <w:proofErr w:type="spellStart"/>
            <w:r w:rsidRPr="00FA2AFF">
              <w:rPr>
                <w:rFonts w:ascii="Times New Roman" w:hAnsi="Times New Roman" w:cs="Times New Roman"/>
                <w:kern w:val="0"/>
                <w:sz w:val="20"/>
                <w:szCs w:val="20"/>
              </w:rPr>
              <w:t>FirmValue</w:t>
            </w:r>
            <w:proofErr w:type="spellEnd"/>
            <w:r w:rsidRPr="00FA2AFF">
              <w:rPr>
                <w:rFonts w:ascii="Times New Roman" w:hAnsi="Times New Roman" w:cs="Times New Roman"/>
                <w:kern w:val="0"/>
                <w:sz w:val="20"/>
                <w:szCs w:val="20"/>
              </w:rPr>
              <w:t xml:space="preserve"> </w:t>
            </w:r>
          </w:p>
        </w:tc>
        <w:tc>
          <w:tcPr>
            <w:tcW w:w="1758" w:type="dxa"/>
            <w:tcBorders>
              <w:top w:val="nil"/>
              <w:left w:val="nil"/>
              <w:bottom w:val="nil"/>
              <w:right w:val="nil"/>
            </w:tcBorders>
          </w:tcPr>
          <w:p w14:paraId="56612211" w14:textId="77777777"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p>
        </w:tc>
        <w:tc>
          <w:tcPr>
            <w:tcW w:w="1442" w:type="dxa"/>
            <w:tcBorders>
              <w:top w:val="nil"/>
              <w:left w:val="nil"/>
              <w:bottom w:val="nil"/>
              <w:right w:val="nil"/>
            </w:tcBorders>
          </w:tcPr>
          <w:p w14:paraId="6764BAB1" w14:textId="77777777"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p>
        </w:tc>
        <w:tc>
          <w:tcPr>
            <w:tcW w:w="2075" w:type="dxa"/>
            <w:tcBorders>
              <w:top w:val="nil"/>
              <w:left w:val="nil"/>
              <w:bottom w:val="nil"/>
              <w:right w:val="nil"/>
            </w:tcBorders>
          </w:tcPr>
          <w:p w14:paraId="1E5B144F" w14:textId="78728CAC"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 xml:space="preserve">  0.</w:t>
            </w:r>
            <w:r w:rsidR="00A54DA5">
              <w:rPr>
                <w:rFonts w:ascii="Times New Roman" w:hAnsi="Times New Roman" w:cs="Times New Roman" w:hint="eastAsia"/>
                <w:kern w:val="0"/>
                <w:sz w:val="20"/>
                <w:szCs w:val="20"/>
                <w:lang w:eastAsia="zh-CN"/>
              </w:rPr>
              <w:t>744</w:t>
            </w:r>
            <w:r w:rsidRPr="00FA2AFF">
              <w:rPr>
                <w:rFonts w:ascii="Times New Roman" w:hAnsi="Times New Roman" w:cs="Times New Roman"/>
                <w:kern w:val="0"/>
                <w:sz w:val="20"/>
                <w:szCs w:val="20"/>
              </w:rPr>
              <w:t>***</w:t>
            </w:r>
          </w:p>
        </w:tc>
        <w:tc>
          <w:tcPr>
            <w:tcW w:w="1451" w:type="dxa"/>
            <w:tcBorders>
              <w:top w:val="nil"/>
              <w:left w:val="nil"/>
              <w:bottom w:val="nil"/>
              <w:right w:val="nil"/>
            </w:tcBorders>
          </w:tcPr>
          <w:p w14:paraId="2726E5C7" w14:textId="77777777"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p>
        </w:tc>
      </w:tr>
      <w:tr w:rsidR="00FA2AFF" w:rsidRPr="00FA2AFF" w14:paraId="318BA0BF" w14:textId="77777777" w:rsidTr="00FA2AFF">
        <w:trPr>
          <w:trHeight w:val="284"/>
          <w:jc w:val="center"/>
        </w:trPr>
        <w:tc>
          <w:tcPr>
            <w:tcW w:w="2634" w:type="dxa"/>
            <w:tcBorders>
              <w:top w:val="nil"/>
              <w:left w:val="nil"/>
              <w:bottom w:val="nil"/>
              <w:right w:val="nil"/>
            </w:tcBorders>
          </w:tcPr>
          <w:p w14:paraId="1EBAF2C4" w14:textId="77777777" w:rsidR="00FA2AFF" w:rsidRPr="00FA2AFF" w:rsidRDefault="00FA2AFF" w:rsidP="00E177DE">
            <w:pPr>
              <w:widowControl w:val="0"/>
              <w:autoSpaceDE w:val="0"/>
              <w:autoSpaceDN w:val="0"/>
              <w:adjustRightInd w:val="0"/>
              <w:spacing w:afterLines="20" w:after="48" w:line="240" w:lineRule="auto"/>
              <w:rPr>
                <w:rFonts w:ascii="Times New Roman" w:hAnsi="Times New Roman" w:cs="Times New Roman"/>
                <w:kern w:val="0"/>
                <w:sz w:val="20"/>
                <w:szCs w:val="20"/>
              </w:rPr>
            </w:pPr>
          </w:p>
        </w:tc>
        <w:tc>
          <w:tcPr>
            <w:tcW w:w="1758" w:type="dxa"/>
            <w:tcBorders>
              <w:top w:val="nil"/>
              <w:left w:val="nil"/>
              <w:bottom w:val="nil"/>
              <w:right w:val="nil"/>
            </w:tcBorders>
          </w:tcPr>
          <w:p w14:paraId="05001A5B" w14:textId="77777777"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p>
        </w:tc>
        <w:tc>
          <w:tcPr>
            <w:tcW w:w="1442" w:type="dxa"/>
            <w:tcBorders>
              <w:top w:val="nil"/>
              <w:left w:val="nil"/>
              <w:bottom w:val="nil"/>
              <w:right w:val="nil"/>
            </w:tcBorders>
          </w:tcPr>
          <w:p w14:paraId="6FFFBDAB" w14:textId="77777777"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p>
        </w:tc>
        <w:tc>
          <w:tcPr>
            <w:tcW w:w="2075" w:type="dxa"/>
            <w:tcBorders>
              <w:top w:val="nil"/>
              <w:left w:val="nil"/>
              <w:bottom w:val="nil"/>
              <w:right w:val="nil"/>
            </w:tcBorders>
          </w:tcPr>
          <w:p w14:paraId="411C3432" w14:textId="05B9571B"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w:t>
            </w:r>
            <w:r w:rsidR="00A54DA5">
              <w:rPr>
                <w:rFonts w:ascii="Times New Roman" w:hAnsi="Times New Roman" w:cs="Times New Roman" w:hint="eastAsia"/>
                <w:kern w:val="0"/>
                <w:sz w:val="20"/>
                <w:szCs w:val="20"/>
                <w:lang w:eastAsia="zh-CN"/>
              </w:rPr>
              <w:t>8.658</w:t>
            </w:r>
            <w:r w:rsidRPr="00FA2AFF">
              <w:rPr>
                <w:rFonts w:ascii="Times New Roman" w:hAnsi="Times New Roman" w:cs="Times New Roman"/>
                <w:kern w:val="0"/>
                <w:sz w:val="20"/>
                <w:szCs w:val="20"/>
              </w:rPr>
              <w:t>)</w:t>
            </w:r>
          </w:p>
        </w:tc>
        <w:tc>
          <w:tcPr>
            <w:tcW w:w="1451" w:type="dxa"/>
            <w:tcBorders>
              <w:top w:val="nil"/>
              <w:left w:val="nil"/>
              <w:bottom w:val="nil"/>
              <w:right w:val="nil"/>
            </w:tcBorders>
          </w:tcPr>
          <w:p w14:paraId="720B2B5E" w14:textId="77777777"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p>
        </w:tc>
      </w:tr>
      <w:tr w:rsidR="00FA2AFF" w:rsidRPr="00FA2AFF" w14:paraId="2C8EDD73" w14:textId="77777777" w:rsidTr="00FA2AFF">
        <w:trPr>
          <w:trHeight w:val="284"/>
          <w:jc w:val="center"/>
        </w:trPr>
        <w:tc>
          <w:tcPr>
            <w:tcW w:w="2634" w:type="dxa"/>
            <w:tcBorders>
              <w:top w:val="nil"/>
              <w:left w:val="nil"/>
              <w:bottom w:val="nil"/>
              <w:right w:val="nil"/>
            </w:tcBorders>
          </w:tcPr>
          <w:p w14:paraId="54A292EE" w14:textId="77777777" w:rsidR="00FA2AFF" w:rsidRPr="00FA2AFF" w:rsidRDefault="00FA2AFF" w:rsidP="00E177DE">
            <w:pPr>
              <w:widowControl w:val="0"/>
              <w:autoSpaceDE w:val="0"/>
              <w:autoSpaceDN w:val="0"/>
              <w:adjustRightInd w:val="0"/>
              <w:spacing w:afterLines="20" w:after="48" w:line="240" w:lineRule="auto"/>
              <w:rPr>
                <w:rFonts w:ascii="Times New Roman" w:hAnsi="Times New Roman" w:cs="Times New Roman"/>
                <w:kern w:val="0"/>
                <w:sz w:val="20"/>
                <w:szCs w:val="20"/>
              </w:rPr>
            </w:pPr>
            <w:r w:rsidRPr="00FA2AFF">
              <w:rPr>
                <w:rFonts w:ascii="Times New Roman" w:hAnsi="Times New Roman" w:cs="Times New Roman"/>
                <w:kern w:val="0"/>
                <w:sz w:val="20"/>
                <w:szCs w:val="20"/>
              </w:rPr>
              <w:t>One-year lagged Dividend</w:t>
            </w:r>
          </w:p>
        </w:tc>
        <w:tc>
          <w:tcPr>
            <w:tcW w:w="1758" w:type="dxa"/>
            <w:tcBorders>
              <w:top w:val="nil"/>
              <w:left w:val="nil"/>
              <w:bottom w:val="nil"/>
              <w:right w:val="nil"/>
            </w:tcBorders>
          </w:tcPr>
          <w:p w14:paraId="7BEBA29A" w14:textId="77777777"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p>
        </w:tc>
        <w:tc>
          <w:tcPr>
            <w:tcW w:w="1442" w:type="dxa"/>
            <w:tcBorders>
              <w:top w:val="nil"/>
              <w:left w:val="nil"/>
              <w:bottom w:val="nil"/>
              <w:right w:val="nil"/>
            </w:tcBorders>
          </w:tcPr>
          <w:p w14:paraId="19C9EE9A" w14:textId="77777777"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p>
        </w:tc>
        <w:tc>
          <w:tcPr>
            <w:tcW w:w="2075" w:type="dxa"/>
            <w:tcBorders>
              <w:top w:val="nil"/>
              <w:left w:val="nil"/>
              <w:bottom w:val="nil"/>
              <w:right w:val="nil"/>
            </w:tcBorders>
          </w:tcPr>
          <w:p w14:paraId="72D338C6" w14:textId="77777777"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p>
        </w:tc>
        <w:tc>
          <w:tcPr>
            <w:tcW w:w="1451" w:type="dxa"/>
            <w:tcBorders>
              <w:top w:val="nil"/>
              <w:left w:val="nil"/>
              <w:bottom w:val="nil"/>
              <w:right w:val="nil"/>
            </w:tcBorders>
          </w:tcPr>
          <w:p w14:paraId="2C35F1ED" w14:textId="0FC5C6BC"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 xml:space="preserve">  0.</w:t>
            </w:r>
            <w:r w:rsidR="00A54DA5">
              <w:rPr>
                <w:rFonts w:ascii="Times New Roman" w:hAnsi="Times New Roman" w:cs="Times New Roman" w:hint="eastAsia"/>
                <w:kern w:val="0"/>
                <w:sz w:val="20"/>
                <w:szCs w:val="20"/>
                <w:lang w:eastAsia="zh-CN"/>
              </w:rPr>
              <w:t>552</w:t>
            </w:r>
            <w:r w:rsidRPr="00FA2AFF">
              <w:rPr>
                <w:rFonts w:ascii="Times New Roman" w:hAnsi="Times New Roman" w:cs="Times New Roman"/>
                <w:kern w:val="0"/>
                <w:sz w:val="20"/>
                <w:szCs w:val="20"/>
              </w:rPr>
              <w:t>***</w:t>
            </w:r>
          </w:p>
        </w:tc>
      </w:tr>
      <w:tr w:rsidR="00FA2AFF" w:rsidRPr="00FA2AFF" w14:paraId="6C102E15" w14:textId="77777777" w:rsidTr="00FA2AFF">
        <w:trPr>
          <w:trHeight w:val="284"/>
          <w:jc w:val="center"/>
        </w:trPr>
        <w:tc>
          <w:tcPr>
            <w:tcW w:w="2634" w:type="dxa"/>
            <w:tcBorders>
              <w:top w:val="nil"/>
              <w:left w:val="nil"/>
              <w:bottom w:val="nil"/>
              <w:right w:val="nil"/>
            </w:tcBorders>
          </w:tcPr>
          <w:p w14:paraId="7FD26222" w14:textId="77777777" w:rsidR="00FA2AFF" w:rsidRPr="00FA2AFF" w:rsidRDefault="00FA2AFF" w:rsidP="00E177DE">
            <w:pPr>
              <w:widowControl w:val="0"/>
              <w:autoSpaceDE w:val="0"/>
              <w:autoSpaceDN w:val="0"/>
              <w:adjustRightInd w:val="0"/>
              <w:spacing w:afterLines="20" w:after="48" w:line="240" w:lineRule="auto"/>
              <w:rPr>
                <w:rFonts w:ascii="Times New Roman" w:hAnsi="Times New Roman" w:cs="Times New Roman"/>
                <w:kern w:val="0"/>
                <w:sz w:val="20"/>
                <w:szCs w:val="20"/>
              </w:rPr>
            </w:pPr>
          </w:p>
        </w:tc>
        <w:tc>
          <w:tcPr>
            <w:tcW w:w="1758" w:type="dxa"/>
            <w:tcBorders>
              <w:top w:val="nil"/>
              <w:left w:val="nil"/>
              <w:bottom w:val="nil"/>
              <w:right w:val="nil"/>
            </w:tcBorders>
          </w:tcPr>
          <w:p w14:paraId="450BBEFE" w14:textId="77777777"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p>
        </w:tc>
        <w:tc>
          <w:tcPr>
            <w:tcW w:w="1442" w:type="dxa"/>
            <w:tcBorders>
              <w:top w:val="nil"/>
              <w:left w:val="nil"/>
              <w:bottom w:val="nil"/>
              <w:right w:val="nil"/>
            </w:tcBorders>
          </w:tcPr>
          <w:p w14:paraId="6EAAEDDD" w14:textId="77777777"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p>
        </w:tc>
        <w:tc>
          <w:tcPr>
            <w:tcW w:w="2075" w:type="dxa"/>
            <w:tcBorders>
              <w:top w:val="nil"/>
              <w:left w:val="nil"/>
              <w:bottom w:val="nil"/>
              <w:right w:val="nil"/>
            </w:tcBorders>
          </w:tcPr>
          <w:p w14:paraId="2E741E17" w14:textId="77777777"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p>
        </w:tc>
        <w:tc>
          <w:tcPr>
            <w:tcW w:w="1451" w:type="dxa"/>
            <w:tcBorders>
              <w:top w:val="nil"/>
              <w:left w:val="nil"/>
              <w:bottom w:val="nil"/>
              <w:right w:val="nil"/>
            </w:tcBorders>
          </w:tcPr>
          <w:p w14:paraId="37B313ED" w14:textId="5CCFD822"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w:t>
            </w:r>
            <w:r w:rsidR="00A54DA5">
              <w:rPr>
                <w:rFonts w:ascii="Times New Roman" w:hAnsi="Times New Roman" w:cs="Times New Roman" w:hint="eastAsia"/>
                <w:kern w:val="0"/>
                <w:sz w:val="20"/>
                <w:szCs w:val="20"/>
                <w:lang w:eastAsia="zh-CN"/>
              </w:rPr>
              <w:t>4.246</w:t>
            </w:r>
            <w:r w:rsidRPr="00FA2AFF">
              <w:rPr>
                <w:rFonts w:ascii="Times New Roman" w:hAnsi="Times New Roman" w:cs="Times New Roman"/>
                <w:kern w:val="0"/>
                <w:sz w:val="20"/>
                <w:szCs w:val="20"/>
              </w:rPr>
              <w:t>)</w:t>
            </w:r>
          </w:p>
        </w:tc>
      </w:tr>
      <w:tr w:rsidR="00FA2AFF" w:rsidRPr="00FA2AFF" w14:paraId="6504ABF1" w14:textId="77777777" w:rsidTr="00FA2AFF">
        <w:trPr>
          <w:trHeight w:val="284"/>
          <w:jc w:val="center"/>
        </w:trPr>
        <w:tc>
          <w:tcPr>
            <w:tcW w:w="2634" w:type="dxa"/>
            <w:tcBorders>
              <w:top w:val="nil"/>
              <w:left w:val="nil"/>
              <w:bottom w:val="nil"/>
              <w:right w:val="nil"/>
            </w:tcBorders>
          </w:tcPr>
          <w:p w14:paraId="43C4C44E" w14:textId="755C724F" w:rsidR="00FA2AFF" w:rsidRPr="00FA2AFF" w:rsidRDefault="00FA2AFF" w:rsidP="00E177DE">
            <w:pPr>
              <w:widowControl w:val="0"/>
              <w:autoSpaceDE w:val="0"/>
              <w:autoSpaceDN w:val="0"/>
              <w:adjustRightInd w:val="0"/>
              <w:spacing w:afterLines="20" w:after="48" w:line="240" w:lineRule="auto"/>
              <w:rPr>
                <w:rFonts w:ascii="Times New Roman" w:hAnsi="Times New Roman" w:cs="Times New Roman"/>
                <w:kern w:val="0"/>
                <w:sz w:val="20"/>
                <w:szCs w:val="20"/>
              </w:rPr>
            </w:pPr>
            <w:r w:rsidRPr="00FA2AFF">
              <w:rPr>
                <w:rFonts w:ascii="Times New Roman" w:hAnsi="Times New Roman" w:cs="Times New Roman"/>
                <w:kern w:val="0"/>
                <w:sz w:val="20"/>
                <w:szCs w:val="20"/>
              </w:rPr>
              <w:t xml:space="preserve">Fintech * </w:t>
            </w:r>
            <w:proofErr w:type="spellStart"/>
            <w:r w:rsidRPr="00FA2AFF">
              <w:rPr>
                <w:rFonts w:ascii="Times New Roman" w:hAnsi="Times New Roman" w:cs="Times New Roman"/>
                <w:kern w:val="0"/>
                <w:sz w:val="20"/>
                <w:szCs w:val="20"/>
              </w:rPr>
              <w:t>ClimateRisk</w:t>
            </w:r>
            <w:proofErr w:type="spellEnd"/>
          </w:p>
        </w:tc>
        <w:tc>
          <w:tcPr>
            <w:tcW w:w="1758" w:type="dxa"/>
            <w:tcBorders>
              <w:top w:val="nil"/>
              <w:left w:val="nil"/>
              <w:bottom w:val="nil"/>
              <w:right w:val="nil"/>
            </w:tcBorders>
          </w:tcPr>
          <w:p w14:paraId="6EABB4BB" w14:textId="77777777"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0.055*</w:t>
            </w:r>
          </w:p>
        </w:tc>
        <w:tc>
          <w:tcPr>
            <w:tcW w:w="1442" w:type="dxa"/>
            <w:tcBorders>
              <w:top w:val="nil"/>
              <w:left w:val="nil"/>
              <w:bottom w:val="nil"/>
              <w:right w:val="nil"/>
            </w:tcBorders>
          </w:tcPr>
          <w:p w14:paraId="4C416650" w14:textId="77777777"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0.343*</w:t>
            </w:r>
          </w:p>
        </w:tc>
        <w:tc>
          <w:tcPr>
            <w:tcW w:w="2075" w:type="dxa"/>
            <w:tcBorders>
              <w:top w:val="nil"/>
              <w:left w:val="nil"/>
              <w:bottom w:val="nil"/>
              <w:right w:val="nil"/>
            </w:tcBorders>
          </w:tcPr>
          <w:p w14:paraId="03FEF8FC" w14:textId="38598DBB"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0.1</w:t>
            </w:r>
            <w:r w:rsidR="00A54DA5">
              <w:rPr>
                <w:rFonts w:ascii="Times New Roman" w:hAnsi="Times New Roman" w:cs="Times New Roman" w:hint="eastAsia"/>
                <w:kern w:val="0"/>
                <w:sz w:val="20"/>
                <w:szCs w:val="20"/>
                <w:lang w:eastAsia="zh-CN"/>
              </w:rPr>
              <w:t>02</w:t>
            </w:r>
            <w:r w:rsidRPr="00FA2AFF">
              <w:rPr>
                <w:rFonts w:ascii="Times New Roman" w:hAnsi="Times New Roman" w:cs="Times New Roman"/>
                <w:kern w:val="0"/>
                <w:sz w:val="20"/>
                <w:szCs w:val="20"/>
              </w:rPr>
              <w:t>**</w:t>
            </w:r>
          </w:p>
        </w:tc>
        <w:tc>
          <w:tcPr>
            <w:tcW w:w="1451" w:type="dxa"/>
            <w:tcBorders>
              <w:top w:val="nil"/>
              <w:left w:val="nil"/>
              <w:bottom w:val="nil"/>
              <w:right w:val="nil"/>
            </w:tcBorders>
          </w:tcPr>
          <w:p w14:paraId="67A2A0EE" w14:textId="492EA178"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0.</w:t>
            </w:r>
            <w:r w:rsidR="00A54DA5">
              <w:rPr>
                <w:rFonts w:ascii="Times New Roman" w:hAnsi="Times New Roman" w:cs="Times New Roman" w:hint="eastAsia"/>
                <w:kern w:val="0"/>
                <w:sz w:val="20"/>
                <w:szCs w:val="20"/>
                <w:lang w:eastAsia="zh-CN"/>
              </w:rPr>
              <w:t>302</w:t>
            </w:r>
            <w:r w:rsidRPr="00FA2AFF">
              <w:rPr>
                <w:rFonts w:ascii="Times New Roman" w:hAnsi="Times New Roman" w:cs="Times New Roman"/>
                <w:kern w:val="0"/>
                <w:sz w:val="20"/>
                <w:szCs w:val="20"/>
              </w:rPr>
              <w:t>**</w:t>
            </w:r>
          </w:p>
        </w:tc>
      </w:tr>
      <w:tr w:rsidR="00FA2AFF" w:rsidRPr="00FA2AFF" w14:paraId="145783BA" w14:textId="77777777" w:rsidTr="00FA2AFF">
        <w:trPr>
          <w:trHeight w:val="284"/>
          <w:jc w:val="center"/>
        </w:trPr>
        <w:tc>
          <w:tcPr>
            <w:tcW w:w="2634" w:type="dxa"/>
            <w:tcBorders>
              <w:top w:val="nil"/>
              <w:left w:val="nil"/>
              <w:bottom w:val="nil"/>
              <w:right w:val="nil"/>
            </w:tcBorders>
          </w:tcPr>
          <w:p w14:paraId="7F452273" w14:textId="77777777" w:rsidR="00FA2AFF" w:rsidRPr="00FA2AFF" w:rsidRDefault="00FA2AFF" w:rsidP="00E177DE">
            <w:pPr>
              <w:widowControl w:val="0"/>
              <w:autoSpaceDE w:val="0"/>
              <w:autoSpaceDN w:val="0"/>
              <w:adjustRightInd w:val="0"/>
              <w:spacing w:afterLines="20" w:after="48" w:line="240" w:lineRule="auto"/>
              <w:rPr>
                <w:rFonts w:ascii="Times New Roman" w:hAnsi="Times New Roman" w:cs="Times New Roman"/>
                <w:kern w:val="0"/>
                <w:sz w:val="20"/>
                <w:szCs w:val="20"/>
              </w:rPr>
            </w:pPr>
          </w:p>
        </w:tc>
        <w:tc>
          <w:tcPr>
            <w:tcW w:w="1758" w:type="dxa"/>
            <w:tcBorders>
              <w:top w:val="nil"/>
              <w:left w:val="nil"/>
              <w:bottom w:val="nil"/>
              <w:right w:val="nil"/>
            </w:tcBorders>
          </w:tcPr>
          <w:p w14:paraId="1A47972E" w14:textId="77777777"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(1.857)</w:t>
            </w:r>
          </w:p>
        </w:tc>
        <w:tc>
          <w:tcPr>
            <w:tcW w:w="1442" w:type="dxa"/>
            <w:tcBorders>
              <w:top w:val="nil"/>
              <w:left w:val="nil"/>
              <w:bottom w:val="nil"/>
              <w:right w:val="nil"/>
            </w:tcBorders>
          </w:tcPr>
          <w:p w14:paraId="477F8DDC" w14:textId="77777777"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(1.937)</w:t>
            </w:r>
          </w:p>
        </w:tc>
        <w:tc>
          <w:tcPr>
            <w:tcW w:w="2075" w:type="dxa"/>
            <w:tcBorders>
              <w:top w:val="nil"/>
              <w:left w:val="nil"/>
              <w:bottom w:val="nil"/>
              <w:right w:val="nil"/>
            </w:tcBorders>
          </w:tcPr>
          <w:p w14:paraId="03721C13" w14:textId="76EBDD78"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(2.</w:t>
            </w:r>
            <w:r w:rsidR="00A54DA5">
              <w:rPr>
                <w:rFonts w:ascii="Times New Roman" w:hAnsi="Times New Roman" w:cs="Times New Roman" w:hint="eastAsia"/>
                <w:kern w:val="0"/>
                <w:sz w:val="20"/>
                <w:szCs w:val="20"/>
                <w:lang w:eastAsia="zh-CN"/>
              </w:rPr>
              <w:t>178</w:t>
            </w:r>
            <w:r w:rsidRPr="00FA2AFF">
              <w:rPr>
                <w:rFonts w:ascii="Times New Roman" w:hAnsi="Times New Roman" w:cs="Times New Roman"/>
                <w:kern w:val="0"/>
                <w:sz w:val="20"/>
                <w:szCs w:val="20"/>
              </w:rPr>
              <w:t>)</w:t>
            </w:r>
          </w:p>
        </w:tc>
        <w:tc>
          <w:tcPr>
            <w:tcW w:w="1451" w:type="dxa"/>
            <w:tcBorders>
              <w:top w:val="nil"/>
              <w:left w:val="nil"/>
              <w:bottom w:val="nil"/>
              <w:right w:val="nil"/>
            </w:tcBorders>
          </w:tcPr>
          <w:p w14:paraId="4BABAEA3" w14:textId="04FA6EE3"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w:t>
            </w:r>
            <w:r w:rsidR="00A54DA5">
              <w:rPr>
                <w:rFonts w:ascii="Times New Roman" w:hAnsi="Times New Roman" w:cs="Times New Roman" w:hint="eastAsia"/>
                <w:kern w:val="0"/>
                <w:sz w:val="20"/>
                <w:szCs w:val="20"/>
                <w:lang w:eastAsia="zh-CN"/>
              </w:rPr>
              <w:t>1.983</w:t>
            </w:r>
            <w:r w:rsidRPr="00FA2AFF">
              <w:rPr>
                <w:rFonts w:ascii="Times New Roman" w:hAnsi="Times New Roman" w:cs="Times New Roman"/>
                <w:kern w:val="0"/>
                <w:sz w:val="20"/>
                <w:szCs w:val="20"/>
              </w:rPr>
              <w:t>)</w:t>
            </w:r>
          </w:p>
        </w:tc>
      </w:tr>
      <w:tr w:rsidR="00FA2AFF" w:rsidRPr="00FA2AFF" w14:paraId="2F14CC82" w14:textId="77777777" w:rsidTr="00FA2AFF">
        <w:trPr>
          <w:trHeight w:val="284"/>
          <w:jc w:val="center"/>
        </w:trPr>
        <w:tc>
          <w:tcPr>
            <w:tcW w:w="2634" w:type="dxa"/>
            <w:tcBorders>
              <w:top w:val="nil"/>
              <w:left w:val="nil"/>
              <w:bottom w:val="nil"/>
              <w:right w:val="nil"/>
            </w:tcBorders>
          </w:tcPr>
          <w:p w14:paraId="7C65283F" w14:textId="769A4385" w:rsidR="00FA2AFF" w:rsidRPr="00FA2AFF" w:rsidRDefault="00FA2AFF" w:rsidP="00E177DE">
            <w:pPr>
              <w:widowControl w:val="0"/>
              <w:autoSpaceDE w:val="0"/>
              <w:autoSpaceDN w:val="0"/>
              <w:adjustRightInd w:val="0"/>
              <w:spacing w:afterLines="20" w:after="48" w:line="240" w:lineRule="auto"/>
              <w:rPr>
                <w:rFonts w:ascii="Times New Roman" w:hAnsi="Times New Roman" w:cs="Times New Roman"/>
                <w:kern w:val="0"/>
                <w:sz w:val="20"/>
                <w:szCs w:val="20"/>
              </w:rPr>
            </w:pPr>
            <w:r w:rsidRPr="00FA2AFF">
              <w:rPr>
                <w:rFonts w:ascii="Times New Roman" w:hAnsi="Times New Roman" w:cs="Times New Roman"/>
                <w:kern w:val="0"/>
                <w:sz w:val="20"/>
                <w:szCs w:val="20"/>
              </w:rPr>
              <w:t>Fintech</w:t>
            </w:r>
          </w:p>
        </w:tc>
        <w:tc>
          <w:tcPr>
            <w:tcW w:w="1758" w:type="dxa"/>
            <w:tcBorders>
              <w:top w:val="nil"/>
              <w:left w:val="nil"/>
              <w:bottom w:val="nil"/>
              <w:right w:val="nil"/>
            </w:tcBorders>
          </w:tcPr>
          <w:p w14:paraId="4FC5E322" w14:textId="77777777"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11.724*</w:t>
            </w:r>
          </w:p>
        </w:tc>
        <w:tc>
          <w:tcPr>
            <w:tcW w:w="1442" w:type="dxa"/>
            <w:tcBorders>
              <w:top w:val="nil"/>
              <w:left w:val="nil"/>
              <w:bottom w:val="nil"/>
              <w:right w:val="nil"/>
            </w:tcBorders>
          </w:tcPr>
          <w:p w14:paraId="75A77F11" w14:textId="77777777"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-8.281</w:t>
            </w:r>
          </w:p>
        </w:tc>
        <w:tc>
          <w:tcPr>
            <w:tcW w:w="2075" w:type="dxa"/>
            <w:tcBorders>
              <w:top w:val="nil"/>
              <w:left w:val="nil"/>
              <w:bottom w:val="nil"/>
              <w:right w:val="nil"/>
            </w:tcBorders>
          </w:tcPr>
          <w:p w14:paraId="35C2A8B6" w14:textId="5BB98AA1"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0.</w:t>
            </w:r>
            <w:r w:rsidR="00A54DA5">
              <w:rPr>
                <w:rFonts w:ascii="Times New Roman" w:hAnsi="Times New Roman" w:cs="Times New Roman" w:hint="eastAsia"/>
                <w:kern w:val="0"/>
                <w:sz w:val="20"/>
                <w:szCs w:val="20"/>
                <w:lang w:eastAsia="zh-CN"/>
              </w:rPr>
              <w:t>607</w:t>
            </w:r>
            <w:r w:rsidRPr="00FA2AFF">
              <w:rPr>
                <w:rFonts w:ascii="Times New Roman" w:hAnsi="Times New Roman" w:cs="Times New Roman"/>
                <w:kern w:val="0"/>
                <w:sz w:val="20"/>
                <w:szCs w:val="20"/>
              </w:rPr>
              <w:t>**</w:t>
            </w:r>
          </w:p>
        </w:tc>
        <w:tc>
          <w:tcPr>
            <w:tcW w:w="1451" w:type="dxa"/>
            <w:tcBorders>
              <w:top w:val="nil"/>
              <w:left w:val="nil"/>
              <w:bottom w:val="nil"/>
              <w:right w:val="nil"/>
            </w:tcBorders>
          </w:tcPr>
          <w:p w14:paraId="07CF1993" w14:textId="312B551B"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1.</w:t>
            </w:r>
            <w:r w:rsidR="00A54DA5">
              <w:rPr>
                <w:rFonts w:ascii="Times New Roman" w:hAnsi="Times New Roman" w:cs="Times New Roman" w:hint="eastAsia"/>
                <w:kern w:val="0"/>
                <w:sz w:val="20"/>
                <w:szCs w:val="20"/>
                <w:lang w:eastAsia="zh-CN"/>
              </w:rPr>
              <w:t>081</w:t>
            </w:r>
            <w:r w:rsidRPr="00FA2AFF">
              <w:rPr>
                <w:rFonts w:ascii="Times New Roman" w:hAnsi="Times New Roman" w:cs="Times New Roman"/>
                <w:kern w:val="0"/>
                <w:sz w:val="20"/>
                <w:szCs w:val="20"/>
              </w:rPr>
              <w:t>**</w:t>
            </w:r>
          </w:p>
        </w:tc>
      </w:tr>
      <w:tr w:rsidR="00FA2AFF" w:rsidRPr="00FA2AFF" w14:paraId="57015E44" w14:textId="77777777" w:rsidTr="00FA2AFF">
        <w:trPr>
          <w:trHeight w:val="284"/>
          <w:jc w:val="center"/>
        </w:trPr>
        <w:tc>
          <w:tcPr>
            <w:tcW w:w="2634" w:type="dxa"/>
            <w:tcBorders>
              <w:top w:val="nil"/>
              <w:left w:val="nil"/>
              <w:bottom w:val="nil"/>
              <w:right w:val="nil"/>
            </w:tcBorders>
          </w:tcPr>
          <w:p w14:paraId="4BF6623B" w14:textId="77777777" w:rsidR="00FA2AFF" w:rsidRPr="00FA2AFF" w:rsidRDefault="00FA2AFF" w:rsidP="00E177DE">
            <w:pPr>
              <w:widowControl w:val="0"/>
              <w:autoSpaceDE w:val="0"/>
              <w:autoSpaceDN w:val="0"/>
              <w:adjustRightInd w:val="0"/>
              <w:spacing w:afterLines="20" w:after="48" w:line="240" w:lineRule="auto"/>
              <w:rPr>
                <w:rFonts w:ascii="Times New Roman" w:hAnsi="Times New Roman" w:cs="Times New Roman"/>
                <w:kern w:val="0"/>
                <w:sz w:val="20"/>
                <w:szCs w:val="20"/>
              </w:rPr>
            </w:pPr>
          </w:p>
        </w:tc>
        <w:tc>
          <w:tcPr>
            <w:tcW w:w="1758" w:type="dxa"/>
            <w:tcBorders>
              <w:top w:val="nil"/>
              <w:left w:val="nil"/>
              <w:bottom w:val="nil"/>
              <w:right w:val="nil"/>
            </w:tcBorders>
          </w:tcPr>
          <w:p w14:paraId="46234474" w14:textId="77777777"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(1.934)</w:t>
            </w:r>
          </w:p>
        </w:tc>
        <w:tc>
          <w:tcPr>
            <w:tcW w:w="1442" w:type="dxa"/>
            <w:tcBorders>
              <w:top w:val="nil"/>
              <w:left w:val="nil"/>
              <w:bottom w:val="nil"/>
              <w:right w:val="nil"/>
            </w:tcBorders>
          </w:tcPr>
          <w:p w14:paraId="5205F9DF" w14:textId="77777777"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(-0.760)</w:t>
            </w:r>
          </w:p>
        </w:tc>
        <w:tc>
          <w:tcPr>
            <w:tcW w:w="2075" w:type="dxa"/>
            <w:tcBorders>
              <w:top w:val="nil"/>
              <w:left w:val="nil"/>
              <w:bottom w:val="nil"/>
              <w:right w:val="nil"/>
            </w:tcBorders>
          </w:tcPr>
          <w:p w14:paraId="4A4FB0C9" w14:textId="46F4C356"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(1.</w:t>
            </w:r>
            <w:r w:rsidR="00A54DA5">
              <w:rPr>
                <w:rFonts w:ascii="Times New Roman" w:hAnsi="Times New Roman" w:cs="Times New Roman" w:hint="eastAsia"/>
                <w:kern w:val="0"/>
                <w:sz w:val="20"/>
                <w:szCs w:val="20"/>
                <w:lang w:eastAsia="zh-CN"/>
              </w:rPr>
              <w:t>778</w:t>
            </w:r>
            <w:r w:rsidRPr="00FA2AFF">
              <w:rPr>
                <w:rFonts w:ascii="Times New Roman" w:hAnsi="Times New Roman" w:cs="Times New Roman"/>
                <w:kern w:val="0"/>
                <w:sz w:val="20"/>
                <w:szCs w:val="20"/>
              </w:rPr>
              <w:t>)</w:t>
            </w:r>
          </w:p>
        </w:tc>
        <w:tc>
          <w:tcPr>
            <w:tcW w:w="1451" w:type="dxa"/>
            <w:tcBorders>
              <w:top w:val="nil"/>
              <w:left w:val="nil"/>
              <w:bottom w:val="nil"/>
              <w:right w:val="nil"/>
            </w:tcBorders>
          </w:tcPr>
          <w:p w14:paraId="6E3DE183" w14:textId="057FB962"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(2.1</w:t>
            </w:r>
            <w:r w:rsidR="00A54DA5">
              <w:rPr>
                <w:rFonts w:ascii="Times New Roman" w:hAnsi="Times New Roman" w:cs="Times New Roman" w:hint="eastAsia"/>
                <w:kern w:val="0"/>
                <w:sz w:val="20"/>
                <w:szCs w:val="20"/>
                <w:lang w:eastAsia="zh-CN"/>
              </w:rPr>
              <w:t>28</w:t>
            </w:r>
            <w:r w:rsidRPr="00FA2AFF">
              <w:rPr>
                <w:rFonts w:ascii="Times New Roman" w:hAnsi="Times New Roman" w:cs="Times New Roman"/>
                <w:kern w:val="0"/>
                <w:sz w:val="20"/>
                <w:szCs w:val="20"/>
              </w:rPr>
              <w:t>)</w:t>
            </w:r>
          </w:p>
        </w:tc>
      </w:tr>
      <w:tr w:rsidR="00FA2AFF" w:rsidRPr="00FA2AFF" w14:paraId="6DDFF8FC" w14:textId="77777777" w:rsidTr="00FA2AFF">
        <w:trPr>
          <w:trHeight w:val="284"/>
          <w:jc w:val="center"/>
        </w:trPr>
        <w:tc>
          <w:tcPr>
            <w:tcW w:w="2634" w:type="dxa"/>
            <w:tcBorders>
              <w:top w:val="nil"/>
              <w:left w:val="nil"/>
              <w:bottom w:val="nil"/>
              <w:right w:val="nil"/>
            </w:tcBorders>
          </w:tcPr>
          <w:p w14:paraId="6A8A4452" w14:textId="77777777" w:rsidR="00FA2AFF" w:rsidRPr="00FA2AFF" w:rsidRDefault="00FA2AFF" w:rsidP="00E177DE">
            <w:pPr>
              <w:widowControl w:val="0"/>
              <w:autoSpaceDE w:val="0"/>
              <w:autoSpaceDN w:val="0"/>
              <w:adjustRightInd w:val="0"/>
              <w:spacing w:afterLines="20" w:after="48" w:line="240" w:lineRule="auto"/>
              <w:rPr>
                <w:rFonts w:ascii="Times New Roman" w:hAnsi="Times New Roman" w:cs="Times New Roman"/>
                <w:kern w:val="0"/>
                <w:sz w:val="20"/>
                <w:szCs w:val="20"/>
              </w:rPr>
            </w:pPr>
            <w:proofErr w:type="spellStart"/>
            <w:r w:rsidRPr="00FA2AFF">
              <w:rPr>
                <w:rFonts w:ascii="Times New Roman" w:hAnsi="Times New Roman" w:cs="Times New Roman"/>
                <w:kern w:val="0"/>
                <w:sz w:val="20"/>
                <w:szCs w:val="20"/>
              </w:rPr>
              <w:t>ClimateRisk</w:t>
            </w:r>
            <w:proofErr w:type="spellEnd"/>
          </w:p>
        </w:tc>
        <w:tc>
          <w:tcPr>
            <w:tcW w:w="1758" w:type="dxa"/>
            <w:tcBorders>
              <w:top w:val="nil"/>
              <w:left w:val="nil"/>
              <w:bottom w:val="nil"/>
              <w:right w:val="nil"/>
            </w:tcBorders>
          </w:tcPr>
          <w:p w14:paraId="556BF406" w14:textId="77777777"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1.044*</w:t>
            </w:r>
          </w:p>
        </w:tc>
        <w:tc>
          <w:tcPr>
            <w:tcW w:w="1442" w:type="dxa"/>
            <w:tcBorders>
              <w:top w:val="nil"/>
              <w:left w:val="nil"/>
              <w:bottom w:val="nil"/>
              <w:right w:val="nil"/>
            </w:tcBorders>
          </w:tcPr>
          <w:p w14:paraId="297D7C26" w14:textId="77777777"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6.430*</w:t>
            </w:r>
          </w:p>
        </w:tc>
        <w:tc>
          <w:tcPr>
            <w:tcW w:w="2075" w:type="dxa"/>
            <w:tcBorders>
              <w:top w:val="nil"/>
              <w:left w:val="nil"/>
              <w:bottom w:val="nil"/>
              <w:right w:val="nil"/>
            </w:tcBorders>
          </w:tcPr>
          <w:p w14:paraId="4E107BD8" w14:textId="25A433F8" w:rsidR="00FA2AFF" w:rsidRPr="00FA2AFF" w:rsidRDefault="00A54DA5"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Pr>
                <w:rFonts w:ascii="Times New Roman" w:hAnsi="Times New Roman" w:cs="Times New Roman" w:hint="eastAsia"/>
                <w:kern w:val="0"/>
                <w:sz w:val="20"/>
                <w:szCs w:val="20"/>
                <w:lang w:eastAsia="zh-CN"/>
              </w:rPr>
              <w:t>1.913</w:t>
            </w:r>
            <w:r w:rsidR="00FA2AFF" w:rsidRPr="00FA2AFF">
              <w:rPr>
                <w:rFonts w:ascii="Times New Roman" w:hAnsi="Times New Roman" w:cs="Times New Roman"/>
                <w:kern w:val="0"/>
                <w:sz w:val="20"/>
                <w:szCs w:val="20"/>
              </w:rPr>
              <w:t>**</w:t>
            </w:r>
          </w:p>
        </w:tc>
        <w:tc>
          <w:tcPr>
            <w:tcW w:w="1451" w:type="dxa"/>
            <w:tcBorders>
              <w:top w:val="nil"/>
              <w:left w:val="nil"/>
              <w:bottom w:val="nil"/>
              <w:right w:val="nil"/>
            </w:tcBorders>
          </w:tcPr>
          <w:p w14:paraId="696BF697" w14:textId="59C178A6" w:rsidR="00FA2AFF" w:rsidRPr="00FA2AFF" w:rsidRDefault="00A54DA5"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Pr>
                <w:rFonts w:ascii="Times New Roman" w:hAnsi="Times New Roman" w:cs="Times New Roman" w:hint="eastAsia"/>
                <w:kern w:val="0"/>
                <w:sz w:val="20"/>
                <w:szCs w:val="20"/>
                <w:lang w:eastAsia="zh-CN"/>
              </w:rPr>
              <w:t>5.676</w:t>
            </w:r>
            <w:r w:rsidR="00FA2AFF" w:rsidRPr="00FA2AFF">
              <w:rPr>
                <w:rFonts w:ascii="Times New Roman" w:hAnsi="Times New Roman" w:cs="Times New Roman"/>
                <w:kern w:val="0"/>
                <w:sz w:val="20"/>
                <w:szCs w:val="20"/>
              </w:rPr>
              <w:t>**</w:t>
            </w:r>
          </w:p>
        </w:tc>
      </w:tr>
      <w:tr w:rsidR="00FA2AFF" w:rsidRPr="00FA2AFF" w14:paraId="71CA2B91" w14:textId="77777777" w:rsidTr="00FA2AFF">
        <w:trPr>
          <w:trHeight w:val="284"/>
          <w:jc w:val="center"/>
        </w:trPr>
        <w:tc>
          <w:tcPr>
            <w:tcW w:w="2634" w:type="dxa"/>
            <w:tcBorders>
              <w:top w:val="nil"/>
              <w:left w:val="nil"/>
              <w:bottom w:val="nil"/>
              <w:right w:val="nil"/>
            </w:tcBorders>
          </w:tcPr>
          <w:p w14:paraId="445FDE99" w14:textId="77777777" w:rsidR="00FA2AFF" w:rsidRPr="00FA2AFF" w:rsidRDefault="00FA2AFF" w:rsidP="00E177DE">
            <w:pPr>
              <w:widowControl w:val="0"/>
              <w:autoSpaceDE w:val="0"/>
              <w:autoSpaceDN w:val="0"/>
              <w:adjustRightInd w:val="0"/>
              <w:spacing w:afterLines="20" w:after="48" w:line="240" w:lineRule="auto"/>
              <w:rPr>
                <w:rFonts w:ascii="Times New Roman" w:hAnsi="Times New Roman" w:cs="Times New Roman"/>
                <w:kern w:val="0"/>
                <w:sz w:val="20"/>
                <w:szCs w:val="20"/>
              </w:rPr>
            </w:pPr>
          </w:p>
        </w:tc>
        <w:tc>
          <w:tcPr>
            <w:tcW w:w="1758" w:type="dxa"/>
            <w:tcBorders>
              <w:top w:val="nil"/>
              <w:left w:val="nil"/>
              <w:bottom w:val="nil"/>
              <w:right w:val="nil"/>
            </w:tcBorders>
          </w:tcPr>
          <w:p w14:paraId="2CEB6195" w14:textId="77777777"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(1.875)</w:t>
            </w:r>
          </w:p>
        </w:tc>
        <w:tc>
          <w:tcPr>
            <w:tcW w:w="1442" w:type="dxa"/>
            <w:tcBorders>
              <w:top w:val="nil"/>
              <w:left w:val="nil"/>
              <w:bottom w:val="nil"/>
              <w:right w:val="nil"/>
            </w:tcBorders>
          </w:tcPr>
          <w:p w14:paraId="5D0B6E57" w14:textId="77777777"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(1.937)</w:t>
            </w:r>
          </w:p>
        </w:tc>
        <w:tc>
          <w:tcPr>
            <w:tcW w:w="2075" w:type="dxa"/>
            <w:tcBorders>
              <w:top w:val="nil"/>
              <w:left w:val="nil"/>
              <w:bottom w:val="nil"/>
              <w:right w:val="nil"/>
            </w:tcBorders>
          </w:tcPr>
          <w:p w14:paraId="1A94D7F3" w14:textId="27F033C4"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(2.</w:t>
            </w:r>
            <w:r w:rsidR="00A54DA5">
              <w:rPr>
                <w:rFonts w:ascii="Times New Roman" w:hAnsi="Times New Roman" w:cs="Times New Roman" w:hint="eastAsia"/>
                <w:kern w:val="0"/>
                <w:sz w:val="20"/>
                <w:szCs w:val="20"/>
                <w:lang w:eastAsia="zh-CN"/>
              </w:rPr>
              <w:t>185</w:t>
            </w:r>
            <w:r w:rsidRPr="00FA2AFF">
              <w:rPr>
                <w:rFonts w:ascii="Times New Roman" w:hAnsi="Times New Roman" w:cs="Times New Roman"/>
                <w:kern w:val="0"/>
                <w:sz w:val="20"/>
                <w:szCs w:val="20"/>
              </w:rPr>
              <w:t>)</w:t>
            </w:r>
          </w:p>
        </w:tc>
        <w:tc>
          <w:tcPr>
            <w:tcW w:w="1451" w:type="dxa"/>
            <w:tcBorders>
              <w:top w:val="nil"/>
              <w:left w:val="nil"/>
              <w:bottom w:val="nil"/>
              <w:right w:val="nil"/>
            </w:tcBorders>
          </w:tcPr>
          <w:p w14:paraId="5B2D3EAC" w14:textId="639D4276"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w:t>
            </w:r>
            <w:r w:rsidR="00A54DA5">
              <w:rPr>
                <w:rFonts w:ascii="Times New Roman" w:hAnsi="Times New Roman" w:cs="Times New Roman" w:hint="eastAsia"/>
                <w:kern w:val="0"/>
                <w:sz w:val="20"/>
                <w:szCs w:val="20"/>
                <w:lang w:eastAsia="zh-CN"/>
              </w:rPr>
              <w:t>1.985</w:t>
            </w:r>
            <w:r w:rsidRPr="00FA2AFF">
              <w:rPr>
                <w:rFonts w:ascii="Times New Roman" w:hAnsi="Times New Roman" w:cs="Times New Roman"/>
                <w:kern w:val="0"/>
                <w:sz w:val="20"/>
                <w:szCs w:val="20"/>
              </w:rPr>
              <w:t>)</w:t>
            </w:r>
          </w:p>
        </w:tc>
      </w:tr>
      <w:tr w:rsidR="00FA2AFF" w:rsidRPr="00FA2AFF" w14:paraId="3FCC115E" w14:textId="77777777" w:rsidTr="00FA2AFF">
        <w:trPr>
          <w:trHeight w:val="284"/>
          <w:jc w:val="center"/>
        </w:trPr>
        <w:tc>
          <w:tcPr>
            <w:tcW w:w="2634" w:type="dxa"/>
            <w:tcBorders>
              <w:top w:val="nil"/>
              <w:left w:val="nil"/>
              <w:bottom w:val="nil"/>
              <w:right w:val="nil"/>
            </w:tcBorders>
          </w:tcPr>
          <w:p w14:paraId="73F646C5" w14:textId="77777777" w:rsidR="00FA2AFF" w:rsidRPr="00FA2AFF" w:rsidRDefault="00FA2AFF" w:rsidP="00E177DE">
            <w:pPr>
              <w:widowControl w:val="0"/>
              <w:autoSpaceDE w:val="0"/>
              <w:autoSpaceDN w:val="0"/>
              <w:adjustRightInd w:val="0"/>
              <w:spacing w:afterLines="20" w:after="48" w:line="240" w:lineRule="auto"/>
              <w:rPr>
                <w:rFonts w:ascii="Times New Roman" w:hAnsi="Times New Roman" w:cs="Times New Roman"/>
                <w:kern w:val="0"/>
                <w:sz w:val="20"/>
                <w:szCs w:val="20"/>
              </w:rPr>
            </w:pPr>
            <w:proofErr w:type="spellStart"/>
            <w:r w:rsidRPr="00FA2AFF">
              <w:rPr>
                <w:rFonts w:ascii="Times New Roman" w:hAnsi="Times New Roman" w:cs="Times New Roman"/>
                <w:kern w:val="0"/>
                <w:sz w:val="20"/>
                <w:szCs w:val="20"/>
              </w:rPr>
              <w:t>CSRcom</w:t>
            </w:r>
            <w:proofErr w:type="spellEnd"/>
          </w:p>
        </w:tc>
        <w:tc>
          <w:tcPr>
            <w:tcW w:w="1758" w:type="dxa"/>
            <w:tcBorders>
              <w:top w:val="nil"/>
              <w:left w:val="nil"/>
              <w:bottom w:val="nil"/>
              <w:right w:val="nil"/>
            </w:tcBorders>
          </w:tcPr>
          <w:p w14:paraId="4A05DF63" w14:textId="77777777"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0.035</w:t>
            </w:r>
          </w:p>
        </w:tc>
        <w:tc>
          <w:tcPr>
            <w:tcW w:w="1442" w:type="dxa"/>
            <w:tcBorders>
              <w:top w:val="nil"/>
              <w:left w:val="nil"/>
              <w:bottom w:val="nil"/>
              <w:right w:val="nil"/>
            </w:tcBorders>
          </w:tcPr>
          <w:p w14:paraId="5E57C17D" w14:textId="77777777"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-0.113</w:t>
            </w:r>
          </w:p>
        </w:tc>
        <w:tc>
          <w:tcPr>
            <w:tcW w:w="2075" w:type="dxa"/>
            <w:tcBorders>
              <w:top w:val="nil"/>
              <w:left w:val="nil"/>
              <w:bottom w:val="nil"/>
              <w:right w:val="nil"/>
            </w:tcBorders>
          </w:tcPr>
          <w:p w14:paraId="67A6C128" w14:textId="410865CD" w:rsidR="00FA2AFF" w:rsidRPr="00FA2AFF" w:rsidRDefault="00A54DA5"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lang w:eastAsia="zh-CN"/>
              </w:rPr>
            </w:pPr>
            <w:r>
              <w:rPr>
                <w:rFonts w:ascii="Times New Roman" w:hAnsi="Times New Roman" w:cs="Times New Roman" w:hint="eastAsia"/>
                <w:kern w:val="0"/>
                <w:sz w:val="20"/>
                <w:szCs w:val="20"/>
                <w:lang w:eastAsia="zh-CN"/>
              </w:rPr>
              <w:t>-</w:t>
            </w:r>
            <w:r w:rsidR="00FA2AFF" w:rsidRPr="00FA2AFF">
              <w:rPr>
                <w:rFonts w:ascii="Times New Roman" w:hAnsi="Times New Roman" w:cs="Times New Roman"/>
                <w:kern w:val="0"/>
                <w:sz w:val="20"/>
                <w:szCs w:val="20"/>
              </w:rPr>
              <w:t>0.0</w:t>
            </w:r>
            <w:r>
              <w:rPr>
                <w:rFonts w:ascii="Times New Roman" w:hAnsi="Times New Roman" w:cs="Times New Roman" w:hint="eastAsia"/>
                <w:kern w:val="0"/>
                <w:sz w:val="20"/>
                <w:szCs w:val="20"/>
                <w:lang w:eastAsia="zh-CN"/>
              </w:rPr>
              <w:t>11</w:t>
            </w:r>
          </w:p>
        </w:tc>
        <w:tc>
          <w:tcPr>
            <w:tcW w:w="1451" w:type="dxa"/>
            <w:tcBorders>
              <w:top w:val="nil"/>
              <w:left w:val="nil"/>
              <w:bottom w:val="nil"/>
              <w:right w:val="nil"/>
            </w:tcBorders>
          </w:tcPr>
          <w:p w14:paraId="034D1931" w14:textId="3FECD953"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lang w:eastAsia="zh-CN"/>
              </w:rPr>
            </w:pPr>
            <w:r w:rsidRPr="00FA2AFF">
              <w:rPr>
                <w:rFonts w:ascii="Times New Roman" w:hAnsi="Times New Roman" w:cs="Times New Roman"/>
                <w:kern w:val="0"/>
                <w:sz w:val="20"/>
                <w:szCs w:val="20"/>
              </w:rPr>
              <w:t>0.</w:t>
            </w:r>
            <w:r w:rsidR="00A54DA5">
              <w:rPr>
                <w:rFonts w:ascii="Times New Roman" w:hAnsi="Times New Roman" w:cs="Times New Roman" w:hint="eastAsia"/>
                <w:kern w:val="0"/>
                <w:sz w:val="20"/>
                <w:szCs w:val="20"/>
                <w:lang w:eastAsia="zh-CN"/>
              </w:rPr>
              <w:t>078</w:t>
            </w:r>
          </w:p>
        </w:tc>
      </w:tr>
      <w:tr w:rsidR="00FA2AFF" w:rsidRPr="00FA2AFF" w14:paraId="5FA2A698" w14:textId="77777777" w:rsidTr="00FA2AFF">
        <w:trPr>
          <w:trHeight w:val="284"/>
          <w:jc w:val="center"/>
        </w:trPr>
        <w:tc>
          <w:tcPr>
            <w:tcW w:w="2634" w:type="dxa"/>
            <w:tcBorders>
              <w:top w:val="nil"/>
              <w:left w:val="nil"/>
              <w:bottom w:val="nil"/>
              <w:right w:val="nil"/>
            </w:tcBorders>
          </w:tcPr>
          <w:p w14:paraId="12C30F35" w14:textId="77777777" w:rsidR="00FA2AFF" w:rsidRPr="00FA2AFF" w:rsidRDefault="00FA2AFF" w:rsidP="00E177DE">
            <w:pPr>
              <w:widowControl w:val="0"/>
              <w:autoSpaceDE w:val="0"/>
              <w:autoSpaceDN w:val="0"/>
              <w:adjustRightInd w:val="0"/>
              <w:spacing w:afterLines="20" w:after="48" w:line="240" w:lineRule="auto"/>
              <w:rPr>
                <w:rFonts w:ascii="Times New Roman" w:hAnsi="Times New Roman" w:cs="Times New Roman"/>
                <w:kern w:val="0"/>
                <w:sz w:val="20"/>
                <w:szCs w:val="20"/>
              </w:rPr>
            </w:pPr>
          </w:p>
        </w:tc>
        <w:tc>
          <w:tcPr>
            <w:tcW w:w="1758" w:type="dxa"/>
            <w:tcBorders>
              <w:top w:val="nil"/>
              <w:left w:val="nil"/>
              <w:bottom w:val="nil"/>
              <w:right w:val="nil"/>
            </w:tcBorders>
          </w:tcPr>
          <w:p w14:paraId="602B1661" w14:textId="77777777"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(0.534)</w:t>
            </w:r>
          </w:p>
        </w:tc>
        <w:tc>
          <w:tcPr>
            <w:tcW w:w="1442" w:type="dxa"/>
            <w:tcBorders>
              <w:top w:val="nil"/>
              <w:left w:val="nil"/>
              <w:bottom w:val="nil"/>
              <w:right w:val="nil"/>
            </w:tcBorders>
          </w:tcPr>
          <w:p w14:paraId="700674EE" w14:textId="77777777"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(-0.910)</w:t>
            </w:r>
          </w:p>
        </w:tc>
        <w:tc>
          <w:tcPr>
            <w:tcW w:w="2075" w:type="dxa"/>
            <w:tcBorders>
              <w:top w:val="nil"/>
              <w:left w:val="nil"/>
              <w:bottom w:val="nil"/>
              <w:right w:val="nil"/>
            </w:tcBorders>
          </w:tcPr>
          <w:p w14:paraId="42C0CBAB" w14:textId="6B167534"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w:t>
            </w:r>
            <w:r w:rsidR="00A54DA5">
              <w:rPr>
                <w:rFonts w:ascii="Times New Roman" w:hAnsi="Times New Roman" w:cs="Times New Roman" w:hint="eastAsia"/>
                <w:kern w:val="0"/>
                <w:sz w:val="20"/>
                <w:szCs w:val="20"/>
                <w:lang w:eastAsia="zh-CN"/>
              </w:rPr>
              <w:t>-0.064</w:t>
            </w:r>
            <w:r w:rsidRPr="00FA2AFF">
              <w:rPr>
                <w:rFonts w:ascii="Times New Roman" w:hAnsi="Times New Roman" w:cs="Times New Roman"/>
                <w:kern w:val="0"/>
                <w:sz w:val="20"/>
                <w:szCs w:val="20"/>
              </w:rPr>
              <w:t>)</w:t>
            </w:r>
          </w:p>
        </w:tc>
        <w:tc>
          <w:tcPr>
            <w:tcW w:w="1451" w:type="dxa"/>
            <w:tcBorders>
              <w:top w:val="nil"/>
              <w:left w:val="nil"/>
              <w:bottom w:val="nil"/>
              <w:right w:val="nil"/>
            </w:tcBorders>
          </w:tcPr>
          <w:p w14:paraId="795226AD" w14:textId="35B29FA3"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w:t>
            </w:r>
            <w:r w:rsidR="00A54DA5">
              <w:rPr>
                <w:rFonts w:ascii="Times New Roman" w:hAnsi="Times New Roman" w:cs="Times New Roman" w:hint="eastAsia"/>
                <w:kern w:val="0"/>
                <w:sz w:val="20"/>
                <w:szCs w:val="20"/>
                <w:lang w:eastAsia="zh-CN"/>
              </w:rPr>
              <w:t>0.683</w:t>
            </w:r>
            <w:r w:rsidRPr="00FA2AFF">
              <w:rPr>
                <w:rFonts w:ascii="Times New Roman" w:hAnsi="Times New Roman" w:cs="Times New Roman"/>
                <w:kern w:val="0"/>
                <w:sz w:val="20"/>
                <w:szCs w:val="20"/>
              </w:rPr>
              <w:t>)</w:t>
            </w:r>
          </w:p>
        </w:tc>
      </w:tr>
      <w:tr w:rsidR="00FA2AFF" w:rsidRPr="00FA2AFF" w14:paraId="1ABCD850" w14:textId="77777777" w:rsidTr="00FA2AFF">
        <w:trPr>
          <w:trHeight w:val="284"/>
          <w:jc w:val="center"/>
        </w:trPr>
        <w:tc>
          <w:tcPr>
            <w:tcW w:w="2634" w:type="dxa"/>
            <w:tcBorders>
              <w:top w:val="nil"/>
              <w:left w:val="nil"/>
              <w:bottom w:val="nil"/>
              <w:right w:val="nil"/>
            </w:tcBorders>
          </w:tcPr>
          <w:p w14:paraId="7DDDF6D9" w14:textId="77777777" w:rsidR="00FA2AFF" w:rsidRPr="00FA2AFF" w:rsidRDefault="00FA2AFF" w:rsidP="00E177DE">
            <w:pPr>
              <w:widowControl w:val="0"/>
              <w:autoSpaceDE w:val="0"/>
              <w:autoSpaceDN w:val="0"/>
              <w:adjustRightInd w:val="0"/>
              <w:spacing w:afterLines="20" w:after="48" w:line="240" w:lineRule="auto"/>
              <w:rPr>
                <w:rFonts w:ascii="Times New Roman" w:hAnsi="Times New Roman" w:cs="Times New Roman"/>
                <w:kern w:val="0"/>
                <w:sz w:val="20"/>
                <w:szCs w:val="20"/>
              </w:rPr>
            </w:pPr>
            <w:proofErr w:type="spellStart"/>
            <w:r w:rsidRPr="00FA2AFF">
              <w:rPr>
                <w:rFonts w:ascii="Times New Roman" w:hAnsi="Times New Roman" w:cs="Times New Roman"/>
                <w:kern w:val="0"/>
                <w:sz w:val="20"/>
                <w:szCs w:val="20"/>
              </w:rPr>
              <w:t>IndBoard</w:t>
            </w:r>
            <w:proofErr w:type="spellEnd"/>
          </w:p>
        </w:tc>
        <w:tc>
          <w:tcPr>
            <w:tcW w:w="1758" w:type="dxa"/>
            <w:tcBorders>
              <w:top w:val="nil"/>
              <w:left w:val="nil"/>
              <w:bottom w:val="nil"/>
              <w:right w:val="nil"/>
            </w:tcBorders>
          </w:tcPr>
          <w:p w14:paraId="4753D6AC" w14:textId="277C970A"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lang w:eastAsia="zh-CN"/>
              </w:rPr>
            </w:pPr>
            <w:r w:rsidRPr="00FA2AFF">
              <w:rPr>
                <w:rFonts w:ascii="Times New Roman" w:hAnsi="Times New Roman" w:cs="Times New Roman"/>
                <w:kern w:val="0"/>
                <w:sz w:val="20"/>
                <w:szCs w:val="20"/>
              </w:rPr>
              <w:t>-0.00</w:t>
            </w:r>
            <w:r w:rsidR="00A54DA5">
              <w:rPr>
                <w:rFonts w:ascii="Times New Roman" w:hAnsi="Times New Roman" w:cs="Times New Roman" w:hint="eastAsia"/>
                <w:kern w:val="0"/>
                <w:sz w:val="20"/>
                <w:szCs w:val="20"/>
                <w:lang w:eastAsia="zh-CN"/>
              </w:rPr>
              <w:t>3</w:t>
            </w:r>
          </w:p>
        </w:tc>
        <w:tc>
          <w:tcPr>
            <w:tcW w:w="1442" w:type="dxa"/>
            <w:tcBorders>
              <w:top w:val="nil"/>
              <w:left w:val="nil"/>
              <w:bottom w:val="nil"/>
              <w:right w:val="nil"/>
            </w:tcBorders>
          </w:tcPr>
          <w:p w14:paraId="765F576D" w14:textId="77777777"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0.003</w:t>
            </w:r>
          </w:p>
        </w:tc>
        <w:tc>
          <w:tcPr>
            <w:tcW w:w="2075" w:type="dxa"/>
            <w:tcBorders>
              <w:top w:val="nil"/>
              <w:left w:val="nil"/>
              <w:bottom w:val="nil"/>
              <w:right w:val="nil"/>
            </w:tcBorders>
          </w:tcPr>
          <w:p w14:paraId="42A9F3B9" w14:textId="6328514D" w:rsidR="00FA2AFF" w:rsidRPr="00FA2AFF" w:rsidRDefault="00A54DA5"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Pr>
                <w:rFonts w:ascii="Times New Roman" w:hAnsi="Times New Roman" w:cs="Times New Roman" w:hint="eastAsia"/>
                <w:kern w:val="0"/>
                <w:sz w:val="20"/>
                <w:szCs w:val="20"/>
                <w:lang w:eastAsia="zh-CN"/>
              </w:rPr>
              <w:t>-</w:t>
            </w:r>
            <w:r w:rsidR="00FA2AFF" w:rsidRPr="00FA2AFF">
              <w:rPr>
                <w:rFonts w:ascii="Times New Roman" w:hAnsi="Times New Roman" w:cs="Times New Roman"/>
                <w:kern w:val="0"/>
                <w:sz w:val="20"/>
                <w:szCs w:val="20"/>
              </w:rPr>
              <w:t>0.005</w:t>
            </w:r>
          </w:p>
        </w:tc>
        <w:tc>
          <w:tcPr>
            <w:tcW w:w="1451" w:type="dxa"/>
            <w:tcBorders>
              <w:top w:val="nil"/>
              <w:left w:val="nil"/>
              <w:bottom w:val="nil"/>
              <w:right w:val="nil"/>
            </w:tcBorders>
          </w:tcPr>
          <w:p w14:paraId="0CF7D541" w14:textId="707B144A"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lang w:eastAsia="zh-CN"/>
              </w:rPr>
            </w:pPr>
            <w:r w:rsidRPr="00FA2AFF">
              <w:rPr>
                <w:rFonts w:ascii="Times New Roman" w:hAnsi="Times New Roman" w:cs="Times New Roman"/>
                <w:kern w:val="0"/>
                <w:sz w:val="20"/>
                <w:szCs w:val="20"/>
              </w:rPr>
              <w:t>0.00</w:t>
            </w:r>
            <w:r w:rsidR="00A54DA5">
              <w:rPr>
                <w:rFonts w:ascii="Times New Roman" w:hAnsi="Times New Roman" w:cs="Times New Roman" w:hint="eastAsia"/>
                <w:kern w:val="0"/>
                <w:sz w:val="20"/>
                <w:szCs w:val="20"/>
                <w:lang w:eastAsia="zh-CN"/>
              </w:rPr>
              <w:t>2</w:t>
            </w:r>
          </w:p>
        </w:tc>
      </w:tr>
      <w:tr w:rsidR="00FA2AFF" w:rsidRPr="00FA2AFF" w14:paraId="14A38951" w14:textId="77777777" w:rsidTr="00FA2AFF">
        <w:trPr>
          <w:trHeight w:val="284"/>
          <w:jc w:val="center"/>
        </w:trPr>
        <w:tc>
          <w:tcPr>
            <w:tcW w:w="2634" w:type="dxa"/>
            <w:tcBorders>
              <w:top w:val="nil"/>
              <w:left w:val="nil"/>
              <w:bottom w:val="nil"/>
              <w:right w:val="nil"/>
            </w:tcBorders>
          </w:tcPr>
          <w:p w14:paraId="59C3234B" w14:textId="77777777" w:rsidR="00FA2AFF" w:rsidRPr="00FA2AFF" w:rsidRDefault="00FA2AFF" w:rsidP="00E177DE">
            <w:pPr>
              <w:widowControl w:val="0"/>
              <w:autoSpaceDE w:val="0"/>
              <w:autoSpaceDN w:val="0"/>
              <w:adjustRightInd w:val="0"/>
              <w:spacing w:afterLines="20" w:after="48" w:line="240" w:lineRule="auto"/>
              <w:rPr>
                <w:rFonts w:ascii="Times New Roman" w:hAnsi="Times New Roman" w:cs="Times New Roman"/>
                <w:kern w:val="0"/>
                <w:sz w:val="20"/>
                <w:szCs w:val="20"/>
              </w:rPr>
            </w:pPr>
          </w:p>
        </w:tc>
        <w:tc>
          <w:tcPr>
            <w:tcW w:w="1758" w:type="dxa"/>
            <w:tcBorders>
              <w:top w:val="nil"/>
              <w:left w:val="nil"/>
              <w:bottom w:val="nil"/>
              <w:right w:val="nil"/>
            </w:tcBorders>
          </w:tcPr>
          <w:p w14:paraId="2E2DD0DC" w14:textId="215D0A5C"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w:t>
            </w:r>
            <w:r w:rsidR="00A54DA5">
              <w:rPr>
                <w:rFonts w:ascii="Times New Roman" w:hAnsi="Times New Roman" w:cs="Times New Roman" w:hint="eastAsia"/>
                <w:kern w:val="0"/>
                <w:sz w:val="20"/>
                <w:szCs w:val="20"/>
                <w:lang w:eastAsia="zh-CN"/>
              </w:rPr>
              <w:t>1.414</w:t>
            </w:r>
            <w:r w:rsidRPr="00FA2AFF">
              <w:rPr>
                <w:rFonts w:ascii="Times New Roman" w:hAnsi="Times New Roman" w:cs="Times New Roman"/>
                <w:kern w:val="0"/>
                <w:sz w:val="20"/>
                <w:szCs w:val="20"/>
              </w:rPr>
              <w:t>)</w:t>
            </w:r>
          </w:p>
        </w:tc>
        <w:tc>
          <w:tcPr>
            <w:tcW w:w="1442" w:type="dxa"/>
            <w:tcBorders>
              <w:top w:val="nil"/>
              <w:left w:val="nil"/>
              <w:bottom w:val="nil"/>
              <w:right w:val="nil"/>
            </w:tcBorders>
          </w:tcPr>
          <w:p w14:paraId="2EB24EE1" w14:textId="62293D7A"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w:t>
            </w:r>
            <w:r w:rsidR="00A54DA5">
              <w:rPr>
                <w:rFonts w:ascii="Times New Roman" w:hAnsi="Times New Roman" w:cs="Times New Roman" w:hint="eastAsia"/>
                <w:kern w:val="0"/>
                <w:sz w:val="20"/>
                <w:szCs w:val="20"/>
                <w:lang w:eastAsia="zh-CN"/>
              </w:rPr>
              <w:t>1.171</w:t>
            </w:r>
            <w:r w:rsidRPr="00FA2AFF">
              <w:rPr>
                <w:rFonts w:ascii="Times New Roman" w:hAnsi="Times New Roman" w:cs="Times New Roman"/>
                <w:kern w:val="0"/>
                <w:sz w:val="20"/>
                <w:szCs w:val="20"/>
              </w:rPr>
              <w:t>)</w:t>
            </w:r>
          </w:p>
        </w:tc>
        <w:tc>
          <w:tcPr>
            <w:tcW w:w="2075" w:type="dxa"/>
            <w:tcBorders>
              <w:top w:val="nil"/>
              <w:left w:val="nil"/>
              <w:bottom w:val="nil"/>
              <w:right w:val="nil"/>
            </w:tcBorders>
          </w:tcPr>
          <w:p w14:paraId="0988E81B" w14:textId="2DEB6C07"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w:t>
            </w:r>
            <w:r w:rsidR="00A54DA5">
              <w:rPr>
                <w:rFonts w:ascii="Times New Roman" w:hAnsi="Times New Roman" w:cs="Times New Roman" w:hint="eastAsia"/>
                <w:kern w:val="0"/>
                <w:sz w:val="20"/>
                <w:szCs w:val="20"/>
                <w:lang w:eastAsia="zh-CN"/>
              </w:rPr>
              <w:t>-</w:t>
            </w:r>
            <w:r w:rsidRPr="00FA2AFF">
              <w:rPr>
                <w:rFonts w:ascii="Times New Roman" w:hAnsi="Times New Roman" w:cs="Times New Roman"/>
                <w:kern w:val="0"/>
                <w:sz w:val="20"/>
                <w:szCs w:val="20"/>
              </w:rPr>
              <w:t>1.31</w:t>
            </w:r>
            <w:r w:rsidR="00A54DA5">
              <w:rPr>
                <w:rFonts w:ascii="Times New Roman" w:hAnsi="Times New Roman" w:cs="Times New Roman" w:hint="eastAsia"/>
                <w:kern w:val="0"/>
                <w:sz w:val="20"/>
                <w:szCs w:val="20"/>
                <w:lang w:eastAsia="zh-CN"/>
              </w:rPr>
              <w:t>6</w:t>
            </w:r>
            <w:r w:rsidRPr="00FA2AFF">
              <w:rPr>
                <w:rFonts w:ascii="Times New Roman" w:hAnsi="Times New Roman" w:cs="Times New Roman"/>
                <w:kern w:val="0"/>
                <w:sz w:val="20"/>
                <w:szCs w:val="20"/>
              </w:rPr>
              <w:t>)</w:t>
            </w:r>
          </w:p>
        </w:tc>
        <w:tc>
          <w:tcPr>
            <w:tcW w:w="1451" w:type="dxa"/>
            <w:tcBorders>
              <w:top w:val="nil"/>
              <w:left w:val="nil"/>
              <w:bottom w:val="nil"/>
              <w:right w:val="nil"/>
            </w:tcBorders>
          </w:tcPr>
          <w:p w14:paraId="643D0988" w14:textId="14B07E73"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w:t>
            </w:r>
            <w:r w:rsidR="00A54DA5">
              <w:rPr>
                <w:rFonts w:ascii="Times New Roman" w:hAnsi="Times New Roman" w:cs="Times New Roman" w:hint="eastAsia"/>
                <w:kern w:val="0"/>
                <w:sz w:val="20"/>
                <w:szCs w:val="20"/>
                <w:lang w:eastAsia="zh-CN"/>
              </w:rPr>
              <w:t>1.052</w:t>
            </w:r>
            <w:r w:rsidRPr="00FA2AFF">
              <w:rPr>
                <w:rFonts w:ascii="Times New Roman" w:hAnsi="Times New Roman" w:cs="Times New Roman"/>
                <w:kern w:val="0"/>
                <w:sz w:val="20"/>
                <w:szCs w:val="20"/>
              </w:rPr>
              <w:t>)</w:t>
            </w:r>
          </w:p>
        </w:tc>
      </w:tr>
      <w:tr w:rsidR="00FA2AFF" w:rsidRPr="00FA2AFF" w14:paraId="0987912A" w14:textId="77777777" w:rsidTr="00FA2AFF">
        <w:trPr>
          <w:trHeight w:val="284"/>
          <w:jc w:val="center"/>
        </w:trPr>
        <w:tc>
          <w:tcPr>
            <w:tcW w:w="2634" w:type="dxa"/>
            <w:tcBorders>
              <w:top w:val="nil"/>
              <w:left w:val="nil"/>
              <w:bottom w:val="nil"/>
              <w:right w:val="nil"/>
            </w:tcBorders>
          </w:tcPr>
          <w:p w14:paraId="60D792E9" w14:textId="77777777" w:rsidR="00FA2AFF" w:rsidRPr="00FA2AFF" w:rsidRDefault="00FA2AFF" w:rsidP="00E177DE">
            <w:pPr>
              <w:widowControl w:val="0"/>
              <w:autoSpaceDE w:val="0"/>
              <w:autoSpaceDN w:val="0"/>
              <w:adjustRightInd w:val="0"/>
              <w:spacing w:afterLines="20" w:after="48" w:line="240" w:lineRule="auto"/>
              <w:rPr>
                <w:rFonts w:ascii="Times New Roman" w:hAnsi="Times New Roman" w:cs="Times New Roman"/>
                <w:kern w:val="0"/>
                <w:sz w:val="20"/>
                <w:szCs w:val="20"/>
              </w:rPr>
            </w:pPr>
            <w:proofErr w:type="spellStart"/>
            <w:r w:rsidRPr="00FA2AFF">
              <w:rPr>
                <w:rFonts w:ascii="Times New Roman" w:hAnsi="Times New Roman" w:cs="Times New Roman"/>
                <w:kern w:val="0"/>
                <w:sz w:val="20"/>
                <w:szCs w:val="20"/>
              </w:rPr>
              <w:t>FemaleBoard</w:t>
            </w:r>
            <w:proofErr w:type="spellEnd"/>
          </w:p>
        </w:tc>
        <w:tc>
          <w:tcPr>
            <w:tcW w:w="1758" w:type="dxa"/>
            <w:tcBorders>
              <w:top w:val="nil"/>
              <w:left w:val="nil"/>
              <w:bottom w:val="nil"/>
              <w:right w:val="nil"/>
            </w:tcBorders>
          </w:tcPr>
          <w:p w14:paraId="492BCE1C" w14:textId="1F64BE24" w:rsidR="00FA2AFF" w:rsidRPr="00FA2AFF" w:rsidRDefault="00A54DA5"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lang w:eastAsia="zh-CN"/>
              </w:rPr>
            </w:pPr>
            <w:r>
              <w:rPr>
                <w:rFonts w:ascii="Times New Roman" w:hAnsi="Times New Roman" w:cs="Times New Roman" w:hint="eastAsia"/>
                <w:kern w:val="0"/>
                <w:sz w:val="20"/>
                <w:szCs w:val="20"/>
                <w:lang w:eastAsia="zh-CN"/>
              </w:rPr>
              <w:t>-</w:t>
            </w:r>
            <w:r w:rsidR="00FA2AFF" w:rsidRPr="00FA2AFF">
              <w:rPr>
                <w:rFonts w:ascii="Times New Roman" w:hAnsi="Times New Roman" w:cs="Times New Roman"/>
                <w:kern w:val="0"/>
                <w:sz w:val="20"/>
                <w:szCs w:val="20"/>
              </w:rPr>
              <w:t>0.00</w:t>
            </w:r>
            <w:r>
              <w:rPr>
                <w:rFonts w:ascii="Times New Roman" w:hAnsi="Times New Roman" w:cs="Times New Roman" w:hint="eastAsia"/>
                <w:kern w:val="0"/>
                <w:sz w:val="20"/>
                <w:szCs w:val="20"/>
                <w:lang w:eastAsia="zh-CN"/>
              </w:rPr>
              <w:t>2</w:t>
            </w:r>
          </w:p>
        </w:tc>
        <w:tc>
          <w:tcPr>
            <w:tcW w:w="1442" w:type="dxa"/>
            <w:tcBorders>
              <w:top w:val="nil"/>
              <w:left w:val="nil"/>
              <w:bottom w:val="nil"/>
              <w:right w:val="nil"/>
            </w:tcBorders>
          </w:tcPr>
          <w:p w14:paraId="308EDD5E" w14:textId="5D522550"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lang w:eastAsia="zh-CN"/>
              </w:rPr>
            </w:pPr>
            <w:r w:rsidRPr="00FA2AFF">
              <w:rPr>
                <w:rFonts w:ascii="Times New Roman" w:hAnsi="Times New Roman" w:cs="Times New Roman"/>
                <w:kern w:val="0"/>
                <w:sz w:val="20"/>
                <w:szCs w:val="20"/>
              </w:rPr>
              <w:t>0.00</w:t>
            </w:r>
            <w:r w:rsidR="00A54DA5">
              <w:rPr>
                <w:rFonts w:ascii="Times New Roman" w:hAnsi="Times New Roman" w:cs="Times New Roman" w:hint="eastAsia"/>
                <w:kern w:val="0"/>
                <w:sz w:val="20"/>
                <w:szCs w:val="20"/>
                <w:lang w:eastAsia="zh-CN"/>
              </w:rPr>
              <w:t>3</w:t>
            </w:r>
          </w:p>
        </w:tc>
        <w:tc>
          <w:tcPr>
            <w:tcW w:w="2075" w:type="dxa"/>
            <w:tcBorders>
              <w:top w:val="nil"/>
              <w:left w:val="nil"/>
              <w:bottom w:val="nil"/>
              <w:right w:val="nil"/>
            </w:tcBorders>
          </w:tcPr>
          <w:p w14:paraId="73CF26C7" w14:textId="0EF38E86"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lang w:eastAsia="zh-CN"/>
              </w:rPr>
            </w:pPr>
            <w:r w:rsidRPr="00FA2AFF">
              <w:rPr>
                <w:rFonts w:ascii="Times New Roman" w:hAnsi="Times New Roman" w:cs="Times New Roman"/>
                <w:kern w:val="0"/>
                <w:sz w:val="20"/>
                <w:szCs w:val="20"/>
              </w:rPr>
              <w:t>0.0</w:t>
            </w:r>
            <w:r w:rsidR="00A54DA5">
              <w:rPr>
                <w:rFonts w:ascii="Times New Roman" w:hAnsi="Times New Roman" w:cs="Times New Roman" w:hint="eastAsia"/>
                <w:kern w:val="0"/>
                <w:sz w:val="20"/>
                <w:szCs w:val="20"/>
                <w:lang w:eastAsia="zh-CN"/>
              </w:rPr>
              <w:t>12*</w:t>
            </w:r>
          </w:p>
        </w:tc>
        <w:tc>
          <w:tcPr>
            <w:tcW w:w="1451" w:type="dxa"/>
            <w:tcBorders>
              <w:top w:val="nil"/>
              <w:left w:val="nil"/>
              <w:bottom w:val="nil"/>
              <w:right w:val="nil"/>
            </w:tcBorders>
          </w:tcPr>
          <w:p w14:paraId="6D0F9301" w14:textId="35B4FC0F"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lang w:eastAsia="zh-CN"/>
              </w:rPr>
            </w:pPr>
            <w:r w:rsidRPr="00FA2AFF">
              <w:rPr>
                <w:rFonts w:ascii="Times New Roman" w:hAnsi="Times New Roman" w:cs="Times New Roman"/>
                <w:kern w:val="0"/>
                <w:sz w:val="20"/>
                <w:szCs w:val="20"/>
              </w:rPr>
              <w:t>0.00</w:t>
            </w:r>
            <w:r w:rsidR="00A54DA5">
              <w:rPr>
                <w:rFonts w:ascii="Times New Roman" w:hAnsi="Times New Roman" w:cs="Times New Roman" w:hint="eastAsia"/>
                <w:kern w:val="0"/>
                <w:sz w:val="20"/>
                <w:szCs w:val="20"/>
                <w:lang w:eastAsia="zh-CN"/>
              </w:rPr>
              <w:t>2</w:t>
            </w:r>
          </w:p>
        </w:tc>
      </w:tr>
      <w:tr w:rsidR="00FA2AFF" w:rsidRPr="00FA2AFF" w14:paraId="31B4F5BA" w14:textId="77777777" w:rsidTr="00FA2AFF">
        <w:trPr>
          <w:trHeight w:val="284"/>
          <w:jc w:val="center"/>
        </w:trPr>
        <w:tc>
          <w:tcPr>
            <w:tcW w:w="2634" w:type="dxa"/>
            <w:tcBorders>
              <w:top w:val="nil"/>
              <w:left w:val="nil"/>
              <w:bottom w:val="nil"/>
              <w:right w:val="nil"/>
            </w:tcBorders>
          </w:tcPr>
          <w:p w14:paraId="30D8BF37" w14:textId="77777777" w:rsidR="00FA2AFF" w:rsidRPr="00FA2AFF" w:rsidRDefault="00FA2AFF" w:rsidP="00E177DE">
            <w:pPr>
              <w:widowControl w:val="0"/>
              <w:autoSpaceDE w:val="0"/>
              <w:autoSpaceDN w:val="0"/>
              <w:adjustRightInd w:val="0"/>
              <w:spacing w:afterLines="20" w:after="48" w:line="240" w:lineRule="auto"/>
              <w:rPr>
                <w:rFonts w:ascii="Times New Roman" w:hAnsi="Times New Roman" w:cs="Times New Roman"/>
                <w:kern w:val="0"/>
                <w:sz w:val="20"/>
                <w:szCs w:val="20"/>
              </w:rPr>
            </w:pPr>
          </w:p>
        </w:tc>
        <w:tc>
          <w:tcPr>
            <w:tcW w:w="1758" w:type="dxa"/>
            <w:tcBorders>
              <w:top w:val="nil"/>
              <w:left w:val="nil"/>
              <w:bottom w:val="nil"/>
              <w:right w:val="nil"/>
            </w:tcBorders>
          </w:tcPr>
          <w:p w14:paraId="062C7B59" w14:textId="5451AEA4"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w:t>
            </w:r>
            <w:r w:rsidR="00A54DA5">
              <w:rPr>
                <w:rFonts w:ascii="Times New Roman" w:hAnsi="Times New Roman" w:cs="Times New Roman" w:hint="eastAsia"/>
                <w:kern w:val="0"/>
                <w:sz w:val="20"/>
                <w:szCs w:val="20"/>
                <w:lang w:eastAsia="zh-CN"/>
              </w:rPr>
              <w:t>-0.560</w:t>
            </w:r>
            <w:r w:rsidRPr="00FA2AFF">
              <w:rPr>
                <w:rFonts w:ascii="Times New Roman" w:hAnsi="Times New Roman" w:cs="Times New Roman"/>
                <w:kern w:val="0"/>
                <w:sz w:val="20"/>
                <w:szCs w:val="20"/>
              </w:rPr>
              <w:t>)</w:t>
            </w:r>
          </w:p>
        </w:tc>
        <w:tc>
          <w:tcPr>
            <w:tcW w:w="1442" w:type="dxa"/>
            <w:tcBorders>
              <w:top w:val="nil"/>
              <w:left w:val="nil"/>
              <w:bottom w:val="nil"/>
              <w:right w:val="nil"/>
            </w:tcBorders>
          </w:tcPr>
          <w:p w14:paraId="7384BB0E" w14:textId="30659DE3"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(0.</w:t>
            </w:r>
            <w:r w:rsidR="00A54DA5">
              <w:rPr>
                <w:rFonts w:ascii="Times New Roman" w:hAnsi="Times New Roman" w:cs="Times New Roman" w:hint="eastAsia"/>
                <w:kern w:val="0"/>
                <w:sz w:val="20"/>
                <w:szCs w:val="20"/>
                <w:lang w:eastAsia="zh-CN"/>
              </w:rPr>
              <w:t>536</w:t>
            </w:r>
            <w:r w:rsidRPr="00FA2AFF">
              <w:rPr>
                <w:rFonts w:ascii="Times New Roman" w:hAnsi="Times New Roman" w:cs="Times New Roman"/>
                <w:kern w:val="0"/>
                <w:sz w:val="20"/>
                <w:szCs w:val="20"/>
              </w:rPr>
              <w:t>)</w:t>
            </w:r>
          </w:p>
        </w:tc>
        <w:tc>
          <w:tcPr>
            <w:tcW w:w="2075" w:type="dxa"/>
            <w:tcBorders>
              <w:top w:val="nil"/>
              <w:left w:val="nil"/>
              <w:bottom w:val="nil"/>
              <w:right w:val="nil"/>
            </w:tcBorders>
          </w:tcPr>
          <w:p w14:paraId="4608EAFE" w14:textId="535A4EB5"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w:t>
            </w:r>
            <w:r w:rsidR="00A54DA5">
              <w:rPr>
                <w:rFonts w:ascii="Times New Roman" w:hAnsi="Times New Roman" w:cs="Times New Roman" w:hint="eastAsia"/>
                <w:kern w:val="0"/>
                <w:sz w:val="20"/>
                <w:szCs w:val="20"/>
                <w:lang w:eastAsia="zh-CN"/>
              </w:rPr>
              <w:t>2.030</w:t>
            </w:r>
            <w:r w:rsidRPr="00FA2AFF">
              <w:rPr>
                <w:rFonts w:ascii="Times New Roman" w:hAnsi="Times New Roman" w:cs="Times New Roman"/>
                <w:kern w:val="0"/>
                <w:sz w:val="20"/>
                <w:szCs w:val="20"/>
              </w:rPr>
              <w:t>)</w:t>
            </w:r>
          </w:p>
        </w:tc>
        <w:tc>
          <w:tcPr>
            <w:tcW w:w="1451" w:type="dxa"/>
            <w:tcBorders>
              <w:top w:val="nil"/>
              <w:left w:val="nil"/>
              <w:bottom w:val="nil"/>
              <w:right w:val="nil"/>
            </w:tcBorders>
          </w:tcPr>
          <w:p w14:paraId="5F2BE31F" w14:textId="14C3E795"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(0.</w:t>
            </w:r>
            <w:r w:rsidR="00A54DA5">
              <w:rPr>
                <w:rFonts w:ascii="Times New Roman" w:hAnsi="Times New Roman" w:cs="Times New Roman" w:hint="eastAsia"/>
                <w:kern w:val="0"/>
                <w:sz w:val="20"/>
                <w:szCs w:val="20"/>
                <w:lang w:eastAsia="zh-CN"/>
              </w:rPr>
              <w:t>528</w:t>
            </w:r>
            <w:r w:rsidRPr="00FA2AFF">
              <w:rPr>
                <w:rFonts w:ascii="Times New Roman" w:hAnsi="Times New Roman" w:cs="Times New Roman"/>
                <w:kern w:val="0"/>
                <w:sz w:val="20"/>
                <w:szCs w:val="20"/>
              </w:rPr>
              <w:t>)</w:t>
            </w:r>
          </w:p>
        </w:tc>
      </w:tr>
      <w:tr w:rsidR="00FA2AFF" w:rsidRPr="00FA2AFF" w14:paraId="28D4D9E8" w14:textId="77777777" w:rsidTr="00FA2AFF">
        <w:trPr>
          <w:trHeight w:val="284"/>
          <w:jc w:val="center"/>
        </w:trPr>
        <w:tc>
          <w:tcPr>
            <w:tcW w:w="2634" w:type="dxa"/>
            <w:tcBorders>
              <w:top w:val="nil"/>
              <w:left w:val="nil"/>
              <w:bottom w:val="nil"/>
              <w:right w:val="nil"/>
            </w:tcBorders>
          </w:tcPr>
          <w:p w14:paraId="0643B5C5" w14:textId="77777777" w:rsidR="00FA2AFF" w:rsidRPr="00FA2AFF" w:rsidRDefault="00FA2AFF" w:rsidP="00E177DE">
            <w:pPr>
              <w:widowControl w:val="0"/>
              <w:autoSpaceDE w:val="0"/>
              <w:autoSpaceDN w:val="0"/>
              <w:adjustRightInd w:val="0"/>
              <w:spacing w:afterLines="20" w:after="48" w:line="240" w:lineRule="auto"/>
              <w:rPr>
                <w:rFonts w:ascii="Times New Roman" w:hAnsi="Times New Roman" w:cs="Times New Roman"/>
                <w:kern w:val="0"/>
                <w:sz w:val="20"/>
                <w:szCs w:val="20"/>
              </w:rPr>
            </w:pPr>
            <w:proofErr w:type="spellStart"/>
            <w:r w:rsidRPr="00FA2AFF">
              <w:rPr>
                <w:rFonts w:ascii="Times New Roman" w:hAnsi="Times New Roman" w:cs="Times New Roman"/>
                <w:kern w:val="0"/>
                <w:sz w:val="20"/>
                <w:szCs w:val="20"/>
              </w:rPr>
              <w:t>FirmGrow</w:t>
            </w:r>
            <w:proofErr w:type="spellEnd"/>
          </w:p>
        </w:tc>
        <w:tc>
          <w:tcPr>
            <w:tcW w:w="1758" w:type="dxa"/>
            <w:tcBorders>
              <w:top w:val="nil"/>
              <w:left w:val="nil"/>
              <w:bottom w:val="nil"/>
              <w:right w:val="nil"/>
            </w:tcBorders>
          </w:tcPr>
          <w:p w14:paraId="6EA0E7D5" w14:textId="61357E14" w:rsidR="00FA2AFF" w:rsidRPr="00FA2AFF" w:rsidRDefault="00A54DA5"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lang w:eastAsia="zh-CN"/>
              </w:rPr>
            </w:pPr>
            <w:r>
              <w:rPr>
                <w:rFonts w:ascii="Times New Roman" w:hAnsi="Times New Roman" w:cs="Times New Roman" w:hint="eastAsia"/>
                <w:kern w:val="0"/>
                <w:sz w:val="20"/>
                <w:szCs w:val="20"/>
                <w:lang w:eastAsia="zh-CN"/>
              </w:rPr>
              <w:t>0.000***</w:t>
            </w:r>
          </w:p>
        </w:tc>
        <w:tc>
          <w:tcPr>
            <w:tcW w:w="1442" w:type="dxa"/>
            <w:tcBorders>
              <w:top w:val="nil"/>
              <w:left w:val="nil"/>
              <w:bottom w:val="nil"/>
              <w:right w:val="nil"/>
            </w:tcBorders>
          </w:tcPr>
          <w:p w14:paraId="2DEAC918" w14:textId="4E1B6206" w:rsidR="00FA2AFF" w:rsidRPr="007E15B4"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highlight w:val="yellow"/>
                <w:lang w:eastAsia="zh-CN"/>
              </w:rPr>
            </w:pPr>
            <w:r w:rsidRPr="00E43955">
              <w:rPr>
                <w:rFonts w:ascii="Times New Roman" w:hAnsi="Times New Roman" w:cs="Times New Roman"/>
                <w:kern w:val="0"/>
                <w:sz w:val="20"/>
                <w:szCs w:val="20"/>
              </w:rPr>
              <w:t>0.00</w:t>
            </w:r>
            <w:r w:rsidR="00A54DA5" w:rsidRPr="00E43955">
              <w:rPr>
                <w:rFonts w:ascii="Times New Roman" w:hAnsi="Times New Roman" w:cs="Times New Roman" w:hint="eastAsia"/>
                <w:kern w:val="0"/>
                <w:sz w:val="20"/>
                <w:szCs w:val="20"/>
                <w:lang w:eastAsia="zh-CN"/>
              </w:rPr>
              <w:t>0</w:t>
            </w:r>
          </w:p>
        </w:tc>
        <w:tc>
          <w:tcPr>
            <w:tcW w:w="2075" w:type="dxa"/>
            <w:tcBorders>
              <w:top w:val="nil"/>
              <w:left w:val="nil"/>
              <w:bottom w:val="nil"/>
              <w:right w:val="nil"/>
            </w:tcBorders>
          </w:tcPr>
          <w:p w14:paraId="23317B28" w14:textId="319130BF"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lang w:eastAsia="zh-CN"/>
              </w:rPr>
            </w:pPr>
            <w:r w:rsidRPr="00FA2AFF">
              <w:rPr>
                <w:rFonts w:ascii="Times New Roman" w:hAnsi="Times New Roman" w:cs="Times New Roman"/>
                <w:kern w:val="0"/>
                <w:sz w:val="20"/>
                <w:szCs w:val="20"/>
              </w:rPr>
              <w:t>0.00</w:t>
            </w:r>
            <w:r w:rsidR="00A54DA5">
              <w:rPr>
                <w:rFonts w:ascii="Times New Roman" w:hAnsi="Times New Roman" w:cs="Times New Roman" w:hint="eastAsia"/>
                <w:kern w:val="0"/>
                <w:sz w:val="20"/>
                <w:szCs w:val="20"/>
                <w:lang w:eastAsia="zh-CN"/>
              </w:rPr>
              <w:t>1</w:t>
            </w:r>
          </w:p>
        </w:tc>
        <w:tc>
          <w:tcPr>
            <w:tcW w:w="1451" w:type="dxa"/>
            <w:tcBorders>
              <w:top w:val="nil"/>
              <w:left w:val="nil"/>
              <w:bottom w:val="nil"/>
              <w:right w:val="nil"/>
            </w:tcBorders>
          </w:tcPr>
          <w:p w14:paraId="3C4E746A" w14:textId="71B789F7"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lang w:eastAsia="zh-CN"/>
              </w:rPr>
            </w:pPr>
            <w:r w:rsidRPr="00FA2AFF">
              <w:rPr>
                <w:rFonts w:ascii="Times New Roman" w:hAnsi="Times New Roman" w:cs="Times New Roman"/>
                <w:kern w:val="0"/>
                <w:sz w:val="20"/>
                <w:szCs w:val="20"/>
              </w:rPr>
              <w:t>0.00</w:t>
            </w:r>
            <w:r w:rsidR="00A54DA5">
              <w:rPr>
                <w:rFonts w:ascii="Times New Roman" w:hAnsi="Times New Roman" w:cs="Times New Roman" w:hint="eastAsia"/>
                <w:kern w:val="0"/>
                <w:sz w:val="20"/>
                <w:szCs w:val="20"/>
                <w:lang w:eastAsia="zh-CN"/>
              </w:rPr>
              <w:t>0</w:t>
            </w:r>
          </w:p>
        </w:tc>
      </w:tr>
      <w:tr w:rsidR="00FA2AFF" w:rsidRPr="00FA2AFF" w14:paraId="402C9399" w14:textId="77777777" w:rsidTr="00FA2AFF">
        <w:trPr>
          <w:trHeight w:val="284"/>
          <w:jc w:val="center"/>
        </w:trPr>
        <w:tc>
          <w:tcPr>
            <w:tcW w:w="2634" w:type="dxa"/>
            <w:tcBorders>
              <w:top w:val="nil"/>
              <w:left w:val="nil"/>
              <w:bottom w:val="nil"/>
              <w:right w:val="nil"/>
            </w:tcBorders>
          </w:tcPr>
          <w:p w14:paraId="08B85321" w14:textId="77777777" w:rsidR="00FA2AFF" w:rsidRPr="00FA2AFF" w:rsidRDefault="00FA2AFF" w:rsidP="00E177DE">
            <w:pPr>
              <w:widowControl w:val="0"/>
              <w:autoSpaceDE w:val="0"/>
              <w:autoSpaceDN w:val="0"/>
              <w:adjustRightInd w:val="0"/>
              <w:spacing w:afterLines="20" w:after="48" w:line="240" w:lineRule="auto"/>
              <w:rPr>
                <w:rFonts w:ascii="Times New Roman" w:hAnsi="Times New Roman" w:cs="Times New Roman"/>
                <w:kern w:val="0"/>
                <w:sz w:val="20"/>
                <w:szCs w:val="20"/>
              </w:rPr>
            </w:pPr>
          </w:p>
        </w:tc>
        <w:tc>
          <w:tcPr>
            <w:tcW w:w="1758" w:type="dxa"/>
            <w:tcBorders>
              <w:top w:val="nil"/>
              <w:left w:val="nil"/>
              <w:bottom w:val="nil"/>
              <w:right w:val="nil"/>
            </w:tcBorders>
          </w:tcPr>
          <w:p w14:paraId="2259D528" w14:textId="3F7179E3"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w:t>
            </w:r>
            <w:r w:rsidR="00A54DA5">
              <w:rPr>
                <w:rFonts w:ascii="Times New Roman" w:hAnsi="Times New Roman" w:cs="Times New Roman" w:hint="eastAsia"/>
                <w:kern w:val="0"/>
                <w:sz w:val="20"/>
                <w:szCs w:val="20"/>
                <w:lang w:eastAsia="zh-CN"/>
              </w:rPr>
              <w:t>9.530</w:t>
            </w:r>
            <w:r w:rsidRPr="00FA2AFF">
              <w:rPr>
                <w:rFonts w:ascii="Times New Roman" w:hAnsi="Times New Roman" w:cs="Times New Roman"/>
                <w:kern w:val="0"/>
                <w:sz w:val="20"/>
                <w:szCs w:val="20"/>
              </w:rPr>
              <w:t>)</w:t>
            </w:r>
          </w:p>
        </w:tc>
        <w:tc>
          <w:tcPr>
            <w:tcW w:w="1442" w:type="dxa"/>
            <w:tcBorders>
              <w:top w:val="nil"/>
              <w:left w:val="nil"/>
              <w:bottom w:val="nil"/>
              <w:right w:val="nil"/>
            </w:tcBorders>
          </w:tcPr>
          <w:p w14:paraId="6B5333E6" w14:textId="30E98624" w:rsidR="00FA2AFF" w:rsidRPr="007E15B4"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highlight w:val="yellow"/>
              </w:rPr>
            </w:pPr>
            <w:r w:rsidRPr="00CD42BF">
              <w:rPr>
                <w:rFonts w:ascii="Times New Roman" w:hAnsi="Times New Roman" w:cs="Times New Roman"/>
                <w:kern w:val="0"/>
                <w:sz w:val="20"/>
                <w:szCs w:val="20"/>
              </w:rPr>
              <w:t>(</w:t>
            </w:r>
            <w:r w:rsidR="00E43955" w:rsidRPr="00CD42BF">
              <w:rPr>
                <w:rFonts w:ascii="Times New Roman" w:hAnsi="Times New Roman" w:cs="Times New Roman"/>
                <w:kern w:val="0"/>
                <w:sz w:val="20"/>
                <w:szCs w:val="20"/>
              </w:rPr>
              <w:t>0</w:t>
            </w:r>
            <w:r w:rsidRPr="00CD42BF">
              <w:rPr>
                <w:rFonts w:ascii="Times New Roman" w:hAnsi="Times New Roman" w:cs="Times New Roman"/>
                <w:kern w:val="0"/>
                <w:sz w:val="20"/>
                <w:szCs w:val="20"/>
              </w:rPr>
              <w:t>.</w:t>
            </w:r>
            <w:r w:rsidR="00A54DA5" w:rsidRPr="00CD42BF">
              <w:rPr>
                <w:rFonts w:ascii="Times New Roman" w:hAnsi="Times New Roman" w:cs="Times New Roman" w:hint="eastAsia"/>
                <w:kern w:val="0"/>
                <w:sz w:val="20"/>
                <w:szCs w:val="20"/>
                <w:lang w:eastAsia="zh-CN"/>
              </w:rPr>
              <w:t>310</w:t>
            </w:r>
            <w:r w:rsidRPr="00CD42BF">
              <w:rPr>
                <w:rFonts w:ascii="Times New Roman" w:hAnsi="Times New Roman" w:cs="Times New Roman"/>
                <w:kern w:val="0"/>
                <w:sz w:val="20"/>
                <w:szCs w:val="20"/>
              </w:rPr>
              <w:t>)</w:t>
            </w:r>
          </w:p>
        </w:tc>
        <w:tc>
          <w:tcPr>
            <w:tcW w:w="2075" w:type="dxa"/>
            <w:tcBorders>
              <w:top w:val="nil"/>
              <w:left w:val="nil"/>
              <w:bottom w:val="nil"/>
              <w:right w:val="nil"/>
            </w:tcBorders>
          </w:tcPr>
          <w:p w14:paraId="71FAEC9F" w14:textId="258C791D"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w:t>
            </w:r>
            <w:r w:rsidR="00A54DA5">
              <w:rPr>
                <w:rFonts w:ascii="Times New Roman" w:hAnsi="Times New Roman" w:cs="Times New Roman" w:hint="eastAsia"/>
                <w:kern w:val="0"/>
                <w:sz w:val="20"/>
                <w:szCs w:val="20"/>
                <w:lang w:eastAsia="zh-CN"/>
              </w:rPr>
              <w:t>0.907</w:t>
            </w:r>
            <w:r w:rsidRPr="00FA2AFF">
              <w:rPr>
                <w:rFonts w:ascii="Times New Roman" w:hAnsi="Times New Roman" w:cs="Times New Roman"/>
                <w:kern w:val="0"/>
                <w:sz w:val="20"/>
                <w:szCs w:val="20"/>
              </w:rPr>
              <w:t>)</w:t>
            </w:r>
          </w:p>
        </w:tc>
        <w:tc>
          <w:tcPr>
            <w:tcW w:w="1451" w:type="dxa"/>
            <w:tcBorders>
              <w:top w:val="nil"/>
              <w:left w:val="nil"/>
              <w:bottom w:val="nil"/>
              <w:right w:val="nil"/>
            </w:tcBorders>
          </w:tcPr>
          <w:p w14:paraId="42548985" w14:textId="7FE05105"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(0.</w:t>
            </w:r>
            <w:r w:rsidR="00A54DA5">
              <w:rPr>
                <w:rFonts w:ascii="Times New Roman" w:hAnsi="Times New Roman" w:cs="Times New Roman" w:hint="eastAsia"/>
                <w:kern w:val="0"/>
                <w:sz w:val="20"/>
                <w:szCs w:val="20"/>
                <w:lang w:eastAsia="zh-CN"/>
              </w:rPr>
              <w:t>109</w:t>
            </w:r>
            <w:r w:rsidRPr="00FA2AFF">
              <w:rPr>
                <w:rFonts w:ascii="Times New Roman" w:hAnsi="Times New Roman" w:cs="Times New Roman"/>
                <w:kern w:val="0"/>
                <w:sz w:val="20"/>
                <w:szCs w:val="20"/>
              </w:rPr>
              <w:t>)</w:t>
            </w:r>
          </w:p>
        </w:tc>
      </w:tr>
      <w:tr w:rsidR="00FA2AFF" w:rsidRPr="00FA2AFF" w14:paraId="319DDE70" w14:textId="77777777" w:rsidTr="00FA2AFF">
        <w:trPr>
          <w:trHeight w:val="284"/>
          <w:jc w:val="center"/>
        </w:trPr>
        <w:tc>
          <w:tcPr>
            <w:tcW w:w="2634" w:type="dxa"/>
            <w:tcBorders>
              <w:top w:val="nil"/>
              <w:left w:val="nil"/>
              <w:bottom w:val="nil"/>
              <w:right w:val="nil"/>
            </w:tcBorders>
          </w:tcPr>
          <w:p w14:paraId="09273E16" w14:textId="77777777" w:rsidR="00FA2AFF" w:rsidRPr="00FA2AFF" w:rsidRDefault="00FA2AFF" w:rsidP="00E177DE">
            <w:pPr>
              <w:widowControl w:val="0"/>
              <w:autoSpaceDE w:val="0"/>
              <w:autoSpaceDN w:val="0"/>
              <w:adjustRightInd w:val="0"/>
              <w:spacing w:afterLines="20" w:after="48" w:line="240" w:lineRule="auto"/>
              <w:rPr>
                <w:rFonts w:ascii="Times New Roman" w:hAnsi="Times New Roman" w:cs="Times New Roman"/>
                <w:kern w:val="0"/>
                <w:sz w:val="20"/>
                <w:szCs w:val="20"/>
              </w:rPr>
            </w:pPr>
            <w:r w:rsidRPr="00FA2AFF">
              <w:rPr>
                <w:rFonts w:ascii="Times New Roman" w:hAnsi="Times New Roman" w:cs="Times New Roman"/>
                <w:kern w:val="0"/>
                <w:sz w:val="20"/>
                <w:szCs w:val="20"/>
              </w:rPr>
              <w:t>ROE</w:t>
            </w:r>
          </w:p>
        </w:tc>
        <w:tc>
          <w:tcPr>
            <w:tcW w:w="1758" w:type="dxa"/>
            <w:tcBorders>
              <w:top w:val="nil"/>
              <w:left w:val="nil"/>
              <w:bottom w:val="nil"/>
              <w:right w:val="nil"/>
            </w:tcBorders>
          </w:tcPr>
          <w:p w14:paraId="41857BE1" w14:textId="77777777"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0.045</w:t>
            </w:r>
          </w:p>
        </w:tc>
        <w:tc>
          <w:tcPr>
            <w:tcW w:w="1442" w:type="dxa"/>
            <w:tcBorders>
              <w:top w:val="nil"/>
              <w:left w:val="nil"/>
              <w:bottom w:val="nil"/>
              <w:right w:val="nil"/>
            </w:tcBorders>
          </w:tcPr>
          <w:p w14:paraId="38EE2ED2" w14:textId="77777777"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-0.061</w:t>
            </w:r>
          </w:p>
        </w:tc>
        <w:tc>
          <w:tcPr>
            <w:tcW w:w="2075" w:type="dxa"/>
            <w:tcBorders>
              <w:top w:val="nil"/>
              <w:left w:val="nil"/>
              <w:bottom w:val="nil"/>
              <w:right w:val="nil"/>
            </w:tcBorders>
          </w:tcPr>
          <w:p w14:paraId="2486FE17" w14:textId="4CCB46AC"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lang w:eastAsia="zh-CN"/>
              </w:rPr>
            </w:pPr>
            <w:r w:rsidRPr="00FA2AFF">
              <w:rPr>
                <w:rFonts w:ascii="Times New Roman" w:hAnsi="Times New Roman" w:cs="Times New Roman"/>
                <w:kern w:val="0"/>
                <w:sz w:val="20"/>
                <w:szCs w:val="20"/>
              </w:rPr>
              <w:t>0.</w:t>
            </w:r>
            <w:r w:rsidR="00A54DA5">
              <w:rPr>
                <w:rFonts w:ascii="Times New Roman" w:hAnsi="Times New Roman" w:cs="Times New Roman" w:hint="eastAsia"/>
                <w:kern w:val="0"/>
                <w:sz w:val="20"/>
                <w:szCs w:val="20"/>
                <w:lang w:eastAsia="zh-CN"/>
              </w:rPr>
              <w:t>206</w:t>
            </w:r>
          </w:p>
        </w:tc>
        <w:tc>
          <w:tcPr>
            <w:tcW w:w="1451" w:type="dxa"/>
            <w:tcBorders>
              <w:top w:val="nil"/>
              <w:left w:val="nil"/>
              <w:bottom w:val="nil"/>
              <w:right w:val="nil"/>
            </w:tcBorders>
          </w:tcPr>
          <w:p w14:paraId="69CE7CFD" w14:textId="274D28CA"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lang w:eastAsia="zh-CN"/>
              </w:rPr>
            </w:pPr>
            <w:r w:rsidRPr="00FA2AFF">
              <w:rPr>
                <w:rFonts w:ascii="Times New Roman" w:hAnsi="Times New Roman" w:cs="Times New Roman"/>
                <w:kern w:val="0"/>
                <w:sz w:val="20"/>
                <w:szCs w:val="20"/>
              </w:rPr>
              <w:t>0.</w:t>
            </w:r>
            <w:r w:rsidR="00A54DA5">
              <w:rPr>
                <w:rFonts w:ascii="Times New Roman" w:hAnsi="Times New Roman" w:cs="Times New Roman" w:hint="eastAsia"/>
                <w:kern w:val="0"/>
                <w:sz w:val="20"/>
                <w:szCs w:val="20"/>
                <w:lang w:eastAsia="zh-CN"/>
              </w:rPr>
              <w:t>253</w:t>
            </w:r>
          </w:p>
        </w:tc>
      </w:tr>
      <w:tr w:rsidR="00FA2AFF" w:rsidRPr="00FA2AFF" w14:paraId="67AB7044" w14:textId="77777777" w:rsidTr="00FA2AFF">
        <w:trPr>
          <w:trHeight w:val="284"/>
          <w:jc w:val="center"/>
        </w:trPr>
        <w:tc>
          <w:tcPr>
            <w:tcW w:w="2634" w:type="dxa"/>
            <w:tcBorders>
              <w:top w:val="nil"/>
              <w:left w:val="nil"/>
              <w:bottom w:val="nil"/>
              <w:right w:val="nil"/>
            </w:tcBorders>
          </w:tcPr>
          <w:p w14:paraId="106B3114" w14:textId="77777777" w:rsidR="00FA2AFF" w:rsidRPr="00FA2AFF" w:rsidRDefault="00FA2AFF" w:rsidP="00E177DE">
            <w:pPr>
              <w:widowControl w:val="0"/>
              <w:autoSpaceDE w:val="0"/>
              <w:autoSpaceDN w:val="0"/>
              <w:adjustRightInd w:val="0"/>
              <w:spacing w:afterLines="20" w:after="48" w:line="240" w:lineRule="auto"/>
              <w:rPr>
                <w:rFonts w:ascii="Times New Roman" w:hAnsi="Times New Roman" w:cs="Times New Roman"/>
                <w:kern w:val="0"/>
                <w:sz w:val="20"/>
                <w:szCs w:val="20"/>
              </w:rPr>
            </w:pPr>
          </w:p>
        </w:tc>
        <w:tc>
          <w:tcPr>
            <w:tcW w:w="1758" w:type="dxa"/>
            <w:tcBorders>
              <w:top w:val="nil"/>
              <w:left w:val="nil"/>
              <w:bottom w:val="nil"/>
              <w:right w:val="nil"/>
            </w:tcBorders>
          </w:tcPr>
          <w:p w14:paraId="7B467D31" w14:textId="77777777"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(1.332)</w:t>
            </w:r>
          </w:p>
        </w:tc>
        <w:tc>
          <w:tcPr>
            <w:tcW w:w="1442" w:type="dxa"/>
            <w:tcBorders>
              <w:top w:val="nil"/>
              <w:left w:val="nil"/>
              <w:bottom w:val="nil"/>
              <w:right w:val="nil"/>
            </w:tcBorders>
          </w:tcPr>
          <w:p w14:paraId="5A3DB217" w14:textId="77777777"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(-1.357)</w:t>
            </w:r>
          </w:p>
        </w:tc>
        <w:tc>
          <w:tcPr>
            <w:tcW w:w="2075" w:type="dxa"/>
            <w:tcBorders>
              <w:top w:val="nil"/>
              <w:left w:val="nil"/>
              <w:bottom w:val="nil"/>
              <w:right w:val="nil"/>
            </w:tcBorders>
          </w:tcPr>
          <w:p w14:paraId="0BE60EC6" w14:textId="510DE83D"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(1.</w:t>
            </w:r>
            <w:r w:rsidR="00A54DA5">
              <w:rPr>
                <w:rFonts w:ascii="Times New Roman" w:hAnsi="Times New Roman" w:cs="Times New Roman" w:hint="eastAsia"/>
                <w:kern w:val="0"/>
                <w:sz w:val="20"/>
                <w:szCs w:val="20"/>
                <w:lang w:eastAsia="zh-CN"/>
              </w:rPr>
              <w:t>624</w:t>
            </w:r>
            <w:r w:rsidRPr="00FA2AFF">
              <w:rPr>
                <w:rFonts w:ascii="Times New Roman" w:hAnsi="Times New Roman" w:cs="Times New Roman"/>
                <w:kern w:val="0"/>
                <w:sz w:val="20"/>
                <w:szCs w:val="20"/>
              </w:rPr>
              <w:t>)</w:t>
            </w:r>
          </w:p>
        </w:tc>
        <w:tc>
          <w:tcPr>
            <w:tcW w:w="1451" w:type="dxa"/>
            <w:tcBorders>
              <w:top w:val="nil"/>
              <w:left w:val="nil"/>
              <w:bottom w:val="nil"/>
              <w:right w:val="nil"/>
            </w:tcBorders>
          </w:tcPr>
          <w:p w14:paraId="13D1836C" w14:textId="62D65279"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(1.</w:t>
            </w:r>
            <w:r w:rsidR="00A54DA5">
              <w:rPr>
                <w:rFonts w:ascii="Times New Roman" w:hAnsi="Times New Roman" w:cs="Times New Roman" w:hint="eastAsia"/>
                <w:kern w:val="0"/>
                <w:sz w:val="20"/>
                <w:szCs w:val="20"/>
                <w:lang w:eastAsia="zh-CN"/>
              </w:rPr>
              <w:t>662</w:t>
            </w:r>
            <w:r w:rsidRPr="00FA2AFF">
              <w:rPr>
                <w:rFonts w:ascii="Times New Roman" w:hAnsi="Times New Roman" w:cs="Times New Roman"/>
                <w:kern w:val="0"/>
                <w:sz w:val="20"/>
                <w:szCs w:val="20"/>
              </w:rPr>
              <w:t>)</w:t>
            </w:r>
          </w:p>
        </w:tc>
      </w:tr>
      <w:tr w:rsidR="00FA2AFF" w:rsidRPr="00FA2AFF" w14:paraId="4DCD378F" w14:textId="77777777" w:rsidTr="00FA2AFF">
        <w:trPr>
          <w:trHeight w:val="284"/>
          <w:jc w:val="center"/>
        </w:trPr>
        <w:tc>
          <w:tcPr>
            <w:tcW w:w="2634" w:type="dxa"/>
            <w:tcBorders>
              <w:top w:val="nil"/>
              <w:left w:val="nil"/>
              <w:bottom w:val="nil"/>
              <w:right w:val="nil"/>
            </w:tcBorders>
          </w:tcPr>
          <w:p w14:paraId="36FEDD16" w14:textId="77777777" w:rsidR="00FA2AFF" w:rsidRPr="00FA2AFF" w:rsidRDefault="00FA2AFF" w:rsidP="00E177DE">
            <w:pPr>
              <w:widowControl w:val="0"/>
              <w:autoSpaceDE w:val="0"/>
              <w:autoSpaceDN w:val="0"/>
              <w:adjustRightInd w:val="0"/>
              <w:spacing w:afterLines="20" w:after="48" w:line="240" w:lineRule="auto"/>
              <w:rPr>
                <w:rFonts w:ascii="Times New Roman" w:hAnsi="Times New Roman" w:cs="Times New Roman"/>
                <w:kern w:val="0"/>
                <w:sz w:val="20"/>
                <w:szCs w:val="20"/>
              </w:rPr>
            </w:pPr>
            <w:r w:rsidRPr="00FA2AFF">
              <w:rPr>
                <w:rFonts w:ascii="Times New Roman" w:hAnsi="Times New Roman" w:cs="Times New Roman"/>
                <w:kern w:val="0"/>
                <w:sz w:val="20"/>
                <w:szCs w:val="20"/>
              </w:rPr>
              <w:t>Leverage</w:t>
            </w:r>
          </w:p>
        </w:tc>
        <w:tc>
          <w:tcPr>
            <w:tcW w:w="1758" w:type="dxa"/>
            <w:tcBorders>
              <w:top w:val="nil"/>
              <w:left w:val="nil"/>
              <w:bottom w:val="nil"/>
              <w:right w:val="nil"/>
            </w:tcBorders>
          </w:tcPr>
          <w:p w14:paraId="6A745C8C" w14:textId="77777777"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0.212***</w:t>
            </w:r>
          </w:p>
        </w:tc>
        <w:tc>
          <w:tcPr>
            <w:tcW w:w="1442" w:type="dxa"/>
            <w:tcBorders>
              <w:top w:val="nil"/>
              <w:left w:val="nil"/>
              <w:bottom w:val="nil"/>
              <w:right w:val="nil"/>
            </w:tcBorders>
          </w:tcPr>
          <w:p w14:paraId="0D0F529C" w14:textId="77777777"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0.297**</w:t>
            </w:r>
          </w:p>
        </w:tc>
        <w:tc>
          <w:tcPr>
            <w:tcW w:w="2075" w:type="dxa"/>
            <w:tcBorders>
              <w:top w:val="nil"/>
              <w:left w:val="nil"/>
              <w:bottom w:val="nil"/>
              <w:right w:val="nil"/>
            </w:tcBorders>
          </w:tcPr>
          <w:p w14:paraId="1FE0E5CB" w14:textId="60C5A6A5"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0.1</w:t>
            </w:r>
            <w:r w:rsidR="00A54DA5">
              <w:rPr>
                <w:rFonts w:ascii="Times New Roman" w:hAnsi="Times New Roman" w:cs="Times New Roman" w:hint="eastAsia"/>
                <w:kern w:val="0"/>
                <w:sz w:val="20"/>
                <w:szCs w:val="20"/>
                <w:lang w:eastAsia="zh-CN"/>
              </w:rPr>
              <w:t>94</w:t>
            </w:r>
            <w:r w:rsidRPr="00FA2AFF">
              <w:rPr>
                <w:rFonts w:ascii="Times New Roman" w:hAnsi="Times New Roman" w:cs="Times New Roman"/>
                <w:kern w:val="0"/>
                <w:sz w:val="20"/>
                <w:szCs w:val="20"/>
              </w:rPr>
              <w:t>**</w:t>
            </w:r>
          </w:p>
        </w:tc>
        <w:tc>
          <w:tcPr>
            <w:tcW w:w="1451" w:type="dxa"/>
            <w:tcBorders>
              <w:top w:val="nil"/>
              <w:left w:val="nil"/>
              <w:bottom w:val="nil"/>
              <w:right w:val="nil"/>
            </w:tcBorders>
          </w:tcPr>
          <w:p w14:paraId="11DC5C4A" w14:textId="1DEA125B"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0.08</w:t>
            </w:r>
            <w:r w:rsidR="00A54DA5">
              <w:rPr>
                <w:rFonts w:ascii="Times New Roman" w:hAnsi="Times New Roman" w:cs="Times New Roman" w:hint="eastAsia"/>
                <w:kern w:val="0"/>
                <w:sz w:val="20"/>
                <w:szCs w:val="20"/>
                <w:lang w:eastAsia="zh-CN"/>
              </w:rPr>
              <w:t>9</w:t>
            </w:r>
            <w:r w:rsidRPr="00FA2AFF">
              <w:rPr>
                <w:rFonts w:ascii="Times New Roman" w:hAnsi="Times New Roman" w:cs="Times New Roman"/>
                <w:kern w:val="0"/>
                <w:sz w:val="20"/>
                <w:szCs w:val="20"/>
              </w:rPr>
              <w:t>*</w:t>
            </w:r>
          </w:p>
        </w:tc>
      </w:tr>
      <w:tr w:rsidR="00FA2AFF" w:rsidRPr="00FA2AFF" w14:paraId="40202816" w14:textId="77777777" w:rsidTr="00FA2AFF">
        <w:trPr>
          <w:trHeight w:val="284"/>
          <w:jc w:val="center"/>
        </w:trPr>
        <w:tc>
          <w:tcPr>
            <w:tcW w:w="2634" w:type="dxa"/>
            <w:tcBorders>
              <w:top w:val="nil"/>
              <w:left w:val="nil"/>
              <w:bottom w:val="nil"/>
              <w:right w:val="nil"/>
            </w:tcBorders>
          </w:tcPr>
          <w:p w14:paraId="54D93706" w14:textId="77777777" w:rsidR="00FA2AFF" w:rsidRPr="00FA2AFF" w:rsidRDefault="00FA2AFF" w:rsidP="00E177DE">
            <w:pPr>
              <w:widowControl w:val="0"/>
              <w:autoSpaceDE w:val="0"/>
              <w:autoSpaceDN w:val="0"/>
              <w:adjustRightInd w:val="0"/>
              <w:spacing w:afterLines="20" w:after="48" w:line="240" w:lineRule="auto"/>
              <w:rPr>
                <w:rFonts w:ascii="Times New Roman" w:hAnsi="Times New Roman" w:cs="Times New Roman"/>
                <w:kern w:val="0"/>
                <w:sz w:val="20"/>
                <w:szCs w:val="20"/>
              </w:rPr>
            </w:pPr>
          </w:p>
        </w:tc>
        <w:tc>
          <w:tcPr>
            <w:tcW w:w="1758" w:type="dxa"/>
            <w:tcBorders>
              <w:top w:val="nil"/>
              <w:left w:val="nil"/>
              <w:bottom w:val="nil"/>
              <w:right w:val="nil"/>
            </w:tcBorders>
          </w:tcPr>
          <w:p w14:paraId="2C20C55C" w14:textId="77777777"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(3.505)</w:t>
            </w:r>
          </w:p>
        </w:tc>
        <w:tc>
          <w:tcPr>
            <w:tcW w:w="1442" w:type="dxa"/>
            <w:tcBorders>
              <w:top w:val="nil"/>
              <w:left w:val="nil"/>
              <w:bottom w:val="nil"/>
              <w:right w:val="nil"/>
            </w:tcBorders>
          </w:tcPr>
          <w:p w14:paraId="00402EA5" w14:textId="77777777"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(1.986)</w:t>
            </w:r>
          </w:p>
        </w:tc>
        <w:tc>
          <w:tcPr>
            <w:tcW w:w="2075" w:type="dxa"/>
            <w:tcBorders>
              <w:top w:val="nil"/>
              <w:left w:val="nil"/>
              <w:bottom w:val="nil"/>
              <w:right w:val="nil"/>
            </w:tcBorders>
          </w:tcPr>
          <w:p w14:paraId="394A29B6" w14:textId="6B687287"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(2.</w:t>
            </w:r>
            <w:r w:rsidR="00A54DA5">
              <w:rPr>
                <w:rFonts w:ascii="Times New Roman" w:hAnsi="Times New Roman" w:cs="Times New Roman" w:hint="eastAsia"/>
                <w:kern w:val="0"/>
                <w:sz w:val="20"/>
                <w:szCs w:val="20"/>
                <w:lang w:eastAsia="zh-CN"/>
              </w:rPr>
              <w:t>451</w:t>
            </w:r>
            <w:r w:rsidRPr="00FA2AFF">
              <w:rPr>
                <w:rFonts w:ascii="Times New Roman" w:hAnsi="Times New Roman" w:cs="Times New Roman"/>
                <w:kern w:val="0"/>
                <w:sz w:val="20"/>
                <w:szCs w:val="20"/>
              </w:rPr>
              <w:t>)</w:t>
            </w:r>
          </w:p>
        </w:tc>
        <w:tc>
          <w:tcPr>
            <w:tcW w:w="1451" w:type="dxa"/>
            <w:tcBorders>
              <w:top w:val="nil"/>
              <w:left w:val="nil"/>
              <w:bottom w:val="nil"/>
              <w:right w:val="nil"/>
            </w:tcBorders>
          </w:tcPr>
          <w:p w14:paraId="6D2F06AE" w14:textId="4B558848"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w:t>
            </w:r>
            <w:r w:rsidR="00A54DA5">
              <w:rPr>
                <w:rFonts w:ascii="Times New Roman" w:hAnsi="Times New Roman" w:cs="Times New Roman" w:hint="eastAsia"/>
                <w:kern w:val="0"/>
                <w:sz w:val="20"/>
                <w:szCs w:val="20"/>
                <w:lang w:eastAsia="zh-CN"/>
              </w:rPr>
              <w:t>1.813</w:t>
            </w:r>
            <w:r w:rsidRPr="00FA2AFF">
              <w:rPr>
                <w:rFonts w:ascii="Times New Roman" w:hAnsi="Times New Roman" w:cs="Times New Roman"/>
                <w:kern w:val="0"/>
                <w:sz w:val="20"/>
                <w:szCs w:val="20"/>
              </w:rPr>
              <w:t>)</w:t>
            </w:r>
          </w:p>
        </w:tc>
      </w:tr>
      <w:tr w:rsidR="00FA2AFF" w:rsidRPr="00FA2AFF" w14:paraId="5F321A4C" w14:textId="77777777" w:rsidTr="00FA2AFF">
        <w:trPr>
          <w:trHeight w:val="284"/>
          <w:jc w:val="center"/>
        </w:trPr>
        <w:tc>
          <w:tcPr>
            <w:tcW w:w="2634" w:type="dxa"/>
            <w:tcBorders>
              <w:top w:val="nil"/>
              <w:left w:val="nil"/>
              <w:bottom w:val="nil"/>
              <w:right w:val="nil"/>
            </w:tcBorders>
          </w:tcPr>
          <w:p w14:paraId="2CAEBCF8" w14:textId="77777777" w:rsidR="00FA2AFF" w:rsidRPr="00FA2AFF" w:rsidRDefault="00FA2AFF" w:rsidP="00E177DE">
            <w:pPr>
              <w:widowControl w:val="0"/>
              <w:autoSpaceDE w:val="0"/>
              <w:autoSpaceDN w:val="0"/>
              <w:adjustRightInd w:val="0"/>
              <w:spacing w:afterLines="20" w:after="48" w:line="240" w:lineRule="auto"/>
              <w:rPr>
                <w:rFonts w:ascii="Times New Roman" w:hAnsi="Times New Roman" w:cs="Times New Roman"/>
                <w:kern w:val="0"/>
                <w:sz w:val="20"/>
                <w:szCs w:val="20"/>
              </w:rPr>
            </w:pPr>
            <w:proofErr w:type="spellStart"/>
            <w:r w:rsidRPr="00FA2AFF">
              <w:rPr>
                <w:rFonts w:ascii="Times New Roman" w:hAnsi="Times New Roman" w:cs="Times New Roman"/>
                <w:kern w:val="0"/>
                <w:sz w:val="20"/>
                <w:szCs w:val="20"/>
              </w:rPr>
              <w:t>FirmSize</w:t>
            </w:r>
            <w:proofErr w:type="spellEnd"/>
          </w:p>
        </w:tc>
        <w:tc>
          <w:tcPr>
            <w:tcW w:w="1758" w:type="dxa"/>
            <w:tcBorders>
              <w:top w:val="nil"/>
              <w:left w:val="nil"/>
              <w:bottom w:val="nil"/>
              <w:right w:val="nil"/>
            </w:tcBorders>
          </w:tcPr>
          <w:p w14:paraId="46943BED" w14:textId="77777777"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0.197***</w:t>
            </w:r>
          </w:p>
        </w:tc>
        <w:tc>
          <w:tcPr>
            <w:tcW w:w="1442" w:type="dxa"/>
            <w:tcBorders>
              <w:top w:val="nil"/>
              <w:left w:val="nil"/>
              <w:bottom w:val="nil"/>
              <w:right w:val="nil"/>
            </w:tcBorders>
          </w:tcPr>
          <w:p w14:paraId="3FCBD807" w14:textId="77777777"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0.295**</w:t>
            </w:r>
          </w:p>
        </w:tc>
        <w:tc>
          <w:tcPr>
            <w:tcW w:w="2075" w:type="dxa"/>
            <w:tcBorders>
              <w:top w:val="nil"/>
              <w:left w:val="nil"/>
              <w:bottom w:val="nil"/>
              <w:right w:val="nil"/>
            </w:tcBorders>
          </w:tcPr>
          <w:p w14:paraId="0A2B51B9" w14:textId="1FAD39BB"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0.1</w:t>
            </w:r>
            <w:r w:rsidR="00A54DA5">
              <w:rPr>
                <w:rFonts w:ascii="Times New Roman" w:hAnsi="Times New Roman" w:cs="Times New Roman" w:hint="eastAsia"/>
                <w:kern w:val="0"/>
                <w:sz w:val="20"/>
                <w:szCs w:val="20"/>
                <w:lang w:eastAsia="zh-CN"/>
              </w:rPr>
              <w:t>95</w:t>
            </w:r>
            <w:r w:rsidRPr="00FA2AFF">
              <w:rPr>
                <w:rFonts w:ascii="Times New Roman" w:hAnsi="Times New Roman" w:cs="Times New Roman"/>
                <w:kern w:val="0"/>
                <w:sz w:val="20"/>
                <w:szCs w:val="20"/>
              </w:rPr>
              <w:t>**</w:t>
            </w:r>
          </w:p>
        </w:tc>
        <w:tc>
          <w:tcPr>
            <w:tcW w:w="1451" w:type="dxa"/>
            <w:tcBorders>
              <w:top w:val="nil"/>
              <w:left w:val="nil"/>
              <w:bottom w:val="nil"/>
              <w:right w:val="nil"/>
            </w:tcBorders>
          </w:tcPr>
          <w:p w14:paraId="3AEADD21" w14:textId="1F250FD0"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lang w:eastAsia="zh-CN"/>
              </w:rPr>
            </w:pPr>
            <w:r w:rsidRPr="00FA2AFF">
              <w:rPr>
                <w:rFonts w:ascii="Times New Roman" w:hAnsi="Times New Roman" w:cs="Times New Roman"/>
                <w:kern w:val="0"/>
                <w:sz w:val="20"/>
                <w:szCs w:val="20"/>
              </w:rPr>
              <w:t>0.0</w:t>
            </w:r>
            <w:r w:rsidR="00A54DA5">
              <w:rPr>
                <w:rFonts w:ascii="Times New Roman" w:hAnsi="Times New Roman" w:cs="Times New Roman" w:hint="eastAsia"/>
                <w:kern w:val="0"/>
                <w:sz w:val="20"/>
                <w:szCs w:val="20"/>
                <w:lang w:eastAsia="zh-CN"/>
              </w:rPr>
              <w:t>75</w:t>
            </w:r>
          </w:p>
        </w:tc>
      </w:tr>
      <w:tr w:rsidR="00FA2AFF" w:rsidRPr="00FA2AFF" w14:paraId="03B21C3A" w14:textId="77777777" w:rsidTr="00FA2AFF">
        <w:trPr>
          <w:trHeight w:val="284"/>
          <w:jc w:val="center"/>
        </w:trPr>
        <w:tc>
          <w:tcPr>
            <w:tcW w:w="2634" w:type="dxa"/>
            <w:tcBorders>
              <w:top w:val="nil"/>
              <w:left w:val="nil"/>
              <w:bottom w:val="nil"/>
              <w:right w:val="nil"/>
            </w:tcBorders>
          </w:tcPr>
          <w:p w14:paraId="2027B140" w14:textId="77777777" w:rsidR="00FA2AFF" w:rsidRPr="00FA2AFF" w:rsidRDefault="00FA2AFF" w:rsidP="00E177DE">
            <w:pPr>
              <w:widowControl w:val="0"/>
              <w:autoSpaceDE w:val="0"/>
              <w:autoSpaceDN w:val="0"/>
              <w:adjustRightInd w:val="0"/>
              <w:spacing w:afterLines="20" w:after="48" w:line="240" w:lineRule="auto"/>
              <w:rPr>
                <w:rFonts w:ascii="Times New Roman" w:hAnsi="Times New Roman" w:cs="Times New Roman"/>
                <w:kern w:val="0"/>
                <w:sz w:val="20"/>
                <w:szCs w:val="20"/>
              </w:rPr>
            </w:pPr>
          </w:p>
        </w:tc>
        <w:tc>
          <w:tcPr>
            <w:tcW w:w="1758" w:type="dxa"/>
            <w:tcBorders>
              <w:top w:val="nil"/>
              <w:left w:val="nil"/>
              <w:bottom w:val="nil"/>
              <w:right w:val="nil"/>
            </w:tcBorders>
          </w:tcPr>
          <w:p w14:paraId="2DC79D59" w14:textId="77777777"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(2.988)</w:t>
            </w:r>
          </w:p>
        </w:tc>
        <w:tc>
          <w:tcPr>
            <w:tcW w:w="1442" w:type="dxa"/>
            <w:tcBorders>
              <w:top w:val="nil"/>
              <w:left w:val="nil"/>
              <w:bottom w:val="nil"/>
              <w:right w:val="nil"/>
            </w:tcBorders>
          </w:tcPr>
          <w:p w14:paraId="5DEC228B" w14:textId="77777777"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(2.049)</w:t>
            </w:r>
          </w:p>
        </w:tc>
        <w:tc>
          <w:tcPr>
            <w:tcW w:w="2075" w:type="dxa"/>
            <w:tcBorders>
              <w:top w:val="nil"/>
              <w:left w:val="nil"/>
              <w:bottom w:val="nil"/>
              <w:right w:val="nil"/>
            </w:tcBorders>
          </w:tcPr>
          <w:p w14:paraId="46F605B6" w14:textId="6CE004C1"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(2.</w:t>
            </w:r>
            <w:r w:rsidR="00A54DA5">
              <w:rPr>
                <w:rFonts w:ascii="Times New Roman" w:hAnsi="Times New Roman" w:cs="Times New Roman" w:hint="eastAsia"/>
                <w:kern w:val="0"/>
                <w:sz w:val="20"/>
                <w:szCs w:val="20"/>
                <w:lang w:eastAsia="zh-CN"/>
              </w:rPr>
              <w:t>328</w:t>
            </w:r>
            <w:r w:rsidRPr="00FA2AFF">
              <w:rPr>
                <w:rFonts w:ascii="Times New Roman" w:hAnsi="Times New Roman" w:cs="Times New Roman"/>
                <w:kern w:val="0"/>
                <w:sz w:val="20"/>
                <w:szCs w:val="20"/>
              </w:rPr>
              <w:t>)</w:t>
            </w:r>
          </w:p>
        </w:tc>
        <w:tc>
          <w:tcPr>
            <w:tcW w:w="1451" w:type="dxa"/>
            <w:tcBorders>
              <w:top w:val="nil"/>
              <w:left w:val="nil"/>
              <w:bottom w:val="nil"/>
              <w:right w:val="nil"/>
            </w:tcBorders>
          </w:tcPr>
          <w:p w14:paraId="67460170" w14:textId="44DDDFCA"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(1.</w:t>
            </w:r>
            <w:r w:rsidR="00A54DA5">
              <w:rPr>
                <w:rFonts w:ascii="Times New Roman" w:hAnsi="Times New Roman" w:cs="Times New Roman" w:hint="eastAsia"/>
                <w:kern w:val="0"/>
                <w:sz w:val="20"/>
                <w:szCs w:val="20"/>
                <w:lang w:eastAsia="zh-CN"/>
              </w:rPr>
              <w:t>202</w:t>
            </w:r>
            <w:r w:rsidRPr="00FA2AFF">
              <w:rPr>
                <w:rFonts w:ascii="Times New Roman" w:hAnsi="Times New Roman" w:cs="Times New Roman"/>
                <w:kern w:val="0"/>
                <w:sz w:val="20"/>
                <w:szCs w:val="20"/>
              </w:rPr>
              <w:t>)</w:t>
            </w:r>
          </w:p>
        </w:tc>
      </w:tr>
      <w:tr w:rsidR="00FA2AFF" w:rsidRPr="00FA2AFF" w14:paraId="21012797" w14:textId="77777777" w:rsidTr="00FA2AFF">
        <w:trPr>
          <w:trHeight w:val="284"/>
          <w:jc w:val="center"/>
        </w:trPr>
        <w:tc>
          <w:tcPr>
            <w:tcW w:w="2634" w:type="dxa"/>
            <w:tcBorders>
              <w:top w:val="nil"/>
              <w:left w:val="nil"/>
              <w:bottom w:val="nil"/>
              <w:right w:val="nil"/>
            </w:tcBorders>
          </w:tcPr>
          <w:p w14:paraId="62F19E2E" w14:textId="77777777" w:rsidR="00FA2AFF" w:rsidRPr="00FA2AFF" w:rsidRDefault="00FA2AFF" w:rsidP="00E177DE">
            <w:pPr>
              <w:widowControl w:val="0"/>
              <w:autoSpaceDE w:val="0"/>
              <w:autoSpaceDN w:val="0"/>
              <w:adjustRightInd w:val="0"/>
              <w:spacing w:afterLines="20" w:after="48" w:line="240" w:lineRule="auto"/>
              <w:rPr>
                <w:rFonts w:ascii="Times New Roman" w:hAnsi="Times New Roman" w:cs="Times New Roman"/>
                <w:kern w:val="0"/>
                <w:sz w:val="20"/>
                <w:szCs w:val="20"/>
              </w:rPr>
            </w:pPr>
            <w:r w:rsidRPr="00FA2AFF">
              <w:rPr>
                <w:rFonts w:ascii="Times New Roman" w:hAnsi="Times New Roman" w:cs="Times New Roman"/>
                <w:kern w:val="0"/>
                <w:sz w:val="20"/>
                <w:szCs w:val="20"/>
              </w:rPr>
              <w:t>Constant</w:t>
            </w:r>
          </w:p>
        </w:tc>
        <w:tc>
          <w:tcPr>
            <w:tcW w:w="1758" w:type="dxa"/>
            <w:tcBorders>
              <w:top w:val="nil"/>
              <w:left w:val="nil"/>
              <w:bottom w:val="nil"/>
              <w:right w:val="nil"/>
            </w:tcBorders>
          </w:tcPr>
          <w:p w14:paraId="6A4E44FE" w14:textId="77777777"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236.273**</w:t>
            </w:r>
          </w:p>
        </w:tc>
        <w:tc>
          <w:tcPr>
            <w:tcW w:w="1442" w:type="dxa"/>
            <w:tcBorders>
              <w:top w:val="nil"/>
              <w:left w:val="nil"/>
              <w:bottom w:val="nil"/>
              <w:right w:val="nil"/>
            </w:tcBorders>
          </w:tcPr>
          <w:p w14:paraId="57B9AEE5" w14:textId="77777777"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-160.435</w:t>
            </w:r>
          </w:p>
        </w:tc>
        <w:tc>
          <w:tcPr>
            <w:tcW w:w="2075" w:type="dxa"/>
            <w:tcBorders>
              <w:top w:val="nil"/>
              <w:left w:val="nil"/>
              <w:bottom w:val="nil"/>
              <w:right w:val="nil"/>
            </w:tcBorders>
          </w:tcPr>
          <w:p w14:paraId="0977733E" w14:textId="10D66DB5"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1</w:t>
            </w:r>
            <w:r w:rsidR="00A54DA5">
              <w:rPr>
                <w:rFonts w:ascii="Times New Roman" w:hAnsi="Times New Roman" w:cs="Times New Roman" w:hint="eastAsia"/>
                <w:kern w:val="0"/>
                <w:sz w:val="20"/>
                <w:szCs w:val="20"/>
                <w:lang w:eastAsia="zh-CN"/>
              </w:rPr>
              <w:t>2</w:t>
            </w:r>
            <w:r w:rsidRPr="00FA2AFF">
              <w:rPr>
                <w:rFonts w:ascii="Times New Roman" w:hAnsi="Times New Roman" w:cs="Times New Roman"/>
                <w:kern w:val="0"/>
                <w:sz w:val="20"/>
                <w:szCs w:val="20"/>
              </w:rPr>
              <w:t>.</w:t>
            </w:r>
            <w:r w:rsidR="00A54DA5">
              <w:rPr>
                <w:rFonts w:ascii="Times New Roman" w:hAnsi="Times New Roman" w:cs="Times New Roman" w:hint="eastAsia"/>
                <w:kern w:val="0"/>
                <w:sz w:val="20"/>
                <w:szCs w:val="20"/>
                <w:lang w:eastAsia="zh-CN"/>
              </w:rPr>
              <w:t>838*</w:t>
            </w:r>
            <w:r w:rsidRPr="00FA2AFF">
              <w:rPr>
                <w:rFonts w:ascii="Times New Roman" w:hAnsi="Times New Roman" w:cs="Times New Roman"/>
                <w:kern w:val="0"/>
                <w:sz w:val="20"/>
                <w:szCs w:val="20"/>
              </w:rPr>
              <w:t>*</w:t>
            </w:r>
          </w:p>
        </w:tc>
        <w:tc>
          <w:tcPr>
            <w:tcW w:w="1451" w:type="dxa"/>
            <w:tcBorders>
              <w:top w:val="nil"/>
              <w:left w:val="nil"/>
              <w:bottom w:val="nil"/>
              <w:right w:val="nil"/>
            </w:tcBorders>
          </w:tcPr>
          <w:p w14:paraId="468CC227" w14:textId="2F534291" w:rsidR="00FA2AFF" w:rsidRPr="00FA2AFF" w:rsidRDefault="00686430"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Pr>
                <w:rFonts w:ascii="Times New Roman" w:hAnsi="Times New Roman" w:cs="Times New Roman" w:hint="eastAsia"/>
                <w:kern w:val="0"/>
                <w:sz w:val="20"/>
                <w:szCs w:val="20"/>
                <w:lang w:eastAsia="zh-CN"/>
              </w:rPr>
              <w:t>18.550</w:t>
            </w:r>
            <w:r w:rsidR="00FA2AFF" w:rsidRPr="00FA2AFF">
              <w:rPr>
                <w:rFonts w:ascii="Times New Roman" w:hAnsi="Times New Roman" w:cs="Times New Roman"/>
                <w:kern w:val="0"/>
                <w:sz w:val="20"/>
                <w:szCs w:val="20"/>
              </w:rPr>
              <w:t>*</w:t>
            </w:r>
          </w:p>
        </w:tc>
      </w:tr>
      <w:tr w:rsidR="00FA2AFF" w:rsidRPr="00FA2AFF" w14:paraId="6FF3B6D4" w14:textId="77777777" w:rsidTr="00FA2AFF">
        <w:trPr>
          <w:trHeight w:val="284"/>
          <w:jc w:val="center"/>
        </w:trPr>
        <w:tc>
          <w:tcPr>
            <w:tcW w:w="2634" w:type="dxa"/>
            <w:tcBorders>
              <w:top w:val="nil"/>
              <w:left w:val="nil"/>
              <w:bottom w:val="nil"/>
              <w:right w:val="nil"/>
            </w:tcBorders>
          </w:tcPr>
          <w:p w14:paraId="44588207" w14:textId="77777777" w:rsidR="00FA2AFF" w:rsidRPr="00FA2AFF" w:rsidRDefault="00FA2AFF" w:rsidP="00E177DE">
            <w:pPr>
              <w:widowControl w:val="0"/>
              <w:autoSpaceDE w:val="0"/>
              <w:autoSpaceDN w:val="0"/>
              <w:adjustRightInd w:val="0"/>
              <w:spacing w:afterLines="20" w:after="48" w:line="240" w:lineRule="auto"/>
              <w:rPr>
                <w:rFonts w:ascii="Times New Roman" w:hAnsi="Times New Roman" w:cs="Times New Roman"/>
                <w:kern w:val="0"/>
                <w:sz w:val="20"/>
                <w:szCs w:val="20"/>
              </w:rPr>
            </w:pPr>
          </w:p>
        </w:tc>
        <w:tc>
          <w:tcPr>
            <w:tcW w:w="1758" w:type="dxa"/>
            <w:tcBorders>
              <w:top w:val="nil"/>
              <w:left w:val="nil"/>
              <w:bottom w:val="nil"/>
              <w:right w:val="nil"/>
            </w:tcBorders>
          </w:tcPr>
          <w:p w14:paraId="12812CE6" w14:textId="77777777"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(2.091)</w:t>
            </w:r>
          </w:p>
        </w:tc>
        <w:tc>
          <w:tcPr>
            <w:tcW w:w="1442" w:type="dxa"/>
            <w:tcBorders>
              <w:top w:val="nil"/>
              <w:left w:val="nil"/>
              <w:bottom w:val="nil"/>
              <w:right w:val="nil"/>
            </w:tcBorders>
          </w:tcPr>
          <w:p w14:paraId="00A42BAE" w14:textId="77777777"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(-0.785)</w:t>
            </w:r>
          </w:p>
        </w:tc>
        <w:tc>
          <w:tcPr>
            <w:tcW w:w="2075" w:type="dxa"/>
            <w:tcBorders>
              <w:top w:val="nil"/>
              <w:left w:val="nil"/>
              <w:bottom w:val="nil"/>
              <w:right w:val="nil"/>
            </w:tcBorders>
          </w:tcPr>
          <w:p w14:paraId="352C6790" w14:textId="687C2DAC"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w:t>
            </w:r>
            <w:r w:rsidR="00686430">
              <w:rPr>
                <w:rFonts w:ascii="Times New Roman" w:hAnsi="Times New Roman" w:cs="Times New Roman" w:hint="eastAsia"/>
                <w:kern w:val="0"/>
                <w:sz w:val="20"/>
                <w:szCs w:val="20"/>
                <w:lang w:eastAsia="zh-CN"/>
              </w:rPr>
              <w:t>1.980</w:t>
            </w:r>
            <w:r w:rsidRPr="00FA2AFF">
              <w:rPr>
                <w:rFonts w:ascii="Times New Roman" w:hAnsi="Times New Roman" w:cs="Times New Roman"/>
                <w:kern w:val="0"/>
                <w:sz w:val="20"/>
                <w:szCs w:val="20"/>
              </w:rPr>
              <w:t>)</w:t>
            </w:r>
          </w:p>
        </w:tc>
        <w:tc>
          <w:tcPr>
            <w:tcW w:w="1451" w:type="dxa"/>
            <w:tcBorders>
              <w:top w:val="nil"/>
              <w:left w:val="nil"/>
              <w:bottom w:val="nil"/>
              <w:right w:val="nil"/>
            </w:tcBorders>
          </w:tcPr>
          <w:p w14:paraId="038DBF62" w14:textId="10E3F059"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(1.9</w:t>
            </w:r>
            <w:r w:rsidR="00686430">
              <w:rPr>
                <w:rFonts w:ascii="Times New Roman" w:hAnsi="Times New Roman" w:cs="Times New Roman" w:hint="eastAsia"/>
                <w:kern w:val="0"/>
                <w:sz w:val="20"/>
                <w:szCs w:val="20"/>
                <w:lang w:eastAsia="zh-CN"/>
              </w:rPr>
              <w:t>29</w:t>
            </w:r>
            <w:r w:rsidRPr="00FA2AFF">
              <w:rPr>
                <w:rFonts w:ascii="Times New Roman" w:hAnsi="Times New Roman" w:cs="Times New Roman"/>
                <w:kern w:val="0"/>
                <w:sz w:val="20"/>
                <w:szCs w:val="20"/>
              </w:rPr>
              <w:t>)</w:t>
            </w:r>
          </w:p>
        </w:tc>
      </w:tr>
      <w:tr w:rsidR="00FA2AFF" w:rsidRPr="00FA2AFF" w14:paraId="3A347406" w14:textId="77777777" w:rsidTr="00FA2AFF">
        <w:trPr>
          <w:trHeight w:val="284"/>
          <w:jc w:val="center"/>
        </w:trPr>
        <w:tc>
          <w:tcPr>
            <w:tcW w:w="2634" w:type="dxa"/>
            <w:tcBorders>
              <w:top w:val="nil"/>
              <w:left w:val="nil"/>
              <w:bottom w:val="nil"/>
              <w:right w:val="nil"/>
            </w:tcBorders>
          </w:tcPr>
          <w:p w14:paraId="73B9C941" w14:textId="77777777" w:rsidR="00FA2AFF" w:rsidRPr="00FA2AFF" w:rsidRDefault="00FA2AFF" w:rsidP="00E177DE">
            <w:pPr>
              <w:widowControl w:val="0"/>
              <w:autoSpaceDE w:val="0"/>
              <w:autoSpaceDN w:val="0"/>
              <w:adjustRightInd w:val="0"/>
              <w:spacing w:afterLines="20" w:after="48" w:line="240" w:lineRule="auto"/>
              <w:rPr>
                <w:rFonts w:ascii="Times New Roman" w:hAnsi="Times New Roman" w:cs="Times New Roman"/>
                <w:kern w:val="0"/>
                <w:sz w:val="20"/>
                <w:szCs w:val="20"/>
              </w:rPr>
            </w:pPr>
            <w:r w:rsidRPr="00FA2AFF">
              <w:rPr>
                <w:rFonts w:ascii="Times New Roman" w:hAnsi="Times New Roman" w:cs="Times New Roman"/>
                <w:kern w:val="0"/>
                <w:sz w:val="20"/>
                <w:szCs w:val="20"/>
              </w:rPr>
              <w:t>Observations</w:t>
            </w:r>
          </w:p>
        </w:tc>
        <w:tc>
          <w:tcPr>
            <w:tcW w:w="1758" w:type="dxa"/>
            <w:tcBorders>
              <w:top w:val="nil"/>
              <w:left w:val="nil"/>
              <w:bottom w:val="nil"/>
              <w:right w:val="nil"/>
            </w:tcBorders>
          </w:tcPr>
          <w:p w14:paraId="396AA9F1" w14:textId="77777777"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2,379</w:t>
            </w:r>
          </w:p>
        </w:tc>
        <w:tc>
          <w:tcPr>
            <w:tcW w:w="1442" w:type="dxa"/>
            <w:tcBorders>
              <w:top w:val="nil"/>
              <w:left w:val="nil"/>
              <w:bottom w:val="nil"/>
              <w:right w:val="nil"/>
            </w:tcBorders>
          </w:tcPr>
          <w:p w14:paraId="4C06489C" w14:textId="77777777"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1,972</w:t>
            </w:r>
          </w:p>
        </w:tc>
        <w:tc>
          <w:tcPr>
            <w:tcW w:w="2075" w:type="dxa"/>
            <w:tcBorders>
              <w:top w:val="nil"/>
              <w:left w:val="nil"/>
              <w:bottom w:val="nil"/>
              <w:right w:val="nil"/>
            </w:tcBorders>
          </w:tcPr>
          <w:p w14:paraId="281C5C25" w14:textId="77777777"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2,180</w:t>
            </w:r>
          </w:p>
        </w:tc>
        <w:tc>
          <w:tcPr>
            <w:tcW w:w="1451" w:type="dxa"/>
            <w:tcBorders>
              <w:top w:val="nil"/>
              <w:left w:val="nil"/>
              <w:bottom w:val="nil"/>
              <w:right w:val="nil"/>
            </w:tcBorders>
          </w:tcPr>
          <w:p w14:paraId="6307B841" w14:textId="77777777"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1,684</w:t>
            </w:r>
          </w:p>
        </w:tc>
      </w:tr>
      <w:tr w:rsidR="00FA2AFF" w:rsidRPr="00FA2AFF" w14:paraId="09B41FCF" w14:textId="77777777" w:rsidTr="00FA2AFF">
        <w:trPr>
          <w:trHeight w:val="284"/>
          <w:jc w:val="center"/>
        </w:trPr>
        <w:tc>
          <w:tcPr>
            <w:tcW w:w="2634" w:type="dxa"/>
            <w:tcBorders>
              <w:top w:val="nil"/>
              <w:left w:val="nil"/>
              <w:bottom w:val="nil"/>
              <w:right w:val="nil"/>
            </w:tcBorders>
          </w:tcPr>
          <w:p w14:paraId="02AAA270" w14:textId="77777777" w:rsidR="00FA2AFF" w:rsidRPr="00FA2AFF" w:rsidRDefault="00FA2AFF" w:rsidP="00E177DE">
            <w:pPr>
              <w:widowControl w:val="0"/>
              <w:autoSpaceDE w:val="0"/>
              <w:autoSpaceDN w:val="0"/>
              <w:adjustRightInd w:val="0"/>
              <w:spacing w:afterLines="20" w:after="48" w:line="240" w:lineRule="auto"/>
              <w:rPr>
                <w:rFonts w:ascii="Times New Roman" w:hAnsi="Times New Roman" w:cs="Times New Roman"/>
                <w:kern w:val="0"/>
                <w:sz w:val="20"/>
                <w:szCs w:val="20"/>
              </w:rPr>
            </w:pPr>
            <w:r w:rsidRPr="00FA2AFF">
              <w:rPr>
                <w:rFonts w:ascii="Times New Roman" w:hAnsi="Times New Roman" w:cs="Times New Roman"/>
                <w:kern w:val="0"/>
                <w:sz w:val="20"/>
                <w:szCs w:val="20"/>
              </w:rPr>
              <w:t>Year effects</w:t>
            </w:r>
          </w:p>
        </w:tc>
        <w:tc>
          <w:tcPr>
            <w:tcW w:w="1758" w:type="dxa"/>
            <w:tcBorders>
              <w:top w:val="nil"/>
              <w:left w:val="nil"/>
              <w:bottom w:val="nil"/>
              <w:right w:val="nil"/>
            </w:tcBorders>
          </w:tcPr>
          <w:p w14:paraId="67265569" w14:textId="77777777"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YES</w:t>
            </w:r>
          </w:p>
        </w:tc>
        <w:tc>
          <w:tcPr>
            <w:tcW w:w="1442" w:type="dxa"/>
            <w:tcBorders>
              <w:top w:val="nil"/>
              <w:left w:val="nil"/>
              <w:bottom w:val="nil"/>
              <w:right w:val="nil"/>
            </w:tcBorders>
          </w:tcPr>
          <w:p w14:paraId="44A79C3A" w14:textId="77777777"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YES</w:t>
            </w:r>
          </w:p>
        </w:tc>
        <w:tc>
          <w:tcPr>
            <w:tcW w:w="2075" w:type="dxa"/>
            <w:tcBorders>
              <w:top w:val="nil"/>
              <w:left w:val="nil"/>
              <w:bottom w:val="nil"/>
              <w:right w:val="nil"/>
            </w:tcBorders>
          </w:tcPr>
          <w:p w14:paraId="6D2129F2" w14:textId="77777777"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YES</w:t>
            </w:r>
          </w:p>
        </w:tc>
        <w:tc>
          <w:tcPr>
            <w:tcW w:w="1451" w:type="dxa"/>
            <w:tcBorders>
              <w:top w:val="nil"/>
              <w:left w:val="nil"/>
              <w:bottom w:val="nil"/>
              <w:right w:val="nil"/>
            </w:tcBorders>
          </w:tcPr>
          <w:p w14:paraId="2C5310B1" w14:textId="77777777"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YES</w:t>
            </w:r>
          </w:p>
        </w:tc>
      </w:tr>
      <w:tr w:rsidR="00FA2AFF" w:rsidRPr="00FA2AFF" w14:paraId="68915A16" w14:textId="77777777" w:rsidTr="00FA2AFF">
        <w:trPr>
          <w:trHeight w:val="284"/>
          <w:jc w:val="center"/>
        </w:trPr>
        <w:tc>
          <w:tcPr>
            <w:tcW w:w="2634" w:type="dxa"/>
            <w:tcBorders>
              <w:top w:val="nil"/>
              <w:left w:val="nil"/>
              <w:bottom w:val="nil"/>
              <w:right w:val="nil"/>
            </w:tcBorders>
          </w:tcPr>
          <w:p w14:paraId="5E3502F1" w14:textId="0337A8E1" w:rsidR="00FA2AFF" w:rsidRPr="00FA2AFF" w:rsidRDefault="00FA2AFF" w:rsidP="00E177DE">
            <w:pPr>
              <w:widowControl w:val="0"/>
              <w:autoSpaceDE w:val="0"/>
              <w:autoSpaceDN w:val="0"/>
              <w:adjustRightInd w:val="0"/>
              <w:spacing w:afterLines="20" w:after="48" w:line="240" w:lineRule="auto"/>
              <w:rPr>
                <w:rFonts w:ascii="Times New Roman" w:hAnsi="Times New Roman" w:cs="Times New Roman"/>
                <w:kern w:val="0"/>
                <w:sz w:val="20"/>
                <w:szCs w:val="20"/>
              </w:rPr>
            </w:pPr>
            <w:r w:rsidRPr="00FA2AFF">
              <w:rPr>
                <w:rFonts w:ascii="Times New Roman" w:hAnsi="Times New Roman" w:cs="Times New Roman"/>
                <w:kern w:val="0"/>
                <w:sz w:val="20"/>
                <w:szCs w:val="20"/>
              </w:rPr>
              <w:t>R</w:t>
            </w:r>
            <w:r w:rsidRPr="00FA2AFF">
              <w:rPr>
                <w:rFonts w:ascii="Times New Roman" w:hAnsi="Times New Roman" w:cs="Times New Roman"/>
                <w:kern w:val="0"/>
                <w:sz w:val="20"/>
                <w:szCs w:val="20"/>
                <w:vertAlign w:val="superscript"/>
              </w:rPr>
              <w:t>2</w:t>
            </w:r>
          </w:p>
        </w:tc>
        <w:tc>
          <w:tcPr>
            <w:tcW w:w="1758" w:type="dxa"/>
            <w:tcBorders>
              <w:top w:val="nil"/>
              <w:left w:val="nil"/>
              <w:bottom w:val="nil"/>
              <w:right w:val="nil"/>
            </w:tcBorders>
          </w:tcPr>
          <w:p w14:paraId="32BEC0FA" w14:textId="3B7C655C"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lang w:eastAsia="zh-CN"/>
              </w:rPr>
            </w:pPr>
            <w:r w:rsidRPr="00FA2AFF">
              <w:rPr>
                <w:rFonts w:ascii="Times New Roman" w:hAnsi="Times New Roman" w:cs="Times New Roman"/>
                <w:kern w:val="0"/>
                <w:sz w:val="20"/>
                <w:szCs w:val="20"/>
              </w:rPr>
              <w:t>0.2</w:t>
            </w:r>
            <w:r w:rsidR="00686430">
              <w:rPr>
                <w:rFonts w:ascii="Times New Roman" w:hAnsi="Times New Roman" w:cs="Times New Roman" w:hint="eastAsia"/>
                <w:kern w:val="0"/>
                <w:sz w:val="20"/>
                <w:szCs w:val="20"/>
                <w:lang w:eastAsia="zh-CN"/>
              </w:rPr>
              <w:t>38</w:t>
            </w:r>
          </w:p>
        </w:tc>
        <w:tc>
          <w:tcPr>
            <w:tcW w:w="1442" w:type="dxa"/>
            <w:tcBorders>
              <w:top w:val="nil"/>
              <w:left w:val="nil"/>
              <w:bottom w:val="nil"/>
              <w:right w:val="nil"/>
            </w:tcBorders>
          </w:tcPr>
          <w:p w14:paraId="5AFE0019" w14:textId="0B7F8F9B"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lang w:eastAsia="zh-CN"/>
              </w:rPr>
            </w:pPr>
            <w:r w:rsidRPr="00FA2AFF">
              <w:rPr>
                <w:rFonts w:ascii="Times New Roman" w:hAnsi="Times New Roman" w:cs="Times New Roman"/>
                <w:kern w:val="0"/>
                <w:sz w:val="20"/>
                <w:szCs w:val="20"/>
              </w:rPr>
              <w:t>0.0</w:t>
            </w:r>
            <w:r w:rsidR="00686430">
              <w:rPr>
                <w:rFonts w:ascii="Times New Roman" w:hAnsi="Times New Roman" w:cs="Times New Roman" w:hint="eastAsia"/>
                <w:kern w:val="0"/>
                <w:sz w:val="20"/>
                <w:szCs w:val="20"/>
                <w:lang w:eastAsia="zh-CN"/>
              </w:rPr>
              <w:t>45</w:t>
            </w:r>
          </w:p>
        </w:tc>
        <w:tc>
          <w:tcPr>
            <w:tcW w:w="2075" w:type="dxa"/>
            <w:tcBorders>
              <w:top w:val="nil"/>
              <w:left w:val="nil"/>
              <w:bottom w:val="nil"/>
              <w:right w:val="nil"/>
            </w:tcBorders>
          </w:tcPr>
          <w:p w14:paraId="5D56B1A5" w14:textId="77777777"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w:t>
            </w:r>
          </w:p>
        </w:tc>
        <w:tc>
          <w:tcPr>
            <w:tcW w:w="1451" w:type="dxa"/>
            <w:tcBorders>
              <w:top w:val="nil"/>
              <w:left w:val="nil"/>
              <w:bottom w:val="nil"/>
              <w:right w:val="nil"/>
            </w:tcBorders>
          </w:tcPr>
          <w:p w14:paraId="61E9FCBA" w14:textId="77777777"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w:t>
            </w:r>
          </w:p>
        </w:tc>
      </w:tr>
      <w:tr w:rsidR="00FA2AFF" w:rsidRPr="00FA2AFF" w14:paraId="58544A21" w14:textId="77777777" w:rsidTr="00FA2AFF">
        <w:trPr>
          <w:trHeight w:val="284"/>
          <w:jc w:val="center"/>
        </w:trPr>
        <w:tc>
          <w:tcPr>
            <w:tcW w:w="2634" w:type="dxa"/>
            <w:tcBorders>
              <w:top w:val="nil"/>
              <w:left w:val="nil"/>
              <w:bottom w:val="nil"/>
              <w:right w:val="nil"/>
            </w:tcBorders>
          </w:tcPr>
          <w:p w14:paraId="2B39FB20" w14:textId="77777777" w:rsidR="00FA2AFF" w:rsidRPr="00FA2AFF" w:rsidRDefault="00FA2AFF" w:rsidP="00E177DE">
            <w:pPr>
              <w:widowControl w:val="0"/>
              <w:autoSpaceDE w:val="0"/>
              <w:autoSpaceDN w:val="0"/>
              <w:adjustRightInd w:val="0"/>
              <w:spacing w:afterLines="20" w:after="48" w:line="240" w:lineRule="auto"/>
              <w:rPr>
                <w:rFonts w:ascii="Times New Roman" w:hAnsi="Times New Roman" w:cs="Times New Roman"/>
                <w:kern w:val="0"/>
                <w:sz w:val="20"/>
                <w:szCs w:val="20"/>
              </w:rPr>
            </w:pPr>
            <w:r w:rsidRPr="00FA2AFF">
              <w:rPr>
                <w:rFonts w:ascii="Times New Roman" w:hAnsi="Times New Roman" w:cs="Times New Roman"/>
                <w:kern w:val="0"/>
                <w:sz w:val="20"/>
                <w:szCs w:val="20"/>
              </w:rPr>
              <w:t>F-test</w:t>
            </w:r>
          </w:p>
        </w:tc>
        <w:tc>
          <w:tcPr>
            <w:tcW w:w="1758" w:type="dxa"/>
            <w:tcBorders>
              <w:top w:val="nil"/>
              <w:left w:val="nil"/>
              <w:bottom w:val="nil"/>
              <w:right w:val="nil"/>
            </w:tcBorders>
          </w:tcPr>
          <w:p w14:paraId="6A63BB23" w14:textId="77777777"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30.33***</w:t>
            </w:r>
          </w:p>
        </w:tc>
        <w:tc>
          <w:tcPr>
            <w:tcW w:w="1442" w:type="dxa"/>
            <w:tcBorders>
              <w:top w:val="nil"/>
              <w:left w:val="nil"/>
              <w:bottom w:val="nil"/>
              <w:right w:val="nil"/>
            </w:tcBorders>
          </w:tcPr>
          <w:p w14:paraId="0F0F169E" w14:textId="77777777"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5.15***</w:t>
            </w:r>
          </w:p>
        </w:tc>
        <w:tc>
          <w:tcPr>
            <w:tcW w:w="2075" w:type="dxa"/>
            <w:tcBorders>
              <w:top w:val="nil"/>
              <w:left w:val="nil"/>
              <w:bottom w:val="nil"/>
              <w:right w:val="nil"/>
            </w:tcBorders>
          </w:tcPr>
          <w:p w14:paraId="50E36A43" w14:textId="21F7F5C2" w:rsidR="00FA2AFF" w:rsidRPr="00FA2AFF" w:rsidRDefault="00815843"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w:t>
            </w:r>
          </w:p>
        </w:tc>
        <w:tc>
          <w:tcPr>
            <w:tcW w:w="1451" w:type="dxa"/>
            <w:tcBorders>
              <w:top w:val="nil"/>
              <w:left w:val="nil"/>
              <w:bottom w:val="nil"/>
              <w:right w:val="nil"/>
            </w:tcBorders>
          </w:tcPr>
          <w:p w14:paraId="3F707564" w14:textId="37B2BC32" w:rsidR="00FA2AFF" w:rsidRPr="00FA2AFF" w:rsidRDefault="00815843"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w:t>
            </w:r>
          </w:p>
        </w:tc>
      </w:tr>
      <w:tr w:rsidR="00FA2AFF" w:rsidRPr="00FA2AFF" w14:paraId="381EE092" w14:textId="77777777" w:rsidTr="00FA2AFF">
        <w:trPr>
          <w:trHeight w:val="284"/>
          <w:jc w:val="center"/>
        </w:trPr>
        <w:tc>
          <w:tcPr>
            <w:tcW w:w="2634" w:type="dxa"/>
            <w:tcBorders>
              <w:top w:val="nil"/>
              <w:left w:val="nil"/>
              <w:bottom w:val="nil"/>
              <w:right w:val="nil"/>
            </w:tcBorders>
          </w:tcPr>
          <w:p w14:paraId="34ACB4CC" w14:textId="77777777" w:rsidR="00FA2AFF" w:rsidRPr="00FA2AFF" w:rsidRDefault="00FA2AFF" w:rsidP="00E177DE">
            <w:pPr>
              <w:widowControl w:val="0"/>
              <w:autoSpaceDE w:val="0"/>
              <w:autoSpaceDN w:val="0"/>
              <w:adjustRightInd w:val="0"/>
              <w:spacing w:afterLines="20" w:after="48" w:line="240" w:lineRule="auto"/>
              <w:rPr>
                <w:rFonts w:ascii="Times New Roman" w:hAnsi="Times New Roman" w:cs="Times New Roman"/>
                <w:kern w:val="0"/>
                <w:sz w:val="20"/>
                <w:szCs w:val="20"/>
              </w:rPr>
            </w:pPr>
            <w:r w:rsidRPr="00FA2AFF">
              <w:rPr>
                <w:rFonts w:ascii="Times New Roman" w:hAnsi="Times New Roman" w:cs="Times New Roman"/>
                <w:kern w:val="0"/>
                <w:sz w:val="20"/>
                <w:szCs w:val="20"/>
              </w:rPr>
              <w:t>Hansen J test</w:t>
            </w:r>
          </w:p>
        </w:tc>
        <w:tc>
          <w:tcPr>
            <w:tcW w:w="1758" w:type="dxa"/>
            <w:tcBorders>
              <w:top w:val="nil"/>
              <w:left w:val="nil"/>
              <w:bottom w:val="nil"/>
              <w:right w:val="nil"/>
            </w:tcBorders>
          </w:tcPr>
          <w:p w14:paraId="60A0C3A9" w14:textId="77777777"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w:t>
            </w:r>
          </w:p>
        </w:tc>
        <w:tc>
          <w:tcPr>
            <w:tcW w:w="1442" w:type="dxa"/>
            <w:tcBorders>
              <w:top w:val="nil"/>
              <w:left w:val="nil"/>
              <w:bottom w:val="nil"/>
              <w:right w:val="nil"/>
            </w:tcBorders>
          </w:tcPr>
          <w:p w14:paraId="127F0429" w14:textId="77777777"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w:t>
            </w:r>
          </w:p>
        </w:tc>
        <w:tc>
          <w:tcPr>
            <w:tcW w:w="2075" w:type="dxa"/>
            <w:tcBorders>
              <w:top w:val="nil"/>
              <w:left w:val="nil"/>
              <w:bottom w:val="nil"/>
              <w:right w:val="nil"/>
            </w:tcBorders>
          </w:tcPr>
          <w:p w14:paraId="2DCF6399" w14:textId="43FB8407"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lang w:eastAsia="zh-CN"/>
              </w:rPr>
            </w:pPr>
            <w:r w:rsidRPr="00FA2AFF">
              <w:rPr>
                <w:rFonts w:ascii="Times New Roman" w:hAnsi="Times New Roman" w:cs="Times New Roman"/>
                <w:kern w:val="0"/>
                <w:sz w:val="20"/>
                <w:szCs w:val="20"/>
              </w:rPr>
              <w:t>0.</w:t>
            </w:r>
            <w:r w:rsidR="00686430">
              <w:rPr>
                <w:rFonts w:ascii="Times New Roman" w:hAnsi="Times New Roman" w:cs="Times New Roman" w:hint="eastAsia"/>
                <w:kern w:val="0"/>
                <w:sz w:val="20"/>
                <w:szCs w:val="20"/>
                <w:lang w:eastAsia="zh-CN"/>
              </w:rPr>
              <w:t>537</w:t>
            </w:r>
          </w:p>
        </w:tc>
        <w:tc>
          <w:tcPr>
            <w:tcW w:w="1451" w:type="dxa"/>
            <w:tcBorders>
              <w:top w:val="nil"/>
              <w:left w:val="nil"/>
              <w:bottom w:val="nil"/>
              <w:right w:val="nil"/>
            </w:tcBorders>
          </w:tcPr>
          <w:p w14:paraId="082CC219" w14:textId="4CE622A3"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lang w:eastAsia="zh-CN"/>
              </w:rPr>
            </w:pPr>
            <w:r w:rsidRPr="00FA2AFF">
              <w:rPr>
                <w:rFonts w:ascii="Times New Roman" w:hAnsi="Times New Roman" w:cs="Times New Roman"/>
                <w:kern w:val="0"/>
                <w:sz w:val="20"/>
                <w:szCs w:val="20"/>
              </w:rPr>
              <w:t>0.</w:t>
            </w:r>
            <w:r w:rsidR="00686430">
              <w:rPr>
                <w:rFonts w:ascii="Times New Roman" w:hAnsi="Times New Roman" w:cs="Times New Roman" w:hint="eastAsia"/>
                <w:kern w:val="0"/>
                <w:sz w:val="20"/>
                <w:szCs w:val="20"/>
                <w:lang w:eastAsia="zh-CN"/>
              </w:rPr>
              <w:t>285</w:t>
            </w:r>
          </w:p>
        </w:tc>
      </w:tr>
      <w:tr w:rsidR="00FA2AFF" w:rsidRPr="00FA2AFF" w14:paraId="345F39A6" w14:textId="77777777" w:rsidTr="00FA2AFF">
        <w:tblPrEx>
          <w:tblBorders>
            <w:bottom w:val="single" w:sz="6" w:space="0" w:color="auto"/>
          </w:tblBorders>
        </w:tblPrEx>
        <w:trPr>
          <w:trHeight w:val="297"/>
          <w:jc w:val="center"/>
        </w:trPr>
        <w:tc>
          <w:tcPr>
            <w:tcW w:w="2634" w:type="dxa"/>
            <w:tcBorders>
              <w:top w:val="nil"/>
              <w:left w:val="nil"/>
              <w:bottom w:val="single" w:sz="4" w:space="0" w:color="auto"/>
              <w:right w:val="nil"/>
            </w:tcBorders>
          </w:tcPr>
          <w:p w14:paraId="139A1051" w14:textId="77777777" w:rsidR="00FA2AFF" w:rsidRPr="00FA2AFF" w:rsidRDefault="00FA2AFF" w:rsidP="00E177DE">
            <w:pPr>
              <w:widowControl w:val="0"/>
              <w:autoSpaceDE w:val="0"/>
              <w:autoSpaceDN w:val="0"/>
              <w:adjustRightInd w:val="0"/>
              <w:spacing w:afterLines="20" w:after="48" w:line="240" w:lineRule="auto"/>
              <w:rPr>
                <w:rFonts w:ascii="Times New Roman" w:hAnsi="Times New Roman" w:cs="Times New Roman"/>
                <w:kern w:val="0"/>
                <w:sz w:val="20"/>
                <w:szCs w:val="20"/>
              </w:rPr>
            </w:pPr>
            <w:r w:rsidRPr="00FA2AFF">
              <w:rPr>
                <w:rFonts w:ascii="Times New Roman" w:hAnsi="Times New Roman" w:cs="Times New Roman"/>
                <w:kern w:val="0"/>
                <w:sz w:val="20"/>
                <w:szCs w:val="20"/>
              </w:rPr>
              <w:t>AR (2) test</w:t>
            </w:r>
          </w:p>
        </w:tc>
        <w:tc>
          <w:tcPr>
            <w:tcW w:w="1758" w:type="dxa"/>
            <w:tcBorders>
              <w:top w:val="nil"/>
              <w:left w:val="nil"/>
              <w:bottom w:val="single" w:sz="4" w:space="0" w:color="auto"/>
              <w:right w:val="nil"/>
            </w:tcBorders>
          </w:tcPr>
          <w:p w14:paraId="1870ADA6" w14:textId="77777777"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w:t>
            </w:r>
          </w:p>
        </w:tc>
        <w:tc>
          <w:tcPr>
            <w:tcW w:w="1442" w:type="dxa"/>
            <w:tcBorders>
              <w:top w:val="nil"/>
              <w:left w:val="nil"/>
              <w:bottom w:val="single" w:sz="4" w:space="0" w:color="auto"/>
              <w:right w:val="nil"/>
            </w:tcBorders>
          </w:tcPr>
          <w:p w14:paraId="35C271F4" w14:textId="77777777"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A2AFF">
              <w:rPr>
                <w:rFonts w:ascii="Times New Roman" w:hAnsi="Times New Roman" w:cs="Times New Roman"/>
                <w:kern w:val="0"/>
                <w:sz w:val="20"/>
                <w:szCs w:val="20"/>
              </w:rPr>
              <w:t>-</w:t>
            </w:r>
          </w:p>
        </w:tc>
        <w:tc>
          <w:tcPr>
            <w:tcW w:w="2075" w:type="dxa"/>
            <w:tcBorders>
              <w:top w:val="nil"/>
              <w:left w:val="nil"/>
              <w:bottom w:val="single" w:sz="4" w:space="0" w:color="auto"/>
              <w:right w:val="nil"/>
            </w:tcBorders>
          </w:tcPr>
          <w:p w14:paraId="7F9A5D67" w14:textId="75108298"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lang w:eastAsia="zh-CN"/>
              </w:rPr>
            </w:pPr>
            <w:r w:rsidRPr="00FA2AFF">
              <w:rPr>
                <w:rFonts w:ascii="Times New Roman" w:hAnsi="Times New Roman" w:cs="Times New Roman"/>
                <w:kern w:val="0"/>
                <w:sz w:val="20"/>
                <w:szCs w:val="20"/>
              </w:rPr>
              <w:t>0.</w:t>
            </w:r>
            <w:r w:rsidR="00686430">
              <w:rPr>
                <w:rFonts w:ascii="Times New Roman" w:hAnsi="Times New Roman" w:cs="Times New Roman" w:hint="eastAsia"/>
                <w:kern w:val="0"/>
                <w:sz w:val="20"/>
                <w:szCs w:val="20"/>
                <w:lang w:eastAsia="zh-CN"/>
              </w:rPr>
              <w:t>392</w:t>
            </w:r>
          </w:p>
        </w:tc>
        <w:tc>
          <w:tcPr>
            <w:tcW w:w="1451" w:type="dxa"/>
            <w:tcBorders>
              <w:top w:val="nil"/>
              <w:left w:val="nil"/>
              <w:bottom w:val="single" w:sz="4" w:space="0" w:color="auto"/>
              <w:right w:val="nil"/>
            </w:tcBorders>
          </w:tcPr>
          <w:p w14:paraId="5FFE285C" w14:textId="1D783FB7" w:rsidR="00FA2AFF" w:rsidRPr="00FA2AFF" w:rsidRDefault="00FA2AFF"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lang w:eastAsia="zh-CN"/>
              </w:rPr>
            </w:pPr>
            <w:r w:rsidRPr="00FA2AFF">
              <w:rPr>
                <w:rFonts w:ascii="Times New Roman" w:hAnsi="Times New Roman" w:cs="Times New Roman"/>
                <w:kern w:val="0"/>
                <w:sz w:val="20"/>
                <w:szCs w:val="20"/>
              </w:rPr>
              <w:t>0.</w:t>
            </w:r>
            <w:r w:rsidR="00686430">
              <w:rPr>
                <w:rFonts w:ascii="Times New Roman" w:hAnsi="Times New Roman" w:cs="Times New Roman" w:hint="eastAsia"/>
                <w:kern w:val="0"/>
                <w:sz w:val="20"/>
                <w:szCs w:val="20"/>
                <w:lang w:eastAsia="zh-CN"/>
              </w:rPr>
              <w:t>164</w:t>
            </w:r>
          </w:p>
        </w:tc>
      </w:tr>
      <w:tr w:rsidR="00FA2AFF" w:rsidRPr="00FA2AFF" w14:paraId="7B4A92D6" w14:textId="77777777" w:rsidTr="00FA2AFF">
        <w:tblPrEx>
          <w:tblBorders>
            <w:bottom w:val="single" w:sz="6" w:space="0" w:color="auto"/>
          </w:tblBorders>
        </w:tblPrEx>
        <w:trPr>
          <w:trHeight w:val="297"/>
          <w:jc w:val="center"/>
        </w:trPr>
        <w:tc>
          <w:tcPr>
            <w:tcW w:w="9360" w:type="dxa"/>
            <w:gridSpan w:val="5"/>
            <w:tcBorders>
              <w:top w:val="single" w:sz="4" w:space="0" w:color="auto"/>
              <w:left w:val="nil"/>
              <w:bottom w:val="nil"/>
              <w:right w:val="nil"/>
            </w:tcBorders>
          </w:tcPr>
          <w:p w14:paraId="024A667E" w14:textId="4F2AA55A" w:rsidR="00FA2AFF" w:rsidRPr="00FA2AFF" w:rsidRDefault="00FA2AFF" w:rsidP="005C7AE9">
            <w:pPr>
              <w:widowControl w:val="0"/>
              <w:autoSpaceDE w:val="0"/>
              <w:autoSpaceDN w:val="0"/>
              <w:adjustRightInd w:val="0"/>
              <w:spacing w:afterLines="20" w:after="48" w:line="240" w:lineRule="auto"/>
              <w:jc w:val="both"/>
              <w:rPr>
                <w:rFonts w:ascii="Times New Roman" w:hAnsi="Times New Roman" w:cs="Times New Roman"/>
                <w:kern w:val="0"/>
                <w:sz w:val="20"/>
                <w:szCs w:val="20"/>
              </w:rPr>
            </w:pPr>
            <w:r w:rsidRPr="00FA2AFF">
              <w:rPr>
                <w:rFonts w:ascii="Times New Roman" w:hAnsi="Times New Roman" w:cs="Times New Roman"/>
                <w:kern w:val="0"/>
                <w:sz w:val="20"/>
                <w:szCs w:val="20"/>
              </w:rPr>
              <w:t>Table 1 defines the variables. Standard errors are clustered at firm-level. t-statistics in parentheses. *** p&lt;0.01, ** p&lt;0.05, * p&lt;0.1</w:t>
            </w:r>
          </w:p>
        </w:tc>
      </w:tr>
    </w:tbl>
    <w:p w14:paraId="251F6E1E" w14:textId="77777777" w:rsidR="00FA2AFF" w:rsidRDefault="00FA2AFF" w:rsidP="000367C5">
      <w:pPr>
        <w:spacing w:line="480" w:lineRule="auto"/>
        <w:jc w:val="both"/>
        <w:rPr>
          <w:rFonts w:ascii="Times New Roman" w:hAnsi="Times New Roman" w:cs="Times New Roman"/>
          <w:sz w:val="24"/>
          <w:szCs w:val="24"/>
        </w:rPr>
      </w:pPr>
    </w:p>
    <w:p w14:paraId="3E32A0A3" w14:textId="77777777" w:rsidR="00667364" w:rsidRDefault="00667364" w:rsidP="000367C5">
      <w:pPr>
        <w:spacing w:line="480" w:lineRule="auto"/>
        <w:jc w:val="both"/>
        <w:rPr>
          <w:rFonts w:ascii="Times New Roman" w:hAnsi="Times New Roman" w:cs="Times New Roman"/>
          <w:sz w:val="24"/>
          <w:szCs w:val="24"/>
        </w:rPr>
        <w:sectPr w:rsidR="00667364">
          <w:pgSz w:w="11906" w:h="16838"/>
          <w:pgMar w:top="1440" w:right="1440" w:bottom="1440" w:left="1440" w:header="708" w:footer="708" w:gutter="0"/>
          <w:cols w:space="708"/>
          <w:docGrid w:linePitch="360"/>
        </w:sectPr>
      </w:pPr>
    </w:p>
    <w:p w14:paraId="17EEDFA5" w14:textId="29F68AD7" w:rsidR="00667364" w:rsidRPr="00E177DE" w:rsidRDefault="00667364" w:rsidP="00E177DE">
      <w:pPr>
        <w:widowControl w:val="0"/>
        <w:autoSpaceDE w:val="0"/>
        <w:autoSpaceDN w:val="0"/>
        <w:adjustRightInd w:val="0"/>
        <w:spacing w:after="60" w:line="240" w:lineRule="auto"/>
        <w:ind w:hanging="90"/>
        <w:rPr>
          <w:rFonts w:ascii="Times New Roman" w:hAnsi="Times New Roman" w:cs="Times New Roman"/>
          <w:b/>
          <w:bCs/>
          <w:kern w:val="0"/>
        </w:rPr>
      </w:pPr>
      <w:r w:rsidRPr="00E177DE">
        <w:rPr>
          <w:rFonts w:ascii="Times New Roman" w:hAnsi="Times New Roman" w:cs="Times New Roman"/>
          <w:b/>
          <w:bCs/>
          <w:kern w:val="0"/>
        </w:rPr>
        <w:lastRenderedPageBreak/>
        <w:t>Table 5: Robustness test</w:t>
      </w:r>
      <w:r w:rsidR="00760BAA">
        <w:rPr>
          <w:rFonts w:ascii="Times New Roman" w:hAnsi="Times New Roman" w:cs="Times New Roman"/>
          <w:b/>
          <w:bCs/>
          <w:kern w:val="0"/>
        </w:rPr>
        <w:t>ing</w:t>
      </w:r>
    </w:p>
    <w:tbl>
      <w:tblPr>
        <w:tblW w:w="9267" w:type="dxa"/>
        <w:jc w:val="center"/>
        <w:tblLayout w:type="fixed"/>
        <w:tblCellMar>
          <w:left w:w="75" w:type="dxa"/>
          <w:right w:w="75" w:type="dxa"/>
        </w:tblCellMar>
        <w:tblLook w:val="0000" w:firstRow="0" w:lastRow="0" w:firstColumn="0" w:lastColumn="0" w:noHBand="0" w:noVBand="0"/>
      </w:tblPr>
      <w:tblGrid>
        <w:gridCol w:w="2727"/>
        <w:gridCol w:w="1712"/>
        <w:gridCol w:w="1400"/>
        <w:gridCol w:w="1868"/>
        <w:gridCol w:w="1560"/>
      </w:tblGrid>
      <w:tr w:rsidR="00E177DE" w:rsidRPr="00F83525" w14:paraId="723E5546" w14:textId="77777777" w:rsidTr="00892EFE">
        <w:trPr>
          <w:trHeight w:val="277"/>
          <w:jc w:val="center"/>
        </w:trPr>
        <w:tc>
          <w:tcPr>
            <w:tcW w:w="2727" w:type="dxa"/>
            <w:tcBorders>
              <w:top w:val="single" w:sz="6" w:space="0" w:color="auto"/>
              <w:left w:val="nil"/>
              <w:bottom w:val="single" w:sz="4" w:space="0" w:color="auto"/>
              <w:right w:val="nil"/>
            </w:tcBorders>
          </w:tcPr>
          <w:p w14:paraId="4206882B" w14:textId="77777777" w:rsidR="00E177DE" w:rsidRPr="00F83525" w:rsidRDefault="00E177DE" w:rsidP="00E177DE">
            <w:pPr>
              <w:widowControl w:val="0"/>
              <w:autoSpaceDE w:val="0"/>
              <w:autoSpaceDN w:val="0"/>
              <w:adjustRightInd w:val="0"/>
              <w:spacing w:afterLines="20" w:after="48" w:line="240" w:lineRule="auto"/>
              <w:rPr>
                <w:rFonts w:ascii="Times New Roman" w:hAnsi="Times New Roman" w:cs="Times New Roman"/>
                <w:kern w:val="0"/>
                <w:sz w:val="20"/>
                <w:szCs w:val="20"/>
              </w:rPr>
            </w:pPr>
          </w:p>
        </w:tc>
        <w:tc>
          <w:tcPr>
            <w:tcW w:w="3112" w:type="dxa"/>
            <w:gridSpan w:val="2"/>
            <w:tcBorders>
              <w:top w:val="single" w:sz="6" w:space="0" w:color="auto"/>
              <w:left w:val="nil"/>
              <w:bottom w:val="single" w:sz="4" w:space="0" w:color="auto"/>
              <w:right w:val="nil"/>
            </w:tcBorders>
          </w:tcPr>
          <w:p w14:paraId="71E7EF39" w14:textId="2DC888D5" w:rsidR="00E177DE" w:rsidRPr="00F83525" w:rsidRDefault="00E177DE" w:rsidP="00E177DE">
            <w:pPr>
              <w:widowControl w:val="0"/>
              <w:autoSpaceDE w:val="0"/>
              <w:autoSpaceDN w:val="0"/>
              <w:adjustRightInd w:val="0"/>
              <w:spacing w:afterLines="20" w:after="48" w:line="240" w:lineRule="auto"/>
              <w:jc w:val="center"/>
              <w:rPr>
                <w:rFonts w:ascii="Times New Roman" w:hAnsi="Times New Roman" w:cs="Times New Roman"/>
                <w:b/>
                <w:bCs/>
                <w:kern w:val="0"/>
                <w:sz w:val="20"/>
                <w:szCs w:val="20"/>
              </w:rPr>
            </w:pPr>
            <w:r w:rsidRPr="00F83525">
              <w:rPr>
                <w:rFonts w:ascii="Times New Roman" w:hAnsi="Times New Roman" w:cs="Times New Roman"/>
                <w:b/>
                <w:bCs/>
                <w:kern w:val="0"/>
                <w:sz w:val="20"/>
                <w:szCs w:val="20"/>
              </w:rPr>
              <w:t>Additional controls</w:t>
            </w:r>
          </w:p>
        </w:tc>
        <w:tc>
          <w:tcPr>
            <w:tcW w:w="3428" w:type="dxa"/>
            <w:gridSpan w:val="2"/>
            <w:tcBorders>
              <w:top w:val="single" w:sz="6" w:space="0" w:color="auto"/>
              <w:left w:val="nil"/>
              <w:bottom w:val="single" w:sz="4" w:space="0" w:color="auto"/>
              <w:right w:val="nil"/>
            </w:tcBorders>
          </w:tcPr>
          <w:p w14:paraId="1EDBD31A" w14:textId="62D58150" w:rsidR="00E177DE" w:rsidRPr="00F83525" w:rsidRDefault="00E177DE" w:rsidP="00E177DE">
            <w:pPr>
              <w:widowControl w:val="0"/>
              <w:autoSpaceDE w:val="0"/>
              <w:autoSpaceDN w:val="0"/>
              <w:adjustRightInd w:val="0"/>
              <w:spacing w:afterLines="20" w:after="48" w:line="240" w:lineRule="auto"/>
              <w:jc w:val="center"/>
              <w:rPr>
                <w:rFonts w:ascii="Times New Roman" w:hAnsi="Times New Roman" w:cs="Times New Roman"/>
                <w:b/>
                <w:bCs/>
                <w:kern w:val="0"/>
                <w:sz w:val="20"/>
                <w:szCs w:val="20"/>
              </w:rPr>
            </w:pPr>
            <w:r w:rsidRPr="00F83525">
              <w:rPr>
                <w:rFonts w:ascii="Times New Roman" w:hAnsi="Times New Roman" w:cs="Times New Roman"/>
                <w:b/>
                <w:bCs/>
                <w:kern w:val="0"/>
                <w:sz w:val="20"/>
                <w:szCs w:val="20"/>
              </w:rPr>
              <w:t xml:space="preserve">Alternative measure </w:t>
            </w:r>
          </w:p>
        </w:tc>
      </w:tr>
      <w:tr w:rsidR="00667364" w:rsidRPr="00F83525" w14:paraId="3A2DC9AF" w14:textId="77777777" w:rsidTr="00356F41">
        <w:trPr>
          <w:trHeight w:val="277"/>
          <w:jc w:val="center"/>
        </w:trPr>
        <w:tc>
          <w:tcPr>
            <w:tcW w:w="2727" w:type="dxa"/>
            <w:tcBorders>
              <w:top w:val="single" w:sz="4" w:space="0" w:color="auto"/>
              <w:left w:val="nil"/>
              <w:bottom w:val="single" w:sz="6" w:space="0" w:color="auto"/>
              <w:right w:val="nil"/>
            </w:tcBorders>
          </w:tcPr>
          <w:p w14:paraId="5C5A4D8C" w14:textId="2FF7E368" w:rsidR="00667364" w:rsidRPr="00F83525" w:rsidRDefault="00667364" w:rsidP="00E177DE">
            <w:pPr>
              <w:widowControl w:val="0"/>
              <w:autoSpaceDE w:val="0"/>
              <w:autoSpaceDN w:val="0"/>
              <w:adjustRightInd w:val="0"/>
              <w:spacing w:afterLines="20" w:after="48" w:line="240" w:lineRule="auto"/>
              <w:rPr>
                <w:rFonts w:ascii="Times New Roman" w:hAnsi="Times New Roman" w:cs="Times New Roman"/>
                <w:kern w:val="0"/>
                <w:sz w:val="20"/>
                <w:szCs w:val="20"/>
              </w:rPr>
            </w:pPr>
          </w:p>
        </w:tc>
        <w:tc>
          <w:tcPr>
            <w:tcW w:w="1712" w:type="dxa"/>
            <w:tcBorders>
              <w:top w:val="single" w:sz="4" w:space="0" w:color="auto"/>
              <w:left w:val="nil"/>
              <w:bottom w:val="single" w:sz="6" w:space="0" w:color="auto"/>
              <w:right w:val="nil"/>
            </w:tcBorders>
          </w:tcPr>
          <w:p w14:paraId="0F5DDC17"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b/>
                <w:bCs/>
                <w:kern w:val="0"/>
                <w:sz w:val="20"/>
                <w:szCs w:val="20"/>
              </w:rPr>
            </w:pPr>
            <w:proofErr w:type="spellStart"/>
            <w:r w:rsidRPr="00F83525">
              <w:rPr>
                <w:rFonts w:ascii="Times New Roman" w:hAnsi="Times New Roman" w:cs="Times New Roman"/>
                <w:b/>
                <w:bCs/>
                <w:kern w:val="0"/>
                <w:sz w:val="20"/>
                <w:szCs w:val="20"/>
              </w:rPr>
              <w:t>FirmValue</w:t>
            </w:r>
            <w:proofErr w:type="spellEnd"/>
          </w:p>
        </w:tc>
        <w:tc>
          <w:tcPr>
            <w:tcW w:w="1400" w:type="dxa"/>
            <w:tcBorders>
              <w:top w:val="single" w:sz="4" w:space="0" w:color="auto"/>
              <w:left w:val="nil"/>
              <w:bottom w:val="single" w:sz="6" w:space="0" w:color="auto"/>
              <w:right w:val="nil"/>
            </w:tcBorders>
          </w:tcPr>
          <w:p w14:paraId="1ED104DF"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b/>
                <w:bCs/>
                <w:kern w:val="0"/>
                <w:sz w:val="20"/>
                <w:szCs w:val="20"/>
              </w:rPr>
            </w:pPr>
            <w:r w:rsidRPr="00F83525">
              <w:rPr>
                <w:rFonts w:ascii="Times New Roman" w:hAnsi="Times New Roman" w:cs="Times New Roman"/>
                <w:b/>
                <w:bCs/>
                <w:kern w:val="0"/>
                <w:sz w:val="20"/>
                <w:szCs w:val="20"/>
              </w:rPr>
              <w:t>Dividend</w:t>
            </w:r>
          </w:p>
        </w:tc>
        <w:tc>
          <w:tcPr>
            <w:tcW w:w="1868" w:type="dxa"/>
            <w:tcBorders>
              <w:top w:val="single" w:sz="4" w:space="0" w:color="auto"/>
              <w:left w:val="nil"/>
              <w:bottom w:val="single" w:sz="6" w:space="0" w:color="auto"/>
              <w:right w:val="nil"/>
            </w:tcBorders>
          </w:tcPr>
          <w:p w14:paraId="53B4A06C"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b/>
                <w:bCs/>
                <w:kern w:val="0"/>
                <w:sz w:val="20"/>
                <w:szCs w:val="20"/>
              </w:rPr>
            </w:pPr>
            <w:proofErr w:type="spellStart"/>
            <w:r w:rsidRPr="00F83525">
              <w:rPr>
                <w:rFonts w:ascii="Times New Roman" w:hAnsi="Times New Roman" w:cs="Times New Roman"/>
                <w:b/>
                <w:bCs/>
                <w:kern w:val="0"/>
                <w:sz w:val="20"/>
                <w:szCs w:val="20"/>
              </w:rPr>
              <w:t>FirmValue</w:t>
            </w:r>
            <w:proofErr w:type="spellEnd"/>
          </w:p>
        </w:tc>
        <w:tc>
          <w:tcPr>
            <w:tcW w:w="1560" w:type="dxa"/>
            <w:tcBorders>
              <w:top w:val="single" w:sz="4" w:space="0" w:color="auto"/>
              <w:left w:val="nil"/>
              <w:bottom w:val="single" w:sz="6" w:space="0" w:color="auto"/>
              <w:right w:val="nil"/>
            </w:tcBorders>
          </w:tcPr>
          <w:p w14:paraId="537B3F07"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b/>
                <w:bCs/>
                <w:kern w:val="0"/>
                <w:sz w:val="20"/>
                <w:szCs w:val="20"/>
              </w:rPr>
            </w:pPr>
            <w:r w:rsidRPr="00F83525">
              <w:rPr>
                <w:rFonts w:ascii="Times New Roman" w:hAnsi="Times New Roman" w:cs="Times New Roman"/>
                <w:b/>
                <w:bCs/>
                <w:kern w:val="0"/>
                <w:sz w:val="20"/>
                <w:szCs w:val="20"/>
              </w:rPr>
              <w:t>Dividend</w:t>
            </w:r>
          </w:p>
        </w:tc>
      </w:tr>
      <w:tr w:rsidR="00667364" w:rsidRPr="00F83525" w14:paraId="3228536F" w14:textId="77777777" w:rsidTr="00356F41">
        <w:trPr>
          <w:trHeight w:val="277"/>
          <w:jc w:val="center"/>
        </w:trPr>
        <w:tc>
          <w:tcPr>
            <w:tcW w:w="2727" w:type="dxa"/>
            <w:tcBorders>
              <w:top w:val="nil"/>
              <w:left w:val="nil"/>
              <w:bottom w:val="nil"/>
              <w:right w:val="nil"/>
            </w:tcBorders>
          </w:tcPr>
          <w:p w14:paraId="099F05C2" w14:textId="171D4B37" w:rsidR="00667364" w:rsidRPr="00F83525" w:rsidRDefault="00667364" w:rsidP="00E177DE">
            <w:pPr>
              <w:widowControl w:val="0"/>
              <w:autoSpaceDE w:val="0"/>
              <w:autoSpaceDN w:val="0"/>
              <w:adjustRightInd w:val="0"/>
              <w:spacing w:afterLines="20" w:after="48" w:line="240" w:lineRule="auto"/>
              <w:rPr>
                <w:rFonts w:ascii="Times New Roman" w:hAnsi="Times New Roman" w:cs="Times New Roman"/>
                <w:kern w:val="0"/>
                <w:sz w:val="20"/>
                <w:szCs w:val="20"/>
              </w:rPr>
            </w:pPr>
            <w:r w:rsidRPr="00F83525">
              <w:rPr>
                <w:rFonts w:ascii="Times New Roman" w:hAnsi="Times New Roman" w:cs="Times New Roman"/>
                <w:kern w:val="0"/>
                <w:sz w:val="20"/>
                <w:szCs w:val="20"/>
              </w:rPr>
              <w:t xml:space="preserve">Fintech * </w:t>
            </w:r>
            <w:proofErr w:type="spellStart"/>
            <w:r w:rsidRPr="00F83525">
              <w:rPr>
                <w:rFonts w:ascii="Times New Roman" w:hAnsi="Times New Roman" w:cs="Times New Roman"/>
                <w:kern w:val="0"/>
                <w:sz w:val="20"/>
                <w:szCs w:val="20"/>
              </w:rPr>
              <w:t>ClimateRisk</w:t>
            </w:r>
            <w:proofErr w:type="spellEnd"/>
          </w:p>
        </w:tc>
        <w:tc>
          <w:tcPr>
            <w:tcW w:w="1712" w:type="dxa"/>
            <w:tcBorders>
              <w:top w:val="nil"/>
              <w:left w:val="nil"/>
              <w:bottom w:val="nil"/>
              <w:right w:val="nil"/>
            </w:tcBorders>
          </w:tcPr>
          <w:p w14:paraId="34ACAC62"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0.116**</w:t>
            </w:r>
          </w:p>
        </w:tc>
        <w:tc>
          <w:tcPr>
            <w:tcW w:w="1400" w:type="dxa"/>
            <w:tcBorders>
              <w:top w:val="nil"/>
              <w:left w:val="nil"/>
              <w:bottom w:val="nil"/>
              <w:right w:val="nil"/>
            </w:tcBorders>
          </w:tcPr>
          <w:p w14:paraId="5F5DFB53"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0.406**</w:t>
            </w:r>
          </w:p>
        </w:tc>
        <w:tc>
          <w:tcPr>
            <w:tcW w:w="1868" w:type="dxa"/>
            <w:tcBorders>
              <w:top w:val="nil"/>
              <w:left w:val="nil"/>
              <w:bottom w:val="nil"/>
              <w:right w:val="nil"/>
            </w:tcBorders>
          </w:tcPr>
          <w:p w14:paraId="337F832F"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0.127***</w:t>
            </w:r>
          </w:p>
        </w:tc>
        <w:tc>
          <w:tcPr>
            <w:tcW w:w="1560" w:type="dxa"/>
            <w:tcBorders>
              <w:top w:val="nil"/>
              <w:left w:val="nil"/>
              <w:bottom w:val="nil"/>
              <w:right w:val="nil"/>
            </w:tcBorders>
          </w:tcPr>
          <w:p w14:paraId="3DD8685B"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0.646*</w:t>
            </w:r>
          </w:p>
        </w:tc>
      </w:tr>
      <w:tr w:rsidR="00667364" w:rsidRPr="00F83525" w14:paraId="22F440AC" w14:textId="77777777" w:rsidTr="00356F41">
        <w:trPr>
          <w:trHeight w:val="277"/>
          <w:jc w:val="center"/>
        </w:trPr>
        <w:tc>
          <w:tcPr>
            <w:tcW w:w="2727" w:type="dxa"/>
            <w:tcBorders>
              <w:top w:val="nil"/>
              <w:left w:val="nil"/>
              <w:bottom w:val="nil"/>
              <w:right w:val="nil"/>
            </w:tcBorders>
          </w:tcPr>
          <w:p w14:paraId="5015A423" w14:textId="77777777" w:rsidR="00667364" w:rsidRPr="00F83525" w:rsidRDefault="00667364" w:rsidP="00E177DE">
            <w:pPr>
              <w:widowControl w:val="0"/>
              <w:autoSpaceDE w:val="0"/>
              <w:autoSpaceDN w:val="0"/>
              <w:adjustRightInd w:val="0"/>
              <w:spacing w:afterLines="20" w:after="48" w:line="240" w:lineRule="auto"/>
              <w:rPr>
                <w:rFonts w:ascii="Times New Roman" w:hAnsi="Times New Roman" w:cs="Times New Roman"/>
                <w:kern w:val="0"/>
                <w:sz w:val="20"/>
                <w:szCs w:val="20"/>
              </w:rPr>
            </w:pPr>
          </w:p>
        </w:tc>
        <w:tc>
          <w:tcPr>
            <w:tcW w:w="1712" w:type="dxa"/>
            <w:tcBorders>
              <w:top w:val="nil"/>
              <w:left w:val="nil"/>
              <w:bottom w:val="nil"/>
              <w:right w:val="nil"/>
            </w:tcBorders>
          </w:tcPr>
          <w:p w14:paraId="6946B23F"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(2.534)</w:t>
            </w:r>
          </w:p>
        </w:tc>
        <w:tc>
          <w:tcPr>
            <w:tcW w:w="1400" w:type="dxa"/>
            <w:tcBorders>
              <w:top w:val="nil"/>
              <w:left w:val="nil"/>
              <w:bottom w:val="nil"/>
              <w:right w:val="nil"/>
            </w:tcBorders>
          </w:tcPr>
          <w:p w14:paraId="58310B6E"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(1.999)</w:t>
            </w:r>
          </w:p>
        </w:tc>
        <w:tc>
          <w:tcPr>
            <w:tcW w:w="1868" w:type="dxa"/>
            <w:tcBorders>
              <w:top w:val="nil"/>
              <w:left w:val="nil"/>
              <w:bottom w:val="nil"/>
              <w:right w:val="nil"/>
            </w:tcBorders>
          </w:tcPr>
          <w:p w14:paraId="6C904E0E"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(2.736)</w:t>
            </w:r>
          </w:p>
        </w:tc>
        <w:tc>
          <w:tcPr>
            <w:tcW w:w="1560" w:type="dxa"/>
            <w:tcBorders>
              <w:top w:val="nil"/>
              <w:left w:val="nil"/>
              <w:bottom w:val="nil"/>
              <w:right w:val="nil"/>
            </w:tcBorders>
          </w:tcPr>
          <w:p w14:paraId="770F59C8"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(1.809)</w:t>
            </w:r>
          </w:p>
        </w:tc>
      </w:tr>
      <w:tr w:rsidR="00667364" w:rsidRPr="00F83525" w14:paraId="025F8A75" w14:textId="77777777" w:rsidTr="00356F41">
        <w:trPr>
          <w:trHeight w:val="277"/>
          <w:jc w:val="center"/>
        </w:trPr>
        <w:tc>
          <w:tcPr>
            <w:tcW w:w="2727" w:type="dxa"/>
            <w:tcBorders>
              <w:top w:val="nil"/>
              <w:left w:val="nil"/>
              <w:bottom w:val="nil"/>
              <w:right w:val="nil"/>
            </w:tcBorders>
          </w:tcPr>
          <w:p w14:paraId="0F61D96F" w14:textId="59DB473C" w:rsidR="00667364" w:rsidRPr="00F83525" w:rsidRDefault="00667364" w:rsidP="00E177DE">
            <w:pPr>
              <w:widowControl w:val="0"/>
              <w:autoSpaceDE w:val="0"/>
              <w:autoSpaceDN w:val="0"/>
              <w:adjustRightInd w:val="0"/>
              <w:spacing w:afterLines="20" w:after="48" w:line="240" w:lineRule="auto"/>
              <w:rPr>
                <w:rFonts w:ascii="Times New Roman" w:hAnsi="Times New Roman" w:cs="Times New Roman"/>
                <w:kern w:val="0"/>
                <w:sz w:val="20"/>
                <w:szCs w:val="20"/>
              </w:rPr>
            </w:pPr>
            <w:r w:rsidRPr="00F83525">
              <w:rPr>
                <w:rFonts w:ascii="Times New Roman" w:hAnsi="Times New Roman" w:cs="Times New Roman"/>
                <w:kern w:val="0"/>
                <w:sz w:val="20"/>
                <w:szCs w:val="20"/>
              </w:rPr>
              <w:t>Fintech</w:t>
            </w:r>
          </w:p>
        </w:tc>
        <w:tc>
          <w:tcPr>
            <w:tcW w:w="1712" w:type="dxa"/>
            <w:tcBorders>
              <w:top w:val="nil"/>
              <w:left w:val="nil"/>
              <w:bottom w:val="nil"/>
              <w:right w:val="nil"/>
            </w:tcBorders>
          </w:tcPr>
          <w:p w14:paraId="37DF2DB9"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17.818**</w:t>
            </w:r>
          </w:p>
        </w:tc>
        <w:tc>
          <w:tcPr>
            <w:tcW w:w="1400" w:type="dxa"/>
            <w:tcBorders>
              <w:top w:val="nil"/>
              <w:left w:val="nil"/>
              <w:bottom w:val="nil"/>
              <w:right w:val="nil"/>
            </w:tcBorders>
          </w:tcPr>
          <w:p w14:paraId="07E9E71B"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2.879</w:t>
            </w:r>
          </w:p>
        </w:tc>
        <w:tc>
          <w:tcPr>
            <w:tcW w:w="1868" w:type="dxa"/>
            <w:tcBorders>
              <w:top w:val="nil"/>
              <w:left w:val="nil"/>
              <w:bottom w:val="nil"/>
              <w:right w:val="nil"/>
            </w:tcBorders>
          </w:tcPr>
          <w:p w14:paraId="3353A291"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15.122*</w:t>
            </w:r>
          </w:p>
        </w:tc>
        <w:tc>
          <w:tcPr>
            <w:tcW w:w="1560" w:type="dxa"/>
            <w:tcBorders>
              <w:top w:val="nil"/>
              <w:left w:val="nil"/>
              <w:bottom w:val="nil"/>
              <w:right w:val="nil"/>
            </w:tcBorders>
          </w:tcPr>
          <w:p w14:paraId="2A907183"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35.628</w:t>
            </w:r>
          </w:p>
        </w:tc>
      </w:tr>
      <w:tr w:rsidR="00667364" w:rsidRPr="00F83525" w14:paraId="7EDE0D46" w14:textId="77777777" w:rsidTr="00356F41">
        <w:trPr>
          <w:trHeight w:val="277"/>
          <w:jc w:val="center"/>
        </w:trPr>
        <w:tc>
          <w:tcPr>
            <w:tcW w:w="2727" w:type="dxa"/>
            <w:tcBorders>
              <w:top w:val="nil"/>
              <w:left w:val="nil"/>
              <w:bottom w:val="nil"/>
              <w:right w:val="nil"/>
            </w:tcBorders>
          </w:tcPr>
          <w:p w14:paraId="264F5225" w14:textId="77777777" w:rsidR="00667364" w:rsidRPr="00F83525" w:rsidRDefault="00667364" w:rsidP="00E177DE">
            <w:pPr>
              <w:widowControl w:val="0"/>
              <w:autoSpaceDE w:val="0"/>
              <w:autoSpaceDN w:val="0"/>
              <w:adjustRightInd w:val="0"/>
              <w:spacing w:afterLines="20" w:after="48" w:line="240" w:lineRule="auto"/>
              <w:rPr>
                <w:rFonts w:ascii="Times New Roman" w:hAnsi="Times New Roman" w:cs="Times New Roman"/>
                <w:kern w:val="0"/>
                <w:sz w:val="20"/>
                <w:szCs w:val="20"/>
              </w:rPr>
            </w:pPr>
          </w:p>
        </w:tc>
        <w:tc>
          <w:tcPr>
            <w:tcW w:w="1712" w:type="dxa"/>
            <w:tcBorders>
              <w:top w:val="nil"/>
              <w:left w:val="nil"/>
              <w:bottom w:val="nil"/>
              <w:right w:val="nil"/>
            </w:tcBorders>
          </w:tcPr>
          <w:p w14:paraId="4C0F0C4A"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(2.143)</w:t>
            </w:r>
          </w:p>
        </w:tc>
        <w:tc>
          <w:tcPr>
            <w:tcW w:w="1400" w:type="dxa"/>
            <w:tcBorders>
              <w:top w:val="nil"/>
              <w:left w:val="nil"/>
              <w:bottom w:val="nil"/>
              <w:right w:val="nil"/>
            </w:tcBorders>
          </w:tcPr>
          <w:p w14:paraId="78576239"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(0.211)</w:t>
            </w:r>
          </w:p>
        </w:tc>
        <w:tc>
          <w:tcPr>
            <w:tcW w:w="1868" w:type="dxa"/>
            <w:tcBorders>
              <w:top w:val="nil"/>
              <w:left w:val="nil"/>
              <w:bottom w:val="nil"/>
              <w:right w:val="nil"/>
            </w:tcBorders>
          </w:tcPr>
          <w:p w14:paraId="4B6021C3"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(1.753)</w:t>
            </w:r>
          </w:p>
        </w:tc>
        <w:tc>
          <w:tcPr>
            <w:tcW w:w="1560" w:type="dxa"/>
            <w:tcBorders>
              <w:top w:val="nil"/>
              <w:left w:val="nil"/>
              <w:bottom w:val="nil"/>
              <w:right w:val="nil"/>
            </w:tcBorders>
          </w:tcPr>
          <w:p w14:paraId="41FC15D3"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(0.685)</w:t>
            </w:r>
          </w:p>
        </w:tc>
      </w:tr>
      <w:tr w:rsidR="00667364" w:rsidRPr="00F83525" w14:paraId="531A63BE" w14:textId="77777777" w:rsidTr="00356F41">
        <w:trPr>
          <w:trHeight w:val="277"/>
          <w:jc w:val="center"/>
        </w:trPr>
        <w:tc>
          <w:tcPr>
            <w:tcW w:w="2727" w:type="dxa"/>
            <w:tcBorders>
              <w:top w:val="nil"/>
              <w:left w:val="nil"/>
              <w:bottom w:val="nil"/>
              <w:right w:val="nil"/>
            </w:tcBorders>
          </w:tcPr>
          <w:p w14:paraId="27B03D87" w14:textId="77777777" w:rsidR="00667364" w:rsidRPr="00F83525" w:rsidRDefault="00667364" w:rsidP="00E177DE">
            <w:pPr>
              <w:widowControl w:val="0"/>
              <w:autoSpaceDE w:val="0"/>
              <w:autoSpaceDN w:val="0"/>
              <w:adjustRightInd w:val="0"/>
              <w:spacing w:afterLines="20" w:after="48" w:line="240" w:lineRule="auto"/>
              <w:rPr>
                <w:rFonts w:ascii="Times New Roman" w:hAnsi="Times New Roman" w:cs="Times New Roman"/>
                <w:kern w:val="0"/>
                <w:sz w:val="20"/>
                <w:szCs w:val="20"/>
              </w:rPr>
            </w:pPr>
            <w:proofErr w:type="spellStart"/>
            <w:r w:rsidRPr="00F83525">
              <w:rPr>
                <w:rFonts w:ascii="Times New Roman" w:hAnsi="Times New Roman" w:cs="Times New Roman"/>
                <w:kern w:val="0"/>
                <w:sz w:val="20"/>
                <w:szCs w:val="20"/>
              </w:rPr>
              <w:t>ClimateRisk</w:t>
            </w:r>
            <w:proofErr w:type="spellEnd"/>
          </w:p>
        </w:tc>
        <w:tc>
          <w:tcPr>
            <w:tcW w:w="1712" w:type="dxa"/>
            <w:tcBorders>
              <w:top w:val="nil"/>
              <w:left w:val="nil"/>
              <w:bottom w:val="nil"/>
              <w:right w:val="nil"/>
            </w:tcBorders>
          </w:tcPr>
          <w:p w14:paraId="2F352AB4"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2.183**</w:t>
            </w:r>
          </w:p>
        </w:tc>
        <w:tc>
          <w:tcPr>
            <w:tcW w:w="1400" w:type="dxa"/>
            <w:tcBorders>
              <w:top w:val="nil"/>
              <w:left w:val="nil"/>
              <w:bottom w:val="nil"/>
              <w:right w:val="nil"/>
            </w:tcBorders>
          </w:tcPr>
          <w:p w14:paraId="25B3F9E2"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7.618**</w:t>
            </w:r>
          </w:p>
        </w:tc>
        <w:tc>
          <w:tcPr>
            <w:tcW w:w="1868" w:type="dxa"/>
            <w:tcBorders>
              <w:top w:val="nil"/>
              <w:left w:val="nil"/>
              <w:bottom w:val="nil"/>
              <w:right w:val="nil"/>
            </w:tcBorders>
          </w:tcPr>
          <w:p w14:paraId="04861950"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2.377***</w:t>
            </w:r>
          </w:p>
        </w:tc>
        <w:tc>
          <w:tcPr>
            <w:tcW w:w="1560" w:type="dxa"/>
            <w:tcBorders>
              <w:top w:val="nil"/>
              <w:left w:val="nil"/>
              <w:bottom w:val="nil"/>
              <w:right w:val="nil"/>
            </w:tcBorders>
          </w:tcPr>
          <w:p w14:paraId="2785CD1C"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12.021*</w:t>
            </w:r>
          </w:p>
        </w:tc>
      </w:tr>
      <w:tr w:rsidR="00667364" w:rsidRPr="00F83525" w14:paraId="5C0E30F5" w14:textId="77777777" w:rsidTr="00356F41">
        <w:trPr>
          <w:trHeight w:val="277"/>
          <w:jc w:val="center"/>
        </w:trPr>
        <w:tc>
          <w:tcPr>
            <w:tcW w:w="2727" w:type="dxa"/>
            <w:tcBorders>
              <w:top w:val="nil"/>
              <w:left w:val="nil"/>
              <w:bottom w:val="nil"/>
              <w:right w:val="nil"/>
            </w:tcBorders>
          </w:tcPr>
          <w:p w14:paraId="36714F2F" w14:textId="77777777" w:rsidR="00667364" w:rsidRPr="00F83525" w:rsidRDefault="00667364" w:rsidP="00E177DE">
            <w:pPr>
              <w:widowControl w:val="0"/>
              <w:autoSpaceDE w:val="0"/>
              <w:autoSpaceDN w:val="0"/>
              <w:adjustRightInd w:val="0"/>
              <w:spacing w:afterLines="20" w:after="48" w:line="240" w:lineRule="auto"/>
              <w:rPr>
                <w:rFonts w:ascii="Times New Roman" w:hAnsi="Times New Roman" w:cs="Times New Roman"/>
                <w:kern w:val="0"/>
                <w:sz w:val="20"/>
                <w:szCs w:val="20"/>
              </w:rPr>
            </w:pPr>
          </w:p>
        </w:tc>
        <w:tc>
          <w:tcPr>
            <w:tcW w:w="1712" w:type="dxa"/>
            <w:tcBorders>
              <w:top w:val="nil"/>
              <w:left w:val="nil"/>
              <w:bottom w:val="nil"/>
              <w:right w:val="nil"/>
            </w:tcBorders>
          </w:tcPr>
          <w:p w14:paraId="33F78BC7"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(2.550)</w:t>
            </w:r>
          </w:p>
        </w:tc>
        <w:tc>
          <w:tcPr>
            <w:tcW w:w="1400" w:type="dxa"/>
            <w:tcBorders>
              <w:top w:val="nil"/>
              <w:left w:val="nil"/>
              <w:bottom w:val="nil"/>
              <w:right w:val="nil"/>
            </w:tcBorders>
          </w:tcPr>
          <w:p w14:paraId="3ABA12A2"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(2.001)</w:t>
            </w:r>
          </w:p>
        </w:tc>
        <w:tc>
          <w:tcPr>
            <w:tcW w:w="1868" w:type="dxa"/>
            <w:tcBorders>
              <w:top w:val="nil"/>
              <w:left w:val="nil"/>
              <w:bottom w:val="nil"/>
              <w:right w:val="nil"/>
            </w:tcBorders>
          </w:tcPr>
          <w:p w14:paraId="0F699351"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(2.743)</w:t>
            </w:r>
          </w:p>
        </w:tc>
        <w:tc>
          <w:tcPr>
            <w:tcW w:w="1560" w:type="dxa"/>
            <w:tcBorders>
              <w:top w:val="nil"/>
              <w:left w:val="nil"/>
              <w:bottom w:val="nil"/>
              <w:right w:val="nil"/>
            </w:tcBorders>
          </w:tcPr>
          <w:p w14:paraId="60454252"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(1.797)</w:t>
            </w:r>
          </w:p>
        </w:tc>
      </w:tr>
      <w:tr w:rsidR="00667364" w:rsidRPr="00F83525" w14:paraId="39651879" w14:textId="77777777" w:rsidTr="00356F41">
        <w:trPr>
          <w:trHeight w:val="277"/>
          <w:jc w:val="center"/>
        </w:trPr>
        <w:tc>
          <w:tcPr>
            <w:tcW w:w="2727" w:type="dxa"/>
            <w:tcBorders>
              <w:top w:val="nil"/>
              <w:left w:val="nil"/>
              <w:bottom w:val="nil"/>
              <w:right w:val="nil"/>
            </w:tcBorders>
          </w:tcPr>
          <w:p w14:paraId="277919CC" w14:textId="77777777" w:rsidR="00667364" w:rsidRPr="00F83525" w:rsidRDefault="00667364" w:rsidP="00E177DE">
            <w:pPr>
              <w:widowControl w:val="0"/>
              <w:autoSpaceDE w:val="0"/>
              <w:autoSpaceDN w:val="0"/>
              <w:adjustRightInd w:val="0"/>
              <w:spacing w:afterLines="20" w:after="48" w:line="240" w:lineRule="auto"/>
              <w:rPr>
                <w:rFonts w:ascii="Times New Roman" w:hAnsi="Times New Roman" w:cs="Times New Roman"/>
                <w:kern w:val="0"/>
                <w:sz w:val="20"/>
                <w:szCs w:val="20"/>
              </w:rPr>
            </w:pPr>
            <w:proofErr w:type="spellStart"/>
            <w:r w:rsidRPr="00F83525">
              <w:rPr>
                <w:rFonts w:ascii="Times New Roman" w:hAnsi="Times New Roman" w:cs="Times New Roman"/>
                <w:kern w:val="0"/>
                <w:sz w:val="20"/>
                <w:szCs w:val="20"/>
              </w:rPr>
              <w:t>CSRcom</w:t>
            </w:r>
            <w:proofErr w:type="spellEnd"/>
          </w:p>
        </w:tc>
        <w:tc>
          <w:tcPr>
            <w:tcW w:w="1712" w:type="dxa"/>
            <w:tcBorders>
              <w:top w:val="nil"/>
              <w:left w:val="nil"/>
              <w:bottom w:val="nil"/>
              <w:right w:val="nil"/>
            </w:tcBorders>
          </w:tcPr>
          <w:p w14:paraId="6BDF6513"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0.045</w:t>
            </w:r>
          </w:p>
        </w:tc>
        <w:tc>
          <w:tcPr>
            <w:tcW w:w="1400" w:type="dxa"/>
            <w:tcBorders>
              <w:top w:val="nil"/>
              <w:left w:val="nil"/>
              <w:bottom w:val="nil"/>
              <w:right w:val="nil"/>
            </w:tcBorders>
          </w:tcPr>
          <w:p w14:paraId="74356C0E"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0.068</w:t>
            </w:r>
          </w:p>
        </w:tc>
        <w:tc>
          <w:tcPr>
            <w:tcW w:w="1868" w:type="dxa"/>
            <w:tcBorders>
              <w:top w:val="nil"/>
              <w:left w:val="nil"/>
              <w:bottom w:val="nil"/>
              <w:right w:val="nil"/>
            </w:tcBorders>
          </w:tcPr>
          <w:p w14:paraId="407F537E"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0.153</w:t>
            </w:r>
          </w:p>
        </w:tc>
        <w:tc>
          <w:tcPr>
            <w:tcW w:w="1560" w:type="dxa"/>
            <w:tcBorders>
              <w:top w:val="nil"/>
              <w:left w:val="nil"/>
              <w:bottom w:val="nil"/>
              <w:right w:val="nil"/>
            </w:tcBorders>
          </w:tcPr>
          <w:p w14:paraId="6FB2CCBB"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0.303</w:t>
            </w:r>
          </w:p>
        </w:tc>
      </w:tr>
      <w:tr w:rsidR="00667364" w:rsidRPr="00F83525" w14:paraId="2494DFC6" w14:textId="77777777" w:rsidTr="00356F41">
        <w:trPr>
          <w:trHeight w:val="277"/>
          <w:jc w:val="center"/>
        </w:trPr>
        <w:tc>
          <w:tcPr>
            <w:tcW w:w="2727" w:type="dxa"/>
            <w:tcBorders>
              <w:top w:val="nil"/>
              <w:left w:val="nil"/>
              <w:bottom w:val="nil"/>
              <w:right w:val="nil"/>
            </w:tcBorders>
          </w:tcPr>
          <w:p w14:paraId="76689B37" w14:textId="77777777" w:rsidR="00667364" w:rsidRPr="00F83525" w:rsidRDefault="00667364" w:rsidP="00E177DE">
            <w:pPr>
              <w:widowControl w:val="0"/>
              <w:autoSpaceDE w:val="0"/>
              <w:autoSpaceDN w:val="0"/>
              <w:adjustRightInd w:val="0"/>
              <w:spacing w:afterLines="20" w:after="48" w:line="240" w:lineRule="auto"/>
              <w:rPr>
                <w:rFonts w:ascii="Times New Roman" w:hAnsi="Times New Roman" w:cs="Times New Roman"/>
                <w:kern w:val="0"/>
                <w:sz w:val="20"/>
                <w:szCs w:val="20"/>
              </w:rPr>
            </w:pPr>
          </w:p>
        </w:tc>
        <w:tc>
          <w:tcPr>
            <w:tcW w:w="1712" w:type="dxa"/>
            <w:tcBorders>
              <w:top w:val="nil"/>
              <w:left w:val="nil"/>
              <w:bottom w:val="nil"/>
              <w:right w:val="nil"/>
            </w:tcBorders>
          </w:tcPr>
          <w:p w14:paraId="26179534"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(0.507)</w:t>
            </w:r>
          </w:p>
        </w:tc>
        <w:tc>
          <w:tcPr>
            <w:tcW w:w="1400" w:type="dxa"/>
            <w:tcBorders>
              <w:top w:val="nil"/>
              <w:left w:val="nil"/>
              <w:bottom w:val="nil"/>
              <w:right w:val="nil"/>
            </w:tcBorders>
          </w:tcPr>
          <w:p w14:paraId="71C3A80E"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(0.593)</w:t>
            </w:r>
          </w:p>
        </w:tc>
        <w:tc>
          <w:tcPr>
            <w:tcW w:w="1868" w:type="dxa"/>
            <w:tcBorders>
              <w:top w:val="nil"/>
              <w:left w:val="nil"/>
              <w:bottom w:val="nil"/>
              <w:right w:val="nil"/>
            </w:tcBorders>
          </w:tcPr>
          <w:p w14:paraId="7A131BD1"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(1.576)</w:t>
            </w:r>
          </w:p>
        </w:tc>
        <w:tc>
          <w:tcPr>
            <w:tcW w:w="1560" w:type="dxa"/>
            <w:tcBorders>
              <w:top w:val="nil"/>
              <w:left w:val="nil"/>
              <w:bottom w:val="nil"/>
              <w:right w:val="nil"/>
            </w:tcBorders>
          </w:tcPr>
          <w:p w14:paraId="4A1F0F25"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(0.481)</w:t>
            </w:r>
          </w:p>
        </w:tc>
      </w:tr>
      <w:tr w:rsidR="00667364" w:rsidRPr="00F83525" w14:paraId="02E606EE" w14:textId="77777777" w:rsidTr="00356F41">
        <w:trPr>
          <w:trHeight w:val="277"/>
          <w:jc w:val="center"/>
        </w:trPr>
        <w:tc>
          <w:tcPr>
            <w:tcW w:w="2727" w:type="dxa"/>
            <w:tcBorders>
              <w:top w:val="nil"/>
              <w:left w:val="nil"/>
              <w:bottom w:val="nil"/>
              <w:right w:val="nil"/>
            </w:tcBorders>
          </w:tcPr>
          <w:p w14:paraId="7E5986E4" w14:textId="77777777" w:rsidR="00667364" w:rsidRPr="00F83525" w:rsidRDefault="00667364" w:rsidP="00E177DE">
            <w:pPr>
              <w:widowControl w:val="0"/>
              <w:autoSpaceDE w:val="0"/>
              <w:autoSpaceDN w:val="0"/>
              <w:adjustRightInd w:val="0"/>
              <w:spacing w:afterLines="20" w:after="48" w:line="240" w:lineRule="auto"/>
              <w:rPr>
                <w:rFonts w:ascii="Times New Roman" w:hAnsi="Times New Roman" w:cs="Times New Roman"/>
                <w:kern w:val="0"/>
                <w:sz w:val="20"/>
                <w:szCs w:val="20"/>
              </w:rPr>
            </w:pPr>
            <w:proofErr w:type="spellStart"/>
            <w:r w:rsidRPr="00F83525">
              <w:rPr>
                <w:rFonts w:ascii="Times New Roman" w:hAnsi="Times New Roman" w:cs="Times New Roman"/>
                <w:kern w:val="0"/>
                <w:sz w:val="20"/>
                <w:szCs w:val="20"/>
              </w:rPr>
              <w:t>IndBoard</w:t>
            </w:r>
            <w:proofErr w:type="spellEnd"/>
          </w:p>
        </w:tc>
        <w:tc>
          <w:tcPr>
            <w:tcW w:w="1712" w:type="dxa"/>
            <w:tcBorders>
              <w:top w:val="nil"/>
              <w:left w:val="nil"/>
              <w:bottom w:val="nil"/>
              <w:right w:val="nil"/>
            </w:tcBorders>
          </w:tcPr>
          <w:p w14:paraId="4B98E279" w14:textId="6B071A3E" w:rsidR="00667364" w:rsidRPr="00F83525" w:rsidRDefault="009444B6"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Pr>
                <w:rFonts w:ascii="Times New Roman" w:hAnsi="Times New Roman" w:cs="Times New Roman" w:hint="eastAsia"/>
                <w:kern w:val="0"/>
                <w:sz w:val="20"/>
                <w:szCs w:val="20"/>
                <w:lang w:eastAsia="zh-CN"/>
              </w:rPr>
              <w:t>-0.002</w:t>
            </w:r>
            <w:r w:rsidR="00667364" w:rsidRPr="00F83525">
              <w:rPr>
                <w:rFonts w:ascii="Times New Roman" w:hAnsi="Times New Roman" w:cs="Times New Roman"/>
                <w:kern w:val="0"/>
                <w:sz w:val="20"/>
                <w:szCs w:val="20"/>
              </w:rPr>
              <w:t>***</w:t>
            </w:r>
          </w:p>
        </w:tc>
        <w:tc>
          <w:tcPr>
            <w:tcW w:w="1400" w:type="dxa"/>
            <w:tcBorders>
              <w:top w:val="nil"/>
              <w:left w:val="nil"/>
              <w:bottom w:val="nil"/>
              <w:right w:val="nil"/>
            </w:tcBorders>
          </w:tcPr>
          <w:p w14:paraId="4335095C" w14:textId="0EAF55F9"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lang w:eastAsia="zh-CN"/>
              </w:rPr>
            </w:pPr>
            <w:r w:rsidRPr="00F83525">
              <w:rPr>
                <w:rFonts w:ascii="Times New Roman" w:hAnsi="Times New Roman" w:cs="Times New Roman"/>
                <w:kern w:val="0"/>
                <w:sz w:val="20"/>
                <w:szCs w:val="20"/>
              </w:rPr>
              <w:t>0.00</w:t>
            </w:r>
            <w:r w:rsidR="009444B6">
              <w:rPr>
                <w:rFonts w:ascii="Times New Roman" w:hAnsi="Times New Roman" w:cs="Times New Roman" w:hint="eastAsia"/>
                <w:kern w:val="0"/>
                <w:sz w:val="20"/>
                <w:szCs w:val="20"/>
                <w:lang w:eastAsia="zh-CN"/>
              </w:rPr>
              <w:t>1</w:t>
            </w:r>
          </w:p>
        </w:tc>
        <w:tc>
          <w:tcPr>
            <w:tcW w:w="1868" w:type="dxa"/>
            <w:tcBorders>
              <w:top w:val="nil"/>
              <w:left w:val="nil"/>
              <w:bottom w:val="nil"/>
              <w:right w:val="nil"/>
            </w:tcBorders>
          </w:tcPr>
          <w:p w14:paraId="64B4DA3F" w14:textId="5EF263CB"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0.0</w:t>
            </w:r>
            <w:r w:rsidR="009444B6">
              <w:rPr>
                <w:rFonts w:ascii="Times New Roman" w:hAnsi="Times New Roman" w:cs="Times New Roman" w:hint="eastAsia"/>
                <w:kern w:val="0"/>
                <w:sz w:val="20"/>
                <w:szCs w:val="20"/>
                <w:lang w:eastAsia="zh-CN"/>
              </w:rPr>
              <w:t>02</w:t>
            </w:r>
          </w:p>
        </w:tc>
        <w:tc>
          <w:tcPr>
            <w:tcW w:w="1560" w:type="dxa"/>
            <w:tcBorders>
              <w:top w:val="nil"/>
              <w:left w:val="nil"/>
              <w:bottom w:val="nil"/>
              <w:right w:val="nil"/>
            </w:tcBorders>
          </w:tcPr>
          <w:p w14:paraId="09259C33" w14:textId="387B1AFA" w:rsidR="00667364" w:rsidRPr="00F83525" w:rsidRDefault="009444B6"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Pr>
                <w:rFonts w:ascii="Times New Roman" w:hAnsi="Times New Roman" w:cs="Times New Roman" w:hint="eastAsia"/>
                <w:kern w:val="0"/>
                <w:sz w:val="20"/>
                <w:szCs w:val="20"/>
                <w:lang w:eastAsia="zh-CN"/>
              </w:rPr>
              <w:t>-</w:t>
            </w:r>
            <w:r w:rsidR="00667364" w:rsidRPr="00F83525">
              <w:rPr>
                <w:rFonts w:ascii="Times New Roman" w:hAnsi="Times New Roman" w:cs="Times New Roman"/>
                <w:kern w:val="0"/>
                <w:sz w:val="20"/>
                <w:szCs w:val="20"/>
              </w:rPr>
              <w:t>0.</w:t>
            </w:r>
            <w:r>
              <w:rPr>
                <w:rFonts w:ascii="Times New Roman" w:hAnsi="Times New Roman" w:cs="Times New Roman" w:hint="eastAsia"/>
                <w:kern w:val="0"/>
                <w:sz w:val="20"/>
                <w:szCs w:val="20"/>
                <w:lang w:eastAsia="zh-CN"/>
              </w:rPr>
              <w:t>019</w:t>
            </w:r>
          </w:p>
        </w:tc>
      </w:tr>
      <w:tr w:rsidR="00667364" w:rsidRPr="00F83525" w14:paraId="6CBF907C" w14:textId="77777777" w:rsidTr="00356F41">
        <w:trPr>
          <w:trHeight w:val="277"/>
          <w:jc w:val="center"/>
        </w:trPr>
        <w:tc>
          <w:tcPr>
            <w:tcW w:w="2727" w:type="dxa"/>
            <w:tcBorders>
              <w:top w:val="nil"/>
              <w:left w:val="nil"/>
              <w:bottom w:val="nil"/>
              <w:right w:val="nil"/>
            </w:tcBorders>
          </w:tcPr>
          <w:p w14:paraId="4DA486FE" w14:textId="77777777" w:rsidR="00667364" w:rsidRPr="00F83525" w:rsidRDefault="00667364" w:rsidP="00E177DE">
            <w:pPr>
              <w:widowControl w:val="0"/>
              <w:autoSpaceDE w:val="0"/>
              <w:autoSpaceDN w:val="0"/>
              <w:adjustRightInd w:val="0"/>
              <w:spacing w:afterLines="20" w:after="48" w:line="240" w:lineRule="auto"/>
              <w:rPr>
                <w:rFonts w:ascii="Times New Roman" w:hAnsi="Times New Roman" w:cs="Times New Roman"/>
                <w:kern w:val="0"/>
                <w:sz w:val="20"/>
                <w:szCs w:val="20"/>
              </w:rPr>
            </w:pPr>
          </w:p>
        </w:tc>
        <w:tc>
          <w:tcPr>
            <w:tcW w:w="1712" w:type="dxa"/>
            <w:tcBorders>
              <w:top w:val="nil"/>
              <w:left w:val="nil"/>
              <w:bottom w:val="nil"/>
              <w:right w:val="nil"/>
            </w:tcBorders>
          </w:tcPr>
          <w:p w14:paraId="3BDB9066" w14:textId="0749324B"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w:t>
            </w:r>
            <w:r w:rsidR="009444B6">
              <w:rPr>
                <w:rFonts w:ascii="Times New Roman" w:hAnsi="Times New Roman" w:cs="Times New Roman" w:hint="eastAsia"/>
                <w:kern w:val="0"/>
                <w:sz w:val="20"/>
                <w:szCs w:val="20"/>
                <w:lang w:eastAsia="zh-CN"/>
              </w:rPr>
              <w:t>-0.802</w:t>
            </w:r>
            <w:r w:rsidRPr="00F83525">
              <w:rPr>
                <w:rFonts w:ascii="Times New Roman" w:hAnsi="Times New Roman" w:cs="Times New Roman"/>
                <w:kern w:val="0"/>
                <w:sz w:val="20"/>
                <w:szCs w:val="20"/>
              </w:rPr>
              <w:t>)</w:t>
            </w:r>
          </w:p>
        </w:tc>
        <w:tc>
          <w:tcPr>
            <w:tcW w:w="1400" w:type="dxa"/>
            <w:tcBorders>
              <w:top w:val="nil"/>
              <w:left w:val="nil"/>
              <w:bottom w:val="nil"/>
              <w:right w:val="nil"/>
            </w:tcBorders>
          </w:tcPr>
          <w:p w14:paraId="713F6687" w14:textId="51A00AE8"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(0.</w:t>
            </w:r>
            <w:r w:rsidR="009444B6">
              <w:rPr>
                <w:rFonts w:ascii="Times New Roman" w:hAnsi="Times New Roman" w:cs="Times New Roman" w:hint="eastAsia"/>
                <w:kern w:val="0"/>
                <w:sz w:val="20"/>
                <w:szCs w:val="20"/>
                <w:lang w:eastAsia="zh-CN"/>
              </w:rPr>
              <w:t>277</w:t>
            </w:r>
            <w:r w:rsidRPr="00F83525">
              <w:rPr>
                <w:rFonts w:ascii="Times New Roman" w:hAnsi="Times New Roman" w:cs="Times New Roman"/>
                <w:kern w:val="0"/>
                <w:sz w:val="20"/>
                <w:szCs w:val="20"/>
              </w:rPr>
              <w:t>)</w:t>
            </w:r>
          </w:p>
        </w:tc>
        <w:tc>
          <w:tcPr>
            <w:tcW w:w="1868" w:type="dxa"/>
            <w:tcBorders>
              <w:top w:val="nil"/>
              <w:left w:val="nil"/>
              <w:bottom w:val="nil"/>
              <w:right w:val="nil"/>
            </w:tcBorders>
          </w:tcPr>
          <w:p w14:paraId="284D4234" w14:textId="7B815E85"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w:t>
            </w:r>
            <w:r w:rsidR="009444B6">
              <w:rPr>
                <w:rFonts w:ascii="Times New Roman" w:hAnsi="Times New Roman" w:cs="Times New Roman" w:hint="eastAsia"/>
                <w:kern w:val="0"/>
                <w:sz w:val="20"/>
                <w:szCs w:val="20"/>
                <w:lang w:eastAsia="zh-CN"/>
              </w:rPr>
              <w:t>0.860</w:t>
            </w:r>
            <w:r w:rsidRPr="00F83525">
              <w:rPr>
                <w:rFonts w:ascii="Times New Roman" w:hAnsi="Times New Roman" w:cs="Times New Roman"/>
                <w:kern w:val="0"/>
                <w:sz w:val="20"/>
                <w:szCs w:val="20"/>
              </w:rPr>
              <w:t>)</w:t>
            </w:r>
          </w:p>
        </w:tc>
        <w:tc>
          <w:tcPr>
            <w:tcW w:w="1560" w:type="dxa"/>
            <w:tcBorders>
              <w:top w:val="nil"/>
              <w:left w:val="nil"/>
              <w:bottom w:val="nil"/>
              <w:right w:val="nil"/>
            </w:tcBorders>
          </w:tcPr>
          <w:p w14:paraId="36F193CA" w14:textId="73058FC4"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w:t>
            </w:r>
            <w:r w:rsidR="009444B6">
              <w:rPr>
                <w:rFonts w:ascii="Times New Roman" w:hAnsi="Times New Roman" w:cs="Times New Roman" w:hint="eastAsia"/>
                <w:kern w:val="0"/>
                <w:sz w:val="20"/>
                <w:szCs w:val="20"/>
                <w:lang w:eastAsia="zh-CN"/>
              </w:rPr>
              <w:t>-0.930</w:t>
            </w:r>
            <w:r w:rsidRPr="00F83525">
              <w:rPr>
                <w:rFonts w:ascii="Times New Roman" w:hAnsi="Times New Roman" w:cs="Times New Roman"/>
                <w:kern w:val="0"/>
                <w:sz w:val="20"/>
                <w:szCs w:val="20"/>
              </w:rPr>
              <w:t>)</w:t>
            </w:r>
          </w:p>
        </w:tc>
      </w:tr>
      <w:tr w:rsidR="00667364" w:rsidRPr="00F83525" w14:paraId="73EE2057" w14:textId="77777777" w:rsidTr="00356F41">
        <w:trPr>
          <w:trHeight w:val="277"/>
          <w:jc w:val="center"/>
        </w:trPr>
        <w:tc>
          <w:tcPr>
            <w:tcW w:w="2727" w:type="dxa"/>
            <w:tcBorders>
              <w:top w:val="nil"/>
              <w:left w:val="nil"/>
              <w:bottom w:val="nil"/>
              <w:right w:val="nil"/>
            </w:tcBorders>
          </w:tcPr>
          <w:p w14:paraId="0C16D8AA" w14:textId="77777777" w:rsidR="00667364" w:rsidRPr="00F83525" w:rsidRDefault="00667364" w:rsidP="00E177DE">
            <w:pPr>
              <w:widowControl w:val="0"/>
              <w:autoSpaceDE w:val="0"/>
              <w:autoSpaceDN w:val="0"/>
              <w:adjustRightInd w:val="0"/>
              <w:spacing w:afterLines="20" w:after="48" w:line="240" w:lineRule="auto"/>
              <w:rPr>
                <w:rFonts w:ascii="Times New Roman" w:hAnsi="Times New Roman" w:cs="Times New Roman"/>
                <w:kern w:val="0"/>
                <w:sz w:val="20"/>
                <w:szCs w:val="20"/>
              </w:rPr>
            </w:pPr>
            <w:proofErr w:type="spellStart"/>
            <w:r w:rsidRPr="00F83525">
              <w:rPr>
                <w:rFonts w:ascii="Times New Roman" w:hAnsi="Times New Roman" w:cs="Times New Roman"/>
                <w:kern w:val="0"/>
                <w:sz w:val="20"/>
                <w:szCs w:val="20"/>
              </w:rPr>
              <w:t>FemaleBoard</w:t>
            </w:r>
            <w:proofErr w:type="spellEnd"/>
          </w:p>
        </w:tc>
        <w:tc>
          <w:tcPr>
            <w:tcW w:w="1712" w:type="dxa"/>
            <w:tcBorders>
              <w:top w:val="nil"/>
              <w:left w:val="nil"/>
              <w:bottom w:val="nil"/>
              <w:right w:val="nil"/>
            </w:tcBorders>
          </w:tcPr>
          <w:p w14:paraId="6382AFB9" w14:textId="5F55098F"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0.0</w:t>
            </w:r>
            <w:r w:rsidR="009444B6">
              <w:rPr>
                <w:rFonts w:ascii="Times New Roman" w:hAnsi="Times New Roman" w:cs="Times New Roman" w:hint="eastAsia"/>
                <w:kern w:val="0"/>
                <w:sz w:val="20"/>
                <w:szCs w:val="20"/>
                <w:lang w:eastAsia="zh-CN"/>
              </w:rPr>
              <w:t>14</w:t>
            </w:r>
            <w:r w:rsidRPr="00F83525">
              <w:rPr>
                <w:rFonts w:ascii="Times New Roman" w:hAnsi="Times New Roman" w:cs="Times New Roman"/>
                <w:kern w:val="0"/>
                <w:sz w:val="20"/>
                <w:szCs w:val="20"/>
              </w:rPr>
              <w:t>***</w:t>
            </w:r>
          </w:p>
        </w:tc>
        <w:tc>
          <w:tcPr>
            <w:tcW w:w="1400" w:type="dxa"/>
            <w:tcBorders>
              <w:top w:val="nil"/>
              <w:left w:val="nil"/>
              <w:bottom w:val="nil"/>
              <w:right w:val="nil"/>
            </w:tcBorders>
          </w:tcPr>
          <w:p w14:paraId="279C2E5D" w14:textId="50305950"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0.00</w:t>
            </w:r>
            <w:r w:rsidR="009444B6">
              <w:rPr>
                <w:rFonts w:ascii="Times New Roman" w:hAnsi="Times New Roman" w:cs="Times New Roman" w:hint="eastAsia"/>
                <w:kern w:val="0"/>
                <w:sz w:val="20"/>
                <w:szCs w:val="20"/>
                <w:lang w:eastAsia="zh-CN"/>
              </w:rPr>
              <w:t>5</w:t>
            </w:r>
          </w:p>
        </w:tc>
        <w:tc>
          <w:tcPr>
            <w:tcW w:w="1868" w:type="dxa"/>
            <w:tcBorders>
              <w:top w:val="nil"/>
              <w:left w:val="nil"/>
              <w:bottom w:val="nil"/>
              <w:right w:val="nil"/>
            </w:tcBorders>
          </w:tcPr>
          <w:p w14:paraId="2DAB7DAD" w14:textId="0599F20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0.0</w:t>
            </w:r>
            <w:r w:rsidR="009444B6">
              <w:rPr>
                <w:rFonts w:ascii="Times New Roman" w:hAnsi="Times New Roman" w:cs="Times New Roman" w:hint="eastAsia"/>
                <w:kern w:val="0"/>
                <w:sz w:val="20"/>
                <w:szCs w:val="20"/>
                <w:lang w:eastAsia="zh-CN"/>
              </w:rPr>
              <w:t>14</w:t>
            </w:r>
            <w:r w:rsidRPr="00F83525">
              <w:rPr>
                <w:rFonts w:ascii="Times New Roman" w:hAnsi="Times New Roman" w:cs="Times New Roman"/>
                <w:kern w:val="0"/>
                <w:sz w:val="20"/>
                <w:szCs w:val="20"/>
              </w:rPr>
              <w:t>***</w:t>
            </w:r>
          </w:p>
        </w:tc>
        <w:tc>
          <w:tcPr>
            <w:tcW w:w="1560" w:type="dxa"/>
            <w:tcBorders>
              <w:top w:val="nil"/>
              <w:left w:val="nil"/>
              <w:bottom w:val="nil"/>
              <w:right w:val="nil"/>
            </w:tcBorders>
          </w:tcPr>
          <w:p w14:paraId="27013229" w14:textId="5AAA815A"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lang w:eastAsia="zh-CN"/>
              </w:rPr>
            </w:pPr>
            <w:r w:rsidRPr="00F83525">
              <w:rPr>
                <w:rFonts w:ascii="Times New Roman" w:hAnsi="Times New Roman" w:cs="Times New Roman"/>
                <w:kern w:val="0"/>
                <w:sz w:val="20"/>
                <w:szCs w:val="20"/>
              </w:rPr>
              <w:t>0.0</w:t>
            </w:r>
            <w:r w:rsidR="009444B6">
              <w:rPr>
                <w:rFonts w:ascii="Times New Roman" w:hAnsi="Times New Roman" w:cs="Times New Roman" w:hint="eastAsia"/>
                <w:kern w:val="0"/>
                <w:sz w:val="20"/>
                <w:szCs w:val="20"/>
                <w:lang w:eastAsia="zh-CN"/>
              </w:rPr>
              <w:t>55**</w:t>
            </w:r>
          </w:p>
        </w:tc>
      </w:tr>
      <w:tr w:rsidR="00667364" w:rsidRPr="00F83525" w14:paraId="2EC09C32" w14:textId="77777777" w:rsidTr="00356F41">
        <w:trPr>
          <w:trHeight w:val="277"/>
          <w:jc w:val="center"/>
        </w:trPr>
        <w:tc>
          <w:tcPr>
            <w:tcW w:w="2727" w:type="dxa"/>
            <w:tcBorders>
              <w:top w:val="nil"/>
              <w:left w:val="nil"/>
              <w:bottom w:val="nil"/>
              <w:right w:val="nil"/>
            </w:tcBorders>
          </w:tcPr>
          <w:p w14:paraId="115B9475" w14:textId="77777777" w:rsidR="00667364" w:rsidRPr="00F83525" w:rsidRDefault="00667364" w:rsidP="00E177DE">
            <w:pPr>
              <w:widowControl w:val="0"/>
              <w:autoSpaceDE w:val="0"/>
              <w:autoSpaceDN w:val="0"/>
              <w:adjustRightInd w:val="0"/>
              <w:spacing w:afterLines="20" w:after="48" w:line="240" w:lineRule="auto"/>
              <w:rPr>
                <w:rFonts w:ascii="Times New Roman" w:hAnsi="Times New Roman" w:cs="Times New Roman"/>
                <w:kern w:val="0"/>
                <w:sz w:val="20"/>
                <w:szCs w:val="20"/>
              </w:rPr>
            </w:pPr>
          </w:p>
        </w:tc>
        <w:tc>
          <w:tcPr>
            <w:tcW w:w="1712" w:type="dxa"/>
            <w:tcBorders>
              <w:top w:val="nil"/>
              <w:left w:val="nil"/>
              <w:bottom w:val="nil"/>
              <w:right w:val="nil"/>
            </w:tcBorders>
          </w:tcPr>
          <w:p w14:paraId="015B00E2" w14:textId="0F8D325C"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w:t>
            </w:r>
            <w:r w:rsidR="009444B6">
              <w:rPr>
                <w:rFonts w:ascii="Times New Roman" w:hAnsi="Times New Roman" w:cs="Times New Roman" w:hint="eastAsia"/>
                <w:kern w:val="0"/>
                <w:sz w:val="20"/>
                <w:szCs w:val="20"/>
                <w:lang w:eastAsia="zh-CN"/>
              </w:rPr>
              <w:t>4.772</w:t>
            </w:r>
            <w:r w:rsidRPr="00F83525">
              <w:rPr>
                <w:rFonts w:ascii="Times New Roman" w:hAnsi="Times New Roman" w:cs="Times New Roman"/>
                <w:kern w:val="0"/>
                <w:sz w:val="20"/>
                <w:szCs w:val="20"/>
              </w:rPr>
              <w:t>)</w:t>
            </w:r>
          </w:p>
        </w:tc>
        <w:tc>
          <w:tcPr>
            <w:tcW w:w="1400" w:type="dxa"/>
            <w:tcBorders>
              <w:top w:val="nil"/>
              <w:left w:val="nil"/>
              <w:bottom w:val="nil"/>
              <w:right w:val="nil"/>
            </w:tcBorders>
          </w:tcPr>
          <w:p w14:paraId="1B3D904E" w14:textId="7D1EF5AD"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w:t>
            </w:r>
            <w:r w:rsidR="009444B6">
              <w:rPr>
                <w:rFonts w:ascii="Times New Roman" w:hAnsi="Times New Roman" w:cs="Times New Roman" w:hint="eastAsia"/>
                <w:kern w:val="0"/>
                <w:sz w:val="20"/>
                <w:szCs w:val="20"/>
                <w:lang w:eastAsia="zh-CN"/>
              </w:rPr>
              <w:t>0.840</w:t>
            </w:r>
            <w:r w:rsidRPr="00F83525">
              <w:rPr>
                <w:rFonts w:ascii="Times New Roman" w:hAnsi="Times New Roman" w:cs="Times New Roman"/>
                <w:kern w:val="0"/>
                <w:sz w:val="20"/>
                <w:szCs w:val="20"/>
              </w:rPr>
              <w:t>)</w:t>
            </w:r>
          </w:p>
        </w:tc>
        <w:tc>
          <w:tcPr>
            <w:tcW w:w="1868" w:type="dxa"/>
            <w:tcBorders>
              <w:top w:val="nil"/>
              <w:left w:val="nil"/>
              <w:bottom w:val="nil"/>
              <w:right w:val="nil"/>
            </w:tcBorders>
          </w:tcPr>
          <w:p w14:paraId="23D5CEA4" w14:textId="40FBE225"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w:t>
            </w:r>
            <w:r w:rsidR="009444B6">
              <w:rPr>
                <w:rFonts w:ascii="Times New Roman" w:hAnsi="Times New Roman" w:cs="Times New Roman" w:hint="eastAsia"/>
                <w:kern w:val="0"/>
                <w:sz w:val="20"/>
                <w:szCs w:val="20"/>
                <w:lang w:eastAsia="zh-CN"/>
              </w:rPr>
              <w:t>3.909</w:t>
            </w:r>
            <w:r w:rsidRPr="00F83525">
              <w:rPr>
                <w:rFonts w:ascii="Times New Roman" w:hAnsi="Times New Roman" w:cs="Times New Roman"/>
                <w:kern w:val="0"/>
                <w:sz w:val="20"/>
                <w:szCs w:val="20"/>
              </w:rPr>
              <w:t>)</w:t>
            </w:r>
          </w:p>
        </w:tc>
        <w:tc>
          <w:tcPr>
            <w:tcW w:w="1560" w:type="dxa"/>
            <w:tcBorders>
              <w:top w:val="nil"/>
              <w:left w:val="nil"/>
              <w:bottom w:val="nil"/>
              <w:right w:val="nil"/>
            </w:tcBorders>
          </w:tcPr>
          <w:p w14:paraId="5C652170" w14:textId="247328FD"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w:t>
            </w:r>
            <w:r w:rsidR="009444B6">
              <w:rPr>
                <w:rFonts w:ascii="Times New Roman" w:hAnsi="Times New Roman" w:cs="Times New Roman" w:hint="eastAsia"/>
                <w:kern w:val="0"/>
                <w:sz w:val="20"/>
                <w:szCs w:val="20"/>
                <w:lang w:eastAsia="zh-CN"/>
              </w:rPr>
              <w:t>2.420</w:t>
            </w:r>
            <w:r w:rsidRPr="00F83525">
              <w:rPr>
                <w:rFonts w:ascii="Times New Roman" w:hAnsi="Times New Roman" w:cs="Times New Roman"/>
                <w:kern w:val="0"/>
                <w:sz w:val="20"/>
                <w:szCs w:val="20"/>
              </w:rPr>
              <w:t>)</w:t>
            </w:r>
          </w:p>
        </w:tc>
      </w:tr>
      <w:tr w:rsidR="00667364" w:rsidRPr="00F83525" w14:paraId="727DE6E1" w14:textId="77777777" w:rsidTr="00356F41">
        <w:trPr>
          <w:trHeight w:val="277"/>
          <w:jc w:val="center"/>
        </w:trPr>
        <w:tc>
          <w:tcPr>
            <w:tcW w:w="2727" w:type="dxa"/>
            <w:tcBorders>
              <w:top w:val="nil"/>
              <w:left w:val="nil"/>
              <w:bottom w:val="nil"/>
              <w:right w:val="nil"/>
            </w:tcBorders>
          </w:tcPr>
          <w:p w14:paraId="2E34E582" w14:textId="77777777" w:rsidR="00667364" w:rsidRPr="00F83525" w:rsidRDefault="00667364" w:rsidP="00E177DE">
            <w:pPr>
              <w:widowControl w:val="0"/>
              <w:autoSpaceDE w:val="0"/>
              <w:autoSpaceDN w:val="0"/>
              <w:adjustRightInd w:val="0"/>
              <w:spacing w:afterLines="20" w:after="48" w:line="240" w:lineRule="auto"/>
              <w:rPr>
                <w:rFonts w:ascii="Times New Roman" w:hAnsi="Times New Roman" w:cs="Times New Roman"/>
                <w:kern w:val="0"/>
                <w:sz w:val="20"/>
                <w:szCs w:val="20"/>
              </w:rPr>
            </w:pPr>
            <w:proofErr w:type="spellStart"/>
            <w:r w:rsidRPr="00F83525">
              <w:rPr>
                <w:rFonts w:ascii="Times New Roman" w:hAnsi="Times New Roman" w:cs="Times New Roman"/>
                <w:kern w:val="0"/>
                <w:sz w:val="20"/>
                <w:szCs w:val="20"/>
              </w:rPr>
              <w:t>FirmGrow</w:t>
            </w:r>
            <w:proofErr w:type="spellEnd"/>
          </w:p>
        </w:tc>
        <w:tc>
          <w:tcPr>
            <w:tcW w:w="1712" w:type="dxa"/>
            <w:tcBorders>
              <w:top w:val="nil"/>
              <w:left w:val="nil"/>
              <w:bottom w:val="nil"/>
              <w:right w:val="nil"/>
            </w:tcBorders>
          </w:tcPr>
          <w:p w14:paraId="3E5580AC" w14:textId="763EF894" w:rsidR="00667364" w:rsidRPr="00F83525" w:rsidRDefault="009444B6"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lang w:eastAsia="zh-CN"/>
              </w:rPr>
            </w:pPr>
            <w:r>
              <w:rPr>
                <w:rFonts w:ascii="Times New Roman" w:hAnsi="Times New Roman" w:cs="Times New Roman" w:hint="eastAsia"/>
                <w:kern w:val="0"/>
                <w:sz w:val="20"/>
                <w:szCs w:val="20"/>
                <w:lang w:eastAsia="zh-CN"/>
              </w:rPr>
              <w:t>0.000***</w:t>
            </w:r>
          </w:p>
        </w:tc>
        <w:tc>
          <w:tcPr>
            <w:tcW w:w="1400" w:type="dxa"/>
            <w:tcBorders>
              <w:top w:val="nil"/>
              <w:left w:val="nil"/>
              <w:bottom w:val="nil"/>
              <w:right w:val="nil"/>
            </w:tcBorders>
          </w:tcPr>
          <w:p w14:paraId="71361528" w14:textId="4BDD4C85"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lang w:eastAsia="zh-CN"/>
              </w:rPr>
            </w:pPr>
            <w:r w:rsidRPr="00F83525">
              <w:rPr>
                <w:rFonts w:ascii="Times New Roman" w:hAnsi="Times New Roman" w:cs="Times New Roman"/>
                <w:kern w:val="0"/>
                <w:sz w:val="20"/>
                <w:szCs w:val="20"/>
              </w:rPr>
              <w:t>0.00</w:t>
            </w:r>
            <w:r w:rsidR="001F3822">
              <w:rPr>
                <w:rFonts w:ascii="Times New Roman" w:hAnsi="Times New Roman" w:cs="Times New Roman" w:hint="eastAsia"/>
                <w:kern w:val="0"/>
                <w:sz w:val="20"/>
                <w:szCs w:val="20"/>
                <w:lang w:eastAsia="zh-CN"/>
              </w:rPr>
              <w:t>0**</w:t>
            </w:r>
          </w:p>
        </w:tc>
        <w:tc>
          <w:tcPr>
            <w:tcW w:w="1868" w:type="dxa"/>
            <w:tcBorders>
              <w:top w:val="nil"/>
              <w:left w:val="nil"/>
              <w:bottom w:val="nil"/>
              <w:right w:val="nil"/>
            </w:tcBorders>
          </w:tcPr>
          <w:p w14:paraId="42D69518" w14:textId="75BACA1B"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lang w:eastAsia="zh-CN"/>
              </w:rPr>
            </w:pPr>
            <w:r w:rsidRPr="00F83525">
              <w:rPr>
                <w:rFonts w:ascii="Times New Roman" w:hAnsi="Times New Roman" w:cs="Times New Roman"/>
                <w:kern w:val="0"/>
                <w:sz w:val="20"/>
                <w:szCs w:val="20"/>
              </w:rPr>
              <w:t>0.00</w:t>
            </w:r>
            <w:r w:rsidR="001F3822">
              <w:rPr>
                <w:rFonts w:ascii="Times New Roman" w:hAnsi="Times New Roman" w:cs="Times New Roman" w:hint="eastAsia"/>
                <w:kern w:val="0"/>
                <w:sz w:val="20"/>
                <w:szCs w:val="20"/>
                <w:lang w:eastAsia="zh-CN"/>
              </w:rPr>
              <w:t>1***</w:t>
            </w:r>
          </w:p>
        </w:tc>
        <w:tc>
          <w:tcPr>
            <w:tcW w:w="1560" w:type="dxa"/>
            <w:tcBorders>
              <w:top w:val="nil"/>
              <w:left w:val="nil"/>
              <w:bottom w:val="nil"/>
              <w:right w:val="nil"/>
            </w:tcBorders>
          </w:tcPr>
          <w:p w14:paraId="3D229369" w14:textId="067E545A" w:rsidR="00667364" w:rsidRPr="00F83525" w:rsidRDefault="001F3822"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lang w:eastAsia="zh-CN"/>
              </w:rPr>
            </w:pPr>
            <w:r>
              <w:rPr>
                <w:rFonts w:ascii="Times New Roman" w:hAnsi="Times New Roman" w:cs="Times New Roman" w:hint="eastAsia"/>
                <w:kern w:val="0"/>
                <w:sz w:val="20"/>
                <w:szCs w:val="20"/>
                <w:lang w:eastAsia="zh-CN"/>
              </w:rPr>
              <w:t>0.001</w:t>
            </w:r>
          </w:p>
        </w:tc>
      </w:tr>
      <w:tr w:rsidR="00667364" w:rsidRPr="00F83525" w14:paraId="2850E6A9" w14:textId="77777777" w:rsidTr="00356F41">
        <w:trPr>
          <w:trHeight w:val="277"/>
          <w:jc w:val="center"/>
        </w:trPr>
        <w:tc>
          <w:tcPr>
            <w:tcW w:w="2727" w:type="dxa"/>
            <w:tcBorders>
              <w:top w:val="nil"/>
              <w:left w:val="nil"/>
              <w:bottom w:val="nil"/>
              <w:right w:val="nil"/>
            </w:tcBorders>
          </w:tcPr>
          <w:p w14:paraId="630F275E" w14:textId="77777777" w:rsidR="00667364" w:rsidRPr="00F83525" w:rsidRDefault="00667364" w:rsidP="00E177DE">
            <w:pPr>
              <w:widowControl w:val="0"/>
              <w:autoSpaceDE w:val="0"/>
              <w:autoSpaceDN w:val="0"/>
              <w:adjustRightInd w:val="0"/>
              <w:spacing w:afterLines="20" w:after="48" w:line="240" w:lineRule="auto"/>
              <w:rPr>
                <w:rFonts w:ascii="Times New Roman" w:hAnsi="Times New Roman" w:cs="Times New Roman"/>
                <w:kern w:val="0"/>
                <w:sz w:val="20"/>
                <w:szCs w:val="20"/>
              </w:rPr>
            </w:pPr>
          </w:p>
        </w:tc>
        <w:tc>
          <w:tcPr>
            <w:tcW w:w="1712" w:type="dxa"/>
            <w:tcBorders>
              <w:top w:val="nil"/>
              <w:left w:val="nil"/>
              <w:bottom w:val="nil"/>
              <w:right w:val="nil"/>
            </w:tcBorders>
          </w:tcPr>
          <w:p w14:paraId="57663510" w14:textId="77283E7B"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w:t>
            </w:r>
            <w:r w:rsidR="009444B6">
              <w:rPr>
                <w:rFonts w:ascii="Times New Roman" w:hAnsi="Times New Roman" w:cs="Times New Roman" w:hint="eastAsia"/>
                <w:kern w:val="0"/>
                <w:sz w:val="20"/>
                <w:szCs w:val="20"/>
                <w:lang w:eastAsia="zh-CN"/>
              </w:rPr>
              <w:t>5.060</w:t>
            </w:r>
            <w:r w:rsidRPr="00F83525">
              <w:rPr>
                <w:rFonts w:ascii="Times New Roman" w:hAnsi="Times New Roman" w:cs="Times New Roman"/>
                <w:kern w:val="0"/>
                <w:sz w:val="20"/>
                <w:szCs w:val="20"/>
              </w:rPr>
              <w:t>)</w:t>
            </w:r>
          </w:p>
        </w:tc>
        <w:tc>
          <w:tcPr>
            <w:tcW w:w="1400" w:type="dxa"/>
            <w:tcBorders>
              <w:top w:val="nil"/>
              <w:left w:val="nil"/>
              <w:bottom w:val="nil"/>
              <w:right w:val="nil"/>
            </w:tcBorders>
          </w:tcPr>
          <w:p w14:paraId="070E8095" w14:textId="76F0D215"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w:t>
            </w:r>
            <w:r w:rsidR="001F3822">
              <w:rPr>
                <w:rFonts w:ascii="Times New Roman" w:hAnsi="Times New Roman" w:cs="Times New Roman" w:hint="eastAsia"/>
                <w:kern w:val="0"/>
                <w:sz w:val="20"/>
                <w:szCs w:val="20"/>
                <w:lang w:eastAsia="zh-CN"/>
              </w:rPr>
              <w:t>2.044</w:t>
            </w:r>
            <w:r w:rsidRPr="00F83525">
              <w:rPr>
                <w:rFonts w:ascii="Times New Roman" w:hAnsi="Times New Roman" w:cs="Times New Roman"/>
                <w:kern w:val="0"/>
                <w:sz w:val="20"/>
                <w:szCs w:val="20"/>
              </w:rPr>
              <w:t>)</w:t>
            </w:r>
          </w:p>
        </w:tc>
        <w:tc>
          <w:tcPr>
            <w:tcW w:w="1868" w:type="dxa"/>
            <w:tcBorders>
              <w:top w:val="nil"/>
              <w:left w:val="nil"/>
              <w:bottom w:val="nil"/>
              <w:right w:val="nil"/>
            </w:tcBorders>
          </w:tcPr>
          <w:p w14:paraId="52677878" w14:textId="650C9436"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w:t>
            </w:r>
            <w:r w:rsidR="001F3822">
              <w:rPr>
                <w:rFonts w:ascii="Times New Roman" w:hAnsi="Times New Roman" w:cs="Times New Roman" w:hint="eastAsia"/>
                <w:kern w:val="0"/>
                <w:sz w:val="20"/>
                <w:szCs w:val="20"/>
                <w:lang w:eastAsia="zh-CN"/>
              </w:rPr>
              <w:t>4.860</w:t>
            </w:r>
            <w:r w:rsidRPr="00F83525">
              <w:rPr>
                <w:rFonts w:ascii="Times New Roman" w:hAnsi="Times New Roman" w:cs="Times New Roman"/>
                <w:kern w:val="0"/>
                <w:sz w:val="20"/>
                <w:szCs w:val="20"/>
              </w:rPr>
              <w:t>)</w:t>
            </w:r>
          </w:p>
        </w:tc>
        <w:tc>
          <w:tcPr>
            <w:tcW w:w="1560" w:type="dxa"/>
            <w:tcBorders>
              <w:top w:val="nil"/>
              <w:left w:val="nil"/>
              <w:bottom w:val="nil"/>
              <w:right w:val="nil"/>
            </w:tcBorders>
          </w:tcPr>
          <w:p w14:paraId="6685711A" w14:textId="433648B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w:t>
            </w:r>
            <w:r w:rsidR="001F3822">
              <w:rPr>
                <w:rFonts w:ascii="Times New Roman" w:hAnsi="Times New Roman" w:cs="Times New Roman" w:hint="eastAsia"/>
                <w:kern w:val="0"/>
                <w:sz w:val="20"/>
                <w:szCs w:val="20"/>
                <w:lang w:eastAsia="zh-CN"/>
              </w:rPr>
              <w:t>0.990</w:t>
            </w:r>
            <w:r w:rsidRPr="00F83525">
              <w:rPr>
                <w:rFonts w:ascii="Times New Roman" w:hAnsi="Times New Roman" w:cs="Times New Roman"/>
                <w:kern w:val="0"/>
                <w:sz w:val="20"/>
                <w:szCs w:val="20"/>
              </w:rPr>
              <w:t>)</w:t>
            </w:r>
          </w:p>
        </w:tc>
      </w:tr>
      <w:tr w:rsidR="00667364" w:rsidRPr="00F83525" w14:paraId="4C2781BE" w14:textId="77777777" w:rsidTr="00356F41">
        <w:trPr>
          <w:trHeight w:val="277"/>
          <w:jc w:val="center"/>
        </w:trPr>
        <w:tc>
          <w:tcPr>
            <w:tcW w:w="2727" w:type="dxa"/>
            <w:tcBorders>
              <w:top w:val="nil"/>
              <w:left w:val="nil"/>
              <w:bottom w:val="nil"/>
              <w:right w:val="nil"/>
            </w:tcBorders>
          </w:tcPr>
          <w:p w14:paraId="42ADB0AB" w14:textId="77777777" w:rsidR="00667364" w:rsidRPr="00F83525" w:rsidRDefault="00667364" w:rsidP="00E177DE">
            <w:pPr>
              <w:widowControl w:val="0"/>
              <w:autoSpaceDE w:val="0"/>
              <w:autoSpaceDN w:val="0"/>
              <w:adjustRightInd w:val="0"/>
              <w:spacing w:afterLines="20" w:after="48" w:line="240" w:lineRule="auto"/>
              <w:rPr>
                <w:rFonts w:ascii="Times New Roman" w:hAnsi="Times New Roman" w:cs="Times New Roman"/>
                <w:kern w:val="0"/>
                <w:sz w:val="20"/>
                <w:szCs w:val="20"/>
              </w:rPr>
            </w:pPr>
            <w:r w:rsidRPr="00F83525">
              <w:rPr>
                <w:rFonts w:ascii="Times New Roman" w:hAnsi="Times New Roman" w:cs="Times New Roman"/>
                <w:kern w:val="0"/>
                <w:sz w:val="20"/>
                <w:szCs w:val="20"/>
              </w:rPr>
              <w:t>ROE</w:t>
            </w:r>
          </w:p>
        </w:tc>
        <w:tc>
          <w:tcPr>
            <w:tcW w:w="1712" w:type="dxa"/>
            <w:tcBorders>
              <w:top w:val="nil"/>
              <w:left w:val="nil"/>
              <w:bottom w:val="nil"/>
              <w:right w:val="nil"/>
            </w:tcBorders>
          </w:tcPr>
          <w:p w14:paraId="1C5F70B5"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0.077**</w:t>
            </w:r>
          </w:p>
        </w:tc>
        <w:tc>
          <w:tcPr>
            <w:tcW w:w="1400" w:type="dxa"/>
            <w:tcBorders>
              <w:top w:val="nil"/>
              <w:left w:val="nil"/>
              <w:bottom w:val="nil"/>
              <w:right w:val="nil"/>
            </w:tcBorders>
          </w:tcPr>
          <w:p w14:paraId="14738867"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0.036</w:t>
            </w:r>
          </w:p>
        </w:tc>
        <w:tc>
          <w:tcPr>
            <w:tcW w:w="1868" w:type="dxa"/>
            <w:tcBorders>
              <w:top w:val="nil"/>
              <w:left w:val="nil"/>
              <w:bottom w:val="nil"/>
              <w:right w:val="nil"/>
            </w:tcBorders>
          </w:tcPr>
          <w:p w14:paraId="2F44972F"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0.098**</w:t>
            </w:r>
          </w:p>
        </w:tc>
        <w:tc>
          <w:tcPr>
            <w:tcW w:w="1560" w:type="dxa"/>
            <w:tcBorders>
              <w:top w:val="nil"/>
              <w:left w:val="nil"/>
              <w:bottom w:val="nil"/>
              <w:right w:val="nil"/>
            </w:tcBorders>
          </w:tcPr>
          <w:p w14:paraId="7568AFA7"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0.475**</w:t>
            </w:r>
          </w:p>
        </w:tc>
      </w:tr>
      <w:tr w:rsidR="00667364" w:rsidRPr="00F83525" w14:paraId="65DDD044" w14:textId="77777777" w:rsidTr="00356F41">
        <w:trPr>
          <w:trHeight w:val="277"/>
          <w:jc w:val="center"/>
        </w:trPr>
        <w:tc>
          <w:tcPr>
            <w:tcW w:w="2727" w:type="dxa"/>
            <w:tcBorders>
              <w:top w:val="nil"/>
              <w:left w:val="nil"/>
              <w:bottom w:val="nil"/>
              <w:right w:val="nil"/>
            </w:tcBorders>
          </w:tcPr>
          <w:p w14:paraId="22A93B67" w14:textId="77777777" w:rsidR="00667364" w:rsidRPr="00F83525" w:rsidRDefault="00667364" w:rsidP="00E177DE">
            <w:pPr>
              <w:widowControl w:val="0"/>
              <w:autoSpaceDE w:val="0"/>
              <w:autoSpaceDN w:val="0"/>
              <w:adjustRightInd w:val="0"/>
              <w:spacing w:afterLines="20" w:after="48" w:line="240" w:lineRule="auto"/>
              <w:rPr>
                <w:rFonts w:ascii="Times New Roman" w:hAnsi="Times New Roman" w:cs="Times New Roman"/>
                <w:kern w:val="0"/>
                <w:sz w:val="20"/>
                <w:szCs w:val="20"/>
              </w:rPr>
            </w:pPr>
          </w:p>
        </w:tc>
        <w:tc>
          <w:tcPr>
            <w:tcW w:w="1712" w:type="dxa"/>
            <w:tcBorders>
              <w:top w:val="nil"/>
              <w:left w:val="nil"/>
              <w:bottom w:val="nil"/>
              <w:right w:val="nil"/>
            </w:tcBorders>
          </w:tcPr>
          <w:p w14:paraId="5158AF0A"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(2.109)</w:t>
            </w:r>
          </w:p>
        </w:tc>
        <w:tc>
          <w:tcPr>
            <w:tcW w:w="1400" w:type="dxa"/>
            <w:tcBorders>
              <w:top w:val="nil"/>
              <w:left w:val="nil"/>
              <w:bottom w:val="nil"/>
              <w:right w:val="nil"/>
            </w:tcBorders>
          </w:tcPr>
          <w:p w14:paraId="523FFD8E"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(1.583)</w:t>
            </w:r>
          </w:p>
        </w:tc>
        <w:tc>
          <w:tcPr>
            <w:tcW w:w="1868" w:type="dxa"/>
            <w:tcBorders>
              <w:top w:val="nil"/>
              <w:left w:val="nil"/>
              <w:bottom w:val="nil"/>
              <w:right w:val="nil"/>
            </w:tcBorders>
          </w:tcPr>
          <w:p w14:paraId="7BEF1224"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(2.285)</w:t>
            </w:r>
          </w:p>
        </w:tc>
        <w:tc>
          <w:tcPr>
            <w:tcW w:w="1560" w:type="dxa"/>
            <w:tcBorders>
              <w:top w:val="nil"/>
              <w:left w:val="nil"/>
              <w:bottom w:val="nil"/>
              <w:right w:val="nil"/>
            </w:tcBorders>
          </w:tcPr>
          <w:p w14:paraId="1D97DBF4"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(2.115)</w:t>
            </w:r>
          </w:p>
        </w:tc>
      </w:tr>
      <w:tr w:rsidR="00667364" w:rsidRPr="00F83525" w14:paraId="2B86804F" w14:textId="77777777" w:rsidTr="00356F41">
        <w:trPr>
          <w:trHeight w:val="277"/>
          <w:jc w:val="center"/>
        </w:trPr>
        <w:tc>
          <w:tcPr>
            <w:tcW w:w="2727" w:type="dxa"/>
            <w:tcBorders>
              <w:top w:val="nil"/>
              <w:left w:val="nil"/>
              <w:bottom w:val="nil"/>
              <w:right w:val="nil"/>
            </w:tcBorders>
          </w:tcPr>
          <w:p w14:paraId="098BBC7D" w14:textId="77777777" w:rsidR="00667364" w:rsidRPr="00F83525" w:rsidRDefault="00667364" w:rsidP="00E177DE">
            <w:pPr>
              <w:widowControl w:val="0"/>
              <w:autoSpaceDE w:val="0"/>
              <w:autoSpaceDN w:val="0"/>
              <w:adjustRightInd w:val="0"/>
              <w:spacing w:afterLines="20" w:after="48" w:line="240" w:lineRule="auto"/>
              <w:rPr>
                <w:rFonts w:ascii="Times New Roman" w:hAnsi="Times New Roman" w:cs="Times New Roman"/>
                <w:kern w:val="0"/>
                <w:sz w:val="20"/>
                <w:szCs w:val="20"/>
              </w:rPr>
            </w:pPr>
            <w:r w:rsidRPr="00F83525">
              <w:rPr>
                <w:rFonts w:ascii="Times New Roman" w:hAnsi="Times New Roman" w:cs="Times New Roman"/>
                <w:kern w:val="0"/>
                <w:sz w:val="20"/>
                <w:szCs w:val="20"/>
              </w:rPr>
              <w:t>Leverage</w:t>
            </w:r>
          </w:p>
        </w:tc>
        <w:tc>
          <w:tcPr>
            <w:tcW w:w="1712" w:type="dxa"/>
            <w:tcBorders>
              <w:top w:val="nil"/>
              <w:left w:val="nil"/>
              <w:bottom w:val="nil"/>
              <w:right w:val="nil"/>
            </w:tcBorders>
          </w:tcPr>
          <w:p w14:paraId="50CABD95"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0.608***</w:t>
            </w:r>
          </w:p>
        </w:tc>
        <w:tc>
          <w:tcPr>
            <w:tcW w:w="1400" w:type="dxa"/>
            <w:tcBorders>
              <w:top w:val="nil"/>
              <w:left w:val="nil"/>
              <w:bottom w:val="nil"/>
              <w:right w:val="nil"/>
            </w:tcBorders>
          </w:tcPr>
          <w:p w14:paraId="0CD7E37C"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0.213***</w:t>
            </w:r>
          </w:p>
        </w:tc>
        <w:tc>
          <w:tcPr>
            <w:tcW w:w="1868" w:type="dxa"/>
            <w:tcBorders>
              <w:top w:val="nil"/>
              <w:left w:val="nil"/>
              <w:bottom w:val="nil"/>
              <w:right w:val="nil"/>
            </w:tcBorders>
          </w:tcPr>
          <w:p w14:paraId="513EC42B"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0.708***</w:t>
            </w:r>
          </w:p>
        </w:tc>
        <w:tc>
          <w:tcPr>
            <w:tcW w:w="1560" w:type="dxa"/>
            <w:tcBorders>
              <w:top w:val="nil"/>
              <w:left w:val="nil"/>
              <w:bottom w:val="nil"/>
              <w:right w:val="nil"/>
            </w:tcBorders>
          </w:tcPr>
          <w:p w14:paraId="6FF88155"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1.287***</w:t>
            </w:r>
          </w:p>
        </w:tc>
      </w:tr>
      <w:tr w:rsidR="00667364" w:rsidRPr="00F83525" w14:paraId="76963211" w14:textId="77777777" w:rsidTr="00356F41">
        <w:trPr>
          <w:trHeight w:val="277"/>
          <w:jc w:val="center"/>
        </w:trPr>
        <w:tc>
          <w:tcPr>
            <w:tcW w:w="2727" w:type="dxa"/>
            <w:tcBorders>
              <w:top w:val="nil"/>
              <w:left w:val="nil"/>
              <w:bottom w:val="nil"/>
              <w:right w:val="nil"/>
            </w:tcBorders>
          </w:tcPr>
          <w:p w14:paraId="61F515DD" w14:textId="77777777" w:rsidR="00667364" w:rsidRPr="00F83525" w:rsidRDefault="00667364" w:rsidP="00E177DE">
            <w:pPr>
              <w:widowControl w:val="0"/>
              <w:autoSpaceDE w:val="0"/>
              <w:autoSpaceDN w:val="0"/>
              <w:adjustRightInd w:val="0"/>
              <w:spacing w:afterLines="20" w:after="48" w:line="240" w:lineRule="auto"/>
              <w:rPr>
                <w:rFonts w:ascii="Times New Roman" w:hAnsi="Times New Roman" w:cs="Times New Roman"/>
                <w:kern w:val="0"/>
                <w:sz w:val="20"/>
                <w:szCs w:val="20"/>
              </w:rPr>
            </w:pPr>
          </w:p>
        </w:tc>
        <w:tc>
          <w:tcPr>
            <w:tcW w:w="1712" w:type="dxa"/>
            <w:tcBorders>
              <w:top w:val="nil"/>
              <w:left w:val="nil"/>
              <w:bottom w:val="nil"/>
              <w:right w:val="nil"/>
            </w:tcBorders>
          </w:tcPr>
          <w:p w14:paraId="12549DD9"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(21.059)</w:t>
            </w:r>
          </w:p>
        </w:tc>
        <w:tc>
          <w:tcPr>
            <w:tcW w:w="1400" w:type="dxa"/>
            <w:tcBorders>
              <w:top w:val="nil"/>
              <w:left w:val="nil"/>
              <w:bottom w:val="nil"/>
              <w:right w:val="nil"/>
            </w:tcBorders>
          </w:tcPr>
          <w:p w14:paraId="53384A26"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(4.939)</w:t>
            </w:r>
          </w:p>
        </w:tc>
        <w:tc>
          <w:tcPr>
            <w:tcW w:w="1868" w:type="dxa"/>
            <w:tcBorders>
              <w:top w:val="nil"/>
              <w:left w:val="nil"/>
              <w:bottom w:val="nil"/>
              <w:right w:val="nil"/>
            </w:tcBorders>
          </w:tcPr>
          <w:p w14:paraId="3181761D"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(25.628)</w:t>
            </w:r>
          </w:p>
        </w:tc>
        <w:tc>
          <w:tcPr>
            <w:tcW w:w="1560" w:type="dxa"/>
            <w:tcBorders>
              <w:top w:val="nil"/>
              <w:left w:val="nil"/>
              <w:bottom w:val="nil"/>
              <w:right w:val="nil"/>
            </w:tcBorders>
          </w:tcPr>
          <w:p w14:paraId="4E9CF600"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(7.588)</w:t>
            </w:r>
          </w:p>
        </w:tc>
      </w:tr>
      <w:tr w:rsidR="00667364" w:rsidRPr="00F83525" w14:paraId="293F87EC" w14:textId="77777777" w:rsidTr="00356F41">
        <w:trPr>
          <w:trHeight w:val="277"/>
          <w:jc w:val="center"/>
        </w:trPr>
        <w:tc>
          <w:tcPr>
            <w:tcW w:w="2727" w:type="dxa"/>
            <w:tcBorders>
              <w:top w:val="nil"/>
              <w:left w:val="nil"/>
              <w:bottom w:val="nil"/>
              <w:right w:val="nil"/>
            </w:tcBorders>
          </w:tcPr>
          <w:p w14:paraId="7B0BAEBB" w14:textId="77777777" w:rsidR="00667364" w:rsidRPr="00F83525" w:rsidRDefault="00667364" w:rsidP="00E177DE">
            <w:pPr>
              <w:widowControl w:val="0"/>
              <w:autoSpaceDE w:val="0"/>
              <w:autoSpaceDN w:val="0"/>
              <w:adjustRightInd w:val="0"/>
              <w:spacing w:afterLines="20" w:after="48" w:line="240" w:lineRule="auto"/>
              <w:rPr>
                <w:rFonts w:ascii="Times New Roman" w:hAnsi="Times New Roman" w:cs="Times New Roman"/>
                <w:kern w:val="0"/>
                <w:sz w:val="20"/>
                <w:szCs w:val="20"/>
              </w:rPr>
            </w:pPr>
            <w:proofErr w:type="spellStart"/>
            <w:r w:rsidRPr="00F83525">
              <w:rPr>
                <w:rFonts w:ascii="Times New Roman" w:hAnsi="Times New Roman" w:cs="Times New Roman"/>
                <w:kern w:val="0"/>
                <w:sz w:val="20"/>
                <w:szCs w:val="20"/>
              </w:rPr>
              <w:t>FirmSize</w:t>
            </w:r>
            <w:proofErr w:type="spellEnd"/>
          </w:p>
        </w:tc>
        <w:tc>
          <w:tcPr>
            <w:tcW w:w="1712" w:type="dxa"/>
            <w:tcBorders>
              <w:top w:val="nil"/>
              <w:left w:val="nil"/>
              <w:bottom w:val="nil"/>
              <w:right w:val="nil"/>
            </w:tcBorders>
          </w:tcPr>
          <w:p w14:paraId="0A3B462E"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0.606***</w:t>
            </w:r>
          </w:p>
        </w:tc>
        <w:tc>
          <w:tcPr>
            <w:tcW w:w="1400" w:type="dxa"/>
            <w:tcBorders>
              <w:top w:val="nil"/>
              <w:left w:val="nil"/>
              <w:bottom w:val="nil"/>
              <w:right w:val="nil"/>
            </w:tcBorders>
          </w:tcPr>
          <w:p w14:paraId="1F000B22"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0.220***</w:t>
            </w:r>
          </w:p>
        </w:tc>
        <w:tc>
          <w:tcPr>
            <w:tcW w:w="1868" w:type="dxa"/>
            <w:tcBorders>
              <w:top w:val="nil"/>
              <w:left w:val="nil"/>
              <w:bottom w:val="nil"/>
              <w:right w:val="nil"/>
            </w:tcBorders>
          </w:tcPr>
          <w:p w14:paraId="5FB7E892"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-0.295***</w:t>
            </w:r>
          </w:p>
        </w:tc>
        <w:tc>
          <w:tcPr>
            <w:tcW w:w="1560" w:type="dxa"/>
            <w:tcBorders>
              <w:top w:val="nil"/>
              <w:left w:val="nil"/>
              <w:bottom w:val="nil"/>
              <w:right w:val="nil"/>
            </w:tcBorders>
          </w:tcPr>
          <w:p w14:paraId="2D622559"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2.200***</w:t>
            </w:r>
          </w:p>
        </w:tc>
      </w:tr>
      <w:tr w:rsidR="00667364" w:rsidRPr="00F83525" w14:paraId="2B88917E" w14:textId="77777777" w:rsidTr="00356F41">
        <w:trPr>
          <w:trHeight w:val="277"/>
          <w:jc w:val="center"/>
        </w:trPr>
        <w:tc>
          <w:tcPr>
            <w:tcW w:w="2727" w:type="dxa"/>
            <w:tcBorders>
              <w:top w:val="nil"/>
              <w:left w:val="nil"/>
              <w:bottom w:val="nil"/>
              <w:right w:val="nil"/>
            </w:tcBorders>
          </w:tcPr>
          <w:p w14:paraId="054E323E" w14:textId="77777777" w:rsidR="00667364" w:rsidRPr="00F83525" w:rsidRDefault="00667364" w:rsidP="00E177DE">
            <w:pPr>
              <w:widowControl w:val="0"/>
              <w:autoSpaceDE w:val="0"/>
              <w:autoSpaceDN w:val="0"/>
              <w:adjustRightInd w:val="0"/>
              <w:spacing w:afterLines="20" w:after="48" w:line="240" w:lineRule="auto"/>
              <w:rPr>
                <w:rFonts w:ascii="Times New Roman" w:hAnsi="Times New Roman" w:cs="Times New Roman"/>
                <w:kern w:val="0"/>
                <w:sz w:val="20"/>
                <w:szCs w:val="20"/>
              </w:rPr>
            </w:pPr>
          </w:p>
        </w:tc>
        <w:tc>
          <w:tcPr>
            <w:tcW w:w="1712" w:type="dxa"/>
            <w:tcBorders>
              <w:top w:val="nil"/>
              <w:left w:val="nil"/>
              <w:bottom w:val="nil"/>
              <w:right w:val="nil"/>
            </w:tcBorders>
          </w:tcPr>
          <w:p w14:paraId="23EA2F45"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(18.970)</w:t>
            </w:r>
          </w:p>
        </w:tc>
        <w:tc>
          <w:tcPr>
            <w:tcW w:w="1400" w:type="dxa"/>
            <w:tcBorders>
              <w:top w:val="nil"/>
              <w:left w:val="nil"/>
              <w:bottom w:val="nil"/>
              <w:right w:val="nil"/>
            </w:tcBorders>
          </w:tcPr>
          <w:p w14:paraId="6A242D20"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(4.183)</w:t>
            </w:r>
          </w:p>
        </w:tc>
        <w:tc>
          <w:tcPr>
            <w:tcW w:w="1868" w:type="dxa"/>
            <w:tcBorders>
              <w:top w:val="nil"/>
              <w:left w:val="nil"/>
              <w:bottom w:val="nil"/>
              <w:right w:val="nil"/>
            </w:tcBorders>
          </w:tcPr>
          <w:p w14:paraId="08E41446"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(-9.000)</w:t>
            </w:r>
          </w:p>
        </w:tc>
        <w:tc>
          <w:tcPr>
            <w:tcW w:w="1560" w:type="dxa"/>
            <w:tcBorders>
              <w:top w:val="nil"/>
              <w:left w:val="nil"/>
              <w:bottom w:val="nil"/>
              <w:right w:val="nil"/>
            </w:tcBorders>
          </w:tcPr>
          <w:p w14:paraId="30EA6745"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(11.797)</w:t>
            </w:r>
          </w:p>
        </w:tc>
      </w:tr>
      <w:tr w:rsidR="00667364" w:rsidRPr="00F83525" w14:paraId="761A6C6E" w14:textId="77777777" w:rsidTr="00356F41">
        <w:trPr>
          <w:trHeight w:val="277"/>
          <w:jc w:val="center"/>
        </w:trPr>
        <w:tc>
          <w:tcPr>
            <w:tcW w:w="2727" w:type="dxa"/>
            <w:tcBorders>
              <w:top w:val="nil"/>
              <w:left w:val="nil"/>
              <w:bottom w:val="nil"/>
              <w:right w:val="nil"/>
            </w:tcBorders>
          </w:tcPr>
          <w:p w14:paraId="314256EE" w14:textId="77777777" w:rsidR="00667364" w:rsidRPr="00F83525" w:rsidRDefault="00667364" w:rsidP="00E177DE">
            <w:pPr>
              <w:widowControl w:val="0"/>
              <w:autoSpaceDE w:val="0"/>
              <w:autoSpaceDN w:val="0"/>
              <w:adjustRightInd w:val="0"/>
              <w:spacing w:afterLines="20" w:after="48" w:line="240" w:lineRule="auto"/>
              <w:rPr>
                <w:rFonts w:ascii="Times New Roman" w:hAnsi="Times New Roman" w:cs="Times New Roman"/>
                <w:kern w:val="0"/>
                <w:sz w:val="20"/>
                <w:szCs w:val="20"/>
              </w:rPr>
            </w:pPr>
            <w:proofErr w:type="spellStart"/>
            <w:r w:rsidRPr="00F83525">
              <w:rPr>
                <w:rFonts w:ascii="Times New Roman" w:hAnsi="Times New Roman" w:cs="Times New Roman"/>
                <w:kern w:val="0"/>
                <w:sz w:val="20"/>
                <w:szCs w:val="20"/>
              </w:rPr>
              <w:t>BoardSize</w:t>
            </w:r>
            <w:proofErr w:type="spellEnd"/>
          </w:p>
        </w:tc>
        <w:tc>
          <w:tcPr>
            <w:tcW w:w="1712" w:type="dxa"/>
            <w:tcBorders>
              <w:top w:val="nil"/>
              <w:left w:val="nil"/>
              <w:bottom w:val="nil"/>
              <w:right w:val="nil"/>
            </w:tcBorders>
          </w:tcPr>
          <w:p w14:paraId="590DBF3A"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0.057***</w:t>
            </w:r>
          </w:p>
        </w:tc>
        <w:tc>
          <w:tcPr>
            <w:tcW w:w="1400" w:type="dxa"/>
            <w:tcBorders>
              <w:top w:val="nil"/>
              <w:left w:val="nil"/>
              <w:bottom w:val="nil"/>
              <w:right w:val="nil"/>
            </w:tcBorders>
          </w:tcPr>
          <w:p w14:paraId="7F6DFAF1"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-0.012</w:t>
            </w:r>
          </w:p>
        </w:tc>
        <w:tc>
          <w:tcPr>
            <w:tcW w:w="1868" w:type="dxa"/>
            <w:tcBorders>
              <w:top w:val="nil"/>
              <w:left w:val="nil"/>
              <w:bottom w:val="nil"/>
              <w:right w:val="nil"/>
            </w:tcBorders>
          </w:tcPr>
          <w:p w14:paraId="3940FED0"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p>
        </w:tc>
        <w:tc>
          <w:tcPr>
            <w:tcW w:w="1560" w:type="dxa"/>
            <w:tcBorders>
              <w:top w:val="nil"/>
              <w:left w:val="nil"/>
              <w:bottom w:val="nil"/>
              <w:right w:val="nil"/>
            </w:tcBorders>
          </w:tcPr>
          <w:p w14:paraId="0D7C56CB"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p>
        </w:tc>
      </w:tr>
      <w:tr w:rsidR="00667364" w:rsidRPr="00F83525" w14:paraId="1E22F9D1" w14:textId="77777777" w:rsidTr="00356F41">
        <w:trPr>
          <w:trHeight w:val="277"/>
          <w:jc w:val="center"/>
        </w:trPr>
        <w:tc>
          <w:tcPr>
            <w:tcW w:w="2727" w:type="dxa"/>
            <w:tcBorders>
              <w:top w:val="nil"/>
              <w:left w:val="nil"/>
              <w:bottom w:val="nil"/>
              <w:right w:val="nil"/>
            </w:tcBorders>
          </w:tcPr>
          <w:p w14:paraId="6EBEAB20" w14:textId="77777777" w:rsidR="00667364" w:rsidRPr="00F83525" w:rsidRDefault="00667364" w:rsidP="00E177DE">
            <w:pPr>
              <w:widowControl w:val="0"/>
              <w:autoSpaceDE w:val="0"/>
              <w:autoSpaceDN w:val="0"/>
              <w:adjustRightInd w:val="0"/>
              <w:spacing w:afterLines="20" w:after="48" w:line="240" w:lineRule="auto"/>
              <w:rPr>
                <w:rFonts w:ascii="Times New Roman" w:hAnsi="Times New Roman" w:cs="Times New Roman"/>
                <w:kern w:val="0"/>
                <w:sz w:val="20"/>
                <w:szCs w:val="20"/>
              </w:rPr>
            </w:pPr>
          </w:p>
        </w:tc>
        <w:tc>
          <w:tcPr>
            <w:tcW w:w="1712" w:type="dxa"/>
            <w:tcBorders>
              <w:top w:val="nil"/>
              <w:left w:val="nil"/>
              <w:bottom w:val="nil"/>
              <w:right w:val="nil"/>
            </w:tcBorders>
          </w:tcPr>
          <w:p w14:paraId="23B7CB82"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(3.711)</w:t>
            </w:r>
          </w:p>
        </w:tc>
        <w:tc>
          <w:tcPr>
            <w:tcW w:w="1400" w:type="dxa"/>
            <w:tcBorders>
              <w:top w:val="nil"/>
              <w:left w:val="nil"/>
              <w:bottom w:val="nil"/>
              <w:right w:val="nil"/>
            </w:tcBorders>
          </w:tcPr>
          <w:p w14:paraId="5D070ED2"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(-0.656)</w:t>
            </w:r>
          </w:p>
        </w:tc>
        <w:tc>
          <w:tcPr>
            <w:tcW w:w="1868" w:type="dxa"/>
            <w:tcBorders>
              <w:top w:val="nil"/>
              <w:left w:val="nil"/>
              <w:bottom w:val="nil"/>
              <w:right w:val="nil"/>
            </w:tcBorders>
          </w:tcPr>
          <w:p w14:paraId="72D06AE6"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p>
        </w:tc>
        <w:tc>
          <w:tcPr>
            <w:tcW w:w="1560" w:type="dxa"/>
            <w:tcBorders>
              <w:top w:val="nil"/>
              <w:left w:val="nil"/>
              <w:bottom w:val="nil"/>
              <w:right w:val="nil"/>
            </w:tcBorders>
          </w:tcPr>
          <w:p w14:paraId="40A1E6E0"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p>
        </w:tc>
      </w:tr>
      <w:tr w:rsidR="00667364" w:rsidRPr="00F83525" w14:paraId="2DF31001" w14:textId="77777777" w:rsidTr="00356F41">
        <w:trPr>
          <w:trHeight w:val="277"/>
          <w:jc w:val="center"/>
        </w:trPr>
        <w:tc>
          <w:tcPr>
            <w:tcW w:w="2727" w:type="dxa"/>
            <w:tcBorders>
              <w:top w:val="nil"/>
              <w:left w:val="nil"/>
              <w:bottom w:val="nil"/>
              <w:right w:val="nil"/>
            </w:tcBorders>
          </w:tcPr>
          <w:p w14:paraId="3ED6839E" w14:textId="77777777" w:rsidR="00667364" w:rsidRPr="00F83525" w:rsidRDefault="00667364" w:rsidP="00E177DE">
            <w:pPr>
              <w:widowControl w:val="0"/>
              <w:autoSpaceDE w:val="0"/>
              <w:autoSpaceDN w:val="0"/>
              <w:adjustRightInd w:val="0"/>
              <w:spacing w:afterLines="20" w:after="48" w:line="240" w:lineRule="auto"/>
              <w:rPr>
                <w:rFonts w:ascii="Times New Roman" w:hAnsi="Times New Roman" w:cs="Times New Roman"/>
                <w:kern w:val="0"/>
                <w:sz w:val="20"/>
                <w:szCs w:val="20"/>
              </w:rPr>
            </w:pPr>
            <w:proofErr w:type="spellStart"/>
            <w:r w:rsidRPr="00F83525">
              <w:rPr>
                <w:rFonts w:ascii="Times New Roman" w:hAnsi="Times New Roman" w:cs="Times New Roman"/>
                <w:kern w:val="0"/>
                <w:sz w:val="20"/>
                <w:szCs w:val="20"/>
              </w:rPr>
              <w:t>BoardDirectorships</w:t>
            </w:r>
            <w:proofErr w:type="spellEnd"/>
          </w:p>
        </w:tc>
        <w:tc>
          <w:tcPr>
            <w:tcW w:w="1712" w:type="dxa"/>
            <w:tcBorders>
              <w:top w:val="nil"/>
              <w:left w:val="nil"/>
              <w:bottom w:val="nil"/>
              <w:right w:val="nil"/>
            </w:tcBorders>
          </w:tcPr>
          <w:p w14:paraId="4684232F"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0.181***</w:t>
            </w:r>
          </w:p>
        </w:tc>
        <w:tc>
          <w:tcPr>
            <w:tcW w:w="1400" w:type="dxa"/>
            <w:tcBorders>
              <w:top w:val="nil"/>
              <w:left w:val="nil"/>
              <w:bottom w:val="nil"/>
              <w:right w:val="nil"/>
            </w:tcBorders>
          </w:tcPr>
          <w:p w14:paraId="5646934C"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-0.181**</w:t>
            </w:r>
          </w:p>
        </w:tc>
        <w:tc>
          <w:tcPr>
            <w:tcW w:w="1868" w:type="dxa"/>
            <w:tcBorders>
              <w:top w:val="nil"/>
              <w:left w:val="nil"/>
              <w:bottom w:val="nil"/>
              <w:right w:val="nil"/>
            </w:tcBorders>
          </w:tcPr>
          <w:p w14:paraId="6C8DA08D"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p>
        </w:tc>
        <w:tc>
          <w:tcPr>
            <w:tcW w:w="1560" w:type="dxa"/>
            <w:tcBorders>
              <w:top w:val="nil"/>
              <w:left w:val="nil"/>
              <w:bottom w:val="nil"/>
              <w:right w:val="nil"/>
            </w:tcBorders>
          </w:tcPr>
          <w:p w14:paraId="1055282D"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p>
        </w:tc>
      </w:tr>
      <w:tr w:rsidR="00667364" w:rsidRPr="00F83525" w14:paraId="52260BB8" w14:textId="77777777" w:rsidTr="00356F41">
        <w:trPr>
          <w:trHeight w:val="277"/>
          <w:jc w:val="center"/>
        </w:trPr>
        <w:tc>
          <w:tcPr>
            <w:tcW w:w="2727" w:type="dxa"/>
            <w:tcBorders>
              <w:top w:val="nil"/>
              <w:left w:val="nil"/>
              <w:bottom w:val="nil"/>
              <w:right w:val="nil"/>
            </w:tcBorders>
          </w:tcPr>
          <w:p w14:paraId="60B9BF0B" w14:textId="77777777" w:rsidR="00667364" w:rsidRPr="00F83525" w:rsidRDefault="00667364" w:rsidP="00E177DE">
            <w:pPr>
              <w:widowControl w:val="0"/>
              <w:autoSpaceDE w:val="0"/>
              <w:autoSpaceDN w:val="0"/>
              <w:adjustRightInd w:val="0"/>
              <w:spacing w:afterLines="20" w:after="48" w:line="240" w:lineRule="auto"/>
              <w:rPr>
                <w:rFonts w:ascii="Times New Roman" w:hAnsi="Times New Roman" w:cs="Times New Roman"/>
                <w:kern w:val="0"/>
                <w:sz w:val="20"/>
                <w:szCs w:val="20"/>
              </w:rPr>
            </w:pPr>
          </w:p>
        </w:tc>
        <w:tc>
          <w:tcPr>
            <w:tcW w:w="1712" w:type="dxa"/>
            <w:tcBorders>
              <w:top w:val="nil"/>
              <w:left w:val="nil"/>
              <w:bottom w:val="nil"/>
              <w:right w:val="nil"/>
            </w:tcBorders>
          </w:tcPr>
          <w:p w14:paraId="50E2EA2D"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(3.177)</w:t>
            </w:r>
          </w:p>
        </w:tc>
        <w:tc>
          <w:tcPr>
            <w:tcW w:w="1400" w:type="dxa"/>
            <w:tcBorders>
              <w:top w:val="nil"/>
              <w:left w:val="nil"/>
              <w:bottom w:val="nil"/>
              <w:right w:val="nil"/>
            </w:tcBorders>
          </w:tcPr>
          <w:p w14:paraId="2C3EB0BE"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(-2.033)</w:t>
            </w:r>
          </w:p>
        </w:tc>
        <w:tc>
          <w:tcPr>
            <w:tcW w:w="1868" w:type="dxa"/>
            <w:tcBorders>
              <w:top w:val="nil"/>
              <w:left w:val="nil"/>
              <w:bottom w:val="nil"/>
              <w:right w:val="nil"/>
            </w:tcBorders>
          </w:tcPr>
          <w:p w14:paraId="7C0F2E2E"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p>
        </w:tc>
        <w:tc>
          <w:tcPr>
            <w:tcW w:w="1560" w:type="dxa"/>
            <w:tcBorders>
              <w:top w:val="nil"/>
              <w:left w:val="nil"/>
              <w:bottom w:val="nil"/>
              <w:right w:val="nil"/>
            </w:tcBorders>
          </w:tcPr>
          <w:p w14:paraId="6D6B8DA6"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p>
        </w:tc>
      </w:tr>
      <w:tr w:rsidR="00667364" w:rsidRPr="00F83525" w14:paraId="504B4C6D" w14:textId="77777777" w:rsidTr="00356F41">
        <w:trPr>
          <w:trHeight w:val="277"/>
          <w:jc w:val="center"/>
        </w:trPr>
        <w:tc>
          <w:tcPr>
            <w:tcW w:w="2727" w:type="dxa"/>
            <w:tcBorders>
              <w:top w:val="nil"/>
              <w:left w:val="nil"/>
              <w:bottom w:val="nil"/>
              <w:right w:val="nil"/>
            </w:tcBorders>
          </w:tcPr>
          <w:p w14:paraId="189C79C6" w14:textId="77777777" w:rsidR="00667364" w:rsidRPr="00F83525" w:rsidRDefault="00667364" w:rsidP="00E177DE">
            <w:pPr>
              <w:widowControl w:val="0"/>
              <w:autoSpaceDE w:val="0"/>
              <w:autoSpaceDN w:val="0"/>
              <w:adjustRightInd w:val="0"/>
              <w:spacing w:afterLines="20" w:after="48" w:line="240" w:lineRule="auto"/>
              <w:rPr>
                <w:rFonts w:ascii="Times New Roman" w:hAnsi="Times New Roman" w:cs="Times New Roman"/>
                <w:kern w:val="0"/>
                <w:sz w:val="20"/>
                <w:szCs w:val="20"/>
              </w:rPr>
            </w:pPr>
            <w:proofErr w:type="spellStart"/>
            <w:r w:rsidRPr="00F83525">
              <w:rPr>
                <w:rFonts w:ascii="Times New Roman" w:hAnsi="Times New Roman" w:cs="Times New Roman"/>
                <w:kern w:val="0"/>
                <w:sz w:val="20"/>
                <w:szCs w:val="20"/>
              </w:rPr>
              <w:t>BoardTenure</w:t>
            </w:r>
            <w:proofErr w:type="spellEnd"/>
          </w:p>
        </w:tc>
        <w:tc>
          <w:tcPr>
            <w:tcW w:w="1712" w:type="dxa"/>
            <w:tcBorders>
              <w:top w:val="nil"/>
              <w:left w:val="nil"/>
              <w:bottom w:val="nil"/>
              <w:right w:val="nil"/>
            </w:tcBorders>
          </w:tcPr>
          <w:p w14:paraId="45F851EF"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0.006</w:t>
            </w:r>
          </w:p>
        </w:tc>
        <w:tc>
          <w:tcPr>
            <w:tcW w:w="1400" w:type="dxa"/>
            <w:tcBorders>
              <w:top w:val="nil"/>
              <w:left w:val="nil"/>
              <w:bottom w:val="nil"/>
              <w:right w:val="nil"/>
            </w:tcBorders>
          </w:tcPr>
          <w:p w14:paraId="626C0FB8"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-0.008</w:t>
            </w:r>
          </w:p>
        </w:tc>
        <w:tc>
          <w:tcPr>
            <w:tcW w:w="1868" w:type="dxa"/>
            <w:tcBorders>
              <w:top w:val="nil"/>
              <w:left w:val="nil"/>
              <w:bottom w:val="nil"/>
              <w:right w:val="nil"/>
            </w:tcBorders>
          </w:tcPr>
          <w:p w14:paraId="66A3F423"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p>
        </w:tc>
        <w:tc>
          <w:tcPr>
            <w:tcW w:w="1560" w:type="dxa"/>
            <w:tcBorders>
              <w:top w:val="nil"/>
              <w:left w:val="nil"/>
              <w:bottom w:val="nil"/>
              <w:right w:val="nil"/>
            </w:tcBorders>
          </w:tcPr>
          <w:p w14:paraId="3AD9CAF1"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p>
        </w:tc>
      </w:tr>
      <w:tr w:rsidR="00667364" w:rsidRPr="00F83525" w14:paraId="2FBE284B" w14:textId="77777777" w:rsidTr="00356F41">
        <w:trPr>
          <w:trHeight w:val="277"/>
          <w:jc w:val="center"/>
        </w:trPr>
        <w:tc>
          <w:tcPr>
            <w:tcW w:w="2727" w:type="dxa"/>
            <w:tcBorders>
              <w:top w:val="nil"/>
              <w:left w:val="nil"/>
              <w:bottom w:val="nil"/>
              <w:right w:val="nil"/>
            </w:tcBorders>
          </w:tcPr>
          <w:p w14:paraId="73BFD95F" w14:textId="77777777" w:rsidR="00667364" w:rsidRPr="00F83525" w:rsidRDefault="00667364" w:rsidP="00E177DE">
            <w:pPr>
              <w:widowControl w:val="0"/>
              <w:autoSpaceDE w:val="0"/>
              <w:autoSpaceDN w:val="0"/>
              <w:adjustRightInd w:val="0"/>
              <w:spacing w:afterLines="20" w:after="48" w:line="240" w:lineRule="auto"/>
              <w:rPr>
                <w:rFonts w:ascii="Times New Roman" w:hAnsi="Times New Roman" w:cs="Times New Roman"/>
                <w:kern w:val="0"/>
                <w:sz w:val="20"/>
                <w:szCs w:val="20"/>
              </w:rPr>
            </w:pPr>
          </w:p>
        </w:tc>
        <w:tc>
          <w:tcPr>
            <w:tcW w:w="1712" w:type="dxa"/>
            <w:tcBorders>
              <w:top w:val="nil"/>
              <w:left w:val="nil"/>
              <w:bottom w:val="nil"/>
              <w:right w:val="nil"/>
            </w:tcBorders>
          </w:tcPr>
          <w:p w14:paraId="2203014F"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(0.555)</w:t>
            </w:r>
          </w:p>
        </w:tc>
        <w:tc>
          <w:tcPr>
            <w:tcW w:w="1400" w:type="dxa"/>
            <w:tcBorders>
              <w:top w:val="nil"/>
              <w:left w:val="nil"/>
              <w:bottom w:val="nil"/>
              <w:right w:val="nil"/>
            </w:tcBorders>
          </w:tcPr>
          <w:p w14:paraId="6855E779"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(-0.472)</w:t>
            </w:r>
          </w:p>
        </w:tc>
        <w:tc>
          <w:tcPr>
            <w:tcW w:w="1868" w:type="dxa"/>
            <w:tcBorders>
              <w:top w:val="nil"/>
              <w:left w:val="nil"/>
              <w:bottom w:val="nil"/>
              <w:right w:val="nil"/>
            </w:tcBorders>
          </w:tcPr>
          <w:p w14:paraId="429DFA81"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p>
        </w:tc>
        <w:tc>
          <w:tcPr>
            <w:tcW w:w="1560" w:type="dxa"/>
            <w:tcBorders>
              <w:top w:val="nil"/>
              <w:left w:val="nil"/>
              <w:bottom w:val="nil"/>
              <w:right w:val="nil"/>
            </w:tcBorders>
          </w:tcPr>
          <w:p w14:paraId="419FEFC5"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p>
        </w:tc>
      </w:tr>
      <w:tr w:rsidR="00667364" w:rsidRPr="00F83525" w14:paraId="06711F8E" w14:textId="77777777" w:rsidTr="00356F41">
        <w:trPr>
          <w:trHeight w:val="277"/>
          <w:jc w:val="center"/>
        </w:trPr>
        <w:tc>
          <w:tcPr>
            <w:tcW w:w="2727" w:type="dxa"/>
            <w:tcBorders>
              <w:top w:val="nil"/>
              <w:left w:val="nil"/>
              <w:bottom w:val="nil"/>
              <w:right w:val="nil"/>
            </w:tcBorders>
          </w:tcPr>
          <w:p w14:paraId="2D1C82EA" w14:textId="77777777" w:rsidR="00667364" w:rsidRPr="00F83525" w:rsidRDefault="00667364" w:rsidP="00E177DE">
            <w:pPr>
              <w:widowControl w:val="0"/>
              <w:autoSpaceDE w:val="0"/>
              <w:autoSpaceDN w:val="0"/>
              <w:adjustRightInd w:val="0"/>
              <w:spacing w:afterLines="20" w:after="48" w:line="240" w:lineRule="auto"/>
              <w:rPr>
                <w:rFonts w:ascii="Times New Roman" w:hAnsi="Times New Roman" w:cs="Times New Roman"/>
                <w:kern w:val="0"/>
                <w:sz w:val="20"/>
                <w:szCs w:val="20"/>
              </w:rPr>
            </w:pPr>
            <w:proofErr w:type="spellStart"/>
            <w:r w:rsidRPr="00F83525">
              <w:rPr>
                <w:rFonts w:ascii="Times New Roman" w:hAnsi="Times New Roman" w:cs="Times New Roman"/>
                <w:kern w:val="0"/>
                <w:sz w:val="20"/>
                <w:szCs w:val="20"/>
              </w:rPr>
              <w:t>QuickRatio</w:t>
            </w:r>
            <w:proofErr w:type="spellEnd"/>
          </w:p>
        </w:tc>
        <w:tc>
          <w:tcPr>
            <w:tcW w:w="1712" w:type="dxa"/>
            <w:tcBorders>
              <w:top w:val="nil"/>
              <w:left w:val="nil"/>
              <w:bottom w:val="nil"/>
              <w:right w:val="nil"/>
            </w:tcBorders>
          </w:tcPr>
          <w:p w14:paraId="39D7114B"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0.051***</w:t>
            </w:r>
          </w:p>
        </w:tc>
        <w:tc>
          <w:tcPr>
            <w:tcW w:w="1400" w:type="dxa"/>
            <w:tcBorders>
              <w:top w:val="nil"/>
              <w:left w:val="nil"/>
              <w:bottom w:val="nil"/>
              <w:right w:val="nil"/>
            </w:tcBorders>
          </w:tcPr>
          <w:p w14:paraId="0ABF2C43"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0.014**</w:t>
            </w:r>
          </w:p>
        </w:tc>
        <w:tc>
          <w:tcPr>
            <w:tcW w:w="1868" w:type="dxa"/>
            <w:tcBorders>
              <w:top w:val="nil"/>
              <w:left w:val="nil"/>
              <w:bottom w:val="nil"/>
              <w:right w:val="nil"/>
            </w:tcBorders>
          </w:tcPr>
          <w:p w14:paraId="6311BACA"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p>
        </w:tc>
        <w:tc>
          <w:tcPr>
            <w:tcW w:w="1560" w:type="dxa"/>
            <w:tcBorders>
              <w:top w:val="nil"/>
              <w:left w:val="nil"/>
              <w:bottom w:val="nil"/>
              <w:right w:val="nil"/>
            </w:tcBorders>
          </w:tcPr>
          <w:p w14:paraId="3A37B6EB"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p>
        </w:tc>
      </w:tr>
      <w:tr w:rsidR="00667364" w:rsidRPr="00F83525" w14:paraId="5659A43D" w14:textId="77777777" w:rsidTr="00356F41">
        <w:trPr>
          <w:trHeight w:val="277"/>
          <w:jc w:val="center"/>
        </w:trPr>
        <w:tc>
          <w:tcPr>
            <w:tcW w:w="2727" w:type="dxa"/>
            <w:tcBorders>
              <w:top w:val="nil"/>
              <w:left w:val="nil"/>
              <w:bottom w:val="nil"/>
              <w:right w:val="nil"/>
            </w:tcBorders>
          </w:tcPr>
          <w:p w14:paraId="3CD43752" w14:textId="77777777" w:rsidR="00667364" w:rsidRPr="00F83525" w:rsidRDefault="00667364" w:rsidP="00E177DE">
            <w:pPr>
              <w:widowControl w:val="0"/>
              <w:autoSpaceDE w:val="0"/>
              <w:autoSpaceDN w:val="0"/>
              <w:adjustRightInd w:val="0"/>
              <w:spacing w:afterLines="20" w:after="48" w:line="240" w:lineRule="auto"/>
              <w:rPr>
                <w:rFonts w:ascii="Times New Roman" w:hAnsi="Times New Roman" w:cs="Times New Roman"/>
                <w:kern w:val="0"/>
                <w:sz w:val="20"/>
                <w:szCs w:val="20"/>
              </w:rPr>
            </w:pPr>
          </w:p>
        </w:tc>
        <w:tc>
          <w:tcPr>
            <w:tcW w:w="1712" w:type="dxa"/>
            <w:tcBorders>
              <w:top w:val="nil"/>
              <w:left w:val="nil"/>
              <w:bottom w:val="nil"/>
              <w:right w:val="nil"/>
            </w:tcBorders>
          </w:tcPr>
          <w:p w14:paraId="345B0920"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(5.799)</w:t>
            </w:r>
          </w:p>
        </w:tc>
        <w:tc>
          <w:tcPr>
            <w:tcW w:w="1400" w:type="dxa"/>
            <w:tcBorders>
              <w:top w:val="nil"/>
              <w:left w:val="nil"/>
              <w:bottom w:val="nil"/>
              <w:right w:val="nil"/>
            </w:tcBorders>
          </w:tcPr>
          <w:p w14:paraId="2379DD47"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(2.108)</w:t>
            </w:r>
          </w:p>
        </w:tc>
        <w:tc>
          <w:tcPr>
            <w:tcW w:w="1868" w:type="dxa"/>
            <w:tcBorders>
              <w:top w:val="nil"/>
              <w:left w:val="nil"/>
              <w:bottom w:val="nil"/>
              <w:right w:val="nil"/>
            </w:tcBorders>
          </w:tcPr>
          <w:p w14:paraId="152ABFAB"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p>
        </w:tc>
        <w:tc>
          <w:tcPr>
            <w:tcW w:w="1560" w:type="dxa"/>
            <w:tcBorders>
              <w:top w:val="nil"/>
              <w:left w:val="nil"/>
              <w:bottom w:val="nil"/>
              <w:right w:val="nil"/>
            </w:tcBorders>
          </w:tcPr>
          <w:p w14:paraId="2407B28E"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p>
        </w:tc>
      </w:tr>
      <w:tr w:rsidR="00667364" w:rsidRPr="00F83525" w14:paraId="281CE51C" w14:textId="77777777" w:rsidTr="00356F41">
        <w:trPr>
          <w:trHeight w:val="277"/>
          <w:jc w:val="center"/>
        </w:trPr>
        <w:tc>
          <w:tcPr>
            <w:tcW w:w="2727" w:type="dxa"/>
            <w:tcBorders>
              <w:top w:val="nil"/>
              <w:left w:val="nil"/>
              <w:bottom w:val="nil"/>
              <w:right w:val="nil"/>
            </w:tcBorders>
          </w:tcPr>
          <w:p w14:paraId="47FE89E8" w14:textId="77777777" w:rsidR="00667364" w:rsidRPr="00F83525" w:rsidRDefault="00667364" w:rsidP="00E177DE">
            <w:pPr>
              <w:widowControl w:val="0"/>
              <w:autoSpaceDE w:val="0"/>
              <w:autoSpaceDN w:val="0"/>
              <w:adjustRightInd w:val="0"/>
              <w:spacing w:afterLines="20" w:after="48" w:line="240" w:lineRule="auto"/>
              <w:rPr>
                <w:rFonts w:ascii="Times New Roman" w:hAnsi="Times New Roman" w:cs="Times New Roman"/>
                <w:kern w:val="0"/>
                <w:sz w:val="20"/>
                <w:szCs w:val="20"/>
              </w:rPr>
            </w:pPr>
            <w:r w:rsidRPr="00F83525">
              <w:rPr>
                <w:rFonts w:ascii="Times New Roman" w:hAnsi="Times New Roman" w:cs="Times New Roman"/>
                <w:kern w:val="0"/>
                <w:sz w:val="20"/>
                <w:szCs w:val="20"/>
              </w:rPr>
              <w:t>Cash</w:t>
            </w:r>
          </w:p>
        </w:tc>
        <w:tc>
          <w:tcPr>
            <w:tcW w:w="1712" w:type="dxa"/>
            <w:tcBorders>
              <w:top w:val="nil"/>
              <w:left w:val="nil"/>
              <w:bottom w:val="nil"/>
              <w:right w:val="nil"/>
            </w:tcBorders>
          </w:tcPr>
          <w:p w14:paraId="0AFD69A5"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0.168***</w:t>
            </w:r>
          </w:p>
        </w:tc>
        <w:tc>
          <w:tcPr>
            <w:tcW w:w="1400" w:type="dxa"/>
            <w:tcBorders>
              <w:top w:val="nil"/>
              <w:left w:val="nil"/>
              <w:bottom w:val="nil"/>
              <w:right w:val="nil"/>
            </w:tcBorders>
          </w:tcPr>
          <w:p w14:paraId="36CA82AF"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0.039</w:t>
            </w:r>
          </w:p>
        </w:tc>
        <w:tc>
          <w:tcPr>
            <w:tcW w:w="1868" w:type="dxa"/>
            <w:tcBorders>
              <w:top w:val="nil"/>
              <w:left w:val="nil"/>
              <w:bottom w:val="nil"/>
              <w:right w:val="nil"/>
            </w:tcBorders>
          </w:tcPr>
          <w:p w14:paraId="12043FB4"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p>
        </w:tc>
        <w:tc>
          <w:tcPr>
            <w:tcW w:w="1560" w:type="dxa"/>
            <w:tcBorders>
              <w:top w:val="nil"/>
              <w:left w:val="nil"/>
              <w:bottom w:val="nil"/>
              <w:right w:val="nil"/>
            </w:tcBorders>
          </w:tcPr>
          <w:p w14:paraId="480CA4D9"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p>
        </w:tc>
      </w:tr>
      <w:tr w:rsidR="00667364" w:rsidRPr="00F83525" w14:paraId="39885ED4" w14:textId="77777777" w:rsidTr="00356F41">
        <w:trPr>
          <w:trHeight w:val="277"/>
          <w:jc w:val="center"/>
        </w:trPr>
        <w:tc>
          <w:tcPr>
            <w:tcW w:w="2727" w:type="dxa"/>
            <w:tcBorders>
              <w:top w:val="nil"/>
              <w:left w:val="nil"/>
              <w:bottom w:val="nil"/>
              <w:right w:val="nil"/>
            </w:tcBorders>
          </w:tcPr>
          <w:p w14:paraId="778E3990" w14:textId="77777777" w:rsidR="00667364" w:rsidRPr="00F83525" w:rsidRDefault="00667364" w:rsidP="00E177DE">
            <w:pPr>
              <w:widowControl w:val="0"/>
              <w:autoSpaceDE w:val="0"/>
              <w:autoSpaceDN w:val="0"/>
              <w:adjustRightInd w:val="0"/>
              <w:spacing w:afterLines="20" w:after="48" w:line="240" w:lineRule="auto"/>
              <w:rPr>
                <w:rFonts w:ascii="Times New Roman" w:hAnsi="Times New Roman" w:cs="Times New Roman"/>
                <w:kern w:val="0"/>
                <w:sz w:val="20"/>
                <w:szCs w:val="20"/>
              </w:rPr>
            </w:pPr>
          </w:p>
        </w:tc>
        <w:tc>
          <w:tcPr>
            <w:tcW w:w="1712" w:type="dxa"/>
            <w:tcBorders>
              <w:top w:val="nil"/>
              <w:left w:val="nil"/>
              <w:bottom w:val="nil"/>
              <w:right w:val="nil"/>
            </w:tcBorders>
          </w:tcPr>
          <w:p w14:paraId="264333B6"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(7.067)</w:t>
            </w:r>
          </w:p>
        </w:tc>
        <w:tc>
          <w:tcPr>
            <w:tcW w:w="1400" w:type="dxa"/>
            <w:tcBorders>
              <w:top w:val="nil"/>
              <w:left w:val="nil"/>
              <w:bottom w:val="nil"/>
              <w:right w:val="nil"/>
            </w:tcBorders>
          </w:tcPr>
          <w:p w14:paraId="7B23A441"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(1.098)</w:t>
            </w:r>
          </w:p>
        </w:tc>
        <w:tc>
          <w:tcPr>
            <w:tcW w:w="1868" w:type="dxa"/>
            <w:tcBorders>
              <w:top w:val="nil"/>
              <w:left w:val="nil"/>
              <w:bottom w:val="nil"/>
              <w:right w:val="nil"/>
            </w:tcBorders>
          </w:tcPr>
          <w:p w14:paraId="21615B55"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p>
        </w:tc>
        <w:tc>
          <w:tcPr>
            <w:tcW w:w="1560" w:type="dxa"/>
            <w:tcBorders>
              <w:top w:val="nil"/>
              <w:left w:val="nil"/>
              <w:bottom w:val="nil"/>
              <w:right w:val="nil"/>
            </w:tcBorders>
          </w:tcPr>
          <w:p w14:paraId="2EF9A053"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p>
        </w:tc>
      </w:tr>
      <w:tr w:rsidR="00667364" w:rsidRPr="00F83525" w14:paraId="7625EB08" w14:textId="77777777" w:rsidTr="00356F41">
        <w:trPr>
          <w:trHeight w:val="277"/>
          <w:jc w:val="center"/>
        </w:trPr>
        <w:tc>
          <w:tcPr>
            <w:tcW w:w="2727" w:type="dxa"/>
            <w:tcBorders>
              <w:top w:val="nil"/>
              <w:left w:val="nil"/>
              <w:bottom w:val="nil"/>
              <w:right w:val="nil"/>
            </w:tcBorders>
          </w:tcPr>
          <w:p w14:paraId="3FAABA37" w14:textId="77777777" w:rsidR="00667364" w:rsidRPr="00F83525" w:rsidRDefault="00667364" w:rsidP="00E177DE">
            <w:pPr>
              <w:widowControl w:val="0"/>
              <w:autoSpaceDE w:val="0"/>
              <w:autoSpaceDN w:val="0"/>
              <w:adjustRightInd w:val="0"/>
              <w:spacing w:afterLines="20" w:after="48" w:line="240" w:lineRule="auto"/>
              <w:rPr>
                <w:rFonts w:ascii="Times New Roman" w:hAnsi="Times New Roman" w:cs="Times New Roman"/>
                <w:kern w:val="0"/>
                <w:sz w:val="20"/>
                <w:szCs w:val="20"/>
              </w:rPr>
            </w:pPr>
            <w:r w:rsidRPr="00F83525">
              <w:rPr>
                <w:rFonts w:ascii="Times New Roman" w:hAnsi="Times New Roman" w:cs="Times New Roman"/>
                <w:kern w:val="0"/>
                <w:sz w:val="20"/>
                <w:szCs w:val="20"/>
              </w:rPr>
              <w:t>Constant</w:t>
            </w:r>
          </w:p>
        </w:tc>
        <w:tc>
          <w:tcPr>
            <w:tcW w:w="1712" w:type="dxa"/>
            <w:tcBorders>
              <w:top w:val="nil"/>
              <w:left w:val="nil"/>
              <w:bottom w:val="nil"/>
              <w:right w:val="nil"/>
            </w:tcBorders>
          </w:tcPr>
          <w:p w14:paraId="13B6A999"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338.873**</w:t>
            </w:r>
          </w:p>
        </w:tc>
        <w:tc>
          <w:tcPr>
            <w:tcW w:w="1400" w:type="dxa"/>
            <w:tcBorders>
              <w:top w:val="nil"/>
              <w:left w:val="nil"/>
              <w:bottom w:val="nil"/>
              <w:right w:val="nil"/>
            </w:tcBorders>
          </w:tcPr>
          <w:p w14:paraId="61950F59"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48.236</w:t>
            </w:r>
          </w:p>
        </w:tc>
        <w:tc>
          <w:tcPr>
            <w:tcW w:w="1868" w:type="dxa"/>
            <w:tcBorders>
              <w:top w:val="nil"/>
              <w:left w:val="nil"/>
              <w:bottom w:val="nil"/>
              <w:right w:val="nil"/>
            </w:tcBorders>
          </w:tcPr>
          <w:p w14:paraId="2E7AAF16"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289.791*</w:t>
            </w:r>
          </w:p>
        </w:tc>
        <w:tc>
          <w:tcPr>
            <w:tcW w:w="1560" w:type="dxa"/>
            <w:tcBorders>
              <w:top w:val="nil"/>
              <w:left w:val="nil"/>
              <w:bottom w:val="nil"/>
              <w:right w:val="nil"/>
            </w:tcBorders>
          </w:tcPr>
          <w:p w14:paraId="339BAC18"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626.995</w:t>
            </w:r>
          </w:p>
        </w:tc>
      </w:tr>
      <w:tr w:rsidR="00667364" w:rsidRPr="00F83525" w14:paraId="597822B0" w14:textId="77777777" w:rsidTr="00356F41">
        <w:trPr>
          <w:trHeight w:val="277"/>
          <w:jc w:val="center"/>
        </w:trPr>
        <w:tc>
          <w:tcPr>
            <w:tcW w:w="2727" w:type="dxa"/>
            <w:tcBorders>
              <w:top w:val="nil"/>
              <w:left w:val="nil"/>
              <w:bottom w:val="nil"/>
              <w:right w:val="nil"/>
            </w:tcBorders>
          </w:tcPr>
          <w:p w14:paraId="27B69BB4" w14:textId="77777777" w:rsidR="00667364" w:rsidRPr="00F83525" w:rsidRDefault="00667364" w:rsidP="00E177DE">
            <w:pPr>
              <w:widowControl w:val="0"/>
              <w:autoSpaceDE w:val="0"/>
              <w:autoSpaceDN w:val="0"/>
              <w:adjustRightInd w:val="0"/>
              <w:spacing w:afterLines="20" w:after="48" w:line="240" w:lineRule="auto"/>
              <w:rPr>
                <w:rFonts w:ascii="Times New Roman" w:hAnsi="Times New Roman" w:cs="Times New Roman"/>
                <w:kern w:val="0"/>
                <w:sz w:val="20"/>
                <w:szCs w:val="20"/>
              </w:rPr>
            </w:pPr>
          </w:p>
        </w:tc>
        <w:tc>
          <w:tcPr>
            <w:tcW w:w="1712" w:type="dxa"/>
            <w:tcBorders>
              <w:top w:val="nil"/>
              <w:left w:val="nil"/>
              <w:bottom w:val="nil"/>
              <w:right w:val="nil"/>
            </w:tcBorders>
          </w:tcPr>
          <w:p w14:paraId="237FFD5E"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(2.170)</w:t>
            </w:r>
          </w:p>
        </w:tc>
        <w:tc>
          <w:tcPr>
            <w:tcW w:w="1400" w:type="dxa"/>
            <w:tcBorders>
              <w:top w:val="nil"/>
              <w:left w:val="nil"/>
              <w:bottom w:val="nil"/>
              <w:right w:val="nil"/>
            </w:tcBorders>
          </w:tcPr>
          <w:p w14:paraId="0027C2BD"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(0.188)</w:t>
            </w:r>
          </w:p>
        </w:tc>
        <w:tc>
          <w:tcPr>
            <w:tcW w:w="1868" w:type="dxa"/>
            <w:tcBorders>
              <w:top w:val="nil"/>
              <w:left w:val="nil"/>
              <w:bottom w:val="nil"/>
              <w:right w:val="nil"/>
            </w:tcBorders>
          </w:tcPr>
          <w:p w14:paraId="106679FF"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(1.789)</w:t>
            </w:r>
          </w:p>
        </w:tc>
        <w:tc>
          <w:tcPr>
            <w:tcW w:w="1560" w:type="dxa"/>
            <w:tcBorders>
              <w:top w:val="nil"/>
              <w:left w:val="nil"/>
              <w:bottom w:val="nil"/>
              <w:right w:val="nil"/>
            </w:tcBorders>
          </w:tcPr>
          <w:p w14:paraId="4662DAFE"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(0.642)</w:t>
            </w:r>
          </w:p>
        </w:tc>
      </w:tr>
      <w:tr w:rsidR="00667364" w:rsidRPr="00F83525" w14:paraId="3F8565D7" w14:textId="77777777" w:rsidTr="00356F41">
        <w:trPr>
          <w:trHeight w:val="277"/>
          <w:jc w:val="center"/>
        </w:trPr>
        <w:tc>
          <w:tcPr>
            <w:tcW w:w="2727" w:type="dxa"/>
            <w:tcBorders>
              <w:top w:val="nil"/>
              <w:left w:val="nil"/>
              <w:bottom w:val="nil"/>
              <w:right w:val="nil"/>
            </w:tcBorders>
          </w:tcPr>
          <w:p w14:paraId="70D792E0" w14:textId="77777777" w:rsidR="00667364" w:rsidRPr="00F83525" w:rsidRDefault="00667364" w:rsidP="00E177DE">
            <w:pPr>
              <w:widowControl w:val="0"/>
              <w:autoSpaceDE w:val="0"/>
              <w:autoSpaceDN w:val="0"/>
              <w:adjustRightInd w:val="0"/>
              <w:spacing w:afterLines="20" w:after="48" w:line="240" w:lineRule="auto"/>
              <w:rPr>
                <w:rFonts w:ascii="Times New Roman" w:hAnsi="Times New Roman" w:cs="Times New Roman"/>
                <w:kern w:val="0"/>
                <w:sz w:val="20"/>
                <w:szCs w:val="20"/>
              </w:rPr>
            </w:pPr>
            <w:r w:rsidRPr="00F83525">
              <w:rPr>
                <w:rFonts w:ascii="Times New Roman" w:hAnsi="Times New Roman" w:cs="Times New Roman"/>
                <w:kern w:val="0"/>
                <w:sz w:val="20"/>
                <w:szCs w:val="20"/>
              </w:rPr>
              <w:t>Observations</w:t>
            </w:r>
          </w:p>
        </w:tc>
        <w:tc>
          <w:tcPr>
            <w:tcW w:w="1712" w:type="dxa"/>
            <w:tcBorders>
              <w:top w:val="nil"/>
              <w:left w:val="nil"/>
              <w:bottom w:val="nil"/>
              <w:right w:val="nil"/>
            </w:tcBorders>
          </w:tcPr>
          <w:p w14:paraId="192A8C85"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2,217</w:t>
            </w:r>
          </w:p>
        </w:tc>
        <w:tc>
          <w:tcPr>
            <w:tcW w:w="1400" w:type="dxa"/>
            <w:tcBorders>
              <w:top w:val="nil"/>
              <w:left w:val="nil"/>
              <w:bottom w:val="nil"/>
              <w:right w:val="nil"/>
            </w:tcBorders>
          </w:tcPr>
          <w:p w14:paraId="105D8896"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1,838</w:t>
            </w:r>
          </w:p>
        </w:tc>
        <w:tc>
          <w:tcPr>
            <w:tcW w:w="1868" w:type="dxa"/>
            <w:tcBorders>
              <w:top w:val="nil"/>
              <w:left w:val="nil"/>
              <w:bottom w:val="nil"/>
              <w:right w:val="nil"/>
            </w:tcBorders>
          </w:tcPr>
          <w:p w14:paraId="6F4D93CB"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2,379</w:t>
            </w:r>
          </w:p>
        </w:tc>
        <w:tc>
          <w:tcPr>
            <w:tcW w:w="1560" w:type="dxa"/>
            <w:tcBorders>
              <w:top w:val="nil"/>
              <w:left w:val="nil"/>
              <w:bottom w:val="nil"/>
              <w:right w:val="nil"/>
            </w:tcBorders>
          </w:tcPr>
          <w:p w14:paraId="0E2BC085"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1,908</w:t>
            </w:r>
          </w:p>
        </w:tc>
      </w:tr>
      <w:tr w:rsidR="00667364" w:rsidRPr="00F83525" w14:paraId="4B725D9D" w14:textId="77777777" w:rsidTr="00356F41">
        <w:trPr>
          <w:trHeight w:val="277"/>
          <w:jc w:val="center"/>
        </w:trPr>
        <w:tc>
          <w:tcPr>
            <w:tcW w:w="2727" w:type="dxa"/>
            <w:tcBorders>
              <w:top w:val="nil"/>
              <w:left w:val="nil"/>
              <w:bottom w:val="nil"/>
              <w:right w:val="nil"/>
            </w:tcBorders>
          </w:tcPr>
          <w:p w14:paraId="7BA0B36E" w14:textId="77777777" w:rsidR="00667364" w:rsidRPr="00F83525" w:rsidRDefault="00667364" w:rsidP="00E177DE">
            <w:pPr>
              <w:widowControl w:val="0"/>
              <w:autoSpaceDE w:val="0"/>
              <w:autoSpaceDN w:val="0"/>
              <w:adjustRightInd w:val="0"/>
              <w:spacing w:afterLines="20" w:after="48" w:line="240" w:lineRule="auto"/>
              <w:rPr>
                <w:rFonts w:ascii="Times New Roman" w:hAnsi="Times New Roman" w:cs="Times New Roman"/>
                <w:kern w:val="0"/>
                <w:sz w:val="20"/>
                <w:szCs w:val="20"/>
              </w:rPr>
            </w:pPr>
            <w:r w:rsidRPr="00F83525">
              <w:rPr>
                <w:rFonts w:ascii="Times New Roman" w:hAnsi="Times New Roman" w:cs="Times New Roman"/>
                <w:kern w:val="0"/>
                <w:sz w:val="20"/>
                <w:szCs w:val="20"/>
              </w:rPr>
              <w:t>Industry effects</w:t>
            </w:r>
          </w:p>
        </w:tc>
        <w:tc>
          <w:tcPr>
            <w:tcW w:w="1712" w:type="dxa"/>
            <w:tcBorders>
              <w:top w:val="nil"/>
              <w:left w:val="nil"/>
              <w:bottom w:val="nil"/>
              <w:right w:val="nil"/>
            </w:tcBorders>
          </w:tcPr>
          <w:p w14:paraId="5F108A5B"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YES</w:t>
            </w:r>
          </w:p>
        </w:tc>
        <w:tc>
          <w:tcPr>
            <w:tcW w:w="1400" w:type="dxa"/>
            <w:tcBorders>
              <w:top w:val="nil"/>
              <w:left w:val="nil"/>
              <w:bottom w:val="nil"/>
              <w:right w:val="nil"/>
            </w:tcBorders>
          </w:tcPr>
          <w:p w14:paraId="1898A798"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YES</w:t>
            </w:r>
          </w:p>
        </w:tc>
        <w:tc>
          <w:tcPr>
            <w:tcW w:w="1868" w:type="dxa"/>
            <w:tcBorders>
              <w:top w:val="nil"/>
              <w:left w:val="nil"/>
              <w:bottom w:val="nil"/>
              <w:right w:val="nil"/>
            </w:tcBorders>
          </w:tcPr>
          <w:p w14:paraId="3362203A"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YES</w:t>
            </w:r>
          </w:p>
        </w:tc>
        <w:tc>
          <w:tcPr>
            <w:tcW w:w="1560" w:type="dxa"/>
            <w:tcBorders>
              <w:top w:val="nil"/>
              <w:left w:val="nil"/>
              <w:bottom w:val="nil"/>
              <w:right w:val="nil"/>
            </w:tcBorders>
          </w:tcPr>
          <w:p w14:paraId="567B18C7"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YES</w:t>
            </w:r>
          </w:p>
        </w:tc>
      </w:tr>
      <w:tr w:rsidR="00667364" w:rsidRPr="00F83525" w14:paraId="39D62C6D" w14:textId="77777777" w:rsidTr="00356F41">
        <w:trPr>
          <w:trHeight w:val="277"/>
          <w:jc w:val="center"/>
        </w:trPr>
        <w:tc>
          <w:tcPr>
            <w:tcW w:w="2727" w:type="dxa"/>
            <w:tcBorders>
              <w:top w:val="nil"/>
              <w:left w:val="nil"/>
              <w:bottom w:val="nil"/>
              <w:right w:val="nil"/>
            </w:tcBorders>
          </w:tcPr>
          <w:p w14:paraId="7D7E2945" w14:textId="77777777" w:rsidR="00667364" w:rsidRPr="00F83525" w:rsidRDefault="00667364" w:rsidP="00E177DE">
            <w:pPr>
              <w:widowControl w:val="0"/>
              <w:autoSpaceDE w:val="0"/>
              <w:autoSpaceDN w:val="0"/>
              <w:adjustRightInd w:val="0"/>
              <w:spacing w:afterLines="20" w:after="48" w:line="240" w:lineRule="auto"/>
              <w:rPr>
                <w:rFonts w:ascii="Times New Roman" w:hAnsi="Times New Roman" w:cs="Times New Roman"/>
                <w:kern w:val="0"/>
                <w:sz w:val="20"/>
                <w:szCs w:val="20"/>
              </w:rPr>
            </w:pPr>
            <w:r w:rsidRPr="00F83525">
              <w:rPr>
                <w:rFonts w:ascii="Times New Roman" w:hAnsi="Times New Roman" w:cs="Times New Roman"/>
                <w:kern w:val="0"/>
                <w:sz w:val="20"/>
                <w:szCs w:val="20"/>
              </w:rPr>
              <w:t>Year effects</w:t>
            </w:r>
          </w:p>
        </w:tc>
        <w:tc>
          <w:tcPr>
            <w:tcW w:w="1712" w:type="dxa"/>
            <w:tcBorders>
              <w:top w:val="nil"/>
              <w:left w:val="nil"/>
              <w:bottom w:val="nil"/>
              <w:right w:val="nil"/>
            </w:tcBorders>
          </w:tcPr>
          <w:p w14:paraId="6C024914"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YES</w:t>
            </w:r>
          </w:p>
        </w:tc>
        <w:tc>
          <w:tcPr>
            <w:tcW w:w="1400" w:type="dxa"/>
            <w:tcBorders>
              <w:top w:val="nil"/>
              <w:left w:val="nil"/>
              <w:bottom w:val="nil"/>
              <w:right w:val="nil"/>
            </w:tcBorders>
          </w:tcPr>
          <w:p w14:paraId="2EBA7EC6"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YES</w:t>
            </w:r>
          </w:p>
        </w:tc>
        <w:tc>
          <w:tcPr>
            <w:tcW w:w="1868" w:type="dxa"/>
            <w:tcBorders>
              <w:top w:val="nil"/>
              <w:left w:val="nil"/>
              <w:bottom w:val="nil"/>
              <w:right w:val="nil"/>
            </w:tcBorders>
          </w:tcPr>
          <w:p w14:paraId="439E4B2B"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YES</w:t>
            </w:r>
          </w:p>
        </w:tc>
        <w:tc>
          <w:tcPr>
            <w:tcW w:w="1560" w:type="dxa"/>
            <w:tcBorders>
              <w:top w:val="nil"/>
              <w:left w:val="nil"/>
              <w:bottom w:val="nil"/>
              <w:right w:val="nil"/>
            </w:tcBorders>
          </w:tcPr>
          <w:p w14:paraId="2AB69746"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YES</w:t>
            </w:r>
          </w:p>
        </w:tc>
      </w:tr>
      <w:tr w:rsidR="00667364" w:rsidRPr="00F83525" w14:paraId="741F54CE" w14:textId="77777777" w:rsidTr="00356F41">
        <w:trPr>
          <w:trHeight w:val="277"/>
          <w:jc w:val="center"/>
        </w:trPr>
        <w:tc>
          <w:tcPr>
            <w:tcW w:w="2727" w:type="dxa"/>
            <w:tcBorders>
              <w:top w:val="nil"/>
              <w:left w:val="nil"/>
              <w:bottom w:val="nil"/>
              <w:right w:val="nil"/>
            </w:tcBorders>
          </w:tcPr>
          <w:p w14:paraId="68731CD3" w14:textId="3A572172" w:rsidR="00667364" w:rsidRPr="00F83525" w:rsidRDefault="00667364" w:rsidP="00E177DE">
            <w:pPr>
              <w:widowControl w:val="0"/>
              <w:autoSpaceDE w:val="0"/>
              <w:autoSpaceDN w:val="0"/>
              <w:adjustRightInd w:val="0"/>
              <w:spacing w:afterLines="20" w:after="48" w:line="240" w:lineRule="auto"/>
              <w:rPr>
                <w:rFonts w:ascii="Times New Roman" w:hAnsi="Times New Roman" w:cs="Times New Roman"/>
                <w:kern w:val="0"/>
                <w:sz w:val="20"/>
                <w:szCs w:val="20"/>
              </w:rPr>
            </w:pPr>
            <w:r w:rsidRPr="00F83525">
              <w:rPr>
                <w:rFonts w:ascii="Times New Roman" w:hAnsi="Times New Roman" w:cs="Times New Roman"/>
                <w:kern w:val="0"/>
                <w:sz w:val="20"/>
                <w:szCs w:val="20"/>
              </w:rPr>
              <w:t>R</w:t>
            </w:r>
            <w:r w:rsidRPr="00F83525">
              <w:rPr>
                <w:rFonts w:ascii="Times New Roman" w:hAnsi="Times New Roman" w:cs="Times New Roman"/>
                <w:kern w:val="0"/>
                <w:sz w:val="20"/>
                <w:szCs w:val="20"/>
                <w:vertAlign w:val="superscript"/>
              </w:rPr>
              <w:t>2</w:t>
            </w:r>
          </w:p>
        </w:tc>
        <w:tc>
          <w:tcPr>
            <w:tcW w:w="1712" w:type="dxa"/>
            <w:tcBorders>
              <w:top w:val="nil"/>
              <w:left w:val="nil"/>
              <w:bottom w:val="nil"/>
              <w:right w:val="nil"/>
            </w:tcBorders>
          </w:tcPr>
          <w:p w14:paraId="2325B294"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0.834</w:t>
            </w:r>
          </w:p>
        </w:tc>
        <w:tc>
          <w:tcPr>
            <w:tcW w:w="1400" w:type="dxa"/>
            <w:tcBorders>
              <w:top w:val="nil"/>
              <w:left w:val="nil"/>
              <w:bottom w:val="nil"/>
              <w:right w:val="nil"/>
            </w:tcBorders>
          </w:tcPr>
          <w:p w14:paraId="7840AF21"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0.256</w:t>
            </w:r>
          </w:p>
        </w:tc>
        <w:tc>
          <w:tcPr>
            <w:tcW w:w="1868" w:type="dxa"/>
            <w:tcBorders>
              <w:top w:val="nil"/>
              <w:left w:val="nil"/>
              <w:bottom w:val="nil"/>
              <w:right w:val="nil"/>
            </w:tcBorders>
          </w:tcPr>
          <w:p w14:paraId="648B7D3F"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0.928</w:t>
            </w:r>
          </w:p>
        </w:tc>
        <w:tc>
          <w:tcPr>
            <w:tcW w:w="1560" w:type="dxa"/>
            <w:tcBorders>
              <w:top w:val="nil"/>
              <w:left w:val="nil"/>
              <w:bottom w:val="nil"/>
              <w:right w:val="nil"/>
            </w:tcBorders>
          </w:tcPr>
          <w:p w14:paraId="5650C841" w14:textId="77777777" w:rsidR="00667364" w:rsidRPr="00F83525" w:rsidRDefault="00667364"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F83525">
              <w:rPr>
                <w:rFonts w:ascii="Times New Roman" w:hAnsi="Times New Roman" w:cs="Times New Roman"/>
                <w:kern w:val="0"/>
                <w:sz w:val="20"/>
                <w:szCs w:val="20"/>
              </w:rPr>
              <w:t>0.383</w:t>
            </w:r>
          </w:p>
        </w:tc>
      </w:tr>
      <w:tr w:rsidR="00667364" w:rsidRPr="00F83525" w14:paraId="4C02D7ED" w14:textId="77777777" w:rsidTr="00356F41">
        <w:tblPrEx>
          <w:tblBorders>
            <w:bottom w:val="single" w:sz="6" w:space="0" w:color="auto"/>
          </w:tblBorders>
        </w:tblPrEx>
        <w:trPr>
          <w:trHeight w:val="277"/>
          <w:jc w:val="center"/>
        </w:trPr>
        <w:tc>
          <w:tcPr>
            <w:tcW w:w="2727" w:type="dxa"/>
            <w:tcBorders>
              <w:top w:val="nil"/>
              <w:left w:val="nil"/>
              <w:bottom w:val="single" w:sz="4" w:space="0" w:color="auto"/>
              <w:right w:val="nil"/>
            </w:tcBorders>
          </w:tcPr>
          <w:p w14:paraId="710551F4" w14:textId="77777777" w:rsidR="00667364" w:rsidRPr="00F83525" w:rsidRDefault="00667364" w:rsidP="00E177DE">
            <w:pPr>
              <w:widowControl w:val="0"/>
              <w:autoSpaceDE w:val="0"/>
              <w:autoSpaceDN w:val="0"/>
              <w:adjustRightInd w:val="0"/>
              <w:spacing w:afterLines="20" w:after="48" w:line="240" w:lineRule="auto"/>
              <w:rPr>
                <w:rFonts w:ascii="Times New Roman" w:hAnsi="Times New Roman" w:cs="Times New Roman"/>
                <w:kern w:val="0"/>
                <w:sz w:val="20"/>
                <w:szCs w:val="20"/>
              </w:rPr>
            </w:pPr>
            <w:r w:rsidRPr="00F83525">
              <w:rPr>
                <w:rFonts w:ascii="Times New Roman" w:hAnsi="Times New Roman" w:cs="Times New Roman"/>
                <w:kern w:val="0"/>
                <w:sz w:val="20"/>
                <w:szCs w:val="20"/>
              </w:rPr>
              <w:t>F-test</w:t>
            </w:r>
          </w:p>
        </w:tc>
        <w:tc>
          <w:tcPr>
            <w:tcW w:w="1712" w:type="dxa"/>
            <w:tcBorders>
              <w:top w:val="nil"/>
              <w:left w:val="nil"/>
              <w:bottom w:val="single" w:sz="4" w:space="0" w:color="auto"/>
              <w:right w:val="nil"/>
            </w:tcBorders>
          </w:tcPr>
          <w:p w14:paraId="7425E5DD" w14:textId="66A73EC6" w:rsidR="00667364" w:rsidRPr="00F83525" w:rsidRDefault="00C910F2"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C910F2">
              <w:rPr>
                <w:rFonts w:ascii="Times New Roman" w:hAnsi="Times New Roman" w:cs="Times New Roman"/>
                <w:kern w:val="0"/>
                <w:sz w:val="20"/>
                <w:szCs w:val="20"/>
              </w:rPr>
              <w:t>1.1e+09</w:t>
            </w:r>
            <w:r w:rsidR="00667364" w:rsidRPr="00F83525">
              <w:rPr>
                <w:rFonts w:ascii="Times New Roman" w:hAnsi="Times New Roman" w:cs="Times New Roman"/>
                <w:kern w:val="0"/>
                <w:sz w:val="20"/>
                <w:szCs w:val="20"/>
              </w:rPr>
              <w:t>***</w:t>
            </w:r>
          </w:p>
        </w:tc>
        <w:tc>
          <w:tcPr>
            <w:tcW w:w="1400" w:type="dxa"/>
            <w:tcBorders>
              <w:top w:val="nil"/>
              <w:left w:val="nil"/>
              <w:bottom w:val="single" w:sz="4" w:space="0" w:color="auto"/>
              <w:right w:val="nil"/>
            </w:tcBorders>
          </w:tcPr>
          <w:p w14:paraId="6CF04299" w14:textId="05213CF1" w:rsidR="00667364" w:rsidRPr="00F83525" w:rsidRDefault="000B7C6C"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0B7C6C">
              <w:rPr>
                <w:rFonts w:ascii="Times New Roman" w:hAnsi="Times New Roman" w:cs="Times New Roman"/>
                <w:kern w:val="0"/>
                <w:sz w:val="20"/>
                <w:szCs w:val="20"/>
              </w:rPr>
              <w:t>1.9e+10</w:t>
            </w:r>
            <w:r w:rsidR="00667364" w:rsidRPr="00F83525">
              <w:rPr>
                <w:rFonts w:ascii="Times New Roman" w:hAnsi="Times New Roman" w:cs="Times New Roman"/>
                <w:kern w:val="0"/>
                <w:sz w:val="20"/>
                <w:szCs w:val="20"/>
              </w:rPr>
              <w:t>***</w:t>
            </w:r>
          </w:p>
        </w:tc>
        <w:tc>
          <w:tcPr>
            <w:tcW w:w="1868" w:type="dxa"/>
            <w:tcBorders>
              <w:top w:val="nil"/>
              <w:left w:val="nil"/>
              <w:bottom w:val="single" w:sz="4" w:space="0" w:color="auto"/>
              <w:right w:val="nil"/>
            </w:tcBorders>
          </w:tcPr>
          <w:p w14:paraId="5837D666" w14:textId="772C7AFB" w:rsidR="00667364" w:rsidRPr="00F83525" w:rsidRDefault="00570E72"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570E72">
              <w:rPr>
                <w:rFonts w:ascii="Times New Roman" w:hAnsi="Times New Roman" w:cs="Times New Roman"/>
                <w:kern w:val="0"/>
                <w:sz w:val="20"/>
                <w:szCs w:val="20"/>
              </w:rPr>
              <w:t>1.7e+07</w:t>
            </w:r>
            <w:r w:rsidR="00667364" w:rsidRPr="00F83525">
              <w:rPr>
                <w:rFonts w:ascii="Times New Roman" w:hAnsi="Times New Roman" w:cs="Times New Roman"/>
                <w:kern w:val="0"/>
                <w:sz w:val="20"/>
                <w:szCs w:val="20"/>
              </w:rPr>
              <w:t>***</w:t>
            </w:r>
          </w:p>
        </w:tc>
        <w:tc>
          <w:tcPr>
            <w:tcW w:w="1560" w:type="dxa"/>
            <w:tcBorders>
              <w:top w:val="nil"/>
              <w:left w:val="nil"/>
              <w:bottom w:val="single" w:sz="4" w:space="0" w:color="auto"/>
              <w:right w:val="nil"/>
            </w:tcBorders>
          </w:tcPr>
          <w:p w14:paraId="7128F9C4" w14:textId="70A3980E" w:rsidR="00667364" w:rsidRPr="00F83525" w:rsidRDefault="00601D33" w:rsidP="00E177DE">
            <w:pPr>
              <w:widowControl w:val="0"/>
              <w:autoSpaceDE w:val="0"/>
              <w:autoSpaceDN w:val="0"/>
              <w:adjustRightInd w:val="0"/>
              <w:spacing w:afterLines="20" w:after="48" w:line="240" w:lineRule="auto"/>
              <w:jc w:val="center"/>
              <w:rPr>
                <w:rFonts w:ascii="Times New Roman" w:hAnsi="Times New Roman" w:cs="Times New Roman"/>
                <w:kern w:val="0"/>
                <w:sz w:val="20"/>
                <w:szCs w:val="20"/>
              </w:rPr>
            </w:pPr>
            <w:r w:rsidRPr="00601D33">
              <w:rPr>
                <w:rFonts w:ascii="Times New Roman" w:hAnsi="Times New Roman" w:cs="Times New Roman"/>
                <w:kern w:val="0"/>
                <w:sz w:val="20"/>
                <w:szCs w:val="20"/>
              </w:rPr>
              <w:t>2.5e+07</w:t>
            </w:r>
            <w:r w:rsidR="00667364" w:rsidRPr="00F83525">
              <w:rPr>
                <w:rFonts w:ascii="Times New Roman" w:hAnsi="Times New Roman" w:cs="Times New Roman"/>
                <w:kern w:val="0"/>
                <w:sz w:val="20"/>
                <w:szCs w:val="20"/>
              </w:rPr>
              <w:t>***</w:t>
            </w:r>
          </w:p>
        </w:tc>
      </w:tr>
      <w:tr w:rsidR="00667364" w:rsidRPr="00F83525" w14:paraId="71742EF1" w14:textId="77777777" w:rsidTr="00356F41">
        <w:tblPrEx>
          <w:tblBorders>
            <w:bottom w:val="single" w:sz="6" w:space="0" w:color="auto"/>
          </w:tblBorders>
        </w:tblPrEx>
        <w:trPr>
          <w:trHeight w:val="783"/>
          <w:jc w:val="center"/>
        </w:trPr>
        <w:tc>
          <w:tcPr>
            <w:tcW w:w="9267" w:type="dxa"/>
            <w:gridSpan w:val="5"/>
            <w:tcBorders>
              <w:top w:val="single" w:sz="4" w:space="0" w:color="auto"/>
              <w:left w:val="nil"/>
              <w:bottom w:val="nil"/>
              <w:right w:val="nil"/>
            </w:tcBorders>
          </w:tcPr>
          <w:p w14:paraId="24228587" w14:textId="7B514773" w:rsidR="00667364" w:rsidRPr="00F83525" w:rsidRDefault="00667364" w:rsidP="00E177DE">
            <w:pPr>
              <w:widowControl w:val="0"/>
              <w:autoSpaceDE w:val="0"/>
              <w:autoSpaceDN w:val="0"/>
              <w:adjustRightInd w:val="0"/>
              <w:spacing w:afterLines="20" w:after="48" w:line="240" w:lineRule="auto"/>
              <w:jc w:val="both"/>
              <w:rPr>
                <w:rFonts w:ascii="Times New Roman" w:hAnsi="Times New Roman" w:cs="Times New Roman"/>
                <w:kern w:val="0"/>
                <w:sz w:val="20"/>
                <w:szCs w:val="20"/>
              </w:rPr>
            </w:pPr>
            <w:r w:rsidRPr="00F83525">
              <w:rPr>
                <w:rFonts w:ascii="Times New Roman" w:hAnsi="Times New Roman" w:cs="Times New Roman"/>
                <w:kern w:val="0"/>
                <w:sz w:val="20"/>
                <w:szCs w:val="20"/>
              </w:rPr>
              <w:t>Table 1 defines the variables. Columns 1 and 2 include further control variables, while Columns 3 and 4 utilize different measures to ascertain firm value (log of ratio of market capitalization to assets) and dividends (log of total dividends). Standard errors are clustered at firm-level. t-statistics in parentheses. *** p&lt;0.01, ** p&lt;0.05, * p&lt;0.1</w:t>
            </w:r>
          </w:p>
          <w:p w14:paraId="5B694B22" w14:textId="77777777" w:rsidR="00667364" w:rsidRPr="00F83525" w:rsidRDefault="00667364" w:rsidP="00E177DE">
            <w:pPr>
              <w:widowControl w:val="0"/>
              <w:autoSpaceDE w:val="0"/>
              <w:autoSpaceDN w:val="0"/>
              <w:adjustRightInd w:val="0"/>
              <w:spacing w:afterLines="20" w:after="48" w:line="240" w:lineRule="auto"/>
              <w:rPr>
                <w:rFonts w:ascii="Times New Roman" w:hAnsi="Times New Roman" w:cs="Times New Roman"/>
                <w:kern w:val="0"/>
                <w:sz w:val="20"/>
                <w:szCs w:val="20"/>
              </w:rPr>
            </w:pPr>
          </w:p>
        </w:tc>
      </w:tr>
    </w:tbl>
    <w:p w14:paraId="1139BA5B" w14:textId="77777777" w:rsidR="00667364" w:rsidRDefault="00667364" w:rsidP="00667364">
      <w:pPr>
        <w:spacing w:line="480" w:lineRule="auto"/>
        <w:ind w:firstLine="720"/>
        <w:jc w:val="both"/>
        <w:rPr>
          <w:rFonts w:ascii="Times New Roman" w:hAnsi="Times New Roman" w:cs="Times New Roman"/>
          <w:sz w:val="24"/>
          <w:szCs w:val="24"/>
        </w:rPr>
      </w:pPr>
    </w:p>
    <w:p w14:paraId="4B01713E" w14:textId="77777777" w:rsidR="000107A9" w:rsidRDefault="000107A9" w:rsidP="000367C5">
      <w:pPr>
        <w:spacing w:line="480" w:lineRule="auto"/>
        <w:jc w:val="both"/>
        <w:rPr>
          <w:rFonts w:ascii="Times New Roman" w:hAnsi="Times New Roman" w:cs="Times New Roman"/>
          <w:sz w:val="24"/>
          <w:szCs w:val="24"/>
        </w:rPr>
        <w:sectPr w:rsidR="000107A9">
          <w:pgSz w:w="11906" w:h="16838"/>
          <w:pgMar w:top="1440" w:right="1440" w:bottom="1440" w:left="1440" w:header="708" w:footer="708" w:gutter="0"/>
          <w:cols w:space="708"/>
          <w:docGrid w:linePitch="360"/>
        </w:sectPr>
      </w:pPr>
    </w:p>
    <w:p w14:paraId="12F0E29F" w14:textId="43D37C73" w:rsidR="00667364" w:rsidRPr="00191D56" w:rsidRDefault="00275240" w:rsidP="005C7AE9">
      <w:pPr>
        <w:spacing w:after="60" w:line="240" w:lineRule="auto"/>
        <w:ind w:hanging="180"/>
        <w:jc w:val="both"/>
        <w:rPr>
          <w:rFonts w:ascii="Times New Roman" w:hAnsi="Times New Roman" w:cs="Times New Roman"/>
          <w:b/>
          <w:bCs/>
          <w:sz w:val="20"/>
          <w:szCs w:val="20"/>
        </w:rPr>
      </w:pPr>
      <w:r w:rsidRPr="00191D56">
        <w:rPr>
          <w:rFonts w:ascii="Times New Roman" w:hAnsi="Times New Roman" w:cs="Times New Roman"/>
          <w:b/>
          <w:bCs/>
          <w:kern w:val="0"/>
          <w:sz w:val="20"/>
          <w:szCs w:val="20"/>
        </w:rPr>
        <w:lastRenderedPageBreak/>
        <w:t>Table 6: Path analysis</w:t>
      </w:r>
    </w:p>
    <w:tbl>
      <w:tblPr>
        <w:tblW w:w="9360" w:type="dxa"/>
        <w:jc w:val="center"/>
        <w:tblLayout w:type="fixed"/>
        <w:tblCellMar>
          <w:left w:w="75" w:type="dxa"/>
          <w:right w:w="75" w:type="dxa"/>
        </w:tblCellMar>
        <w:tblLook w:val="0000" w:firstRow="0" w:lastRow="0" w:firstColumn="0" w:lastColumn="0" w:noHBand="0" w:noVBand="0"/>
      </w:tblPr>
      <w:tblGrid>
        <w:gridCol w:w="4372"/>
        <w:gridCol w:w="2743"/>
        <w:gridCol w:w="2245"/>
      </w:tblGrid>
      <w:tr w:rsidR="00734A6C" w:rsidRPr="00191D56" w14:paraId="1B88711C" w14:textId="77777777" w:rsidTr="00275240">
        <w:trPr>
          <w:trHeight w:val="277"/>
          <w:jc w:val="center"/>
        </w:trPr>
        <w:tc>
          <w:tcPr>
            <w:tcW w:w="4372" w:type="dxa"/>
            <w:tcBorders>
              <w:top w:val="single" w:sz="4" w:space="0" w:color="auto"/>
              <w:left w:val="nil"/>
              <w:bottom w:val="single" w:sz="6" w:space="0" w:color="auto"/>
              <w:right w:val="nil"/>
            </w:tcBorders>
          </w:tcPr>
          <w:p w14:paraId="5D1154AF" w14:textId="6E9A7EDF" w:rsidR="00734A6C" w:rsidRPr="00191D56" w:rsidRDefault="00734A6C" w:rsidP="00881B1C">
            <w:pPr>
              <w:widowControl w:val="0"/>
              <w:autoSpaceDE w:val="0"/>
              <w:autoSpaceDN w:val="0"/>
              <w:adjustRightInd w:val="0"/>
              <w:spacing w:after="0" w:line="240" w:lineRule="auto"/>
              <w:rPr>
                <w:rFonts w:ascii="Times New Roman" w:hAnsi="Times New Roman" w:cs="Times New Roman"/>
                <w:kern w:val="0"/>
                <w:sz w:val="20"/>
                <w:szCs w:val="20"/>
              </w:rPr>
            </w:pPr>
          </w:p>
        </w:tc>
        <w:tc>
          <w:tcPr>
            <w:tcW w:w="2743" w:type="dxa"/>
            <w:tcBorders>
              <w:top w:val="single" w:sz="4" w:space="0" w:color="auto"/>
              <w:left w:val="nil"/>
              <w:bottom w:val="single" w:sz="6" w:space="0" w:color="auto"/>
              <w:right w:val="nil"/>
            </w:tcBorders>
          </w:tcPr>
          <w:p w14:paraId="7CEAAC04" w14:textId="77777777" w:rsidR="00734A6C" w:rsidRPr="00191D56" w:rsidRDefault="00734A6C" w:rsidP="00881B1C">
            <w:pPr>
              <w:widowControl w:val="0"/>
              <w:autoSpaceDE w:val="0"/>
              <w:autoSpaceDN w:val="0"/>
              <w:adjustRightInd w:val="0"/>
              <w:spacing w:after="0" w:line="240" w:lineRule="auto"/>
              <w:jc w:val="center"/>
              <w:rPr>
                <w:rFonts w:ascii="Times New Roman" w:hAnsi="Times New Roman" w:cs="Times New Roman"/>
                <w:b/>
                <w:bCs/>
                <w:kern w:val="0"/>
                <w:sz w:val="20"/>
                <w:szCs w:val="20"/>
              </w:rPr>
            </w:pPr>
            <w:proofErr w:type="spellStart"/>
            <w:r w:rsidRPr="00191D56">
              <w:rPr>
                <w:rFonts w:ascii="Times New Roman" w:hAnsi="Times New Roman" w:cs="Times New Roman"/>
                <w:b/>
                <w:bCs/>
                <w:kern w:val="0"/>
                <w:sz w:val="20"/>
                <w:szCs w:val="20"/>
              </w:rPr>
              <w:t>FirmValue</w:t>
            </w:r>
            <w:proofErr w:type="spellEnd"/>
          </w:p>
        </w:tc>
        <w:tc>
          <w:tcPr>
            <w:tcW w:w="2245" w:type="dxa"/>
            <w:tcBorders>
              <w:top w:val="single" w:sz="4" w:space="0" w:color="auto"/>
              <w:left w:val="nil"/>
              <w:bottom w:val="single" w:sz="6" w:space="0" w:color="auto"/>
              <w:right w:val="nil"/>
            </w:tcBorders>
          </w:tcPr>
          <w:p w14:paraId="51D60B9D" w14:textId="77777777" w:rsidR="00734A6C" w:rsidRPr="00191D56" w:rsidRDefault="00734A6C" w:rsidP="00881B1C">
            <w:pPr>
              <w:widowControl w:val="0"/>
              <w:autoSpaceDE w:val="0"/>
              <w:autoSpaceDN w:val="0"/>
              <w:adjustRightInd w:val="0"/>
              <w:spacing w:after="0" w:line="240" w:lineRule="auto"/>
              <w:jc w:val="center"/>
              <w:rPr>
                <w:rFonts w:ascii="Times New Roman" w:hAnsi="Times New Roman" w:cs="Times New Roman"/>
                <w:b/>
                <w:bCs/>
                <w:kern w:val="0"/>
                <w:sz w:val="20"/>
                <w:szCs w:val="20"/>
              </w:rPr>
            </w:pPr>
            <w:r w:rsidRPr="00191D56">
              <w:rPr>
                <w:rFonts w:ascii="Times New Roman" w:hAnsi="Times New Roman" w:cs="Times New Roman"/>
                <w:b/>
                <w:bCs/>
                <w:kern w:val="0"/>
                <w:sz w:val="20"/>
                <w:szCs w:val="20"/>
              </w:rPr>
              <w:t>Dividend</w:t>
            </w:r>
          </w:p>
        </w:tc>
      </w:tr>
      <w:tr w:rsidR="00734A6C" w:rsidRPr="00191D56" w14:paraId="59BF3371" w14:textId="77777777" w:rsidTr="00275240">
        <w:trPr>
          <w:trHeight w:val="277"/>
          <w:jc w:val="center"/>
        </w:trPr>
        <w:tc>
          <w:tcPr>
            <w:tcW w:w="4372" w:type="dxa"/>
            <w:tcBorders>
              <w:top w:val="nil"/>
              <w:left w:val="nil"/>
              <w:bottom w:val="nil"/>
              <w:right w:val="nil"/>
            </w:tcBorders>
          </w:tcPr>
          <w:p w14:paraId="5C68084D" w14:textId="4C48A2DC" w:rsidR="00734A6C" w:rsidRPr="00191D56" w:rsidRDefault="00734A6C" w:rsidP="00881B1C">
            <w:pPr>
              <w:widowControl w:val="0"/>
              <w:autoSpaceDE w:val="0"/>
              <w:autoSpaceDN w:val="0"/>
              <w:adjustRightInd w:val="0"/>
              <w:spacing w:after="0" w:line="240" w:lineRule="auto"/>
              <w:rPr>
                <w:rFonts w:ascii="Times New Roman" w:hAnsi="Times New Roman" w:cs="Times New Roman"/>
                <w:kern w:val="0"/>
                <w:sz w:val="20"/>
                <w:szCs w:val="20"/>
              </w:rPr>
            </w:pPr>
            <w:r w:rsidRPr="00191D56">
              <w:rPr>
                <w:rFonts w:ascii="Times New Roman" w:hAnsi="Times New Roman" w:cs="Times New Roman"/>
                <w:kern w:val="0"/>
                <w:sz w:val="20"/>
                <w:szCs w:val="20"/>
              </w:rPr>
              <w:t xml:space="preserve">Fintech * </w:t>
            </w:r>
            <w:proofErr w:type="spellStart"/>
            <w:r w:rsidRPr="00191D56">
              <w:rPr>
                <w:rFonts w:ascii="Times New Roman" w:hAnsi="Times New Roman" w:cs="Times New Roman"/>
                <w:kern w:val="0"/>
                <w:sz w:val="20"/>
                <w:szCs w:val="20"/>
              </w:rPr>
              <w:t>ClimateRisk</w:t>
            </w:r>
            <w:proofErr w:type="spellEnd"/>
            <w:r w:rsidRPr="00191D56">
              <w:rPr>
                <w:rFonts w:ascii="Times New Roman" w:hAnsi="Times New Roman" w:cs="Times New Roman"/>
                <w:kern w:val="0"/>
                <w:sz w:val="20"/>
                <w:szCs w:val="20"/>
              </w:rPr>
              <w:t xml:space="preserve"> * Dividend</w:t>
            </w:r>
          </w:p>
        </w:tc>
        <w:tc>
          <w:tcPr>
            <w:tcW w:w="2743" w:type="dxa"/>
            <w:tcBorders>
              <w:top w:val="nil"/>
              <w:left w:val="nil"/>
              <w:bottom w:val="nil"/>
              <w:right w:val="nil"/>
            </w:tcBorders>
          </w:tcPr>
          <w:p w14:paraId="1E13569B" w14:textId="77777777" w:rsidR="00734A6C" w:rsidRPr="00191D56" w:rsidRDefault="00734A6C" w:rsidP="00881B1C">
            <w:pPr>
              <w:widowControl w:val="0"/>
              <w:autoSpaceDE w:val="0"/>
              <w:autoSpaceDN w:val="0"/>
              <w:adjustRightInd w:val="0"/>
              <w:spacing w:after="0" w:line="240" w:lineRule="auto"/>
              <w:jc w:val="center"/>
              <w:rPr>
                <w:rFonts w:ascii="Times New Roman" w:hAnsi="Times New Roman" w:cs="Times New Roman"/>
                <w:kern w:val="0"/>
                <w:sz w:val="20"/>
                <w:szCs w:val="20"/>
              </w:rPr>
            </w:pPr>
            <w:r w:rsidRPr="00191D56">
              <w:rPr>
                <w:rFonts w:ascii="Times New Roman" w:hAnsi="Times New Roman" w:cs="Times New Roman"/>
                <w:kern w:val="0"/>
                <w:sz w:val="20"/>
                <w:szCs w:val="20"/>
              </w:rPr>
              <w:t>0.001</w:t>
            </w:r>
          </w:p>
        </w:tc>
        <w:tc>
          <w:tcPr>
            <w:tcW w:w="2245" w:type="dxa"/>
            <w:tcBorders>
              <w:top w:val="nil"/>
              <w:left w:val="nil"/>
              <w:bottom w:val="nil"/>
              <w:right w:val="nil"/>
            </w:tcBorders>
          </w:tcPr>
          <w:p w14:paraId="66EE299C" w14:textId="77777777" w:rsidR="00734A6C" w:rsidRPr="00191D56" w:rsidRDefault="00734A6C" w:rsidP="00881B1C">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734A6C" w:rsidRPr="00191D56" w14:paraId="280A85CD" w14:textId="77777777" w:rsidTr="00275240">
        <w:trPr>
          <w:trHeight w:val="277"/>
          <w:jc w:val="center"/>
        </w:trPr>
        <w:tc>
          <w:tcPr>
            <w:tcW w:w="4372" w:type="dxa"/>
            <w:tcBorders>
              <w:top w:val="nil"/>
              <w:left w:val="nil"/>
              <w:bottom w:val="nil"/>
              <w:right w:val="nil"/>
            </w:tcBorders>
          </w:tcPr>
          <w:p w14:paraId="172553DD" w14:textId="77777777" w:rsidR="00734A6C" w:rsidRPr="00191D56" w:rsidRDefault="00734A6C" w:rsidP="00881B1C">
            <w:pPr>
              <w:widowControl w:val="0"/>
              <w:autoSpaceDE w:val="0"/>
              <w:autoSpaceDN w:val="0"/>
              <w:adjustRightInd w:val="0"/>
              <w:spacing w:after="0" w:line="240" w:lineRule="auto"/>
              <w:rPr>
                <w:rFonts w:ascii="Times New Roman" w:hAnsi="Times New Roman" w:cs="Times New Roman"/>
                <w:kern w:val="0"/>
                <w:sz w:val="20"/>
                <w:szCs w:val="20"/>
              </w:rPr>
            </w:pPr>
          </w:p>
        </w:tc>
        <w:tc>
          <w:tcPr>
            <w:tcW w:w="2743" w:type="dxa"/>
            <w:tcBorders>
              <w:top w:val="nil"/>
              <w:left w:val="nil"/>
              <w:bottom w:val="nil"/>
              <w:right w:val="nil"/>
            </w:tcBorders>
          </w:tcPr>
          <w:p w14:paraId="0E0F08A6" w14:textId="77777777" w:rsidR="00734A6C" w:rsidRPr="00191D56" w:rsidRDefault="00734A6C" w:rsidP="00881B1C">
            <w:pPr>
              <w:widowControl w:val="0"/>
              <w:autoSpaceDE w:val="0"/>
              <w:autoSpaceDN w:val="0"/>
              <w:adjustRightInd w:val="0"/>
              <w:spacing w:after="0" w:line="240" w:lineRule="auto"/>
              <w:jc w:val="center"/>
              <w:rPr>
                <w:rFonts w:ascii="Times New Roman" w:hAnsi="Times New Roman" w:cs="Times New Roman"/>
                <w:kern w:val="0"/>
                <w:sz w:val="20"/>
                <w:szCs w:val="20"/>
              </w:rPr>
            </w:pPr>
            <w:r w:rsidRPr="00191D56">
              <w:rPr>
                <w:rFonts w:ascii="Times New Roman" w:hAnsi="Times New Roman" w:cs="Times New Roman"/>
                <w:kern w:val="0"/>
                <w:sz w:val="20"/>
                <w:szCs w:val="20"/>
              </w:rPr>
              <w:t>(1.552)</w:t>
            </w:r>
          </w:p>
        </w:tc>
        <w:tc>
          <w:tcPr>
            <w:tcW w:w="2245" w:type="dxa"/>
            <w:tcBorders>
              <w:top w:val="nil"/>
              <w:left w:val="nil"/>
              <w:bottom w:val="nil"/>
              <w:right w:val="nil"/>
            </w:tcBorders>
          </w:tcPr>
          <w:p w14:paraId="71CB8718" w14:textId="77777777" w:rsidR="00734A6C" w:rsidRPr="00191D56" w:rsidRDefault="00734A6C" w:rsidP="00881B1C">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734A6C" w:rsidRPr="00191D56" w14:paraId="4732343C" w14:textId="77777777" w:rsidTr="00275240">
        <w:trPr>
          <w:trHeight w:val="277"/>
          <w:jc w:val="center"/>
        </w:trPr>
        <w:tc>
          <w:tcPr>
            <w:tcW w:w="4372" w:type="dxa"/>
            <w:tcBorders>
              <w:top w:val="nil"/>
              <w:left w:val="nil"/>
              <w:bottom w:val="nil"/>
              <w:right w:val="nil"/>
            </w:tcBorders>
          </w:tcPr>
          <w:p w14:paraId="36BBDA79" w14:textId="199CB880" w:rsidR="00734A6C" w:rsidRPr="00191D56" w:rsidRDefault="00734A6C" w:rsidP="00881B1C">
            <w:pPr>
              <w:widowControl w:val="0"/>
              <w:autoSpaceDE w:val="0"/>
              <w:autoSpaceDN w:val="0"/>
              <w:adjustRightInd w:val="0"/>
              <w:spacing w:after="0" w:line="240" w:lineRule="auto"/>
              <w:rPr>
                <w:rFonts w:ascii="Times New Roman" w:hAnsi="Times New Roman" w:cs="Times New Roman"/>
                <w:kern w:val="0"/>
                <w:sz w:val="20"/>
                <w:szCs w:val="20"/>
              </w:rPr>
            </w:pPr>
            <w:r w:rsidRPr="00191D56">
              <w:rPr>
                <w:rFonts w:ascii="Times New Roman" w:hAnsi="Times New Roman" w:cs="Times New Roman"/>
                <w:kern w:val="0"/>
                <w:sz w:val="20"/>
                <w:szCs w:val="20"/>
              </w:rPr>
              <w:t xml:space="preserve">Fintech * </w:t>
            </w:r>
            <w:proofErr w:type="spellStart"/>
            <w:r w:rsidRPr="00191D56">
              <w:rPr>
                <w:rFonts w:ascii="Times New Roman" w:hAnsi="Times New Roman" w:cs="Times New Roman"/>
                <w:kern w:val="0"/>
                <w:sz w:val="20"/>
                <w:szCs w:val="20"/>
              </w:rPr>
              <w:t>ClimateRisk</w:t>
            </w:r>
            <w:proofErr w:type="spellEnd"/>
            <w:r w:rsidRPr="00191D56">
              <w:rPr>
                <w:rFonts w:ascii="Times New Roman" w:hAnsi="Times New Roman" w:cs="Times New Roman"/>
                <w:kern w:val="0"/>
                <w:sz w:val="20"/>
                <w:szCs w:val="20"/>
              </w:rPr>
              <w:t xml:space="preserve"> * Cash</w:t>
            </w:r>
          </w:p>
        </w:tc>
        <w:tc>
          <w:tcPr>
            <w:tcW w:w="2743" w:type="dxa"/>
            <w:tcBorders>
              <w:top w:val="nil"/>
              <w:left w:val="nil"/>
              <w:bottom w:val="nil"/>
              <w:right w:val="nil"/>
            </w:tcBorders>
          </w:tcPr>
          <w:p w14:paraId="5FB914FE" w14:textId="77777777" w:rsidR="00734A6C" w:rsidRPr="00191D56" w:rsidRDefault="00734A6C" w:rsidP="00881B1C">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2245" w:type="dxa"/>
            <w:tcBorders>
              <w:top w:val="nil"/>
              <w:left w:val="nil"/>
              <w:bottom w:val="nil"/>
              <w:right w:val="nil"/>
            </w:tcBorders>
          </w:tcPr>
          <w:p w14:paraId="5A674796" w14:textId="77777777" w:rsidR="00734A6C" w:rsidRPr="00191D56" w:rsidRDefault="00734A6C" w:rsidP="00881B1C">
            <w:pPr>
              <w:widowControl w:val="0"/>
              <w:autoSpaceDE w:val="0"/>
              <w:autoSpaceDN w:val="0"/>
              <w:adjustRightInd w:val="0"/>
              <w:spacing w:after="0" w:line="240" w:lineRule="auto"/>
              <w:jc w:val="center"/>
              <w:rPr>
                <w:rFonts w:ascii="Times New Roman" w:hAnsi="Times New Roman" w:cs="Times New Roman"/>
                <w:kern w:val="0"/>
                <w:sz w:val="20"/>
                <w:szCs w:val="20"/>
              </w:rPr>
            </w:pPr>
            <w:r w:rsidRPr="00191D56">
              <w:rPr>
                <w:rFonts w:ascii="Times New Roman" w:hAnsi="Times New Roman" w:cs="Times New Roman"/>
                <w:kern w:val="0"/>
                <w:sz w:val="20"/>
                <w:szCs w:val="20"/>
              </w:rPr>
              <w:t>0.001**</w:t>
            </w:r>
          </w:p>
        </w:tc>
      </w:tr>
      <w:tr w:rsidR="00734A6C" w:rsidRPr="00191D56" w14:paraId="3145CE1E" w14:textId="77777777" w:rsidTr="00275240">
        <w:trPr>
          <w:trHeight w:val="277"/>
          <w:jc w:val="center"/>
        </w:trPr>
        <w:tc>
          <w:tcPr>
            <w:tcW w:w="4372" w:type="dxa"/>
            <w:tcBorders>
              <w:top w:val="nil"/>
              <w:left w:val="nil"/>
              <w:bottom w:val="nil"/>
              <w:right w:val="nil"/>
            </w:tcBorders>
          </w:tcPr>
          <w:p w14:paraId="6C0ACD77" w14:textId="77777777" w:rsidR="00734A6C" w:rsidRPr="00191D56" w:rsidRDefault="00734A6C" w:rsidP="00881B1C">
            <w:pPr>
              <w:widowControl w:val="0"/>
              <w:autoSpaceDE w:val="0"/>
              <w:autoSpaceDN w:val="0"/>
              <w:adjustRightInd w:val="0"/>
              <w:spacing w:after="0" w:line="240" w:lineRule="auto"/>
              <w:rPr>
                <w:rFonts w:ascii="Times New Roman" w:hAnsi="Times New Roman" w:cs="Times New Roman"/>
                <w:kern w:val="0"/>
                <w:sz w:val="20"/>
                <w:szCs w:val="20"/>
              </w:rPr>
            </w:pPr>
          </w:p>
        </w:tc>
        <w:tc>
          <w:tcPr>
            <w:tcW w:w="2743" w:type="dxa"/>
            <w:tcBorders>
              <w:top w:val="nil"/>
              <w:left w:val="nil"/>
              <w:bottom w:val="nil"/>
              <w:right w:val="nil"/>
            </w:tcBorders>
          </w:tcPr>
          <w:p w14:paraId="75794F1B" w14:textId="77777777" w:rsidR="00734A6C" w:rsidRPr="00191D56" w:rsidRDefault="00734A6C" w:rsidP="00881B1C">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2245" w:type="dxa"/>
            <w:tcBorders>
              <w:top w:val="nil"/>
              <w:left w:val="nil"/>
              <w:bottom w:val="nil"/>
              <w:right w:val="nil"/>
            </w:tcBorders>
          </w:tcPr>
          <w:p w14:paraId="49DCA8D5" w14:textId="77777777" w:rsidR="00734A6C" w:rsidRPr="00191D56" w:rsidRDefault="00734A6C" w:rsidP="00881B1C">
            <w:pPr>
              <w:widowControl w:val="0"/>
              <w:autoSpaceDE w:val="0"/>
              <w:autoSpaceDN w:val="0"/>
              <w:adjustRightInd w:val="0"/>
              <w:spacing w:after="0" w:line="240" w:lineRule="auto"/>
              <w:jc w:val="center"/>
              <w:rPr>
                <w:rFonts w:ascii="Times New Roman" w:hAnsi="Times New Roman" w:cs="Times New Roman"/>
                <w:kern w:val="0"/>
                <w:sz w:val="20"/>
                <w:szCs w:val="20"/>
              </w:rPr>
            </w:pPr>
            <w:r w:rsidRPr="00191D56">
              <w:rPr>
                <w:rFonts w:ascii="Times New Roman" w:hAnsi="Times New Roman" w:cs="Times New Roman"/>
                <w:kern w:val="0"/>
                <w:sz w:val="20"/>
                <w:szCs w:val="20"/>
              </w:rPr>
              <w:t>(2.334)</w:t>
            </w:r>
          </w:p>
        </w:tc>
      </w:tr>
      <w:tr w:rsidR="00734A6C" w:rsidRPr="00191D56" w14:paraId="426C79D8" w14:textId="77777777" w:rsidTr="00275240">
        <w:trPr>
          <w:trHeight w:val="277"/>
          <w:jc w:val="center"/>
        </w:trPr>
        <w:tc>
          <w:tcPr>
            <w:tcW w:w="4372" w:type="dxa"/>
            <w:tcBorders>
              <w:top w:val="nil"/>
              <w:left w:val="nil"/>
              <w:bottom w:val="nil"/>
              <w:right w:val="nil"/>
            </w:tcBorders>
          </w:tcPr>
          <w:p w14:paraId="5E012D76" w14:textId="0FC566A1" w:rsidR="00734A6C" w:rsidRPr="00191D56" w:rsidRDefault="00734A6C" w:rsidP="00881B1C">
            <w:pPr>
              <w:widowControl w:val="0"/>
              <w:autoSpaceDE w:val="0"/>
              <w:autoSpaceDN w:val="0"/>
              <w:adjustRightInd w:val="0"/>
              <w:spacing w:after="0" w:line="240" w:lineRule="auto"/>
              <w:rPr>
                <w:rFonts w:ascii="Times New Roman" w:hAnsi="Times New Roman" w:cs="Times New Roman"/>
                <w:kern w:val="0"/>
                <w:sz w:val="20"/>
                <w:szCs w:val="20"/>
              </w:rPr>
            </w:pPr>
            <w:r w:rsidRPr="00191D56">
              <w:rPr>
                <w:rFonts w:ascii="Times New Roman" w:hAnsi="Times New Roman" w:cs="Times New Roman"/>
                <w:kern w:val="0"/>
                <w:sz w:val="20"/>
                <w:szCs w:val="20"/>
              </w:rPr>
              <w:t xml:space="preserve">Fintech * </w:t>
            </w:r>
            <w:proofErr w:type="spellStart"/>
            <w:r w:rsidRPr="00191D56">
              <w:rPr>
                <w:rFonts w:ascii="Times New Roman" w:hAnsi="Times New Roman" w:cs="Times New Roman"/>
                <w:kern w:val="0"/>
                <w:sz w:val="20"/>
                <w:szCs w:val="20"/>
              </w:rPr>
              <w:t>ClimateRisk</w:t>
            </w:r>
            <w:proofErr w:type="spellEnd"/>
          </w:p>
        </w:tc>
        <w:tc>
          <w:tcPr>
            <w:tcW w:w="2743" w:type="dxa"/>
            <w:tcBorders>
              <w:top w:val="nil"/>
              <w:left w:val="nil"/>
              <w:bottom w:val="nil"/>
              <w:right w:val="nil"/>
            </w:tcBorders>
          </w:tcPr>
          <w:p w14:paraId="6E39FC87" w14:textId="77777777" w:rsidR="00734A6C" w:rsidRPr="00191D56" w:rsidRDefault="00734A6C" w:rsidP="00881B1C">
            <w:pPr>
              <w:widowControl w:val="0"/>
              <w:autoSpaceDE w:val="0"/>
              <w:autoSpaceDN w:val="0"/>
              <w:adjustRightInd w:val="0"/>
              <w:spacing w:after="0" w:line="240" w:lineRule="auto"/>
              <w:jc w:val="center"/>
              <w:rPr>
                <w:rFonts w:ascii="Times New Roman" w:hAnsi="Times New Roman" w:cs="Times New Roman"/>
                <w:kern w:val="0"/>
                <w:sz w:val="20"/>
                <w:szCs w:val="20"/>
              </w:rPr>
            </w:pPr>
            <w:r w:rsidRPr="00191D56">
              <w:rPr>
                <w:rFonts w:ascii="Times New Roman" w:hAnsi="Times New Roman" w:cs="Times New Roman"/>
                <w:kern w:val="0"/>
                <w:sz w:val="20"/>
                <w:szCs w:val="20"/>
              </w:rPr>
              <w:t>0.136**</w:t>
            </w:r>
          </w:p>
        </w:tc>
        <w:tc>
          <w:tcPr>
            <w:tcW w:w="2245" w:type="dxa"/>
            <w:tcBorders>
              <w:top w:val="nil"/>
              <w:left w:val="nil"/>
              <w:bottom w:val="nil"/>
              <w:right w:val="nil"/>
            </w:tcBorders>
          </w:tcPr>
          <w:p w14:paraId="4199C021" w14:textId="4FA477A7" w:rsidR="00734A6C" w:rsidRPr="00191D56" w:rsidRDefault="00734A6C" w:rsidP="00881B1C">
            <w:pPr>
              <w:widowControl w:val="0"/>
              <w:autoSpaceDE w:val="0"/>
              <w:autoSpaceDN w:val="0"/>
              <w:adjustRightInd w:val="0"/>
              <w:spacing w:after="0" w:line="240" w:lineRule="auto"/>
              <w:jc w:val="center"/>
              <w:rPr>
                <w:rFonts w:ascii="Times New Roman" w:hAnsi="Times New Roman" w:cs="Times New Roman"/>
                <w:kern w:val="0"/>
                <w:sz w:val="20"/>
                <w:szCs w:val="20"/>
              </w:rPr>
            </w:pPr>
            <w:r w:rsidRPr="00191D56">
              <w:rPr>
                <w:rFonts w:ascii="Times New Roman" w:hAnsi="Times New Roman" w:cs="Times New Roman"/>
                <w:kern w:val="0"/>
                <w:sz w:val="20"/>
                <w:szCs w:val="20"/>
              </w:rPr>
              <w:t>0.3</w:t>
            </w:r>
            <w:r w:rsidR="00505F13">
              <w:rPr>
                <w:rFonts w:ascii="Times New Roman" w:hAnsi="Times New Roman" w:cs="Times New Roman"/>
                <w:kern w:val="0"/>
                <w:sz w:val="20"/>
                <w:szCs w:val="20"/>
              </w:rPr>
              <w:t>8</w:t>
            </w:r>
            <w:r w:rsidRPr="00191D56">
              <w:rPr>
                <w:rFonts w:ascii="Times New Roman" w:hAnsi="Times New Roman" w:cs="Times New Roman"/>
                <w:kern w:val="0"/>
                <w:sz w:val="20"/>
                <w:szCs w:val="20"/>
              </w:rPr>
              <w:t>2*</w:t>
            </w:r>
          </w:p>
        </w:tc>
      </w:tr>
      <w:tr w:rsidR="00734A6C" w:rsidRPr="00191D56" w14:paraId="14EADA38" w14:textId="77777777" w:rsidTr="00275240">
        <w:trPr>
          <w:trHeight w:val="277"/>
          <w:jc w:val="center"/>
        </w:trPr>
        <w:tc>
          <w:tcPr>
            <w:tcW w:w="4372" w:type="dxa"/>
            <w:tcBorders>
              <w:top w:val="nil"/>
              <w:left w:val="nil"/>
              <w:bottom w:val="nil"/>
              <w:right w:val="nil"/>
            </w:tcBorders>
          </w:tcPr>
          <w:p w14:paraId="568B34BA" w14:textId="77777777" w:rsidR="00734A6C" w:rsidRPr="00191D56" w:rsidRDefault="00734A6C" w:rsidP="00881B1C">
            <w:pPr>
              <w:widowControl w:val="0"/>
              <w:autoSpaceDE w:val="0"/>
              <w:autoSpaceDN w:val="0"/>
              <w:adjustRightInd w:val="0"/>
              <w:spacing w:after="0" w:line="240" w:lineRule="auto"/>
              <w:rPr>
                <w:rFonts w:ascii="Times New Roman" w:hAnsi="Times New Roman" w:cs="Times New Roman"/>
                <w:kern w:val="0"/>
                <w:sz w:val="20"/>
                <w:szCs w:val="20"/>
              </w:rPr>
            </w:pPr>
          </w:p>
        </w:tc>
        <w:tc>
          <w:tcPr>
            <w:tcW w:w="2743" w:type="dxa"/>
            <w:tcBorders>
              <w:top w:val="nil"/>
              <w:left w:val="nil"/>
              <w:bottom w:val="nil"/>
              <w:right w:val="nil"/>
            </w:tcBorders>
          </w:tcPr>
          <w:p w14:paraId="35729492" w14:textId="77777777" w:rsidR="00734A6C" w:rsidRPr="00191D56" w:rsidRDefault="00734A6C" w:rsidP="00881B1C">
            <w:pPr>
              <w:widowControl w:val="0"/>
              <w:autoSpaceDE w:val="0"/>
              <w:autoSpaceDN w:val="0"/>
              <w:adjustRightInd w:val="0"/>
              <w:spacing w:after="0" w:line="240" w:lineRule="auto"/>
              <w:jc w:val="center"/>
              <w:rPr>
                <w:rFonts w:ascii="Times New Roman" w:hAnsi="Times New Roman" w:cs="Times New Roman"/>
                <w:kern w:val="0"/>
                <w:sz w:val="20"/>
                <w:szCs w:val="20"/>
              </w:rPr>
            </w:pPr>
            <w:r w:rsidRPr="00191D56">
              <w:rPr>
                <w:rFonts w:ascii="Times New Roman" w:hAnsi="Times New Roman" w:cs="Times New Roman"/>
                <w:kern w:val="0"/>
                <w:sz w:val="20"/>
                <w:szCs w:val="20"/>
              </w:rPr>
              <w:t>(2.353)</w:t>
            </w:r>
          </w:p>
        </w:tc>
        <w:tc>
          <w:tcPr>
            <w:tcW w:w="2245" w:type="dxa"/>
            <w:tcBorders>
              <w:top w:val="nil"/>
              <w:left w:val="nil"/>
              <w:bottom w:val="nil"/>
              <w:right w:val="nil"/>
            </w:tcBorders>
          </w:tcPr>
          <w:p w14:paraId="07BA6615" w14:textId="4A244283" w:rsidR="00734A6C" w:rsidRPr="00191D56" w:rsidRDefault="00734A6C" w:rsidP="00881B1C">
            <w:pPr>
              <w:widowControl w:val="0"/>
              <w:autoSpaceDE w:val="0"/>
              <w:autoSpaceDN w:val="0"/>
              <w:adjustRightInd w:val="0"/>
              <w:spacing w:after="0" w:line="240" w:lineRule="auto"/>
              <w:jc w:val="center"/>
              <w:rPr>
                <w:rFonts w:ascii="Times New Roman" w:hAnsi="Times New Roman" w:cs="Times New Roman"/>
                <w:kern w:val="0"/>
                <w:sz w:val="20"/>
                <w:szCs w:val="20"/>
              </w:rPr>
            </w:pPr>
            <w:r w:rsidRPr="00191D56">
              <w:rPr>
                <w:rFonts w:ascii="Times New Roman" w:hAnsi="Times New Roman" w:cs="Times New Roman"/>
                <w:kern w:val="0"/>
                <w:sz w:val="20"/>
                <w:szCs w:val="20"/>
              </w:rPr>
              <w:t>(1.96</w:t>
            </w:r>
            <w:r w:rsidR="00CD2BF2">
              <w:rPr>
                <w:rFonts w:ascii="Times New Roman" w:hAnsi="Times New Roman" w:cs="Times New Roman"/>
                <w:kern w:val="0"/>
                <w:sz w:val="20"/>
                <w:szCs w:val="20"/>
              </w:rPr>
              <w:t>0</w:t>
            </w:r>
            <w:r w:rsidRPr="00191D56">
              <w:rPr>
                <w:rFonts w:ascii="Times New Roman" w:hAnsi="Times New Roman" w:cs="Times New Roman"/>
                <w:kern w:val="0"/>
                <w:sz w:val="20"/>
                <w:szCs w:val="20"/>
              </w:rPr>
              <w:t>)</w:t>
            </w:r>
          </w:p>
        </w:tc>
      </w:tr>
      <w:tr w:rsidR="00734A6C" w:rsidRPr="00191D56" w14:paraId="3BE62546" w14:textId="77777777" w:rsidTr="00275240">
        <w:trPr>
          <w:trHeight w:val="277"/>
          <w:jc w:val="center"/>
        </w:trPr>
        <w:tc>
          <w:tcPr>
            <w:tcW w:w="4372" w:type="dxa"/>
            <w:tcBorders>
              <w:top w:val="nil"/>
              <w:left w:val="nil"/>
              <w:bottom w:val="nil"/>
              <w:right w:val="nil"/>
            </w:tcBorders>
          </w:tcPr>
          <w:p w14:paraId="10C25EBA" w14:textId="77777777" w:rsidR="00734A6C" w:rsidRPr="00191D56" w:rsidRDefault="00734A6C" w:rsidP="00881B1C">
            <w:pPr>
              <w:widowControl w:val="0"/>
              <w:autoSpaceDE w:val="0"/>
              <w:autoSpaceDN w:val="0"/>
              <w:adjustRightInd w:val="0"/>
              <w:spacing w:after="0" w:line="240" w:lineRule="auto"/>
              <w:rPr>
                <w:rFonts w:ascii="Times New Roman" w:hAnsi="Times New Roman" w:cs="Times New Roman"/>
                <w:kern w:val="0"/>
                <w:sz w:val="20"/>
                <w:szCs w:val="20"/>
              </w:rPr>
            </w:pPr>
            <w:r w:rsidRPr="00191D56">
              <w:rPr>
                <w:rFonts w:ascii="Times New Roman" w:hAnsi="Times New Roman" w:cs="Times New Roman"/>
                <w:kern w:val="0"/>
                <w:sz w:val="20"/>
                <w:szCs w:val="20"/>
              </w:rPr>
              <w:t>Dividend</w:t>
            </w:r>
          </w:p>
        </w:tc>
        <w:tc>
          <w:tcPr>
            <w:tcW w:w="2743" w:type="dxa"/>
            <w:tcBorders>
              <w:top w:val="nil"/>
              <w:left w:val="nil"/>
              <w:bottom w:val="nil"/>
              <w:right w:val="nil"/>
            </w:tcBorders>
          </w:tcPr>
          <w:p w14:paraId="0BB8CAE2" w14:textId="77777777" w:rsidR="00734A6C" w:rsidRPr="00191D56" w:rsidRDefault="00734A6C" w:rsidP="00881B1C">
            <w:pPr>
              <w:widowControl w:val="0"/>
              <w:autoSpaceDE w:val="0"/>
              <w:autoSpaceDN w:val="0"/>
              <w:adjustRightInd w:val="0"/>
              <w:spacing w:after="0" w:line="240" w:lineRule="auto"/>
              <w:jc w:val="center"/>
              <w:rPr>
                <w:rFonts w:ascii="Times New Roman" w:hAnsi="Times New Roman" w:cs="Times New Roman"/>
                <w:kern w:val="0"/>
                <w:sz w:val="20"/>
                <w:szCs w:val="20"/>
              </w:rPr>
            </w:pPr>
            <w:r w:rsidRPr="00191D56">
              <w:rPr>
                <w:rFonts w:ascii="Times New Roman" w:hAnsi="Times New Roman" w:cs="Times New Roman"/>
                <w:kern w:val="0"/>
                <w:sz w:val="20"/>
                <w:szCs w:val="20"/>
              </w:rPr>
              <w:t>0.160***</w:t>
            </w:r>
          </w:p>
        </w:tc>
        <w:tc>
          <w:tcPr>
            <w:tcW w:w="2245" w:type="dxa"/>
            <w:tcBorders>
              <w:top w:val="nil"/>
              <w:left w:val="nil"/>
              <w:bottom w:val="nil"/>
              <w:right w:val="nil"/>
            </w:tcBorders>
          </w:tcPr>
          <w:p w14:paraId="4B4BF440" w14:textId="77777777" w:rsidR="00734A6C" w:rsidRPr="00191D56" w:rsidRDefault="00734A6C" w:rsidP="00881B1C">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734A6C" w:rsidRPr="00191D56" w14:paraId="07BD7F2F" w14:textId="77777777" w:rsidTr="00275240">
        <w:trPr>
          <w:trHeight w:val="277"/>
          <w:jc w:val="center"/>
        </w:trPr>
        <w:tc>
          <w:tcPr>
            <w:tcW w:w="4372" w:type="dxa"/>
            <w:tcBorders>
              <w:top w:val="nil"/>
              <w:left w:val="nil"/>
              <w:bottom w:val="nil"/>
              <w:right w:val="nil"/>
            </w:tcBorders>
          </w:tcPr>
          <w:p w14:paraId="0730C919" w14:textId="77777777" w:rsidR="00734A6C" w:rsidRPr="00191D56" w:rsidRDefault="00734A6C" w:rsidP="00881B1C">
            <w:pPr>
              <w:widowControl w:val="0"/>
              <w:autoSpaceDE w:val="0"/>
              <w:autoSpaceDN w:val="0"/>
              <w:adjustRightInd w:val="0"/>
              <w:spacing w:after="0" w:line="240" w:lineRule="auto"/>
              <w:rPr>
                <w:rFonts w:ascii="Times New Roman" w:hAnsi="Times New Roman" w:cs="Times New Roman"/>
                <w:kern w:val="0"/>
                <w:sz w:val="20"/>
                <w:szCs w:val="20"/>
              </w:rPr>
            </w:pPr>
          </w:p>
        </w:tc>
        <w:tc>
          <w:tcPr>
            <w:tcW w:w="2743" w:type="dxa"/>
            <w:tcBorders>
              <w:top w:val="nil"/>
              <w:left w:val="nil"/>
              <w:bottom w:val="nil"/>
              <w:right w:val="nil"/>
            </w:tcBorders>
          </w:tcPr>
          <w:p w14:paraId="759F6F50" w14:textId="77777777" w:rsidR="00734A6C" w:rsidRPr="00191D56" w:rsidRDefault="00734A6C" w:rsidP="00881B1C">
            <w:pPr>
              <w:widowControl w:val="0"/>
              <w:autoSpaceDE w:val="0"/>
              <w:autoSpaceDN w:val="0"/>
              <w:adjustRightInd w:val="0"/>
              <w:spacing w:after="0" w:line="240" w:lineRule="auto"/>
              <w:jc w:val="center"/>
              <w:rPr>
                <w:rFonts w:ascii="Times New Roman" w:hAnsi="Times New Roman" w:cs="Times New Roman"/>
                <w:kern w:val="0"/>
                <w:sz w:val="20"/>
                <w:szCs w:val="20"/>
              </w:rPr>
            </w:pPr>
            <w:r w:rsidRPr="00191D56">
              <w:rPr>
                <w:rFonts w:ascii="Times New Roman" w:hAnsi="Times New Roman" w:cs="Times New Roman"/>
                <w:kern w:val="0"/>
                <w:sz w:val="20"/>
                <w:szCs w:val="20"/>
              </w:rPr>
              <w:t>(3.062)</w:t>
            </w:r>
          </w:p>
        </w:tc>
        <w:tc>
          <w:tcPr>
            <w:tcW w:w="2245" w:type="dxa"/>
            <w:tcBorders>
              <w:top w:val="nil"/>
              <w:left w:val="nil"/>
              <w:bottom w:val="nil"/>
              <w:right w:val="nil"/>
            </w:tcBorders>
          </w:tcPr>
          <w:p w14:paraId="007E48DA" w14:textId="77777777" w:rsidR="00734A6C" w:rsidRPr="00191D56" w:rsidRDefault="00734A6C" w:rsidP="00881B1C">
            <w:pPr>
              <w:widowControl w:val="0"/>
              <w:autoSpaceDE w:val="0"/>
              <w:autoSpaceDN w:val="0"/>
              <w:adjustRightInd w:val="0"/>
              <w:spacing w:after="0" w:line="240" w:lineRule="auto"/>
              <w:jc w:val="center"/>
              <w:rPr>
                <w:rFonts w:ascii="Times New Roman" w:hAnsi="Times New Roman" w:cs="Times New Roman"/>
                <w:kern w:val="0"/>
                <w:sz w:val="20"/>
                <w:szCs w:val="20"/>
              </w:rPr>
            </w:pPr>
          </w:p>
        </w:tc>
      </w:tr>
      <w:tr w:rsidR="00734A6C" w:rsidRPr="00191D56" w14:paraId="0722D271" w14:textId="77777777" w:rsidTr="00275240">
        <w:trPr>
          <w:trHeight w:val="277"/>
          <w:jc w:val="center"/>
        </w:trPr>
        <w:tc>
          <w:tcPr>
            <w:tcW w:w="4372" w:type="dxa"/>
            <w:tcBorders>
              <w:top w:val="nil"/>
              <w:left w:val="nil"/>
              <w:bottom w:val="nil"/>
              <w:right w:val="nil"/>
            </w:tcBorders>
          </w:tcPr>
          <w:p w14:paraId="0BC4D318" w14:textId="77777777" w:rsidR="00734A6C" w:rsidRPr="00191D56" w:rsidRDefault="00734A6C" w:rsidP="00881B1C">
            <w:pPr>
              <w:widowControl w:val="0"/>
              <w:autoSpaceDE w:val="0"/>
              <w:autoSpaceDN w:val="0"/>
              <w:adjustRightInd w:val="0"/>
              <w:spacing w:after="0" w:line="240" w:lineRule="auto"/>
              <w:rPr>
                <w:rFonts w:ascii="Times New Roman" w:hAnsi="Times New Roman" w:cs="Times New Roman"/>
                <w:kern w:val="0"/>
                <w:sz w:val="20"/>
                <w:szCs w:val="20"/>
              </w:rPr>
            </w:pPr>
            <w:r w:rsidRPr="00191D56">
              <w:rPr>
                <w:rFonts w:ascii="Times New Roman" w:hAnsi="Times New Roman" w:cs="Times New Roman"/>
                <w:kern w:val="0"/>
                <w:sz w:val="20"/>
                <w:szCs w:val="20"/>
              </w:rPr>
              <w:t>Cash</w:t>
            </w:r>
          </w:p>
        </w:tc>
        <w:tc>
          <w:tcPr>
            <w:tcW w:w="2743" w:type="dxa"/>
            <w:tcBorders>
              <w:top w:val="nil"/>
              <w:left w:val="nil"/>
              <w:bottom w:val="nil"/>
              <w:right w:val="nil"/>
            </w:tcBorders>
          </w:tcPr>
          <w:p w14:paraId="18E2F45C" w14:textId="77777777" w:rsidR="00734A6C" w:rsidRPr="00191D56" w:rsidRDefault="00734A6C" w:rsidP="00881B1C">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2245" w:type="dxa"/>
            <w:tcBorders>
              <w:top w:val="nil"/>
              <w:left w:val="nil"/>
              <w:bottom w:val="nil"/>
              <w:right w:val="nil"/>
            </w:tcBorders>
          </w:tcPr>
          <w:p w14:paraId="55C524D5" w14:textId="77777777" w:rsidR="00734A6C" w:rsidRPr="00191D56" w:rsidRDefault="00734A6C" w:rsidP="00881B1C">
            <w:pPr>
              <w:widowControl w:val="0"/>
              <w:autoSpaceDE w:val="0"/>
              <w:autoSpaceDN w:val="0"/>
              <w:adjustRightInd w:val="0"/>
              <w:spacing w:after="0" w:line="240" w:lineRule="auto"/>
              <w:jc w:val="center"/>
              <w:rPr>
                <w:rFonts w:ascii="Times New Roman" w:hAnsi="Times New Roman" w:cs="Times New Roman"/>
                <w:kern w:val="0"/>
                <w:sz w:val="20"/>
                <w:szCs w:val="20"/>
              </w:rPr>
            </w:pPr>
            <w:r w:rsidRPr="00191D56">
              <w:rPr>
                <w:rFonts w:ascii="Times New Roman" w:hAnsi="Times New Roman" w:cs="Times New Roman"/>
                <w:kern w:val="0"/>
                <w:sz w:val="20"/>
                <w:szCs w:val="20"/>
              </w:rPr>
              <w:t>0.046</w:t>
            </w:r>
          </w:p>
        </w:tc>
      </w:tr>
      <w:tr w:rsidR="00734A6C" w:rsidRPr="00191D56" w14:paraId="65F7329F" w14:textId="77777777" w:rsidTr="00275240">
        <w:trPr>
          <w:trHeight w:val="277"/>
          <w:jc w:val="center"/>
        </w:trPr>
        <w:tc>
          <w:tcPr>
            <w:tcW w:w="4372" w:type="dxa"/>
            <w:tcBorders>
              <w:top w:val="nil"/>
              <w:left w:val="nil"/>
              <w:bottom w:val="nil"/>
              <w:right w:val="nil"/>
            </w:tcBorders>
          </w:tcPr>
          <w:p w14:paraId="5DEFE6C1" w14:textId="77777777" w:rsidR="00734A6C" w:rsidRPr="00191D56" w:rsidRDefault="00734A6C" w:rsidP="00881B1C">
            <w:pPr>
              <w:widowControl w:val="0"/>
              <w:autoSpaceDE w:val="0"/>
              <w:autoSpaceDN w:val="0"/>
              <w:adjustRightInd w:val="0"/>
              <w:spacing w:after="0" w:line="240" w:lineRule="auto"/>
              <w:rPr>
                <w:rFonts w:ascii="Times New Roman" w:hAnsi="Times New Roman" w:cs="Times New Roman"/>
                <w:kern w:val="0"/>
                <w:sz w:val="20"/>
                <w:szCs w:val="20"/>
              </w:rPr>
            </w:pPr>
          </w:p>
        </w:tc>
        <w:tc>
          <w:tcPr>
            <w:tcW w:w="2743" w:type="dxa"/>
            <w:tcBorders>
              <w:top w:val="nil"/>
              <w:left w:val="nil"/>
              <w:bottom w:val="nil"/>
              <w:right w:val="nil"/>
            </w:tcBorders>
          </w:tcPr>
          <w:p w14:paraId="577472AC" w14:textId="77777777" w:rsidR="00734A6C" w:rsidRPr="00191D56" w:rsidRDefault="00734A6C" w:rsidP="00881B1C">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2245" w:type="dxa"/>
            <w:tcBorders>
              <w:top w:val="nil"/>
              <w:left w:val="nil"/>
              <w:bottom w:val="nil"/>
              <w:right w:val="nil"/>
            </w:tcBorders>
          </w:tcPr>
          <w:p w14:paraId="2960144A" w14:textId="77777777" w:rsidR="00734A6C" w:rsidRPr="00191D56" w:rsidRDefault="00734A6C" w:rsidP="00881B1C">
            <w:pPr>
              <w:widowControl w:val="0"/>
              <w:autoSpaceDE w:val="0"/>
              <w:autoSpaceDN w:val="0"/>
              <w:adjustRightInd w:val="0"/>
              <w:spacing w:after="0" w:line="240" w:lineRule="auto"/>
              <w:jc w:val="center"/>
              <w:rPr>
                <w:rFonts w:ascii="Times New Roman" w:hAnsi="Times New Roman" w:cs="Times New Roman"/>
                <w:kern w:val="0"/>
                <w:sz w:val="20"/>
                <w:szCs w:val="20"/>
              </w:rPr>
            </w:pPr>
            <w:r w:rsidRPr="00191D56">
              <w:rPr>
                <w:rFonts w:ascii="Times New Roman" w:hAnsi="Times New Roman" w:cs="Times New Roman"/>
                <w:kern w:val="0"/>
                <w:sz w:val="20"/>
                <w:szCs w:val="20"/>
              </w:rPr>
              <w:t>(1.413)</w:t>
            </w:r>
          </w:p>
        </w:tc>
      </w:tr>
      <w:tr w:rsidR="00734A6C" w:rsidRPr="00191D56" w14:paraId="67653A66" w14:textId="77777777" w:rsidTr="00275240">
        <w:trPr>
          <w:trHeight w:val="277"/>
          <w:jc w:val="center"/>
        </w:trPr>
        <w:tc>
          <w:tcPr>
            <w:tcW w:w="4372" w:type="dxa"/>
            <w:tcBorders>
              <w:top w:val="nil"/>
              <w:left w:val="nil"/>
              <w:bottom w:val="nil"/>
              <w:right w:val="nil"/>
            </w:tcBorders>
          </w:tcPr>
          <w:p w14:paraId="575DF280" w14:textId="2C5ED387" w:rsidR="00734A6C" w:rsidRPr="00191D56" w:rsidRDefault="00734A6C" w:rsidP="00881B1C">
            <w:pPr>
              <w:widowControl w:val="0"/>
              <w:autoSpaceDE w:val="0"/>
              <w:autoSpaceDN w:val="0"/>
              <w:adjustRightInd w:val="0"/>
              <w:spacing w:after="0" w:line="240" w:lineRule="auto"/>
              <w:rPr>
                <w:rFonts w:ascii="Times New Roman" w:hAnsi="Times New Roman" w:cs="Times New Roman"/>
                <w:kern w:val="0"/>
                <w:sz w:val="20"/>
                <w:szCs w:val="20"/>
              </w:rPr>
            </w:pPr>
            <w:r w:rsidRPr="00191D56">
              <w:rPr>
                <w:rFonts w:ascii="Times New Roman" w:hAnsi="Times New Roman" w:cs="Times New Roman"/>
                <w:kern w:val="0"/>
                <w:sz w:val="20"/>
                <w:szCs w:val="20"/>
              </w:rPr>
              <w:t>Fintech</w:t>
            </w:r>
          </w:p>
        </w:tc>
        <w:tc>
          <w:tcPr>
            <w:tcW w:w="2743" w:type="dxa"/>
            <w:tcBorders>
              <w:top w:val="nil"/>
              <w:left w:val="nil"/>
              <w:bottom w:val="nil"/>
              <w:right w:val="nil"/>
            </w:tcBorders>
          </w:tcPr>
          <w:p w14:paraId="4A2CF230" w14:textId="77777777" w:rsidR="00734A6C" w:rsidRPr="00191D56" w:rsidRDefault="00734A6C" w:rsidP="00881B1C">
            <w:pPr>
              <w:widowControl w:val="0"/>
              <w:autoSpaceDE w:val="0"/>
              <w:autoSpaceDN w:val="0"/>
              <w:adjustRightInd w:val="0"/>
              <w:spacing w:after="0" w:line="240" w:lineRule="auto"/>
              <w:jc w:val="center"/>
              <w:rPr>
                <w:rFonts w:ascii="Times New Roman" w:hAnsi="Times New Roman" w:cs="Times New Roman"/>
                <w:kern w:val="0"/>
                <w:sz w:val="20"/>
                <w:szCs w:val="20"/>
              </w:rPr>
            </w:pPr>
            <w:r w:rsidRPr="00191D56">
              <w:rPr>
                <w:rFonts w:ascii="Times New Roman" w:hAnsi="Times New Roman" w:cs="Times New Roman"/>
                <w:kern w:val="0"/>
                <w:sz w:val="20"/>
                <w:szCs w:val="20"/>
              </w:rPr>
              <w:t>13.584</w:t>
            </w:r>
          </w:p>
        </w:tc>
        <w:tc>
          <w:tcPr>
            <w:tcW w:w="2245" w:type="dxa"/>
            <w:tcBorders>
              <w:top w:val="nil"/>
              <w:left w:val="nil"/>
              <w:bottom w:val="nil"/>
              <w:right w:val="nil"/>
            </w:tcBorders>
          </w:tcPr>
          <w:p w14:paraId="39540589" w14:textId="77777777" w:rsidR="00734A6C" w:rsidRPr="00191D56" w:rsidRDefault="00734A6C" w:rsidP="00881B1C">
            <w:pPr>
              <w:widowControl w:val="0"/>
              <w:autoSpaceDE w:val="0"/>
              <w:autoSpaceDN w:val="0"/>
              <w:adjustRightInd w:val="0"/>
              <w:spacing w:after="0" w:line="240" w:lineRule="auto"/>
              <w:jc w:val="center"/>
              <w:rPr>
                <w:rFonts w:ascii="Times New Roman" w:hAnsi="Times New Roman" w:cs="Times New Roman"/>
                <w:kern w:val="0"/>
                <w:sz w:val="20"/>
                <w:szCs w:val="20"/>
              </w:rPr>
            </w:pPr>
            <w:r w:rsidRPr="00191D56">
              <w:rPr>
                <w:rFonts w:ascii="Times New Roman" w:hAnsi="Times New Roman" w:cs="Times New Roman"/>
                <w:kern w:val="0"/>
                <w:sz w:val="20"/>
                <w:szCs w:val="20"/>
              </w:rPr>
              <w:t>1.424</w:t>
            </w:r>
          </w:p>
        </w:tc>
      </w:tr>
      <w:tr w:rsidR="00734A6C" w:rsidRPr="00191D56" w14:paraId="3426E26F" w14:textId="77777777" w:rsidTr="00275240">
        <w:trPr>
          <w:trHeight w:val="277"/>
          <w:jc w:val="center"/>
        </w:trPr>
        <w:tc>
          <w:tcPr>
            <w:tcW w:w="4372" w:type="dxa"/>
            <w:tcBorders>
              <w:top w:val="nil"/>
              <w:left w:val="nil"/>
              <w:bottom w:val="nil"/>
              <w:right w:val="nil"/>
            </w:tcBorders>
          </w:tcPr>
          <w:p w14:paraId="317E4EE5" w14:textId="77777777" w:rsidR="00734A6C" w:rsidRPr="00191D56" w:rsidRDefault="00734A6C" w:rsidP="00881B1C">
            <w:pPr>
              <w:widowControl w:val="0"/>
              <w:autoSpaceDE w:val="0"/>
              <w:autoSpaceDN w:val="0"/>
              <w:adjustRightInd w:val="0"/>
              <w:spacing w:after="0" w:line="240" w:lineRule="auto"/>
              <w:rPr>
                <w:rFonts w:ascii="Times New Roman" w:hAnsi="Times New Roman" w:cs="Times New Roman"/>
                <w:kern w:val="0"/>
                <w:sz w:val="20"/>
                <w:szCs w:val="20"/>
              </w:rPr>
            </w:pPr>
          </w:p>
        </w:tc>
        <w:tc>
          <w:tcPr>
            <w:tcW w:w="2743" w:type="dxa"/>
            <w:tcBorders>
              <w:top w:val="nil"/>
              <w:left w:val="nil"/>
              <w:bottom w:val="nil"/>
              <w:right w:val="nil"/>
            </w:tcBorders>
          </w:tcPr>
          <w:p w14:paraId="55A579FC" w14:textId="77777777" w:rsidR="00734A6C" w:rsidRPr="00191D56" w:rsidRDefault="00734A6C" w:rsidP="00881B1C">
            <w:pPr>
              <w:widowControl w:val="0"/>
              <w:autoSpaceDE w:val="0"/>
              <w:autoSpaceDN w:val="0"/>
              <w:adjustRightInd w:val="0"/>
              <w:spacing w:after="0" w:line="240" w:lineRule="auto"/>
              <w:jc w:val="center"/>
              <w:rPr>
                <w:rFonts w:ascii="Times New Roman" w:hAnsi="Times New Roman" w:cs="Times New Roman"/>
                <w:kern w:val="0"/>
                <w:sz w:val="20"/>
                <w:szCs w:val="20"/>
              </w:rPr>
            </w:pPr>
            <w:r w:rsidRPr="00191D56">
              <w:rPr>
                <w:rFonts w:ascii="Times New Roman" w:hAnsi="Times New Roman" w:cs="Times New Roman"/>
                <w:kern w:val="0"/>
                <w:sz w:val="20"/>
                <w:szCs w:val="20"/>
              </w:rPr>
              <w:t>(1.522)</w:t>
            </w:r>
          </w:p>
        </w:tc>
        <w:tc>
          <w:tcPr>
            <w:tcW w:w="2245" w:type="dxa"/>
            <w:tcBorders>
              <w:top w:val="nil"/>
              <w:left w:val="nil"/>
              <w:bottom w:val="nil"/>
              <w:right w:val="nil"/>
            </w:tcBorders>
          </w:tcPr>
          <w:p w14:paraId="4845ADBC" w14:textId="77777777" w:rsidR="00734A6C" w:rsidRPr="00191D56" w:rsidRDefault="00734A6C" w:rsidP="00881B1C">
            <w:pPr>
              <w:widowControl w:val="0"/>
              <w:autoSpaceDE w:val="0"/>
              <w:autoSpaceDN w:val="0"/>
              <w:adjustRightInd w:val="0"/>
              <w:spacing w:after="0" w:line="240" w:lineRule="auto"/>
              <w:jc w:val="center"/>
              <w:rPr>
                <w:rFonts w:ascii="Times New Roman" w:hAnsi="Times New Roman" w:cs="Times New Roman"/>
                <w:kern w:val="0"/>
                <w:sz w:val="20"/>
                <w:szCs w:val="20"/>
              </w:rPr>
            </w:pPr>
            <w:r w:rsidRPr="00191D56">
              <w:rPr>
                <w:rFonts w:ascii="Times New Roman" w:hAnsi="Times New Roman" w:cs="Times New Roman"/>
                <w:kern w:val="0"/>
                <w:sz w:val="20"/>
                <w:szCs w:val="20"/>
              </w:rPr>
              <w:t>(0.111)</w:t>
            </w:r>
          </w:p>
        </w:tc>
      </w:tr>
      <w:tr w:rsidR="00734A6C" w:rsidRPr="00191D56" w14:paraId="395C9382" w14:textId="77777777" w:rsidTr="00275240">
        <w:trPr>
          <w:trHeight w:val="277"/>
          <w:jc w:val="center"/>
        </w:trPr>
        <w:tc>
          <w:tcPr>
            <w:tcW w:w="4372" w:type="dxa"/>
            <w:tcBorders>
              <w:top w:val="nil"/>
              <w:left w:val="nil"/>
              <w:bottom w:val="nil"/>
              <w:right w:val="nil"/>
            </w:tcBorders>
          </w:tcPr>
          <w:p w14:paraId="52C98DB2" w14:textId="77777777" w:rsidR="00734A6C" w:rsidRPr="00191D56" w:rsidRDefault="00734A6C" w:rsidP="00881B1C">
            <w:pPr>
              <w:widowControl w:val="0"/>
              <w:autoSpaceDE w:val="0"/>
              <w:autoSpaceDN w:val="0"/>
              <w:adjustRightInd w:val="0"/>
              <w:spacing w:after="0" w:line="240" w:lineRule="auto"/>
              <w:rPr>
                <w:rFonts w:ascii="Times New Roman" w:hAnsi="Times New Roman" w:cs="Times New Roman"/>
                <w:kern w:val="0"/>
                <w:sz w:val="20"/>
                <w:szCs w:val="20"/>
              </w:rPr>
            </w:pPr>
            <w:proofErr w:type="spellStart"/>
            <w:r w:rsidRPr="00191D56">
              <w:rPr>
                <w:rFonts w:ascii="Times New Roman" w:hAnsi="Times New Roman" w:cs="Times New Roman"/>
                <w:kern w:val="0"/>
                <w:sz w:val="20"/>
                <w:szCs w:val="20"/>
              </w:rPr>
              <w:t>ClimateRisk</w:t>
            </w:r>
            <w:proofErr w:type="spellEnd"/>
          </w:p>
        </w:tc>
        <w:tc>
          <w:tcPr>
            <w:tcW w:w="2743" w:type="dxa"/>
            <w:tcBorders>
              <w:top w:val="nil"/>
              <w:left w:val="nil"/>
              <w:bottom w:val="nil"/>
              <w:right w:val="nil"/>
            </w:tcBorders>
          </w:tcPr>
          <w:p w14:paraId="194DC98C" w14:textId="77777777" w:rsidR="00734A6C" w:rsidRPr="00191D56" w:rsidRDefault="00734A6C" w:rsidP="00881B1C">
            <w:pPr>
              <w:widowControl w:val="0"/>
              <w:autoSpaceDE w:val="0"/>
              <w:autoSpaceDN w:val="0"/>
              <w:adjustRightInd w:val="0"/>
              <w:spacing w:after="0" w:line="240" w:lineRule="auto"/>
              <w:jc w:val="center"/>
              <w:rPr>
                <w:rFonts w:ascii="Times New Roman" w:hAnsi="Times New Roman" w:cs="Times New Roman"/>
                <w:kern w:val="0"/>
                <w:sz w:val="20"/>
                <w:szCs w:val="20"/>
              </w:rPr>
            </w:pPr>
            <w:r w:rsidRPr="00191D56">
              <w:rPr>
                <w:rFonts w:ascii="Times New Roman" w:hAnsi="Times New Roman" w:cs="Times New Roman"/>
                <w:kern w:val="0"/>
                <w:sz w:val="20"/>
                <w:szCs w:val="20"/>
              </w:rPr>
              <w:t>2.340**</w:t>
            </w:r>
          </w:p>
        </w:tc>
        <w:tc>
          <w:tcPr>
            <w:tcW w:w="2245" w:type="dxa"/>
            <w:tcBorders>
              <w:top w:val="nil"/>
              <w:left w:val="nil"/>
              <w:bottom w:val="nil"/>
              <w:right w:val="nil"/>
            </w:tcBorders>
          </w:tcPr>
          <w:p w14:paraId="5839B834" w14:textId="77777777" w:rsidR="00734A6C" w:rsidRPr="00191D56" w:rsidRDefault="00734A6C" w:rsidP="00881B1C">
            <w:pPr>
              <w:widowControl w:val="0"/>
              <w:autoSpaceDE w:val="0"/>
              <w:autoSpaceDN w:val="0"/>
              <w:adjustRightInd w:val="0"/>
              <w:spacing w:after="0" w:line="240" w:lineRule="auto"/>
              <w:jc w:val="center"/>
              <w:rPr>
                <w:rFonts w:ascii="Times New Roman" w:hAnsi="Times New Roman" w:cs="Times New Roman"/>
                <w:kern w:val="0"/>
                <w:sz w:val="20"/>
                <w:szCs w:val="20"/>
              </w:rPr>
            </w:pPr>
            <w:r w:rsidRPr="00191D56">
              <w:rPr>
                <w:rFonts w:ascii="Times New Roman" w:hAnsi="Times New Roman" w:cs="Times New Roman"/>
                <w:kern w:val="0"/>
                <w:sz w:val="20"/>
                <w:szCs w:val="20"/>
              </w:rPr>
              <w:t>7.222**</w:t>
            </w:r>
          </w:p>
        </w:tc>
      </w:tr>
      <w:tr w:rsidR="00734A6C" w:rsidRPr="00191D56" w14:paraId="06E5208B" w14:textId="77777777" w:rsidTr="00275240">
        <w:trPr>
          <w:trHeight w:val="277"/>
          <w:jc w:val="center"/>
        </w:trPr>
        <w:tc>
          <w:tcPr>
            <w:tcW w:w="4372" w:type="dxa"/>
            <w:tcBorders>
              <w:top w:val="nil"/>
              <w:left w:val="nil"/>
              <w:bottom w:val="nil"/>
              <w:right w:val="nil"/>
            </w:tcBorders>
          </w:tcPr>
          <w:p w14:paraId="2F93BC4B" w14:textId="77777777" w:rsidR="00734A6C" w:rsidRPr="00191D56" w:rsidRDefault="00734A6C" w:rsidP="00881B1C">
            <w:pPr>
              <w:widowControl w:val="0"/>
              <w:autoSpaceDE w:val="0"/>
              <w:autoSpaceDN w:val="0"/>
              <w:adjustRightInd w:val="0"/>
              <w:spacing w:after="0" w:line="240" w:lineRule="auto"/>
              <w:rPr>
                <w:rFonts w:ascii="Times New Roman" w:hAnsi="Times New Roman" w:cs="Times New Roman"/>
                <w:kern w:val="0"/>
                <w:sz w:val="20"/>
                <w:szCs w:val="20"/>
              </w:rPr>
            </w:pPr>
          </w:p>
        </w:tc>
        <w:tc>
          <w:tcPr>
            <w:tcW w:w="2743" w:type="dxa"/>
            <w:tcBorders>
              <w:top w:val="nil"/>
              <w:left w:val="nil"/>
              <w:bottom w:val="nil"/>
              <w:right w:val="nil"/>
            </w:tcBorders>
          </w:tcPr>
          <w:p w14:paraId="51AB4975" w14:textId="77777777" w:rsidR="00734A6C" w:rsidRPr="00191D56" w:rsidRDefault="00734A6C" w:rsidP="00881B1C">
            <w:pPr>
              <w:widowControl w:val="0"/>
              <w:autoSpaceDE w:val="0"/>
              <w:autoSpaceDN w:val="0"/>
              <w:adjustRightInd w:val="0"/>
              <w:spacing w:after="0" w:line="240" w:lineRule="auto"/>
              <w:jc w:val="center"/>
              <w:rPr>
                <w:rFonts w:ascii="Times New Roman" w:hAnsi="Times New Roman" w:cs="Times New Roman"/>
                <w:kern w:val="0"/>
                <w:sz w:val="20"/>
                <w:szCs w:val="20"/>
              </w:rPr>
            </w:pPr>
            <w:r w:rsidRPr="00191D56">
              <w:rPr>
                <w:rFonts w:ascii="Times New Roman" w:hAnsi="Times New Roman" w:cs="Times New Roman"/>
                <w:kern w:val="0"/>
                <w:sz w:val="20"/>
                <w:szCs w:val="20"/>
              </w:rPr>
              <w:t>(2.268)</w:t>
            </w:r>
          </w:p>
        </w:tc>
        <w:tc>
          <w:tcPr>
            <w:tcW w:w="2245" w:type="dxa"/>
            <w:tcBorders>
              <w:top w:val="nil"/>
              <w:left w:val="nil"/>
              <w:bottom w:val="nil"/>
              <w:right w:val="nil"/>
            </w:tcBorders>
          </w:tcPr>
          <w:p w14:paraId="332E00E5" w14:textId="77777777" w:rsidR="00734A6C" w:rsidRPr="00191D56" w:rsidRDefault="00734A6C" w:rsidP="00881B1C">
            <w:pPr>
              <w:widowControl w:val="0"/>
              <w:autoSpaceDE w:val="0"/>
              <w:autoSpaceDN w:val="0"/>
              <w:adjustRightInd w:val="0"/>
              <w:spacing w:after="0" w:line="240" w:lineRule="auto"/>
              <w:jc w:val="center"/>
              <w:rPr>
                <w:rFonts w:ascii="Times New Roman" w:hAnsi="Times New Roman" w:cs="Times New Roman"/>
                <w:kern w:val="0"/>
                <w:sz w:val="20"/>
                <w:szCs w:val="20"/>
              </w:rPr>
            </w:pPr>
            <w:r w:rsidRPr="00191D56">
              <w:rPr>
                <w:rFonts w:ascii="Times New Roman" w:hAnsi="Times New Roman" w:cs="Times New Roman"/>
                <w:kern w:val="0"/>
                <w:sz w:val="20"/>
                <w:szCs w:val="20"/>
              </w:rPr>
              <w:t>(1.968)</w:t>
            </w:r>
          </w:p>
        </w:tc>
      </w:tr>
      <w:tr w:rsidR="00734A6C" w:rsidRPr="00191D56" w14:paraId="7AC6E091" w14:textId="77777777" w:rsidTr="00275240">
        <w:trPr>
          <w:trHeight w:val="277"/>
          <w:jc w:val="center"/>
        </w:trPr>
        <w:tc>
          <w:tcPr>
            <w:tcW w:w="4372" w:type="dxa"/>
            <w:tcBorders>
              <w:top w:val="nil"/>
              <w:left w:val="nil"/>
              <w:bottom w:val="nil"/>
              <w:right w:val="nil"/>
            </w:tcBorders>
          </w:tcPr>
          <w:p w14:paraId="1F1E35B0" w14:textId="77777777" w:rsidR="00734A6C" w:rsidRPr="00191D56" w:rsidRDefault="00734A6C" w:rsidP="00881B1C">
            <w:pPr>
              <w:widowControl w:val="0"/>
              <w:autoSpaceDE w:val="0"/>
              <w:autoSpaceDN w:val="0"/>
              <w:adjustRightInd w:val="0"/>
              <w:spacing w:after="0" w:line="240" w:lineRule="auto"/>
              <w:rPr>
                <w:rFonts w:ascii="Times New Roman" w:hAnsi="Times New Roman" w:cs="Times New Roman"/>
                <w:kern w:val="0"/>
                <w:sz w:val="20"/>
                <w:szCs w:val="20"/>
              </w:rPr>
            </w:pPr>
            <w:proofErr w:type="spellStart"/>
            <w:r w:rsidRPr="00191D56">
              <w:rPr>
                <w:rFonts w:ascii="Times New Roman" w:hAnsi="Times New Roman" w:cs="Times New Roman"/>
                <w:kern w:val="0"/>
                <w:sz w:val="20"/>
                <w:szCs w:val="20"/>
              </w:rPr>
              <w:t>CSRcom</w:t>
            </w:r>
            <w:proofErr w:type="spellEnd"/>
          </w:p>
        </w:tc>
        <w:tc>
          <w:tcPr>
            <w:tcW w:w="2743" w:type="dxa"/>
            <w:tcBorders>
              <w:top w:val="nil"/>
              <w:left w:val="nil"/>
              <w:bottom w:val="nil"/>
              <w:right w:val="nil"/>
            </w:tcBorders>
          </w:tcPr>
          <w:p w14:paraId="64FE5576" w14:textId="77777777" w:rsidR="00734A6C" w:rsidRPr="00191D56" w:rsidRDefault="00734A6C" w:rsidP="00881B1C">
            <w:pPr>
              <w:widowControl w:val="0"/>
              <w:autoSpaceDE w:val="0"/>
              <w:autoSpaceDN w:val="0"/>
              <w:adjustRightInd w:val="0"/>
              <w:spacing w:after="0" w:line="240" w:lineRule="auto"/>
              <w:jc w:val="center"/>
              <w:rPr>
                <w:rFonts w:ascii="Times New Roman" w:hAnsi="Times New Roman" w:cs="Times New Roman"/>
                <w:kern w:val="0"/>
                <w:sz w:val="20"/>
                <w:szCs w:val="20"/>
              </w:rPr>
            </w:pPr>
            <w:r w:rsidRPr="00191D56">
              <w:rPr>
                <w:rFonts w:ascii="Times New Roman" w:hAnsi="Times New Roman" w:cs="Times New Roman"/>
                <w:kern w:val="0"/>
                <w:sz w:val="20"/>
                <w:szCs w:val="20"/>
              </w:rPr>
              <w:t>0.006</w:t>
            </w:r>
          </w:p>
        </w:tc>
        <w:tc>
          <w:tcPr>
            <w:tcW w:w="2245" w:type="dxa"/>
            <w:tcBorders>
              <w:top w:val="nil"/>
              <w:left w:val="nil"/>
              <w:bottom w:val="nil"/>
              <w:right w:val="nil"/>
            </w:tcBorders>
          </w:tcPr>
          <w:p w14:paraId="0C21765F" w14:textId="77777777" w:rsidR="00734A6C" w:rsidRPr="00191D56" w:rsidRDefault="00734A6C" w:rsidP="00881B1C">
            <w:pPr>
              <w:widowControl w:val="0"/>
              <w:autoSpaceDE w:val="0"/>
              <w:autoSpaceDN w:val="0"/>
              <w:adjustRightInd w:val="0"/>
              <w:spacing w:after="0" w:line="240" w:lineRule="auto"/>
              <w:jc w:val="center"/>
              <w:rPr>
                <w:rFonts w:ascii="Times New Roman" w:hAnsi="Times New Roman" w:cs="Times New Roman"/>
                <w:kern w:val="0"/>
                <w:sz w:val="20"/>
                <w:szCs w:val="20"/>
              </w:rPr>
            </w:pPr>
            <w:r w:rsidRPr="00191D56">
              <w:rPr>
                <w:rFonts w:ascii="Times New Roman" w:hAnsi="Times New Roman" w:cs="Times New Roman"/>
                <w:kern w:val="0"/>
                <w:sz w:val="20"/>
                <w:szCs w:val="20"/>
              </w:rPr>
              <w:t>0.042</w:t>
            </w:r>
          </w:p>
        </w:tc>
      </w:tr>
      <w:tr w:rsidR="00734A6C" w:rsidRPr="00191D56" w14:paraId="1800BCB2" w14:textId="77777777" w:rsidTr="00275240">
        <w:trPr>
          <w:trHeight w:val="277"/>
          <w:jc w:val="center"/>
        </w:trPr>
        <w:tc>
          <w:tcPr>
            <w:tcW w:w="4372" w:type="dxa"/>
            <w:tcBorders>
              <w:top w:val="nil"/>
              <w:left w:val="nil"/>
              <w:bottom w:val="nil"/>
              <w:right w:val="nil"/>
            </w:tcBorders>
          </w:tcPr>
          <w:p w14:paraId="3AA21483" w14:textId="77777777" w:rsidR="00734A6C" w:rsidRPr="00191D56" w:rsidRDefault="00734A6C" w:rsidP="00881B1C">
            <w:pPr>
              <w:widowControl w:val="0"/>
              <w:autoSpaceDE w:val="0"/>
              <w:autoSpaceDN w:val="0"/>
              <w:adjustRightInd w:val="0"/>
              <w:spacing w:after="0" w:line="240" w:lineRule="auto"/>
              <w:rPr>
                <w:rFonts w:ascii="Times New Roman" w:hAnsi="Times New Roman" w:cs="Times New Roman"/>
                <w:kern w:val="0"/>
                <w:sz w:val="20"/>
                <w:szCs w:val="20"/>
              </w:rPr>
            </w:pPr>
          </w:p>
        </w:tc>
        <w:tc>
          <w:tcPr>
            <w:tcW w:w="2743" w:type="dxa"/>
            <w:tcBorders>
              <w:top w:val="nil"/>
              <w:left w:val="nil"/>
              <w:bottom w:val="nil"/>
              <w:right w:val="nil"/>
            </w:tcBorders>
          </w:tcPr>
          <w:p w14:paraId="76F9A68D" w14:textId="77777777" w:rsidR="00734A6C" w:rsidRPr="00191D56" w:rsidRDefault="00734A6C" w:rsidP="00881B1C">
            <w:pPr>
              <w:widowControl w:val="0"/>
              <w:autoSpaceDE w:val="0"/>
              <w:autoSpaceDN w:val="0"/>
              <w:adjustRightInd w:val="0"/>
              <w:spacing w:after="0" w:line="240" w:lineRule="auto"/>
              <w:jc w:val="center"/>
              <w:rPr>
                <w:rFonts w:ascii="Times New Roman" w:hAnsi="Times New Roman" w:cs="Times New Roman"/>
                <w:kern w:val="0"/>
                <w:sz w:val="20"/>
                <w:szCs w:val="20"/>
              </w:rPr>
            </w:pPr>
            <w:r w:rsidRPr="00191D56">
              <w:rPr>
                <w:rFonts w:ascii="Times New Roman" w:hAnsi="Times New Roman" w:cs="Times New Roman"/>
                <w:kern w:val="0"/>
                <w:sz w:val="20"/>
                <w:szCs w:val="20"/>
              </w:rPr>
              <w:t>(0.064)</w:t>
            </w:r>
          </w:p>
        </w:tc>
        <w:tc>
          <w:tcPr>
            <w:tcW w:w="2245" w:type="dxa"/>
            <w:tcBorders>
              <w:top w:val="nil"/>
              <w:left w:val="nil"/>
              <w:bottom w:val="nil"/>
              <w:right w:val="nil"/>
            </w:tcBorders>
          </w:tcPr>
          <w:p w14:paraId="62775B91" w14:textId="77777777" w:rsidR="00734A6C" w:rsidRPr="00191D56" w:rsidRDefault="00734A6C" w:rsidP="00881B1C">
            <w:pPr>
              <w:widowControl w:val="0"/>
              <w:autoSpaceDE w:val="0"/>
              <w:autoSpaceDN w:val="0"/>
              <w:adjustRightInd w:val="0"/>
              <w:spacing w:after="0" w:line="240" w:lineRule="auto"/>
              <w:jc w:val="center"/>
              <w:rPr>
                <w:rFonts w:ascii="Times New Roman" w:hAnsi="Times New Roman" w:cs="Times New Roman"/>
                <w:kern w:val="0"/>
                <w:sz w:val="20"/>
                <w:szCs w:val="20"/>
              </w:rPr>
            </w:pPr>
            <w:r w:rsidRPr="00191D56">
              <w:rPr>
                <w:rFonts w:ascii="Times New Roman" w:hAnsi="Times New Roman" w:cs="Times New Roman"/>
                <w:kern w:val="0"/>
                <w:sz w:val="20"/>
                <w:szCs w:val="20"/>
              </w:rPr>
              <w:t>(0.401)</w:t>
            </w:r>
          </w:p>
        </w:tc>
      </w:tr>
      <w:tr w:rsidR="00734A6C" w:rsidRPr="00191D56" w14:paraId="40417564" w14:textId="77777777" w:rsidTr="00871D07">
        <w:trPr>
          <w:trHeight w:val="277"/>
          <w:jc w:val="center"/>
        </w:trPr>
        <w:tc>
          <w:tcPr>
            <w:tcW w:w="4372" w:type="dxa"/>
            <w:tcBorders>
              <w:top w:val="nil"/>
              <w:left w:val="nil"/>
              <w:bottom w:val="nil"/>
              <w:right w:val="nil"/>
            </w:tcBorders>
          </w:tcPr>
          <w:p w14:paraId="6F53A52B" w14:textId="77777777" w:rsidR="00734A6C" w:rsidRPr="00191D56" w:rsidRDefault="00734A6C" w:rsidP="00881B1C">
            <w:pPr>
              <w:widowControl w:val="0"/>
              <w:autoSpaceDE w:val="0"/>
              <w:autoSpaceDN w:val="0"/>
              <w:adjustRightInd w:val="0"/>
              <w:spacing w:after="0" w:line="240" w:lineRule="auto"/>
              <w:rPr>
                <w:rFonts w:ascii="Times New Roman" w:hAnsi="Times New Roman" w:cs="Times New Roman"/>
                <w:kern w:val="0"/>
                <w:sz w:val="20"/>
                <w:szCs w:val="20"/>
              </w:rPr>
            </w:pPr>
            <w:proofErr w:type="spellStart"/>
            <w:r w:rsidRPr="00191D56">
              <w:rPr>
                <w:rFonts w:ascii="Times New Roman" w:hAnsi="Times New Roman" w:cs="Times New Roman"/>
                <w:kern w:val="0"/>
                <w:sz w:val="20"/>
                <w:szCs w:val="20"/>
              </w:rPr>
              <w:t>IndBoard</w:t>
            </w:r>
            <w:proofErr w:type="spellEnd"/>
          </w:p>
        </w:tc>
        <w:tc>
          <w:tcPr>
            <w:tcW w:w="2743" w:type="dxa"/>
            <w:tcBorders>
              <w:top w:val="nil"/>
              <w:left w:val="nil"/>
              <w:bottom w:val="nil"/>
              <w:right w:val="nil"/>
            </w:tcBorders>
            <w:shd w:val="clear" w:color="auto" w:fill="auto"/>
          </w:tcPr>
          <w:p w14:paraId="76F45EC6" w14:textId="733297F4" w:rsidR="00734A6C" w:rsidRPr="00871D07" w:rsidRDefault="00734A6C" w:rsidP="00881B1C">
            <w:pPr>
              <w:widowControl w:val="0"/>
              <w:autoSpaceDE w:val="0"/>
              <w:autoSpaceDN w:val="0"/>
              <w:adjustRightInd w:val="0"/>
              <w:spacing w:after="0" w:line="240" w:lineRule="auto"/>
              <w:jc w:val="center"/>
              <w:rPr>
                <w:rFonts w:ascii="Times New Roman" w:hAnsi="Times New Roman" w:cs="Times New Roman"/>
                <w:kern w:val="0"/>
                <w:sz w:val="20"/>
                <w:szCs w:val="20"/>
              </w:rPr>
            </w:pPr>
            <w:r w:rsidRPr="00871D07">
              <w:rPr>
                <w:rFonts w:ascii="Times New Roman" w:hAnsi="Times New Roman" w:cs="Times New Roman"/>
                <w:kern w:val="0"/>
                <w:sz w:val="20"/>
                <w:szCs w:val="20"/>
              </w:rPr>
              <w:t>0.0</w:t>
            </w:r>
            <w:r w:rsidR="008811FD" w:rsidRPr="00871D07">
              <w:rPr>
                <w:rFonts w:ascii="Times New Roman" w:hAnsi="Times New Roman" w:cs="Times New Roman"/>
                <w:kern w:val="0"/>
                <w:sz w:val="20"/>
                <w:szCs w:val="20"/>
              </w:rPr>
              <w:t>03</w:t>
            </w:r>
          </w:p>
        </w:tc>
        <w:tc>
          <w:tcPr>
            <w:tcW w:w="2245" w:type="dxa"/>
            <w:tcBorders>
              <w:top w:val="nil"/>
              <w:left w:val="nil"/>
              <w:bottom w:val="nil"/>
              <w:right w:val="nil"/>
            </w:tcBorders>
          </w:tcPr>
          <w:p w14:paraId="17E4D163" w14:textId="44BD8421" w:rsidR="00734A6C" w:rsidRPr="00191D56" w:rsidRDefault="00734A6C" w:rsidP="00881B1C">
            <w:pPr>
              <w:widowControl w:val="0"/>
              <w:autoSpaceDE w:val="0"/>
              <w:autoSpaceDN w:val="0"/>
              <w:adjustRightInd w:val="0"/>
              <w:spacing w:after="0" w:line="240" w:lineRule="auto"/>
              <w:jc w:val="center"/>
              <w:rPr>
                <w:rFonts w:ascii="Times New Roman" w:hAnsi="Times New Roman" w:cs="Times New Roman"/>
                <w:kern w:val="0"/>
                <w:sz w:val="20"/>
                <w:szCs w:val="20"/>
              </w:rPr>
            </w:pPr>
            <w:r w:rsidRPr="00191D56">
              <w:rPr>
                <w:rFonts w:ascii="Times New Roman" w:hAnsi="Times New Roman" w:cs="Times New Roman"/>
                <w:kern w:val="0"/>
                <w:sz w:val="20"/>
                <w:szCs w:val="20"/>
              </w:rPr>
              <w:t>0.00</w:t>
            </w:r>
            <w:r w:rsidR="00D07B4F">
              <w:rPr>
                <w:rFonts w:ascii="Times New Roman" w:hAnsi="Times New Roman" w:cs="Times New Roman"/>
                <w:kern w:val="0"/>
                <w:sz w:val="20"/>
                <w:szCs w:val="20"/>
              </w:rPr>
              <w:t>1</w:t>
            </w:r>
          </w:p>
        </w:tc>
      </w:tr>
      <w:tr w:rsidR="00734A6C" w:rsidRPr="00191D56" w14:paraId="2E41B0CA" w14:textId="77777777" w:rsidTr="00871D07">
        <w:trPr>
          <w:trHeight w:val="277"/>
          <w:jc w:val="center"/>
        </w:trPr>
        <w:tc>
          <w:tcPr>
            <w:tcW w:w="4372" w:type="dxa"/>
            <w:tcBorders>
              <w:top w:val="nil"/>
              <w:left w:val="nil"/>
              <w:bottom w:val="nil"/>
              <w:right w:val="nil"/>
            </w:tcBorders>
          </w:tcPr>
          <w:p w14:paraId="2A416089" w14:textId="77777777" w:rsidR="00734A6C" w:rsidRPr="00191D56" w:rsidRDefault="00734A6C" w:rsidP="00881B1C">
            <w:pPr>
              <w:widowControl w:val="0"/>
              <w:autoSpaceDE w:val="0"/>
              <w:autoSpaceDN w:val="0"/>
              <w:adjustRightInd w:val="0"/>
              <w:spacing w:after="0" w:line="240" w:lineRule="auto"/>
              <w:rPr>
                <w:rFonts w:ascii="Times New Roman" w:hAnsi="Times New Roman" w:cs="Times New Roman"/>
                <w:kern w:val="0"/>
                <w:sz w:val="20"/>
                <w:szCs w:val="20"/>
              </w:rPr>
            </w:pPr>
          </w:p>
        </w:tc>
        <w:tc>
          <w:tcPr>
            <w:tcW w:w="2743" w:type="dxa"/>
            <w:tcBorders>
              <w:top w:val="nil"/>
              <w:left w:val="nil"/>
              <w:bottom w:val="nil"/>
              <w:right w:val="nil"/>
            </w:tcBorders>
            <w:shd w:val="clear" w:color="auto" w:fill="auto"/>
          </w:tcPr>
          <w:p w14:paraId="29212E21" w14:textId="17BAFE78" w:rsidR="00734A6C" w:rsidRPr="00871D07" w:rsidRDefault="00734A6C" w:rsidP="00881B1C">
            <w:pPr>
              <w:widowControl w:val="0"/>
              <w:autoSpaceDE w:val="0"/>
              <w:autoSpaceDN w:val="0"/>
              <w:adjustRightInd w:val="0"/>
              <w:spacing w:after="0" w:line="240" w:lineRule="auto"/>
              <w:jc w:val="center"/>
              <w:rPr>
                <w:rFonts w:ascii="Times New Roman" w:hAnsi="Times New Roman" w:cs="Times New Roman"/>
                <w:kern w:val="0"/>
                <w:sz w:val="20"/>
                <w:szCs w:val="20"/>
              </w:rPr>
            </w:pPr>
            <w:r w:rsidRPr="00871D07">
              <w:rPr>
                <w:rFonts w:ascii="Times New Roman" w:hAnsi="Times New Roman" w:cs="Times New Roman"/>
                <w:kern w:val="0"/>
                <w:sz w:val="20"/>
                <w:szCs w:val="20"/>
              </w:rPr>
              <w:t>(</w:t>
            </w:r>
            <w:r w:rsidR="00426FCD" w:rsidRPr="00871D07">
              <w:rPr>
                <w:rFonts w:ascii="Times New Roman" w:hAnsi="Times New Roman" w:cs="Times New Roman"/>
                <w:kern w:val="0"/>
                <w:sz w:val="20"/>
                <w:szCs w:val="20"/>
              </w:rPr>
              <w:t>1.100</w:t>
            </w:r>
            <w:r w:rsidRPr="00871D07">
              <w:rPr>
                <w:rFonts w:ascii="Times New Roman" w:hAnsi="Times New Roman" w:cs="Times New Roman"/>
                <w:kern w:val="0"/>
                <w:sz w:val="20"/>
                <w:szCs w:val="20"/>
              </w:rPr>
              <w:t>)</w:t>
            </w:r>
          </w:p>
        </w:tc>
        <w:tc>
          <w:tcPr>
            <w:tcW w:w="2245" w:type="dxa"/>
            <w:tcBorders>
              <w:top w:val="nil"/>
              <w:left w:val="nil"/>
              <w:bottom w:val="nil"/>
              <w:right w:val="nil"/>
            </w:tcBorders>
          </w:tcPr>
          <w:p w14:paraId="78F370F7" w14:textId="7B83C589" w:rsidR="00734A6C" w:rsidRPr="00191D56" w:rsidRDefault="00734A6C" w:rsidP="00881B1C">
            <w:pPr>
              <w:widowControl w:val="0"/>
              <w:autoSpaceDE w:val="0"/>
              <w:autoSpaceDN w:val="0"/>
              <w:adjustRightInd w:val="0"/>
              <w:spacing w:after="0" w:line="240" w:lineRule="auto"/>
              <w:jc w:val="center"/>
              <w:rPr>
                <w:rFonts w:ascii="Times New Roman" w:hAnsi="Times New Roman" w:cs="Times New Roman"/>
                <w:kern w:val="0"/>
                <w:sz w:val="20"/>
                <w:szCs w:val="20"/>
              </w:rPr>
            </w:pPr>
            <w:r w:rsidRPr="00191D56">
              <w:rPr>
                <w:rFonts w:ascii="Times New Roman" w:hAnsi="Times New Roman" w:cs="Times New Roman"/>
                <w:kern w:val="0"/>
                <w:sz w:val="20"/>
                <w:szCs w:val="20"/>
              </w:rPr>
              <w:t>(0.</w:t>
            </w:r>
            <w:r w:rsidR="00031921">
              <w:rPr>
                <w:rFonts w:ascii="Times New Roman" w:hAnsi="Times New Roman" w:cs="Times New Roman"/>
                <w:kern w:val="0"/>
                <w:sz w:val="20"/>
                <w:szCs w:val="20"/>
              </w:rPr>
              <w:t>250</w:t>
            </w:r>
            <w:r w:rsidRPr="00191D56">
              <w:rPr>
                <w:rFonts w:ascii="Times New Roman" w:hAnsi="Times New Roman" w:cs="Times New Roman"/>
                <w:kern w:val="0"/>
                <w:sz w:val="20"/>
                <w:szCs w:val="20"/>
              </w:rPr>
              <w:t>)</w:t>
            </w:r>
          </w:p>
        </w:tc>
      </w:tr>
      <w:tr w:rsidR="00734A6C" w:rsidRPr="00191D56" w14:paraId="1DA6589A" w14:textId="77777777" w:rsidTr="00871D07">
        <w:trPr>
          <w:trHeight w:val="277"/>
          <w:jc w:val="center"/>
        </w:trPr>
        <w:tc>
          <w:tcPr>
            <w:tcW w:w="4372" w:type="dxa"/>
            <w:tcBorders>
              <w:top w:val="nil"/>
              <w:left w:val="nil"/>
              <w:bottom w:val="nil"/>
              <w:right w:val="nil"/>
            </w:tcBorders>
          </w:tcPr>
          <w:p w14:paraId="2927EF01" w14:textId="77777777" w:rsidR="00734A6C" w:rsidRPr="00191D56" w:rsidRDefault="00734A6C" w:rsidP="00881B1C">
            <w:pPr>
              <w:widowControl w:val="0"/>
              <w:autoSpaceDE w:val="0"/>
              <w:autoSpaceDN w:val="0"/>
              <w:adjustRightInd w:val="0"/>
              <w:spacing w:after="0" w:line="240" w:lineRule="auto"/>
              <w:rPr>
                <w:rFonts w:ascii="Times New Roman" w:hAnsi="Times New Roman" w:cs="Times New Roman"/>
                <w:kern w:val="0"/>
                <w:sz w:val="20"/>
                <w:szCs w:val="20"/>
              </w:rPr>
            </w:pPr>
            <w:proofErr w:type="spellStart"/>
            <w:r w:rsidRPr="00191D56">
              <w:rPr>
                <w:rFonts w:ascii="Times New Roman" w:hAnsi="Times New Roman" w:cs="Times New Roman"/>
                <w:kern w:val="0"/>
                <w:sz w:val="20"/>
                <w:szCs w:val="20"/>
              </w:rPr>
              <w:t>FemaleBoard</w:t>
            </w:r>
            <w:proofErr w:type="spellEnd"/>
          </w:p>
        </w:tc>
        <w:tc>
          <w:tcPr>
            <w:tcW w:w="2743" w:type="dxa"/>
            <w:tcBorders>
              <w:top w:val="nil"/>
              <w:left w:val="nil"/>
              <w:bottom w:val="nil"/>
              <w:right w:val="nil"/>
            </w:tcBorders>
            <w:shd w:val="clear" w:color="auto" w:fill="auto"/>
          </w:tcPr>
          <w:p w14:paraId="7C08C6FC" w14:textId="797BB4A8" w:rsidR="00734A6C" w:rsidRPr="00871D07" w:rsidRDefault="00734A6C" w:rsidP="00881B1C">
            <w:pPr>
              <w:widowControl w:val="0"/>
              <w:autoSpaceDE w:val="0"/>
              <w:autoSpaceDN w:val="0"/>
              <w:adjustRightInd w:val="0"/>
              <w:spacing w:after="0" w:line="240" w:lineRule="auto"/>
              <w:jc w:val="center"/>
              <w:rPr>
                <w:rFonts w:ascii="Times New Roman" w:hAnsi="Times New Roman" w:cs="Times New Roman"/>
                <w:kern w:val="0"/>
                <w:sz w:val="20"/>
                <w:szCs w:val="20"/>
              </w:rPr>
            </w:pPr>
            <w:r w:rsidRPr="00871D07">
              <w:rPr>
                <w:rFonts w:ascii="Times New Roman" w:hAnsi="Times New Roman" w:cs="Times New Roman"/>
                <w:kern w:val="0"/>
                <w:sz w:val="20"/>
                <w:szCs w:val="20"/>
              </w:rPr>
              <w:t>0.0</w:t>
            </w:r>
            <w:r w:rsidR="00CB6AAB" w:rsidRPr="00871D07">
              <w:rPr>
                <w:rFonts w:ascii="Times New Roman" w:hAnsi="Times New Roman" w:cs="Times New Roman"/>
                <w:kern w:val="0"/>
                <w:sz w:val="20"/>
                <w:szCs w:val="20"/>
              </w:rPr>
              <w:t>15</w:t>
            </w:r>
            <w:r w:rsidRPr="00871D07">
              <w:rPr>
                <w:rFonts w:ascii="Times New Roman" w:hAnsi="Times New Roman" w:cs="Times New Roman"/>
                <w:kern w:val="0"/>
                <w:sz w:val="20"/>
                <w:szCs w:val="20"/>
              </w:rPr>
              <w:t>***</w:t>
            </w:r>
          </w:p>
        </w:tc>
        <w:tc>
          <w:tcPr>
            <w:tcW w:w="2245" w:type="dxa"/>
            <w:tcBorders>
              <w:top w:val="nil"/>
              <w:left w:val="nil"/>
              <w:bottom w:val="nil"/>
              <w:right w:val="nil"/>
            </w:tcBorders>
          </w:tcPr>
          <w:p w14:paraId="77C6B8A4" w14:textId="5CB0466D" w:rsidR="00734A6C" w:rsidRPr="00191D56" w:rsidRDefault="00734A6C" w:rsidP="00881B1C">
            <w:pPr>
              <w:widowControl w:val="0"/>
              <w:autoSpaceDE w:val="0"/>
              <w:autoSpaceDN w:val="0"/>
              <w:adjustRightInd w:val="0"/>
              <w:spacing w:after="0" w:line="240" w:lineRule="auto"/>
              <w:jc w:val="center"/>
              <w:rPr>
                <w:rFonts w:ascii="Times New Roman" w:hAnsi="Times New Roman" w:cs="Times New Roman"/>
                <w:kern w:val="0"/>
                <w:sz w:val="20"/>
                <w:szCs w:val="20"/>
              </w:rPr>
            </w:pPr>
            <w:r w:rsidRPr="00191D56">
              <w:rPr>
                <w:rFonts w:ascii="Times New Roman" w:hAnsi="Times New Roman" w:cs="Times New Roman"/>
                <w:kern w:val="0"/>
                <w:sz w:val="20"/>
                <w:szCs w:val="20"/>
              </w:rPr>
              <w:t>0.00</w:t>
            </w:r>
            <w:r w:rsidR="00611DB7">
              <w:rPr>
                <w:rFonts w:ascii="Times New Roman" w:hAnsi="Times New Roman" w:cs="Times New Roman"/>
                <w:kern w:val="0"/>
                <w:sz w:val="20"/>
                <w:szCs w:val="20"/>
              </w:rPr>
              <w:t>5</w:t>
            </w:r>
          </w:p>
        </w:tc>
      </w:tr>
      <w:tr w:rsidR="00734A6C" w:rsidRPr="00191D56" w14:paraId="4A04B6B8" w14:textId="77777777" w:rsidTr="00871D07">
        <w:trPr>
          <w:trHeight w:val="277"/>
          <w:jc w:val="center"/>
        </w:trPr>
        <w:tc>
          <w:tcPr>
            <w:tcW w:w="4372" w:type="dxa"/>
            <w:tcBorders>
              <w:top w:val="nil"/>
              <w:left w:val="nil"/>
              <w:bottom w:val="nil"/>
              <w:right w:val="nil"/>
            </w:tcBorders>
          </w:tcPr>
          <w:p w14:paraId="11A1CA83" w14:textId="77777777" w:rsidR="00734A6C" w:rsidRPr="00191D56" w:rsidRDefault="00734A6C" w:rsidP="00881B1C">
            <w:pPr>
              <w:widowControl w:val="0"/>
              <w:autoSpaceDE w:val="0"/>
              <w:autoSpaceDN w:val="0"/>
              <w:adjustRightInd w:val="0"/>
              <w:spacing w:after="0" w:line="240" w:lineRule="auto"/>
              <w:rPr>
                <w:rFonts w:ascii="Times New Roman" w:hAnsi="Times New Roman" w:cs="Times New Roman"/>
                <w:kern w:val="0"/>
                <w:sz w:val="20"/>
                <w:szCs w:val="20"/>
              </w:rPr>
            </w:pPr>
          </w:p>
        </w:tc>
        <w:tc>
          <w:tcPr>
            <w:tcW w:w="2743" w:type="dxa"/>
            <w:tcBorders>
              <w:top w:val="nil"/>
              <w:left w:val="nil"/>
              <w:bottom w:val="nil"/>
              <w:right w:val="nil"/>
            </w:tcBorders>
            <w:shd w:val="clear" w:color="auto" w:fill="auto"/>
          </w:tcPr>
          <w:p w14:paraId="06E2D0C5" w14:textId="026809DE" w:rsidR="00734A6C" w:rsidRPr="00871D07" w:rsidRDefault="00734A6C" w:rsidP="00881B1C">
            <w:pPr>
              <w:widowControl w:val="0"/>
              <w:autoSpaceDE w:val="0"/>
              <w:autoSpaceDN w:val="0"/>
              <w:adjustRightInd w:val="0"/>
              <w:spacing w:after="0" w:line="240" w:lineRule="auto"/>
              <w:jc w:val="center"/>
              <w:rPr>
                <w:rFonts w:ascii="Times New Roman" w:hAnsi="Times New Roman" w:cs="Times New Roman"/>
                <w:kern w:val="0"/>
                <w:sz w:val="20"/>
                <w:szCs w:val="20"/>
              </w:rPr>
            </w:pPr>
            <w:r w:rsidRPr="00871D07">
              <w:rPr>
                <w:rFonts w:ascii="Times New Roman" w:hAnsi="Times New Roman" w:cs="Times New Roman"/>
                <w:kern w:val="0"/>
                <w:sz w:val="20"/>
                <w:szCs w:val="20"/>
              </w:rPr>
              <w:t>(4.</w:t>
            </w:r>
            <w:r w:rsidR="00717ADD" w:rsidRPr="00871D07">
              <w:rPr>
                <w:rFonts w:ascii="Times New Roman" w:hAnsi="Times New Roman" w:cs="Times New Roman"/>
                <w:kern w:val="0"/>
                <w:sz w:val="20"/>
                <w:szCs w:val="20"/>
              </w:rPr>
              <w:t>02</w:t>
            </w:r>
            <w:r w:rsidR="00C76E85" w:rsidRPr="00871D07">
              <w:rPr>
                <w:rFonts w:ascii="Times New Roman" w:hAnsi="Times New Roman" w:cs="Times New Roman"/>
                <w:kern w:val="0"/>
                <w:sz w:val="20"/>
                <w:szCs w:val="20"/>
              </w:rPr>
              <w:t>3</w:t>
            </w:r>
            <w:r w:rsidRPr="00871D07">
              <w:rPr>
                <w:rFonts w:ascii="Times New Roman" w:hAnsi="Times New Roman" w:cs="Times New Roman"/>
                <w:kern w:val="0"/>
                <w:sz w:val="20"/>
                <w:szCs w:val="20"/>
              </w:rPr>
              <w:t>)</w:t>
            </w:r>
          </w:p>
        </w:tc>
        <w:tc>
          <w:tcPr>
            <w:tcW w:w="2245" w:type="dxa"/>
            <w:tcBorders>
              <w:top w:val="nil"/>
              <w:left w:val="nil"/>
              <w:bottom w:val="nil"/>
              <w:right w:val="nil"/>
            </w:tcBorders>
          </w:tcPr>
          <w:p w14:paraId="466FCC7D" w14:textId="7FCC2D07" w:rsidR="00734A6C" w:rsidRPr="00191D56" w:rsidRDefault="00734A6C" w:rsidP="00881B1C">
            <w:pPr>
              <w:widowControl w:val="0"/>
              <w:autoSpaceDE w:val="0"/>
              <w:autoSpaceDN w:val="0"/>
              <w:adjustRightInd w:val="0"/>
              <w:spacing w:after="0" w:line="240" w:lineRule="auto"/>
              <w:jc w:val="center"/>
              <w:rPr>
                <w:rFonts w:ascii="Times New Roman" w:hAnsi="Times New Roman" w:cs="Times New Roman"/>
                <w:kern w:val="0"/>
                <w:sz w:val="20"/>
                <w:szCs w:val="20"/>
              </w:rPr>
            </w:pPr>
            <w:r w:rsidRPr="00191D56">
              <w:rPr>
                <w:rFonts w:ascii="Times New Roman" w:hAnsi="Times New Roman" w:cs="Times New Roman"/>
                <w:kern w:val="0"/>
                <w:sz w:val="20"/>
                <w:szCs w:val="20"/>
              </w:rPr>
              <w:t>(</w:t>
            </w:r>
            <w:r w:rsidR="006D64E8">
              <w:rPr>
                <w:rFonts w:ascii="Times New Roman" w:hAnsi="Times New Roman" w:cs="Times New Roman"/>
                <w:kern w:val="0"/>
                <w:sz w:val="20"/>
                <w:szCs w:val="20"/>
              </w:rPr>
              <w:t>0.858</w:t>
            </w:r>
            <w:r w:rsidRPr="00191D56">
              <w:rPr>
                <w:rFonts w:ascii="Times New Roman" w:hAnsi="Times New Roman" w:cs="Times New Roman"/>
                <w:kern w:val="0"/>
                <w:sz w:val="20"/>
                <w:szCs w:val="20"/>
              </w:rPr>
              <w:t>)</w:t>
            </w:r>
          </w:p>
        </w:tc>
      </w:tr>
      <w:tr w:rsidR="00734A6C" w:rsidRPr="00191D56" w14:paraId="1D572DE3" w14:textId="77777777" w:rsidTr="00275240">
        <w:trPr>
          <w:trHeight w:val="277"/>
          <w:jc w:val="center"/>
        </w:trPr>
        <w:tc>
          <w:tcPr>
            <w:tcW w:w="4372" w:type="dxa"/>
            <w:tcBorders>
              <w:top w:val="nil"/>
              <w:left w:val="nil"/>
              <w:bottom w:val="nil"/>
              <w:right w:val="nil"/>
            </w:tcBorders>
          </w:tcPr>
          <w:p w14:paraId="31E28C7B" w14:textId="77777777" w:rsidR="00734A6C" w:rsidRPr="00191D56" w:rsidRDefault="00734A6C" w:rsidP="00881B1C">
            <w:pPr>
              <w:widowControl w:val="0"/>
              <w:autoSpaceDE w:val="0"/>
              <w:autoSpaceDN w:val="0"/>
              <w:adjustRightInd w:val="0"/>
              <w:spacing w:after="0" w:line="240" w:lineRule="auto"/>
              <w:rPr>
                <w:rFonts w:ascii="Times New Roman" w:hAnsi="Times New Roman" w:cs="Times New Roman"/>
                <w:kern w:val="0"/>
                <w:sz w:val="20"/>
                <w:szCs w:val="20"/>
              </w:rPr>
            </w:pPr>
            <w:proofErr w:type="spellStart"/>
            <w:r w:rsidRPr="00191D56">
              <w:rPr>
                <w:rFonts w:ascii="Times New Roman" w:hAnsi="Times New Roman" w:cs="Times New Roman"/>
                <w:kern w:val="0"/>
                <w:sz w:val="20"/>
                <w:szCs w:val="20"/>
              </w:rPr>
              <w:t>FirmGrow</w:t>
            </w:r>
            <w:proofErr w:type="spellEnd"/>
          </w:p>
        </w:tc>
        <w:tc>
          <w:tcPr>
            <w:tcW w:w="2743" w:type="dxa"/>
            <w:tcBorders>
              <w:top w:val="nil"/>
              <w:left w:val="nil"/>
              <w:bottom w:val="nil"/>
              <w:right w:val="nil"/>
            </w:tcBorders>
          </w:tcPr>
          <w:p w14:paraId="5B342A24" w14:textId="2F380822" w:rsidR="00734A6C" w:rsidRPr="00191D56" w:rsidRDefault="00734A6C" w:rsidP="00881B1C">
            <w:pPr>
              <w:widowControl w:val="0"/>
              <w:autoSpaceDE w:val="0"/>
              <w:autoSpaceDN w:val="0"/>
              <w:adjustRightInd w:val="0"/>
              <w:spacing w:after="0" w:line="240" w:lineRule="auto"/>
              <w:jc w:val="center"/>
              <w:rPr>
                <w:rFonts w:ascii="Times New Roman" w:hAnsi="Times New Roman" w:cs="Times New Roman"/>
                <w:kern w:val="0"/>
                <w:sz w:val="20"/>
                <w:szCs w:val="20"/>
              </w:rPr>
            </w:pPr>
            <w:r w:rsidRPr="00191D56">
              <w:rPr>
                <w:rFonts w:ascii="Times New Roman" w:hAnsi="Times New Roman" w:cs="Times New Roman"/>
                <w:kern w:val="0"/>
                <w:sz w:val="20"/>
                <w:szCs w:val="20"/>
              </w:rPr>
              <w:t>0.00</w:t>
            </w:r>
            <w:r w:rsidR="00995F45">
              <w:rPr>
                <w:rFonts w:ascii="Times New Roman" w:hAnsi="Times New Roman" w:cs="Times New Roman"/>
                <w:kern w:val="0"/>
                <w:sz w:val="20"/>
                <w:szCs w:val="20"/>
              </w:rPr>
              <w:t>1</w:t>
            </w:r>
            <w:r w:rsidR="00820C3D">
              <w:rPr>
                <w:rFonts w:ascii="Times New Roman" w:hAnsi="Times New Roman" w:cs="Times New Roman"/>
                <w:kern w:val="0"/>
                <w:sz w:val="20"/>
                <w:szCs w:val="20"/>
              </w:rPr>
              <w:t>***</w:t>
            </w:r>
          </w:p>
        </w:tc>
        <w:tc>
          <w:tcPr>
            <w:tcW w:w="2245" w:type="dxa"/>
            <w:tcBorders>
              <w:top w:val="nil"/>
              <w:left w:val="nil"/>
              <w:bottom w:val="nil"/>
              <w:right w:val="nil"/>
            </w:tcBorders>
          </w:tcPr>
          <w:p w14:paraId="7B4190A6" w14:textId="0403BA08" w:rsidR="00734A6C" w:rsidRPr="00191D56" w:rsidRDefault="00734A6C" w:rsidP="00881B1C">
            <w:pPr>
              <w:widowControl w:val="0"/>
              <w:autoSpaceDE w:val="0"/>
              <w:autoSpaceDN w:val="0"/>
              <w:adjustRightInd w:val="0"/>
              <w:spacing w:after="0" w:line="240" w:lineRule="auto"/>
              <w:jc w:val="center"/>
              <w:rPr>
                <w:rFonts w:ascii="Times New Roman" w:hAnsi="Times New Roman" w:cs="Times New Roman"/>
                <w:kern w:val="0"/>
                <w:sz w:val="20"/>
                <w:szCs w:val="20"/>
              </w:rPr>
            </w:pPr>
            <w:r w:rsidRPr="00191D56">
              <w:rPr>
                <w:rFonts w:ascii="Times New Roman" w:hAnsi="Times New Roman" w:cs="Times New Roman"/>
                <w:kern w:val="0"/>
                <w:sz w:val="20"/>
                <w:szCs w:val="20"/>
              </w:rPr>
              <w:t>0.00</w:t>
            </w:r>
            <w:r w:rsidR="00354252">
              <w:rPr>
                <w:rFonts w:ascii="Times New Roman" w:hAnsi="Times New Roman" w:cs="Times New Roman"/>
                <w:kern w:val="0"/>
                <w:sz w:val="20"/>
                <w:szCs w:val="20"/>
              </w:rPr>
              <w:t>0</w:t>
            </w:r>
            <w:r w:rsidR="00AF2969">
              <w:rPr>
                <w:rFonts w:ascii="Times New Roman" w:hAnsi="Times New Roman" w:cs="Times New Roman"/>
                <w:kern w:val="0"/>
                <w:sz w:val="20"/>
                <w:szCs w:val="20"/>
              </w:rPr>
              <w:t>*</w:t>
            </w:r>
            <w:r w:rsidR="00C14144">
              <w:rPr>
                <w:rFonts w:ascii="Times New Roman" w:hAnsi="Times New Roman" w:cs="Times New Roman"/>
                <w:kern w:val="0"/>
                <w:sz w:val="20"/>
                <w:szCs w:val="20"/>
              </w:rPr>
              <w:t>*</w:t>
            </w:r>
          </w:p>
        </w:tc>
      </w:tr>
      <w:tr w:rsidR="00734A6C" w:rsidRPr="00191D56" w14:paraId="4249C4EA" w14:textId="77777777" w:rsidTr="00275240">
        <w:trPr>
          <w:trHeight w:val="277"/>
          <w:jc w:val="center"/>
        </w:trPr>
        <w:tc>
          <w:tcPr>
            <w:tcW w:w="4372" w:type="dxa"/>
            <w:tcBorders>
              <w:top w:val="nil"/>
              <w:left w:val="nil"/>
              <w:bottom w:val="nil"/>
              <w:right w:val="nil"/>
            </w:tcBorders>
          </w:tcPr>
          <w:p w14:paraId="3488216D" w14:textId="77777777" w:rsidR="00734A6C" w:rsidRPr="00191D56" w:rsidRDefault="00734A6C" w:rsidP="00881B1C">
            <w:pPr>
              <w:widowControl w:val="0"/>
              <w:autoSpaceDE w:val="0"/>
              <w:autoSpaceDN w:val="0"/>
              <w:adjustRightInd w:val="0"/>
              <w:spacing w:after="0" w:line="240" w:lineRule="auto"/>
              <w:rPr>
                <w:rFonts w:ascii="Times New Roman" w:hAnsi="Times New Roman" w:cs="Times New Roman"/>
                <w:kern w:val="0"/>
                <w:sz w:val="20"/>
                <w:szCs w:val="20"/>
              </w:rPr>
            </w:pPr>
          </w:p>
        </w:tc>
        <w:tc>
          <w:tcPr>
            <w:tcW w:w="2743" w:type="dxa"/>
            <w:tcBorders>
              <w:top w:val="nil"/>
              <w:left w:val="nil"/>
              <w:bottom w:val="nil"/>
              <w:right w:val="nil"/>
            </w:tcBorders>
          </w:tcPr>
          <w:p w14:paraId="657722C5" w14:textId="66C75403" w:rsidR="00734A6C" w:rsidRPr="00191D56" w:rsidRDefault="00734A6C" w:rsidP="00881B1C">
            <w:pPr>
              <w:widowControl w:val="0"/>
              <w:autoSpaceDE w:val="0"/>
              <w:autoSpaceDN w:val="0"/>
              <w:adjustRightInd w:val="0"/>
              <w:spacing w:after="0" w:line="240" w:lineRule="auto"/>
              <w:jc w:val="center"/>
              <w:rPr>
                <w:rFonts w:ascii="Times New Roman" w:hAnsi="Times New Roman" w:cs="Times New Roman"/>
                <w:kern w:val="0"/>
                <w:sz w:val="20"/>
                <w:szCs w:val="20"/>
              </w:rPr>
            </w:pPr>
            <w:r w:rsidRPr="00191D56">
              <w:rPr>
                <w:rFonts w:ascii="Times New Roman" w:hAnsi="Times New Roman" w:cs="Times New Roman"/>
                <w:kern w:val="0"/>
                <w:sz w:val="20"/>
                <w:szCs w:val="20"/>
              </w:rPr>
              <w:t>(</w:t>
            </w:r>
            <w:r w:rsidR="00FE6146">
              <w:rPr>
                <w:rFonts w:ascii="Times New Roman" w:hAnsi="Times New Roman" w:cs="Times New Roman"/>
                <w:kern w:val="0"/>
                <w:sz w:val="20"/>
                <w:szCs w:val="20"/>
              </w:rPr>
              <w:t>4.95</w:t>
            </w:r>
            <w:r w:rsidR="00785A24">
              <w:rPr>
                <w:rFonts w:ascii="Times New Roman" w:hAnsi="Times New Roman" w:cs="Times New Roman"/>
                <w:kern w:val="0"/>
                <w:sz w:val="20"/>
                <w:szCs w:val="20"/>
              </w:rPr>
              <w:t>4</w:t>
            </w:r>
            <w:r w:rsidRPr="00191D56">
              <w:rPr>
                <w:rFonts w:ascii="Times New Roman" w:hAnsi="Times New Roman" w:cs="Times New Roman"/>
                <w:kern w:val="0"/>
                <w:sz w:val="20"/>
                <w:szCs w:val="20"/>
              </w:rPr>
              <w:t>)</w:t>
            </w:r>
          </w:p>
        </w:tc>
        <w:tc>
          <w:tcPr>
            <w:tcW w:w="2245" w:type="dxa"/>
            <w:tcBorders>
              <w:top w:val="nil"/>
              <w:left w:val="nil"/>
              <w:bottom w:val="nil"/>
              <w:right w:val="nil"/>
            </w:tcBorders>
          </w:tcPr>
          <w:p w14:paraId="267DC70B" w14:textId="1CD38D6E" w:rsidR="00734A6C" w:rsidRPr="00191D56" w:rsidRDefault="00734A6C" w:rsidP="00881B1C">
            <w:pPr>
              <w:widowControl w:val="0"/>
              <w:autoSpaceDE w:val="0"/>
              <w:autoSpaceDN w:val="0"/>
              <w:adjustRightInd w:val="0"/>
              <w:spacing w:after="0" w:line="240" w:lineRule="auto"/>
              <w:jc w:val="center"/>
              <w:rPr>
                <w:rFonts w:ascii="Times New Roman" w:hAnsi="Times New Roman" w:cs="Times New Roman"/>
                <w:kern w:val="0"/>
                <w:sz w:val="20"/>
                <w:szCs w:val="20"/>
              </w:rPr>
            </w:pPr>
            <w:r w:rsidRPr="00191D56">
              <w:rPr>
                <w:rFonts w:ascii="Times New Roman" w:hAnsi="Times New Roman" w:cs="Times New Roman"/>
                <w:kern w:val="0"/>
                <w:sz w:val="20"/>
                <w:szCs w:val="20"/>
              </w:rPr>
              <w:t>(</w:t>
            </w:r>
            <w:r w:rsidR="00E444CE">
              <w:rPr>
                <w:rFonts w:ascii="Times New Roman" w:hAnsi="Times New Roman" w:cs="Times New Roman"/>
                <w:kern w:val="0"/>
                <w:sz w:val="20"/>
                <w:szCs w:val="20"/>
              </w:rPr>
              <w:t>2.460</w:t>
            </w:r>
            <w:r w:rsidRPr="00191D56">
              <w:rPr>
                <w:rFonts w:ascii="Times New Roman" w:hAnsi="Times New Roman" w:cs="Times New Roman"/>
                <w:kern w:val="0"/>
                <w:sz w:val="20"/>
                <w:szCs w:val="20"/>
              </w:rPr>
              <w:t>)</w:t>
            </w:r>
          </w:p>
        </w:tc>
      </w:tr>
      <w:tr w:rsidR="00734A6C" w:rsidRPr="00191D56" w14:paraId="394C8B42" w14:textId="77777777" w:rsidTr="00275240">
        <w:trPr>
          <w:trHeight w:val="277"/>
          <w:jc w:val="center"/>
        </w:trPr>
        <w:tc>
          <w:tcPr>
            <w:tcW w:w="4372" w:type="dxa"/>
            <w:tcBorders>
              <w:top w:val="nil"/>
              <w:left w:val="nil"/>
              <w:bottom w:val="nil"/>
              <w:right w:val="nil"/>
            </w:tcBorders>
          </w:tcPr>
          <w:p w14:paraId="23142FA2" w14:textId="77777777" w:rsidR="00734A6C" w:rsidRPr="00191D56" w:rsidRDefault="00734A6C" w:rsidP="00881B1C">
            <w:pPr>
              <w:widowControl w:val="0"/>
              <w:autoSpaceDE w:val="0"/>
              <w:autoSpaceDN w:val="0"/>
              <w:adjustRightInd w:val="0"/>
              <w:spacing w:after="0" w:line="240" w:lineRule="auto"/>
              <w:rPr>
                <w:rFonts w:ascii="Times New Roman" w:hAnsi="Times New Roman" w:cs="Times New Roman"/>
                <w:kern w:val="0"/>
                <w:sz w:val="20"/>
                <w:szCs w:val="20"/>
              </w:rPr>
            </w:pPr>
            <w:r w:rsidRPr="00191D56">
              <w:rPr>
                <w:rFonts w:ascii="Times New Roman" w:hAnsi="Times New Roman" w:cs="Times New Roman"/>
                <w:kern w:val="0"/>
                <w:sz w:val="20"/>
                <w:szCs w:val="20"/>
              </w:rPr>
              <w:t>ROE</w:t>
            </w:r>
          </w:p>
        </w:tc>
        <w:tc>
          <w:tcPr>
            <w:tcW w:w="2743" w:type="dxa"/>
            <w:tcBorders>
              <w:top w:val="nil"/>
              <w:left w:val="nil"/>
              <w:bottom w:val="nil"/>
              <w:right w:val="nil"/>
            </w:tcBorders>
          </w:tcPr>
          <w:p w14:paraId="58741F89" w14:textId="77777777" w:rsidR="00734A6C" w:rsidRPr="00191D56" w:rsidRDefault="00734A6C" w:rsidP="00881B1C">
            <w:pPr>
              <w:widowControl w:val="0"/>
              <w:autoSpaceDE w:val="0"/>
              <w:autoSpaceDN w:val="0"/>
              <w:adjustRightInd w:val="0"/>
              <w:spacing w:after="0" w:line="240" w:lineRule="auto"/>
              <w:jc w:val="center"/>
              <w:rPr>
                <w:rFonts w:ascii="Times New Roman" w:hAnsi="Times New Roman" w:cs="Times New Roman"/>
                <w:kern w:val="0"/>
                <w:sz w:val="20"/>
                <w:szCs w:val="20"/>
              </w:rPr>
            </w:pPr>
            <w:r w:rsidRPr="00191D56">
              <w:rPr>
                <w:rFonts w:ascii="Times New Roman" w:hAnsi="Times New Roman" w:cs="Times New Roman"/>
                <w:kern w:val="0"/>
                <w:sz w:val="20"/>
                <w:szCs w:val="20"/>
              </w:rPr>
              <w:t>0.096*</w:t>
            </w:r>
          </w:p>
        </w:tc>
        <w:tc>
          <w:tcPr>
            <w:tcW w:w="2245" w:type="dxa"/>
            <w:tcBorders>
              <w:top w:val="nil"/>
              <w:left w:val="nil"/>
              <w:bottom w:val="nil"/>
              <w:right w:val="nil"/>
            </w:tcBorders>
          </w:tcPr>
          <w:p w14:paraId="79EAA1C2" w14:textId="77777777" w:rsidR="00734A6C" w:rsidRPr="00191D56" w:rsidRDefault="00734A6C" w:rsidP="00881B1C">
            <w:pPr>
              <w:widowControl w:val="0"/>
              <w:autoSpaceDE w:val="0"/>
              <w:autoSpaceDN w:val="0"/>
              <w:adjustRightInd w:val="0"/>
              <w:spacing w:after="0" w:line="240" w:lineRule="auto"/>
              <w:jc w:val="center"/>
              <w:rPr>
                <w:rFonts w:ascii="Times New Roman" w:hAnsi="Times New Roman" w:cs="Times New Roman"/>
                <w:kern w:val="0"/>
                <w:sz w:val="20"/>
                <w:szCs w:val="20"/>
              </w:rPr>
            </w:pPr>
            <w:r w:rsidRPr="00191D56">
              <w:rPr>
                <w:rFonts w:ascii="Times New Roman" w:hAnsi="Times New Roman" w:cs="Times New Roman"/>
                <w:kern w:val="0"/>
                <w:sz w:val="20"/>
                <w:szCs w:val="20"/>
              </w:rPr>
              <w:t>0.039</w:t>
            </w:r>
          </w:p>
        </w:tc>
      </w:tr>
      <w:tr w:rsidR="00734A6C" w:rsidRPr="00191D56" w14:paraId="4B52FAFB" w14:textId="77777777" w:rsidTr="00275240">
        <w:trPr>
          <w:trHeight w:val="277"/>
          <w:jc w:val="center"/>
        </w:trPr>
        <w:tc>
          <w:tcPr>
            <w:tcW w:w="4372" w:type="dxa"/>
            <w:tcBorders>
              <w:top w:val="nil"/>
              <w:left w:val="nil"/>
              <w:bottom w:val="nil"/>
              <w:right w:val="nil"/>
            </w:tcBorders>
          </w:tcPr>
          <w:p w14:paraId="48873F83" w14:textId="77777777" w:rsidR="00734A6C" w:rsidRPr="00191D56" w:rsidRDefault="00734A6C" w:rsidP="00881B1C">
            <w:pPr>
              <w:widowControl w:val="0"/>
              <w:autoSpaceDE w:val="0"/>
              <w:autoSpaceDN w:val="0"/>
              <w:adjustRightInd w:val="0"/>
              <w:spacing w:after="0" w:line="240" w:lineRule="auto"/>
              <w:rPr>
                <w:rFonts w:ascii="Times New Roman" w:hAnsi="Times New Roman" w:cs="Times New Roman"/>
                <w:kern w:val="0"/>
                <w:sz w:val="20"/>
                <w:szCs w:val="20"/>
              </w:rPr>
            </w:pPr>
          </w:p>
        </w:tc>
        <w:tc>
          <w:tcPr>
            <w:tcW w:w="2743" w:type="dxa"/>
            <w:tcBorders>
              <w:top w:val="nil"/>
              <w:left w:val="nil"/>
              <w:bottom w:val="nil"/>
              <w:right w:val="nil"/>
            </w:tcBorders>
          </w:tcPr>
          <w:p w14:paraId="079C6AF2" w14:textId="77777777" w:rsidR="00734A6C" w:rsidRPr="00191D56" w:rsidRDefault="00734A6C" w:rsidP="00881B1C">
            <w:pPr>
              <w:widowControl w:val="0"/>
              <w:autoSpaceDE w:val="0"/>
              <w:autoSpaceDN w:val="0"/>
              <w:adjustRightInd w:val="0"/>
              <w:spacing w:after="0" w:line="240" w:lineRule="auto"/>
              <w:jc w:val="center"/>
              <w:rPr>
                <w:rFonts w:ascii="Times New Roman" w:hAnsi="Times New Roman" w:cs="Times New Roman"/>
                <w:kern w:val="0"/>
                <w:sz w:val="20"/>
                <w:szCs w:val="20"/>
              </w:rPr>
            </w:pPr>
            <w:r w:rsidRPr="00191D56">
              <w:rPr>
                <w:rFonts w:ascii="Times New Roman" w:hAnsi="Times New Roman" w:cs="Times New Roman"/>
                <w:kern w:val="0"/>
                <w:sz w:val="20"/>
                <w:szCs w:val="20"/>
              </w:rPr>
              <w:t>(1.789)</w:t>
            </w:r>
          </w:p>
        </w:tc>
        <w:tc>
          <w:tcPr>
            <w:tcW w:w="2245" w:type="dxa"/>
            <w:tcBorders>
              <w:top w:val="nil"/>
              <w:left w:val="nil"/>
              <w:bottom w:val="nil"/>
              <w:right w:val="nil"/>
            </w:tcBorders>
          </w:tcPr>
          <w:p w14:paraId="16BF7E0A" w14:textId="77777777" w:rsidR="00734A6C" w:rsidRPr="00191D56" w:rsidRDefault="00734A6C" w:rsidP="00881B1C">
            <w:pPr>
              <w:widowControl w:val="0"/>
              <w:autoSpaceDE w:val="0"/>
              <w:autoSpaceDN w:val="0"/>
              <w:adjustRightInd w:val="0"/>
              <w:spacing w:after="0" w:line="240" w:lineRule="auto"/>
              <w:jc w:val="center"/>
              <w:rPr>
                <w:rFonts w:ascii="Times New Roman" w:hAnsi="Times New Roman" w:cs="Times New Roman"/>
                <w:kern w:val="0"/>
                <w:sz w:val="20"/>
                <w:szCs w:val="20"/>
              </w:rPr>
            </w:pPr>
            <w:r w:rsidRPr="00191D56">
              <w:rPr>
                <w:rFonts w:ascii="Times New Roman" w:hAnsi="Times New Roman" w:cs="Times New Roman"/>
                <w:kern w:val="0"/>
                <w:sz w:val="20"/>
                <w:szCs w:val="20"/>
              </w:rPr>
              <w:t>(1.589)</w:t>
            </w:r>
          </w:p>
        </w:tc>
      </w:tr>
      <w:tr w:rsidR="00734A6C" w:rsidRPr="00191D56" w14:paraId="7880FAC7" w14:textId="77777777" w:rsidTr="00275240">
        <w:trPr>
          <w:trHeight w:val="277"/>
          <w:jc w:val="center"/>
        </w:trPr>
        <w:tc>
          <w:tcPr>
            <w:tcW w:w="4372" w:type="dxa"/>
            <w:tcBorders>
              <w:top w:val="nil"/>
              <w:left w:val="nil"/>
              <w:bottom w:val="nil"/>
              <w:right w:val="nil"/>
            </w:tcBorders>
          </w:tcPr>
          <w:p w14:paraId="4973559C" w14:textId="77777777" w:rsidR="00734A6C" w:rsidRPr="00191D56" w:rsidRDefault="00734A6C" w:rsidP="00881B1C">
            <w:pPr>
              <w:widowControl w:val="0"/>
              <w:autoSpaceDE w:val="0"/>
              <w:autoSpaceDN w:val="0"/>
              <w:adjustRightInd w:val="0"/>
              <w:spacing w:after="0" w:line="240" w:lineRule="auto"/>
              <w:rPr>
                <w:rFonts w:ascii="Times New Roman" w:hAnsi="Times New Roman" w:cs="Times New Roman"/>
                <w:kern w:val="0"/>
                <w:sz w:val="20"/>
                <w:szCs w:val="20"/>
              </w:rPr>
            </w:pPr>
            <w:r w:rsidRPr="00191D56">
              <w:rPr>
                <w:rFonts w:ascii="Times New Roman" w:hAnsi="Times New Roman" w:cs="Times New Roman"/>
                <w:kern w:val="0"/>
                <w:sz w:val="20"/>
                <w:szCs w:val="20"/>
              </w:rPr>
              <w:t>Leverage</w:t>
            </w:r>
          </w:p>
        </w:tc>
        <w:tc>
          <w:tcPr>
            <w:tcW w:w="2743" w:type="dxa"/>
            <w:tcBorders>
              <w:top w:val="nil"/>
              <w:left w:val="nil"/>
              <w:bottom w:val="nil"/>
              <w:right w:val="nil"/>
            </w:tcBorders>
          </w:tcPr>
          <w:p w14:paraId="68A8271F" w14:textId="77777777" w:rsidR="00734A6C" w:rsidRPr="00191D56" w:rsidRDefault="00734A6C" w:rsidP="00881B1C">
            <w:pPr>
              <w:widowControl w:val="0"/>
              <w:autoSpaceDE w:val="0"/>
              <w:autoSpaceDN w:val="0"/>
              <w:adjustRightInd w:val="0"/>
              <w:spacing w:after="0" w:line="240" w:lineRule="auto"/>
              <w:jc w:val="center"/>
              <w:rPr>
                <w:rFonts w:ascii="Times New Roman" w:hAnsi="Times New Roman" w:cs="Times New Roman"/>
                <w:kern w:val="0"/>
                <w:sz w:val="20"/>
                <w:szCs w:val="20"/>
              </w:rPr>
            </w:pPr>
            <w:r w:rsidRPr="00191D56">
              <w:rPr>
                <w:rFonts w:ascii="Times New Roman" w:hAnsi="Times New Roman" w:cs="Times New Roman"/>
                <w:kern w:val="0"/>
                <w:sz w:val="20"/>
                <w:szCs w:val="20"/>
              </w:rPr>
              <w:t>0.688***</w:t>
            </w:r>
          </w:p>
        </w:tc>
        <w:tc>
          <w:tcPr>
            <w:tcW w:w="2245" w:type="dxa"/>
            <w:tcBorders>
              <w:top w:val="nil"/>
              <w:left w:val="nil"/>
              <w:bottom w:val="nil"/>
              <w:right w:val="nil"/>
            </w:tcBorders>
          </w:tcPr>
          <w:p w14:paraId="15F1CE38" w14:textId="77777777" w:rsidR="00734A6C" w:rsidRPr="00191D56" w:rsidRDefault="00734A6C" w:rsidP="00881B1C">
            <w:pPr>
              <w:widowControl w:val="0"/>
              <w:autoSpaceDE w:val="0"/>
              <w:autoSpaceDN w:val="0"/>
              <w:adjustRightInd w:val="0"/>
              <w:spacing w:after="0" w:line="240" w:lineRule="auto"/>
              <w:jc w:val="center"/>
              <w:rPr>
                <w:rFonts w:ascii="Times New Roman" w:hAnsi="Times New Roman" w:cs="Times New Roman"/>
                <w:kern w:val="0"/>
                <w:sz w:val="20"/>
                <w:szCs w:val="20"/>
              </w:rPr>
            </w:pPr>
            <w:r w:rsidRPr="00191D56">
              <w:rPr>
                <w:rFonts w:ascii="Times New Roman" w:hAnsi="Times New Roman" w:cs="Times New Roman"/>
                <w:kern w:val="0"/>
                <w:sz w:val="20"/>
                <w:szCs w:val="20"/>
              </w:rPr>
              <w:t>0.167***</w:t>
            </w:r>
          </w:p>
        </w:tc>
      </w:tr>
      <w:tr w:rsidR="00734A6C" w:rsidRPr="00191D56" w14:paraId="1D7DE9DF" w14:textId="77777777" w:rsidTr="00275240">
        <w:trPr>
          <w:trHeight w:val="277"/>
          <w:jc w:val="center"/>
        </w:trPr>
        <w:tc>
          <w:tcPr>
            <w:tcW w:w="4372" w:type="dxa"/>
            <w:tcBorders>
              <w:top w:val="nil"/>
              <w:left w:val="nil"/>
              <w:bottom w:val="nil"/>
              <w:right w:val="nil"/>
            </w:tcBorders>
          </w:tcPr>
          <w:p w14:paraId="0721AC97" w14:textId="77777777" w:rsidR="00734A6C" w:rsidRPr="00191D56" w:rsidRDefault="00734A6C" w:rsidP="00881B1C">
            <w:pPr>
              <w:widowControl w:val="0"/>
              <w:autoSpaceDE w:val="0"/>
              <w:autoSpaceDN w:val="0"/>
              <w:adjustRightInd w:val="0"/>
              <w:spacing w:after="0" w:line="240" w:lineRule="auto"/>
              <w:rPr>
                <w:rFonts w:ascii="Times New Roman" w:hAnsi="Times New Roman" w:cs="Times New Roman"/>
                <w:kern w:val="0"/>
                <w:sz w:val="20"/>
                <w:szCs w:val="20"/>
              </w:rPr>
            </w:pPr>
          </w:p>
        </w:tc>
        <w:tc>
          <w:tcPr>
            <w:tcW w:w="2743" w:type="dxa"/>
            <w:tcBorders>
              <w:top w:val="nil"/>
              <w:left w:val="nil"/>
              <w:bottom w:val="nil"/>
              <w:right w:val="nil"/>
            </w:tcBorders>
          </w:tcPr>
          <w:p w14:paraId="31E6DFEB" w14:textId="77777777" w:rsidR="00734A6C" w:rsidRPr="00191D56" w:rsidRDefault="00734A6C" w:rsidP="00881B1C">
            <w:pPr>
              <w:widowControl w:val="0"/>
              <w:autoSpaceDE w:val="0"/>
              <w:autoSpaceDN w:val="0"/>
              <w:adjustRightInd w:val="0"/>
              <w:spacing w:after="0" w:line="240" w:lineRule="auto"/>
              <w:jc w:val="center"/>
              <w:rPr>
                <w:rFonts w:ascii="Times New Roman" w:hAnsi="Times New Roman" w:cs="Times New Roman"/>
                <w:kern w:val="0"/>
                <w:sz w:val="20"/>
                <w:szCs w:val="20"/>
              </w:rPr>
            </w:pPr>
            <w:r w:rsidRPr="00191D56">
              <w:rPr>
                <w:rFonts w:ascii="Times New Roman" w:hAnsi="Times New Roman" w:cs="Times New Roman"/>
                <w:kern w:val="0"/>
                <w:sz w:val="20"/>
                <w:szCs w:val="20"/>
              </w:rPr>
              <w:t>(20.030)</w:t>
            </w:r>
          </w:p>
        </w:tc>
        <w:tc>
          <w:tcPr>
            <w:tcW w:w="2245" w:type="dxa"/>
            <w:tcBorders>
              <w:top w:val="nil"/>
              <w:left w:val="nil"/>
              <w:bottom w:val="nil"/>
              <w:right w:val="nil"/>
            </w:tcBorders>
          </w:tcPr>
          <w:p w14:paraId="012903A8" w14:textId="77777777" w:rsidR="00734A6C" w:rsidRPr="00191D56" w:rsidRDefault="00734A6C" w:rsidP="00881B1C">
            <w:pPr>
              <w:widowControl w:val="0"/>
              <w:autoSpaceDE w:val="0"/>
              <w:autoSpaceDN w:val="0"/>
              <w:adjustRightInd w:val="0"/>
              <w:spacing w:after="0" w:line="240" w:lineRule="auto"/>
              <w:jc w:val="center"/>
              <w:rPr>
                <w:rFonts w:ascii="Times New Roman" w:hAnsi="Times New Roman" w:cs="Times New Roman"/>
                <w:kern w:val="0"/>
                <w:sz w:val="20"/>
                <w:szCs w:val="20"/>
              </w:rPr>
            </w:pPr>
            <w:r w:rsidRPr="00191D56">
              <w:rPr>
                <w:rFonts w:ascii="Times New Roman" w:hAnsi="Times New Roman" w:cs="Times New Roman"/>
                <w:kern w:val="0"/>
                <w:sz w:val="20"/>
                <w:szCs w:val="20"/>
              </w:rPr>
              <w:t>(4.594)</w:t>
            </w:r>
          </w:p>
        </w:tc>
      </w:tr>
      <w:tr w:rsidR="00734A6C" w:rsidRPr="00191D56" w14:paraId="2CE025DB" w14:textId="77777777" w:rsidTr="00275240">
        <w:trPr>
          <w:trHeight w:val="277"/>
          <w:jc w:val="center"/>
        </w:trPr>
        <w:tc>
          <w:tcPr>
            <w:tcW w:w="4372" w:type="dxa"/>
            <w:tcBorders>
              <w:top w:val="nil"/>
              <w:left w:val="nil"/>
              <w:bottom w:val="nil"/>
              <w:right w:val="nil"/>
            </w:tcBorders>
          </w:tcPr>
          <w:p w14:paraId="0281DF71" w14:textId="77777777" w:rsidR="00734A6C" w:rsidRPr="00191D56" w:rsidRDefault="00734A6C" w:rsidP="00881B1C">
            <w:pPr>
              <w:widowControl w:val="0"/>
              <w:autoSpaceDE w:val="0"/>
              <w:autoSpaceDN w:val="0"/>
              <w:adjustRightInd w:val="0"/>
              <w:spacing w:after="0" w:line="240" w:lineRule="auto"/>
              <w:rPr>
                <w:rFonts w:ascii="Times New Roman" w:hAnsi="Times New Roman" w:cs="Times New Roman"/>
                <w:kern w:val="0"/>
                <w:sz w:val="20"/>
                <w:szCs w:val="20"/>
              </w:rPr>
            </w:pPr>
            <w:proofErr w:type="spellStart"/>
            <w:r w:rsidRPr="00191D56">
              <w:rPr>
                <w:rFonts w:ascii="Times New Roman" w:hAnsi="Times New Roman" w:cs="Times New Roman"/>
                <w:kern w:val="0"/>
                <w:sz w:val="20"/>
                <w:szCs w:val="20"/>
              </w:rPr>
              <w:t>FirmSize</w:t>
            </w:r>
            <w:proofErr w:type="spellEnd"/>
          </w:p>
        </w:tc>
        <w:tc>
          <w:tcPr>
            <w:tcW w:w="2743" w:type="dxa"/>
            <w:tcBorders>
              <w:top w:val="nil"/>
              <w:left w:val="nil"/>
              <w:bottom w:val="nil"/>
              <w:right w:val="nil"/>
            </w:tcBorders>
          </w:tcPr>
          <w:p w14:paraId="4B659F58" w14:textId="77777777" w:rsidR="00734A6C" w:rsidRPr="00191D56" w:rsidRDefault="00734A6C" w:rsidP="00881B1C">
            <w:pPr>
              <w:widowControl w:val="0"/>
              <w:autoSpaceDE w:val="0"/>
              <w:autoSpaceDN w:val="0"/>
              <w:adjustRightInd w:val="0"/>
              <w:spacing w:after="0" w:line="240" w:lineRule="auto"/>
              <w:jc w:val="center"/>
              <w:rPr>
                <w:rFonts w:ascii="Times New Roman" w:hAnsi="Times New Roman" w:cs="Times New Roman"/>
                <w:kern w:val="0"/>
                <w:sz w:val="20"/>
                <w:szCs w:val="20"/>
              </w:rPr>
            </w:pPr>
            <w:r w:rsidRPr="00191D56">
              <w:rPr>
                <w:rFonts w:ascii="Times New Roman" w:hAnsi="Times New Roman" w:cs="Times New Roman"/>
                <w:kern w:val="0"/>
                <w:sz w:val="20"/>
                <w:szCs w:val="20"/>
              </w:rPr>
              <w:t>0.694***</w:t>
            </w:r>
          </w:p>
        </w:tc>
        <w:tc>
          <w:tcPr>
            <w:tcW w:w="2245" w:type="dxa"/>
            <w:tcBorders>
              <w:top w:val="nil"/>
              <w:left w:val="nil"/>
              <w:bottom w:val="nil"/>
              <w:right w:val="nil"/>
            </w:tcBorders>
          </w:tcPr>
          <w:p w14:paraId="149ED864" w14:textId="77777777" w:rsidR="00734A6C" w:rsidRPr="00191D56" w:rsidRDefault="00734A6C" w:rsidP="00881B1C">
            <w:pPr>
              <w:widowControl w:val="0"/>
              <w:autoSpaceDE w:val="0"/>
              <w:autoSpaceDN w:val="0"/>
              <w:adjustRightInd w:val="0"/>
              <w:spacing w:after="0" w:line="240" w:lineRule="auto"/>
              <w:jc w:val="center"/>
              <w:rPr>
                <w:rFonts w:ascii="Times New Roman" w:hAnsi="Times New Roman" w:cs="Times New Roman"/>
                <w:kern w:val="0"/>
                <w:sz w:val="20"/>
                <w:szCs w:val="20"/>
              </w:rPr>
            </w:pPr>
            <w:r w:rsidRPr="00191D56">
              <w:rPr>
                <w:rFonts w:ascii="Times New Roman" w:hAnsi="Times New Roman" w:cs="Times New Roman"/>
                <w:kern w:val="0"/>
                <w:sz w:val="20"/>
                <w:szCs w:val="20"/>
              </w:rPr>
              <w:t>0.177***</w:t>
            </w:r>
          </w:p>
        </w:tc>
      </w:tr>
      <w:tr w:rsidR="00734A6C" w:rsidRPr="00191D56" w14:paraId="77C2D048" w14:textId="77777777" w:rsidTr="00275240">
        <w:trPr>
          <w:trHeight w:val="277"/>
          <w:jc w:val="center"/>
        </w:trPr>
        <w:tc>
          <w:tcPr>
            <w:tcW w:w="4372" w:type="dxa"/>
            <w:tcBorders>
              <w:top w:val="nil"/>
              <w:left w:val="nil"/>
              <w:bottom w:val="nil"/>
              <w:right w:val="nil"/>
            </w:tcBorders>
          </w:tcPr>
          <w:p w14:paraId="2E191EDF" w14:textId="77777777" w:rsidR="00734A6C" w:rsidRPr="00191D56" w:rsidRDefault="00734A6C" w:rsidP="00881B1C">
            <w:pPr>
              <w:widowControl w:val="0"/>
              <w:autoSpaceDE w:val="0"/>
              <w:autoSpaceDN w:val="0"/>
              <w:adjustRightInd w:val="0"/>
              <w:spacing w:after="0" w:line="240" w:lineRule="auto"/>
              <w:rPr>
                <w:rFonts w:ascii="Times New Roman" w:hAnsi="Times New Roman" w:cs="Times New Roman"/>
                <w:kern w:val="0"/>
                <w:sz w:val="20"/>
                <w:szCs w:val="20"/>
              </w:rPr>
            </w:pPr>
          </w:p>
        </w:tc>
        <w:tc>
          <w:tcPr>
            <w:tcW w:w="2743" w:type="dxa"/>
            <w:tcBorders>
              <w:top w:val="nil"/>
              <w:left w:val="nil"/>
              <w:bottom w:val="nil"/>
              <w:right w:val="nil"/>
            </w:tcBorders>
          </w:tcPr>
          <w:p w14:paraId="14C22276" w14:textId="77777777" w:rsidR="00734A6C" w:rsidRPr="00191D56" w:rsidRDefault="00734A6C" w:rsidP="00881B1C">
            <w:pPr>
              <w:widowControl w:val="0"/>
              <w:autoSpaceDE w:val="0"/>
              <w:autoSpaceDN w:val="0"/>
              <w:adjustRightInd w:val="0"/>
              <w:spacing w:after="0" w:line="240" w:lineRule="auto"/>
              <w:jc w:val="center"/>
              <w:rPr>
                <w:rFonts w:ascii="Times New Roman" w:hAnsi="Times New Roman" w:cs="Times New Roman"/>
                <w:kern w:val="0"/>
                <w:sz w:val="20"/>
                <w:szCs w:val="20"/>
              </w:rPr>
            </w:pPr>
            <w:r w:rsidRPr="00191D56">
              <w:rPr>
                <w:rFonts w:ascii="Times New Roman" w:hAnsi="Times New Roman" w:cs="Times New Roman"/>
                <w:kern w:val="0"/>
                <w:sz w:val="20"/>
                <w:szCs w:val="20"/>
              </w:rPr>
              <w:t>(17.732)</w:t>
            </w:r>
          </w:p>
        </w:tc>
        <w:tc>
          <w:tcPr>
            <w:tcW w:w="2245" w:type="dxa"/>
            <w:tcBorders>
              <w:top w:val="nil"/>
              <w:left w:val="nil"/>
              <w:bottom w:val="nil"/>
              <w:right w:val="nil"/>
            </w:tcBorders>
          </w:tcPr>
          <w:p w14:paraId="76B0CD59" w14:textId="77777777" w:rsidR="00734A6C" w:rsidRPr="00191D56" w:rsidRDefault="00734A6C" w:rsidP="00881B1C">
            <w:pPr>
              <w:widowControl w:val="0"/>
              <w:autoSpaceDE w:val="0"/>
              <w:autoSpaceDN w:val="0"/>
              <w:adjustRightInd w:val="0"/>
              <w:spacing w:after="0" w:line="240" w:lineRule="auto"/>
              <w:jc w:val="center"/>
              <w:rPr>
                <w:rFonts w:ascii="Times New Roman" w:hAnsi="Times New Roman" w:cs="Times New Roman"/>
                <w:kern w:val="0"/>
                <w:sz w:val="20"/>
                <w:szCs w:val="20"/>
              </w:rPr>
            </w:pPr>
            <w:r w:rsidRPr="00191D56">
              <w:rPr>
                <w:rFonts w:ascii="Times New Roman" w:hAnsi="Times New Roman" w:cs="Times New Roman"/>
                <w:kern w:val="0"/>
                <w:sz w:val="20"/>
                <w:szCs w:val="20"/>
              </w:rPr>
              <w:t>(3.890)</w:t>
            </w:r>
          </w:p>
        </w:tc>
      </w:tr>
      <w:tr w:rsidR="00734A6C" w:rsidRPr="00191D56" w14:paraId="095B0055" w14:textId="77777777" w:rsidTr="00275240">
        <w:trPr>
          <w:trHeight w:val="277"/>
          <w:jc w:val="center"/>
        </w:trPr>
        <w:tc>
          <w:tcPr>
            <w:tcW w:w="4372" w:type="dxa"/>
            <w:tcBorders>
              <w:top w:val="nil"/>
              <w:left w:val="nil"/>
              <w:bottom w:val="nil"/>
              <w:right w:val="nil"/>
            </w:tcBorders>
          </w:tcPr>
          <w:p w14:paraId="07BD4B3A" w14:textId="77777777" w:rsidR="00734A6C" w:rsidRPr="00191D56" w:rsidRDefault="00734A6C" w:rsidP="00881B1C">
            <w:pPr>
              <w:widowControl w:val="0"/>
              <w:autoSpaceDE w:val="0"/>
              <w:autoSpaceDN w:val="0"/>
              <w:adjustRightInd w:val="0"/>
              <w:spacing w:after="0" w:line="240" w:lineRule="auto"/>
              <w:rPr>
                <w:rFonts w:ascii="Times New Roman" w:hAnsi="Times New Roman" w:cs="Times New Roman"/>
                <w:kern w:val="0"/>
                <w:sz w:val="20"/>
                <w:szCs w:val="20"/>
              </w:rPr>
            </w:pPr>
            <w:r w:rsidRPr="00191D56">
              <w:rPr>
                <w:rFonts w:ascii="Times New Roman" w:hAnsi="Times New Roman" w:cs="Times New Roman"/>
                <w:kern w:val="0"/>
                <w:sz w:val="20"/>
                <w:szCs w:val="20"/>
              </w:rPr>
              <w:t>Constant</w:t>
            </w:r>
          </w:p>
        </w:tc>
        <w:tc>
          <w:tcPr>
            <w:tcW w:w="2743" w:type="dxa"/>
            <w:tcBorders>
              <w:top w:val="nil"/>
              <w:left w:val="nil"/>
              <w:bottom w:val="nil"/>
              <w:right w:val="nil"/>
            </w:tcBorders>
          </w:tcPr>
          <w:p w14:paraId="03FBA74C" w14:textId="77777777" w:rsidR="00734A6C" w:rsidRPr="00191D56" w:rsidRDefault="00734A6C" w:rsidP="00881B1C">
            <w:pPr>
              <w:widowControl w:val="0"/>
              <w:autoSpaceDE w:val="0"/>
              <w:autoSpaceDN w:val="0"/>
              <w:adjustRightInd w:val="0"/>
              <w:spacing w:after="0" w:line="240" w:lineRule="auto"/>
              <w:jc w:val="center"/>
              <w:rPr>
                <w:rFonts w:ascii="Times New Roman" w:hAnsi="Times New Roman" w:cs="Times New Roman"/>
                <w:kern w:val="0"/>
                <w:sz w:val="20"/>
                <w:szCs w:val="20"/>
              </w:rPr>
            </w:pPr>
            <w:r w:rsidRPr="00191D56">
              <w:rPr>
                <w:rFonts w:ascii="Times New Roman" w:hAnsi="Times New Roman" w:cs="Times New Roman"/>
                <w:kern w:val="0"/>
                <w:sz w:val="20"/>
                <w:szCs w:val="20"/>
              </w:rPr>
              <w:t>264.167</w:t>
            </w:r>
          </w:p>
        </w:tc>
        <w:tc>
          <w:tcPr>
            <w:tcW w:w="2245" w:type="dxa"/>
            <w:tcBorders>
              <w:top w:val="nil"/>
              <w:left w:val="nil"/>
              <w:bottom w:val="nil"/>
              <w:right w:val="nil"/>
            </w:tcBorders>
          </w:tcPr>
          <w:p w14:paraId="684DBD10" w14:textId="77777777" w:rsidR="00734A6C" w:rsidRPr="00191D56" w:rsidRDefault="00734A6C" w:rsidP="00881B1C">
            <w:pPr>
              <w:widowControl w:val="0"/>
              <w:autoSpaceDE w:val="0"/>
              <w:autoSpaceDN w:val="0"/>
              <w:adjustRightInd w:val="0"/>
              <w:spacing w:after="0" w:line="240" w:lineRule="auto"/>
              <w:jc w:val="center"/>
              <w:rPr>
                <w:rFonts w:ascii="Times New Roman" w:hAnsi="Times New Roman" w:cs="Times New Roman"/>
                <w:kern w:val="0"/>
                <w:sz w:val="20"/>
                <w:szCs w:val="20"/>
              </w:rPr>
            </w:pPr>
            <w:r w:rsidRPr="00191D56">
              <w:rPr>
                <w:rFonts w:ascii="Times New Roman" w:hAnsi="Times New Roman" w:cs="Times New Roman"/>
                <w:kern w:val="0"/>
                <w:sz w:val="20"/>
                <w:szCs w:val="20"/>
              </w:rPr>
              <w:t>22.223</w:t>
            </w:r>
          </w:p>
        </w:tc>
      </w:tr>
      <w:tr w:rsidR="00734A6C" w:rsidRPr="00191D56" w14:paraId="16115FA5" w14:textId="77777777" w:rsidTr="00275240">
        <w:trPr>
          <w:trHeight w:val="277"/>
          <w:jc w:val="center"/>
        </w:trPr>
        <w:tc>
          <w:tcPr>
            <w:tcW w:w="4372" w:type="dxa"/>
            <w:tcBorders>
              <w:top w:val="nil"/>
              <w:left w:val="nil"/>
              <w:bottom w:val="nil"/>
              <w:right w:val="nil"/>
            </w:tcBorders>
          </w:tcPr>
          <w:p w14:paraId="0328777A" w14:textId="77777777" w:rsidR="00734A6C" w:rsidRPr="00191D56" w:rsidRDefault="00734A6C" w:rsidP="00881B1C">
            <w:pPr>
              <w:widowControl w:val="0"/>
              <w:autoSpaceDE w:val="0"/>
              <w:autoSpaceDN w:val="0"/>
              <w:adjustRightInd w:val="0"/>
              <w:spacing w:after="0" w:line="240" w:lineRule="auto"/>
              <w:rPr>
                <w:rFonts w:ascii="Times New Roman" w:hAnsi="Times New Roman" w:cs="Times New Roman"/>
                <w:kern w:val="0"/>
                <w:sz w:val="20"/>
                <w:szCs w:val="20"/>
              </w:rPr>
            </w:pPr>
          </w:p>
        </w:tc>
        <w:tc>
          <w:tcPr>
            <w:tcW w:w="2743" w:type="dxa"/>
            <w:tcBorders>
              <w:top w:val="nil"/>
              <w:left w:val="nil"/>
              <w:bottom w:val="nil"/>
              <w:right w:val="nil"/>
            </w:tcBorders>
          </w:tcPr>
          <w:p w14:paraId="427C3872" w14:textId="77777777" w:rsidR="00734A6C" w:rsidRPr="00191D56" w:rsidRDefault="00734A6C" w:rsidP="00881B1C">
            <w:pPr>
              <w:widowControl w:val="0"/>
              <w:autoSpaceDE w:val="0"/>
              <w:autoSpaceDN w:val="0"/>
              <w:adjustRightInd w:val="0"/>
              <w:spacing w:after="0" w:line="240" w:lineRule="auto"/>
              <w:jc w:val="center"/>
              <w:rPr>
                <w:rFonts w:ascii="Times New Roman" w:hAnsi="Times New Roman" w:cs="Times New Roman"/>
                <w:kern w:val="0"/>
                <w:sz w:val="20"/>
                <w:szCs w:val="20"/>
              </w:rPr>
            </w:pPr>
            <w:r w:rsidRPr="00191D56">
              <w:rPr>
                <w:rFonts w:ascii="Times New Roman" w:hAnsi="Times New Roman" w:cs="Times New Roman"/>
                <w:kern w:val="0"/>
                <w:sz w:val="20"/>
                <w:szCs w:val="20"/>
              </w:rPr>
              <w:t>(1.576)</w:t>
            </w:r>
          </w:p>
        </w:tc>
        <w:tc>
          <w:tcPr>
            <w:tcW w:w="2245" w:type="dxa"/>
            <w:tcBorders>
              <w:top w:val="nil"/>
              <w:left w:val="nil"/>
              <w:bottom w:val="nil"/>
              <w:right w:val="nil"/>
            </w:tcBorders>
          </w:tcPr>
          <w:p w14:paraId="328E3EF1" w14:textId="77777777" w:rsidR="00734A6C" w:rsidRPr="00191D56" w:rsidRDefault="00734A6C" w:rsidP="00881B1C">
            <w:pPr>
              <w:widowControl w:val="0"/>
              <w:autoSpaceDE w:val="0"/>
              <w:autoSpaceDN w:val="0"/>
              <w:adjustRightInd w:val="0"/>
              <w:spacing w:after="0" w:line="240" w:lineRule="auto"/>
              <w:jc w:val="center"/>
              <w:rPr>
                <w:rFonts w:ascii="Times New Roman" w:hAnsi="Times New Roman" w:cs="Times New Roman"/>
                <w:kern w:val="0"/>
                <w:sz w:val="20"/>
                <w:szCs w:val="20"/>
              </w:rPr>
            </w:pPr>
            <w:r w:rsidRPr="00191D56">
              <w:rPr>
                <w:rFonts w:ascii="Times New Roman" w:hAnsi="Times New Roman" w:cs="Times New Roman"/>
                <w:kern w:val="0"/>
                <w:sz w:val="20"/>
                <w:szCs w:val="20"/>
              </w:rPr>
              <w:t>(0.092)</w:t>
            </w:r>
          </w:p>
        </w:tc>
      </w:tr>
      <w:tr w:rsidR="00734A6C" w:rsidRPr="00191D56" w14:paraId="2520EBD9" w14:textId="77777777" w:rsidTr="00275240">
        <w:trPr>
          <w:trHeight w:val="277"/>
          <w:jc w:val="center"/>
        </w:trPr>
        <w:tc>
          <w:tcPr>
            <w:tcW w:w="4372" w:type="dxa"/>
            <w:tcBorders>
              <w:top w:val="nil"/>
              <w:left w:val="nil"/>
              <w:bottom w:val="nil"/>
              <w:right w:val="nil"/>
            </w:tcBorders>
          </w:tcPr>
          <w:p w14:paraId="338F0A58" w14:textId="77777777" w:rsidR="00734A6C" w:rsidRPr="00191D56" w:rsidRDefault="00734A6C" w:rsidP="00881B1C">
            <w:pPr>
              <w:widowControl w:val="0"/>
              <w:autoSpaceDE w:val="0"/>
              <w:autoSpaceDN w:val="0"/>
              <w:adjustRightInd w:val="0"/>
              <w:spacing w:after="0" w:line="240" w:lineRule="auto"/>
              <w:rPr>
                <w:rFonts w:ascii="Times New Roman" w:hAnsi="Times New Roman" w:cs="Times New Roman"/>
                <w:kern w:val="0"/>
                <w:sz w:val="20"/>
                <w:szCs w:val="20"/>
              </w:rPr>
            </w:pPr>
            <w:r w:rsidRPr="00191D56">
              <w:rPr>
                <w:rFonts w:ascii="Times New Roman" w:hAnsi="Times New Roman" w:cs="Times New Roman"/>
                <w:kern w:val="0"/>
                <w:sz w:val="20"/>
                <w:szCs w:val="20"/>
              </w:rPr>
              <w:t>Observations</w:t>
            </w:r>
          </w:p>
        </w:tc>
        <w:tc>
          <w:tcPr>
            <w:tcW w:w="2743" w:type="dxa"/>
            <w:tcBorders>
              <w:top w:val="nil"/>
              <w:left w:val="nil"/>
              <w:bottom w:val="nil"/>
              <w:right w:val="nil"/>
            </w:tcBorders>
          </w:tcPr>
          <w:p w14:paraId="118C9DCD" w14:textId="77777777" w:rsidR="00734A6C" w:rsidRPr="00191D56" w:rsidRDefault="00734A6C" w:rsidP="00881B1C">
            <w:pPr>
              <w:widowControl w:val="0"/>
              <w:autoSpaceDE w:val="0"/>
              <w:autoSpaceDN w:val="0"/>
              <w:adjustRightInd w:val="0"/>
              <w:spacing w:after="0" w:line="240" w:lineRule="auto"/>
              <w:jc w:val="center"/>
              <w:rPr>
                <w:rFonts w:ascii="Times New Roman" w:hAnsi="Times New Roman" w:cs="Times New Roman"/>
                <w:kern w:val="0"/>
                <w:sz w:val="20"/>
                <w:szCs w:val="20"/>
              </w:rPr>
            </w:pPr>
            <w:r w:rsidRPr="00191D56">
              <w:rPr>
                <w:rFonts w:ascii="Times New Roman" w:hAnsi="Times New Roman" w:cs="Times New Roman"/>
                <w:kern w:val="0"/>
                <w:sz w:val="20"/>
                <w:szCs w:val="20"/>
              </w:rPr>
              <w:t>1,972</w:t>
            </w:r>
          </w:p>
        </w:tc>
        <w:tc>
          <w:tcPr>
            <w:tcW w:w="2245" w:type="dxa"/>
            <w:tcBorders>
              <w:top w:val="nil"/>
              <w:left w:val="nil"/>
              <w:bottom w:val="nil"/>
              <w:right w:val="nil"/>
            </w:tcBorders>
          </w:tcPr>
          <w:p w14:paraId="5A8E6E0E" w14:textId="77777777" w:rsidR="00734A6C" w:rsidRPr="00191D56" w:rsidRDefault="00734A6C" w:rsidP="00881B1C">
            <w:pPr>
              <w:widowControl w:val="0"/>
              <w:autoSpaceDE w:val="0"/>
              <w:autoSpaceDN w:val="0"/>
              <w:adjustRightInd w:val="0"/>
              <w:spacing w:after="0" w:line="240" w:lineRule="auto"/>
              <w:jc w:val="center"/>
              <w:rPr>
                <w:rFonts w:ascii="Times New Roman" w:hAnsi="Times New Roman" w:cs="Times New Roman"/>
                <w:kern w:val="0"/>
                <w:sz w:val="20"/>
                <w:szCs w:val="20"/>
              </w:rPr>
            </w:pPr>
            <w:r w:rsidRPr="00191D56">
              <w:rPr>
                <w:rFonts w:ascii="Times New Roman" w:hAnsi="Times New Roman" w:cs="Times New Roman"/>
                <w:kern w:val="0"/>
                <w:sz w:val="20"/>
                <w:szCs w:val="20"/>
              </w:rPr>
              <w:t>1,899</w:t>
            </w:r>
          </w:p>
        </w:tc>
      </w:tr>
      <w:tr w:rsidR="00734A6C" w:rsidRPr="00191D56" w14:paraId="7C8AA2A6" w14:textId="77777777" w:rsidTr="00275240">
        <w:trPr>
          <w:trHeight w:val="277"/>
          <w:jc w:val="center"/>
        </w:trPr>
        <w:tc>
          <w:tcPr>
            <w:tcW w:w="4372" w:type="dxa"/>
            <w:tcBorders>
              <w:top w:val="nil"/>
              <w:left w:val="nil"/>
              <w:bottom w:val="nil"/>
              <w:right w:val="nil"/>
            </w:tcBorders>
          </w:tcPr>
          <w:p w14:paraId="7B04B8B9" w14:textId="77777777" w:rsidR="00734A6C" w:rsidRPr="00191D56" w:rsidRDefault="00734A6C" w:rsidP="00881B1C">
            <w:pPr>
              <w:widowControl w:val="0"/>
              <w:autoSpaceDE w:val="0"/>
              <w:autoSpaceDN w:val="0"/>
              <w:adjustRightInd w:val="0"/>
              <w:spacing w:after="0" w:line="240" w:lineRule="auto"/>
              <w:rPr>
                <w:rFonts w:ascii="Times New Roman" w:hAnsi="Times New Roman" w:cs="Times New Roman"/>
                <w:kern w:val="0"/>
                <w:sz w:val="20"/>
                <w:szCs w:val="20"/>
              </w:rPr>
            </w:pPr>
            <w:r w:rsidRPr="00191D56">
              <w:rPr>
                <w:rFonts w:ascii="Times New Roman" w:hAnsi="Times New Roman" w:cs="Times New Roman"/>
                <w:kern w:val="0"/>
                <w:sz w:val="20"/>
                <w:szCs w:val="20"/>
              </w:rPr>
              <w:t>Industry effects</w:t>
            </w:r>
          </w:p>
        </w:tc>
        <w:tc>
          <w:tcPr>
            <w:tcW w:w="2743" w:type="dxa"/>
            <w:tcBorders>
              <w:top w:val="nil"/>
              <w:left w:val="nil"/>
              <w:bottom w:val="nil"/>
              <w:right w:val="nil"/>
            </w:tcBorders>
          </w:tcPr>
          <w:p w14:paraId="7F2F89B0" w14:textId="77777777" w:rsidR="00734A6C" w:rsidRPr="00191D56" w:rsidRDefault="00734A6C" w:rsidP="00881B1C">
            <w:pPr>
              <w:widowControl w:val="0"/>
              <w:autoSpaceDE w:val="0"/>
              <w:autoSpaceDN w:val="0"/>
              <w:adjustRightInd w:val="0"/>
              <w:spacing w:after="0" w:line="240" w:lineRule="auto"/>
              <w:jc w:val="center"/>
              <w:rPr>
                <w:rFonts w:ascii="Times New Roman" w:hAnsi="Times New Roman" w:cs="Times New Roman"/>
                <w:kern w:val="0"/>
                <w:sz w:val="20"/>
                <w:szCs w:val="20"/>
              </w:rPr>
            </w:pPr>
            <w:r w:rsidRPr="00191D56">
              <w:rPr>
                <w:rFonts w:ascii="Times New Roman" w:hAnsi="Times New Roman" w:cs="Times New Roman"/>
                <w:kern w:val="0"/>
                <w:sz w:val="20"/>
                <w:szCs w:val="20"/>
              </w:rPr>
              <w:t>YES</w:t>
            </w:r>
          </w:p>
        </w:tc>
        <w:tc>
          <w:tcPr>
            <w:tcW w:w="2245" w:type="dxa"/>
            <w:tcBorders>
              <w:top w:val="nil"/>
              <w:left w:val="nil"/>
              <w:bottom w:val="nil"/>
              <w:right w:val="nil"/>
            </w:tcBorders>
          </w:tcPr>
          <w:p w14:paraId="5DC22823" w14:textId="77777777" w:rsidR="00734A6C" w:rsidRPr="00191D56" w:rsidRDefault="00734A6C" w:rsidP="00881B1C">
            <w:pPr>
              <w:widowControl w:val="0"/>
              <w:autoSpaceDE w:val="0"/>
              <w:autoSpaceDN w:val="0"/>
              <w:adjustRightInd w:val="0"/>
              <w:spacing w:after="0" w:line="240" w:lineRule="auto"/>
              <w:jc w:val="center"/>
              <w:rPr>
                <w:rFonts w:ascii="Times New Roman" w:hAnsi="Times New Roman" w:cs="Times New Roman"/>
                <w:kern w:val="0"/>
                <w:sz w:val="20"/>
                <w:szCs w:val="20"/>
              </w:rPr>
            </w:pPr>
            <w:r w:rsidRPr="00191D56">
              <w:rPr>
                <w:rFonts w:ascii="Times New Roman" w:hAnsi="Times New Roman" w:cs="Times New Roman"/>
                <w:kern w:val="0"/>
                <w:sz w:val="20"/>
                <w:szCs w:val="20"/>
              </w:rPr>
              <w:t>YES</w:t>
            </w:r>
          </w:p>
        </w:tc>
      </w:tr>
      <w:tr w:rsidR="00734A6C" w:rsidRPr="00191D56" w14:paraId="5301C69C" w14:textId="77777777" w:rsidTr="00275240">
        <w:trPr>
          <w:trHeight w:val="277"/>
          <w:jc w:val="center"/>
        </w:trPr>
        <w:tc>
          <w:tcPr>
            <w:tcW w:w="4372" w:type="dxa"/>
            <w:tcBorders>
              <w:top w:val="nil"/>
              <w:left w:val="nil"/>
              <w:bottom w:val="nil"/>
              <w:right w:val="nil"/>
            </w:tcBorders>
          </w:tcPr>
          <w:p w14:paraId="6D8EB5A2" w14:textId="77777777" w:rsidR="00734A6C" w:rsidRPr="00191D56" w:rsidRDefault="00734A6C" w:rsidP="00881B1C">
            <w:pPr>
              <w:widowControl w:val="0"/>
              <w:autoSpaceDE w:val="0"/>
              <w:autoSpaceDN w:val="0"/>
              <w:adjustRightInd w:val="0"/>
              <w:spacing w:after="0" w:line="240" w:lineRule="auto"/>
              <w:rPr>
                <w:rFonts w:ascii="Times New Roman" w:hAnsi="Times New Roman" w:cs="Times New Roman"/>
                <w:kern w:val="0"/>
                <w:sz w:val="20"/>
                <w:szCs w:val="20"/>
              </w:rPr>
            </w:pPr>
            <w:r w:rsidRPr="00191D56">
              <w:rPr>
                <w:rFonts w:ascii="Times New Roman" w:hAnsi="Times New Roman" w:cs="Times New Roman"/>
                <w:kern w:val="0"/>
                <w:sz w:val="20"/>
                <w:szCs w:val="20"/>
              </w:rPr>
              <w:t>Year effects</w:t>
            </w:r>
          </w:p>
        </w:tc>
        <w:tc>
          <w:tcPr>
            <w:tcW w:w="2743" w:type="dxa"/>
            <w:tcBorders>
              <w:top w:val="nil"/>
              <w:left w:val="nil"/>
              <w:bottom w:val="nil"/>
              <w:right w:val="nil"/>
            </w:tcBorders>
          </w:tcPr>
          <w:p w14:paraId="16DB0775" w14:textId="77777777" w:rsidR="00734A6C" w:rsidRPr="00191D56" w:rsidRDefault="00734A6C" w:rsidP="00881B1C">
            <w:pPr>
              <w:widowControl w:val="0"/>
              <w:autoSpaceDE w:val="0"/>
              <w:autoSpaceDN w:val="0"/>
              <w:adjustRightInd w:val="0"/>
              <w:spacing w:after="0" w:line="240" w:lineRule="auto"/>
              <w:jc w:val="center"/>
              <w:rPr>
                <w:rFonts w:ascii="Times New Roman" w:hAnsi="Times New Roman" w:cs="Times New Roman"/>
                <w:kern w:val="0"/>
                <w:sz w:val="20"/>
                <w:szCs w:val="20"/>
              </w:rPr>
            </w:pPr>
            <w:r w:rsidRPr="00191D56">
              <w:rPr>
                <w:rFonts w:ascii="Times New Roman" w:hAnsi="Times New Roman" w:cs="Times New Roman"/>
                <w:kern w:val="0"/>
                <w:sz w:val="20"/>
                <w:szCs w:val="20"/>
              </w:rPr>
              <w:t>YES</w:t>
            </w:r>
          </w:p>
        </w:tc>
        <w:tc>
          <w:tcPr>
            <w:tcW w:w="2245" w:type="dxa"/>
            <w:tcBorders>
              <w:top w:val="nil"/>
              <w:left w:val="nil"/>
              <w:bottom w:val="nil"/>
              <w:right w:val="nil"/>
            </w:tcBorders>
          </w:tcPr>
          <w:p w14:paraId="6BB9D3DD" w14:textId="77777777" w:rsidR="00734A6C" w:rsidRPr="00191D56" w:rsidRDefault="00734A6C" w:rsidP="00881B1C">
            <w:pPr>
              <w:widowControl w:val="0"/>
              <w:autoSpaceDE w:val="0"/>
              <w:autoSpaceDN w:val="0"/>
              <w:adjustRightInd w:val="0"/>
              <w:spacing w:after="0" w:line="240" w:lineRule="auto"/>
              <w:jc w:val="center"/>
              <w:rPr>
                <w:rFonts w:ascii="Times New Roman" w:hAnsi="Times New Roman" w:cs="Times New Roman"/>
                <w:kern w:val="0"/>
                <w:sz w:val="20"/>
                <w:szCs w:val="20"/>
              </w:rPr>
            </w:pPr>
            <w:r w:rsidRPr="00191D56">
              <w:rPr>
                <w:rFonts w:ascii="Times New Roman" w:hAnsi="Times New Roman" w:cs="Times New Roman"/>
                <w:kern w:val="0"/>
                <w:sz w:val="20"/>
                <w:szCs w:val="20"/>
              </w:rPr>
              <w:t>YES</w:t>
            </w:r>
          </w:p>
        </w:tc>
      </w:tr>
      <w:tr w:rsidR="00734A6C" w:rsidRPr="00191D56" w14:paraId="2B6113B1" w14:textId="77777777" w:rsidTr="00275240">
        <w:trPr>
          <w:trHeight w:val="277"/>
          <w:jc w:val="center"/>
        </w:trPr>
        <w:tc>
          <w:tcPr>
            <w:tcW w:w="4372" w:type="dxa"/>
            <w:tcBorders>
              <w:top w:val="nil"/>
              <w:left w:val="nil"/>
              <w:bottom w:val="nil"/>
              <w:right w:val="nil"/>
            </w:tcBorders>
          </w:tcPr>
          <w:p w14:paraId="062D3C4C" w14:textId="5B5EE994" w:rsidR="00734A6C" w:rsidRPr="00191D56" w:rsidRDefault="00734A6C" w:rsidP="00881B1C">
            <w:pPr>
              <w:widowControl w:val="0"/>
              <w:autoSpaceDE w:val="0"/>
              <w:autoSpaceDN w:val="0"/>
              <w:adjustRightInd w:val="0"/>
              <w:spacing w:after="0" w:line="240" w:lineRule="auto"/>
              <w:rPr>
                <w:rFonts w:ascii="Times New Roman" w:hAnsi="Times New Roman" w:cs="Times New Roman"/>
                <w:kern w:val="0"/>
                <w:sz w:val="20"/>
                <w:szCs w:val="20"/>
              </w:rPr>
            </w:pPr>
            <w:r w:rsidRPr="00191D56">
              <w:rPr>
                <w:rFonts w:ascii="Times New Roman" w:hAnsi="Times New Roman" w:cs="Times New Roman"/>
                <w:kern w:val="0"/>
                <w:sz w:val="20"/>
                <w:szCs w:val="20"/>
              </w:rPr>
              <w:t>R</w:t>
            </w:r>
            <w:r w:rsidRPr="00191D56">
              <w:rPr>
                <w:rFonts w:ascii="Times New Roman" w:hAnsi="Times New Roman" w:cs="Times New Roman"/>
                <w:kern w:val="0"/>
                <w:sz w:val="20"/>
                <w:szCs w:val="20"/>
                <w:vertAlign w:val="superscript"/>
              </w:rPr>
              <w:t>2</w:t>
            </w:r>
          </w:p>
        </w:tc>
        <w:tc>
          <w:tcPr>
            <w:tcW w:w="2743" w:type="dxa"/>
            <w:tcBorders>
              <w:top w:val="nil"/>
              <w:left w:val="nil"/>
              <w:bottom w:val="nil"/>
              <w:right w:val="nil"/>
            </w:tcBorders>
          </w:tcPr>
          <w:p w14:paraId="106ED91F" w14:textId="77777777" w:rsidR="00734A6C" w:rsidRPr="00191D56" w:rsidRDefault="00734A6C" w:rsidP="00881B1C">
            <w:pPr>
              <w:widowControl w:val="0"/>
              <w:autoSpaceDE w:val="0"/>
              <w:autoSpaceDN w:val="0"/>
              <w:adjustRightInd w:val="0"/>
              <w:spacing w:after="0" w:line="240" w:lineRule="auto"/>
              <w:jc w:val="center"/>
              <w:rPr>
                <w:rFonts w:ascii="Times New Roman" w:hAnsi="Times New Roman" w:cs="Times New Roman"/>
                <w:kern w:val="0"/>
                <w:sz w:val="20"/>
                <w:szCs w:val="20"/>
              </w:rPr>
            </w:pPr>
            <w:r w:rsidRPr="00191D56">
              <w:rPr>
                <w:rFonts w:ascii="Times New Roman" w:hAnsi="Times New Roman" w:cs="Times New Roman"/>
                <w:kern w:val="0"/>
                <w:sz w:val="20"/>
                <w:szCs w:val="20"/>
              </w:rPr>
              <w:t>0.767</w:t>
            </w:r>
          </w:p>
        </w:tc>
        <w:tc>
          <w:tcPr>
            <w:tcW w:w="2245" w:type="dxa"/>
            <w:tcBorders>
              <w:top w:val="nil"/>
              <w:left w:val="nil"/>
              <w:bottom w:val="nil"/>
              <w:right w:val="nil"/>
            </w:tcBorders>
          </w:tcPr>
          <w:p w14:paraId="078C45DE" w14:textId="1516746B" w:rsidR="00734A6C" w:rsidRPr="00191D56" w:rsidRDefault="00734A6C" w:rsidP="00881B1C">
            <w:pPr>
              <w:widowControl w:val="0"/>
              <w:autoSpaceDE w:val="0"/>
              <w:autoSpaceDN w:val="0"/>
              <w:adjustRightInd w:val="0"/>
              <w:spacing w:after="0" w:line="240" w:lineRule="auto"/>
              <w:jc w:val="center"/>
              <w:rPr>
                <w:rFonts w:ascii="Times New Roman" w:hAnsi="Times New Roman" w:cs="Times New Roman"/>
                <w:kern w:val="0"/>
                <w:sz w:val="20"/>
                <w:szCs w:val="20"/>
              </w:rPr>
            </w:pPr>
            <w:r w:rsidRPr="00191D56">
              <w:rPr>
                <w:rFonts w:ascii="Times New Roman" w:hAnsi="Times New Roman" w:cs="Times New Roman"/>
                <w:kern w:val="0"/>
                <w:sz w:val="20"/>
                <w:szCs w:val="20"/>
              </w:rPr>
              <w:t>0.27</w:t>
            </w:r>
            <w:r w:rsidR="003C2563">
              <w:rPr>
                <w:rFonts w:ascii="Times New Roman" w:hAnsi="Times New Roman" w:cs="Times New Roman"/>
                <w:kern w:val="0"/>
                <w:sz w:val="20"/>
                <w:szCs w:val="20"/>
              </w:rPr>
              <w:t>7</w:t>
            </w:r>
          </w:p>
        </w:tc>
      </w:tr>
      <w:tr w:rsidR="00123456" w:rsidRPr="00191D56" w14:paraId="25668F1F" w14:textId="77777777" w:rsidTr="00275240">
        <w:trPr>
          <w:trHeight w:val="277"/>
          <w:jc w:val="center"/>
        </w:trPr>
        <w:tc>
          <w:tcPr>
            <w:tcW w:w="4372" w:type="dxa"/>
            <w:tcBorders>
              <w:top w:val="nil"/>
              <w:left w:val="nil"/>
              <w:bottom w:val="nil"/>
              <w:right w:val="nil"/>
            </w:tcBorders>
          </w:tcPr>
          <w:p w14:paraId="3AE1BFD7" w14:textId="43256B73" w:rsidR="00123456" w:rsidRPr="00191D56" w:rsidRDefault="00123456" w:rsidP="00881B1C">
            <w:pPr>
              <w:widowControl w:val="0"/>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F-test</w:t>
            </w:r>
          </w:p>
        </w:tc>
        <w:tc>
          <w:tcPr>
            <w:tcW w:w="2743" w:type="dxa"/>
            <w:tcBorders>
              <w:top w:val="nil"/>
              <w:left w:val="nil"/>
              <w:bottom w:val="nil"/>
              <w:right w:val="nil"/>
            </w:tcBorders>
          </w:tcPr>
          <w:p w14:paraId="01897BD8" w14:textId="0C065BCC" w:rsidR="00123456" w:rsidRPr="00191D56" w:rsidRDefault="00123456" w:rsidP="00881B1C">
            <w:pPr>
              <w:widowControl w:val="0"/>
              <w:autoSpaceDE w:val="0"/>
              <w:autoSpaceDN w:val="0"/>
              <w:adjustRightInd w:val="0"/>
              <w:spacing w:after="0" w:line="240" w:lineRule="auto"/>
              <w:jc w:val="center"/>
              <w:rPr>
                <w:rFonts w:ascii="Times New Roman" w:hAnsi="Times New Roman" w:cs="Times New Roman"/>
                <w:kern w:val="0"/>
                <w:sz w:val="20"/>
                <w:szCs w:val="20"/>
              </w:rPr>
            </w:pPr>
            <w:r w:rsidRPr="00123456">
              <w:rPr>
                <w:rFonts w:ascii="Times New Roman" w:hAnsi="Times New Roman" w:cs="Times New Roman"/>
                <w:kern w:val="0"/>
                <w:sz w:val="20"/>
                <w:szCs w:val="20"/>
              </w:rPr>
              <w:t>57143.13</w:t>
            </w:r>
            <w:r>
              <w:rPr>
                <w:rFonts w:ascii="Times New Roman" w:hAnsi="Times New Roman" w:cs="Times New Roman"/>
                <w:kern w:val="0"/>
                <w:sz w:val="20"/>
                <w:szCs w:val="20"/>
              </w:rPr>
              <w:t>***</w:t>
            </w:r>
          </w:p>
        </w:tc>
        <w:tc>
          <w:tcPr>
            <w:tcW w:w="2245" w:type="dxa"/>
            <w:tcBorders>
              <w:top w:val="nil"/>
              <w:left w:val="nil"/>
              <w:bottom w:val="nil"/>
              <w:right w:val="nil"/>
            </w:tcBorders>
          </w:tcPr>
          <w:p w14:paraId="1260C4B2" w14:textId="2A7E1442" w:rsidR="00123456" w:rsidRPr="00191D56" w:rsidRDefault="003C2563" w:rsidP="00881B1C">
            <w:pPr>
              <w:widowControl w:val="0"/>
              <w:autoSpaceDE w:val="0"/>
              <w:autoSpaceDN w:val="0"/>
              <w:adjustRightInd w:val="0"/>
              <w:spacing w:after="0" w:line="240" w:lineRule="auto"/>
              <w:jc w:val="center"/>
              <w:rPr>
                <w:rFonts w:ascii="Times New Roman" w:hAnsi="Times New Roman" w:cs="Times New Roman"/>
                <w:kern w:val="0"/>
                <w:sz w:val="20"/>
                <w:szCs w:val="20"/>
              </w:rPr>
            </w:pPr>
            <w:r w:rsidRPr="003C2563">
              <w:rPr>
                <w:rFonts w:ascii="Times New Roman" w:hAnsi="Times New Roman" w:cs="Times New Roman"/>
                <w:kern w:val="0"/>
                <w:sz w:val="20"/>
                <w:szCs w:val="20"/>
              </w:rPr>
              <w:t xml:space="preserve"> 6.8e+09</w:t>
            </w:r>
            <w:r>
              <w:rPr>
                <w:rFonts w:ascii="Times New Roman" w:hAnsi="Times New Roman" w:cs="Times New Roman"/>
                <w:kern w:val="0"/>
                <w:sz w:val="20"/>
                <w:szCs w:val="20"/>
              </w:rPr>
              <w:t>***</w:t>
            </w:r>
          </w:p>
        </w:tc>
      </w:tr>
      <w:tr w:rsidR="00734A6C" w:rsidRPr="00191D56" w14:paraId="625BEB22" w14:textId="77777777" w:rsidTr="00275240">
        <w:tblPrEx>
          <w:tblBorders>
            <w:bottom w:val="single" w:sz="6" w:space="0" w:color="auto"/>
          </w:tblBorders>
        </w:tblPrEx>
        <w:trPr>
          <w:trHeight w:val="289"/>
          <w:jc w:val="center"/>
        </w:trPr>
        <w:tc>
          <w:tcPr>
            <w:tcW w:w="9360" w:type="dxa"/>
            <w:gridSpan w:val="3"/>
            <w:tcBorders>
              <w:top w:val="single" w:sz="4" w:space="0" w:color="auto"/>
              <w:left w:val="nil"/>
              <w:bottom w:val="nil"/>
              <w:right w:val="nil"/>
            </w:tcBorders>
          </w:tcPr>
          <w:p w14:paraId="7CF7C16F" w14:textId="77777777" w:rsidR="00734A6C" w:rsidRPr="00191D56" w:rsidRDefault="00734A6C" w:rsidP="00881B1C">
            <w:pPr>
              <w:widowControl w:val="0"/>
              <w:autoSpaceDE w:val="0"/>
              <w:autoSpaceDN w:val="0"/>
              <w:adjustRightInd w:val="0"/>
              <w:spacing w:after="0" w:line="240" w:lineRule="auto"/>
              <w:jc w:val="both"/>
              <w:rPr>
                <w:rFonts w:ascii="Times New Roman" w:hAnsi="Times New Roman" w:cs="Times New Roman"/>
                <w:kern w:val="0"/>
                <w:sz w:val="20"/>
                <w:szCs w:val="20"/>
              </w:rPr>
            </w:pPr>
            <w:r w:rsidRPr="00191D56">
              <w:rPr>
                <w:rFonts w:ascii="Times New Roman" w:hAnsi="Times New Roman" w:cs="Times New Roman"/>
                <w:kern w:val="0"/>
                <w:sz w:val="20"/>
                <w:szCs w:val="20"/>
              </w:rPr>
              <w:t>Table 1 defines the variables. Standard errors are clustered at firm-level. t-statistics in parentheses. *** p&lt;0.01, ** p&lt;0.05, * p&lt;0.1</w:t>
            </w:r>
          </w:p>
          <w:p w14:paraId="47C4C239" w14:textId="77777777" w:rsidR="00734A6C" w:rsidRPr="00191D56" w:rsidRDefault="00734A6C" w:rsidP="00881B1C">
            <w:pPr>
              <w:widowControl w:val="0"/>
              <w:autoSpaceDE w:val="0"/>
              <w:autoSpaceDN w:val="0"/>
              <w:adjustRightInd w:val="0"/>
              <w:spacing w:after="0" w:line="240" w:lineRule="auto"/>
              <w:rPr>
                <w:rFonts w:ascii="Times New Roman" w:hAnsi="Times New Roman" w:cs="Times New Roman"/>
                <w:kern w:val="0"/>
                <w:sz w:val="20"/>
                <w:szCs w:val="20"/>
              </w:rPr>
            </w:pPr>
          </w:p>
        </w:tc>
      </w:tr>
    </w:tbl>
    <w:p w14:paraId="752733F3" w14:textId="77777777" w:rsidR="00734A6C" w:rsidRDefault="00734A6C" w:rsidP="000367C5">
      <w:pPr>
        <w:spacing w:line="480" w:lineRule="auto"/>
        <w:jc w:val="both"/>
        <w:rPr>
          <w:rFonts w:ascii="Times New Roman" w:hAnsi="Times New Roman" w:cs="Times New Roman"/>
          <w:sz w:val="24"/>
          <w:szCs w:val="24"/>
        </w:rPr>
      </w:pPr>
    </w:p>
    <w:p w14:paraId="3EFD5E56" w14:textId="77777777" w:rsidR="00347F47" w:rsidRDefault="00347F47" w:rsidP="000367C5">
      <w:pPr>
        <w:spacing w:line="480" w:lineRule="auto"/>
        <w:jc w:val="both"/>
        <w:rPr>
          <w:rFonts w:ascii="Times New Roman" w:hAnsi="Times New Roman" w:cs="Times New Roman"/>
          <w:sz w:val="24"/>
          <w:szCs w:val="24"/>
        </w:rPr>
      </w:pPr>
    </w:p>
    <w:p w14:paraId="6CEE95BA" w14:textId="77777777" w:rsidR="00347F47" w:rsidRDefault="00347F47" w:rsidP="000367C5">
      <w:pPr>
        <w:spacing w:line="480" w:lineRule="auto"/>
        <w:jc w:val="both"/>
        <w:rPr>
          <w:rFonts w:ascii="Times New Roman" w:hAnsi="Times New Roman" w:cs="Times New Roman"/>
          <w:sz w:val="24"/>
          <w:szCs w:val="24"/>
        </w:rPr>
      </w:pPr>
    </w:p>
    <w:p w14:paraId="5E04999C" w14:textId="77777777" w:rsidR="00347F47" w:rsidRDefault="00347F47" w:rsidP="000367C5">
      <w:pPr>
        <w:spacing w:line="480" w:lineRule="auto"/>
        <w:jc w:val="both"/>
        <w:rPr>
          <w:rFonts w:ascii="Times New Roman" w:hAnsi="Times New Roman" w:cs="Times New Roman"/>
          <w:sz w:val="24"/>
          <w:szCs w:val="24"/>
        </w:rPr>
      </w:pPr>
    </w:p>
    <w:tbl>
      <w:tblPr>
        <w:tblpPr w:leftFromText="180" w:rightFromText="180" w:tblpY="-516"/>
        <w:tblW w:w="8797" w:type="dxa"/>
        <w:tblLook w:val="04A0" w:firstRow="1" w:lastRow="0" w:firstColumn="1" w:lastColumn="0" w:noHBand="0" w:noVBand="1"/>
      </w:tblPr>
      <w:tblGrid>
        <w:gridCol w:w="8797"/>
      </w:tblGrid>
      <w:tr w:rsidR="00347F47" w:rsidRPr="002857B0" w14:paraId="2F1D8433" w14:textId="77777777" w:rsidTr="002857B0">
        <w:trPr>
          <w:trHeight w:val="306"/>
        </w:trPr>
        <w:tc>
          <w:tcPr>
            <w:tcW w:w="8797" w:type="dxa"/>
            <w:tcBorders>
              <w:top w:val="nil"/>
              <w:left w:val="nil"/>
              <w:bottom w:val="single" w:sz="4" w:space="0" w:color="auto"/>
            </w:tcBorders>
            <w:shd w:val="clear" w:color="auto" w:fill="auto"/>
            <w:noWrap/>
            <w:vAlign w:val="bottom"/>
            <w:hideMark/>
          </w:tcPr>
          <w:p w14:paraId="0E31FF58" w14:textId="548A720A" w:rsidR="00347F47" w:rsidRPr="002857B0" w:rsidRDefault="00347F47" w:rsidP="002857B0">
            <w:pPr>
              <w:spacing w:after="0" w:line="240" w:lineRule="auto"/>
              <w:rPr>
                <w:rFonts w:ascii="Times New Roman" w:eastAsia="Times New Roman" w:hAnsi="Times New Roman" w:cs="Times New Roman"/>
                <w:b/>
                <w:bCs/>
                <w:color w:val="000000"/>
                <w:kern w:val="0"/>
                <w14:ligatures w14:val="none"/>
              </w:rPr>
            </w:pPr>
            <w:r w:rsidRPr="002857B0">
              <w:rPr>
                <w:rFonts w:ascii="Times New Roman" w:eastAsia="Times New Roman" w:hAnsi="Times New Roman" w:cs="Times New Roman"/>
                <w:b/>
                <w:bCs/>
                <w:color w:val="000000"/>
                <w:kern w:val="0"/>
                <w14:ligatures w14:val="none"/>
              </w:rPr>
              <w:lastRenderedPageBreak/>
              <w:t>Appendix 1 (List of countries in the sample)</w:t>
            </w:r>
          </w:p>
        </w:tc>
      </w:tr>
      <w:tr w:rsidR="00347F47" w:rsidRPr="002857B0" w14:paraId="3D12DDAA" w14:textId="77777777" w:rsidTr="002857B0">
        <w:trPr>
          <w:trHeight w:val="306"/>
        </w:trPr>
        <w:tc>
          <w:tcPr>
            <w:tcW w:w="8797" w:type="dxa"/>
            <w:tcBorders>
              <w:top w:val="nil"/>
              <w:left w:val="nil"/>
              <w:bottom w:val="nil"/>
              <w:right w:val="nil"/>
            </w:tcBorders>
            <w:shd w:val="clear" w:color="auto" w:fill="auto"/>
            <w:noWrap/>
            <w:vAlign w:val="bottom"/>
            <w:hideMark/>
          </w:tcPr>
          <w:p w14:paraId="1A6558F8" w14:textId="77777777" w:rsidR="00347F47" w:rsidRPr="002857B0" w:rsidRDefault="00347F47" w:rsidP="002857B0">
            <w:pPr>
              <w:spacing w:after="0" w:line="240" w:lineRule="auto"/>
              <w:rPr>
                <w:rFonts w:ascii="Times New Roman" w:eastAsia="Times New Roman" w:hAnsi="Times New Roman" w:cs="Times New Roman"/>
                <w:color w:val="000000"/>
                <w:kern w:val="0"/>
                <w14:ligatures w14:val="none"/>
              </w:rPr>
            </w:pPr>
            <w:r w:rsidRPr="002857B0">
              <w:rPr>
                <w:rFonts w:ascii="Times New Roman" w:eastAsia="Times New Roman" w:hAnsi="Times New Roman" w:cs="Times New Roman"/>
                <w:color w:val="000000"/>
                <w:kern w:val="0"/>
                <w14:ligatures w14:val="none"/>
              </w:rPr>
              <w:t>Argentina</w:t>
            </w:r>
          </w:p>
        </w:tc>
      </w:tr>
      <w:tr w:rsidR="00347F47" w:rsidRPr="002857B0" w14:paraId="68EDB2B2" w14:textId="77777777" w:rsidTr="002857B0">
        <w:trPr>
          <w:trHeight w:val="306"/>
        </w:trPr>
        <w:tc>
          <w:tcPr>
            <w:tcW w:w="8797" w:type="dxa"/>
            <w:tcBorders>
              <w:top w:val="nil"/>
              <w:left w:val="nil"/>
              <w:bottom w:val="nil"/>
              <w:right w:val="nil"/>
            </w:tcBorders>
            <w:shd w:val="clear" w:color="auto" w:fill="auto"/>
            <w:noWrap/>
            <w:vAlign w:val="bottom"/>
            <w:hideMark/>
          </w:tcPr>
          <w:p w14:paraId="17CE85BF" w14:textId="77777777" w:rsidR="00347F47" w:rsidRPr="002857B0" w:rsidRDefault="00347F47" w:rsidP="002857B0">
            <w:pPr>
              <w:spacing w:after="0" w:line="240" w:lineRule="auto"/>
              <w:rPr>
                <w:rFonts w:ascii="Times New Roman" w:eastAsia="Times New Roman" w:hAnsi="Times New Roman" w:cs="Times New Roman"/>
                <w:color w:val="000000"/>
                <w:kern w:val="0"/>
                <w14:ligatures w14:val="none"/>
              </w:rPr>
            </w:pPr>
            <w:r w:rsidRPr="002857B0">
              <w:rPr>
                <w:rFonts w:ascii="Times New Roman" w:eastAsia="Times New Roman" w:hAnsi="Times New Roman" w:cs="Times New Roman"/>
                <w:color w:val="000000"/>
                <w:kern w:val="0"/>
                <w14:ligatures w14:val="none"/>
              </w:rPr>
              <w:t>Australia</w:t>
            </w:r>
          </w:p>
        </w:tc>
      </w:tr>
      <w:tr w:rsidR="00347F47" w:rsidRPr="002857B0" w14:paraId="07BD44C0" w14:textId="77777777" w:rsidTr="002857B0">
        <w:trPr>
          <w:trHeight w:val="306"/>
        </w:trPr>
        <w:tc>
          <w:tcPr>
            <w:tcW w:w="8797" w:type="dxa"/>
            <w:tcBorders>
              <w:top w:val="nil"/>
              <w:left w:val="nil"/>
              <w:bottom w:val="nil"/>
              <w:right w:val="nil"/>
            </w:tcBorders>
            <w:shd w:val="clear" w:color="auto" w:fill="auto"/>
            <w:noWrap/>
            <w:vAlign w:val="bottom"/>
            <w:hideMark/>
          </w:tcPr>
          <w:p w14:paraId="01ED4D5B" w14:textId="77777777" w:rsidR="00347F47" w:rsidRPr="002857B0" w:rsidRDefault="00347F47" w:rsidP="002857B0">
            <w:pPr>
              <w:spacing w:after="0" w:line="240" w:lineRule="auto"/>
              <w:rPr>
                <w:rFonts w:ascii="Times New Roman" w:eastAsia="Times New Roman" w:hAnsi="Times New Roman" w:cs="Times New Roman"/>
                <w:color w:val="000000"/>
                <w:kern w:val="0"/>
                <w14:ligatures w14:val="none"/>
              </w:rPr>
            </w:pPr>
            <w:r w:rsidRPr="002857B0">
              <w:rPr>
                <w:rFonts w:ascii="Times New Roman" w:eastAsia="Times New Roman" w:hAnsi="Times New Roman" w:cs="Times New Roman"/>
                <w:color w:val="000000"/>
                <w:kern w:val="0"/>
                <w14:ligatures w14:val="none"/>
              </w:rPr>
              <w:t>Austria</w:t>
            </w:r>
          </w:p>
        </w:tc>
      </w:tr>
      <w:tr w:rsidR="00347F47" w:rsidRPr="002857B0" w14:paraId="29CBAB2E" w14:textId="77777777" w:rsidTr="002857B0">
        <w:trPr>
          <w:trHeight w:val="306"/>
        </w:trPr>
        <w:tc>
          <w:tcPr>
            <w:tcW w:w="8797" w:type="dxa"/>
            <w:tcBorders>
              <w:top w:val="nil"/>
              <w:left w:val="nil"/>
              <w:bottom w:val="nil"/>
              <w:right w:val="nil"/>
            </w:tcBorders>
            <w:shd w:val="clear" w:color="auto" w:fill="auto"/>
            <w:noWrap/>
            <w:vAlign w:val="bottom"/>
            <w:hideMark/>
          </w:tcPr>
          <w:p w14:paraId="03031F12" w14:textId="77777777" w:rsidR="00347F47" w:rsidRPr="002857B0" w:rsidRDefault="00347F47" w:rsidP="002857B0">
            <w:pPr>
              <w:spacing w:after="0" w:line="240" w:lineRule="auto"/>
              <w:rPr>
                <w:rFonts w:ascii="Times New Roman" w:eastAsia="Times New Roman" w:hAnsi="Times New Roman" w:cs="Times New Roman"/>
                <w:color w:val="000000"/>
                <w:kern w:val="0"/>
                <w14:ligatures w14:val="none"/>
              </w:rPr>
            </w:pPr>
            <w:r w:rsidRPr="002857B0">
              <w:rPr>
                <w:rFonts w:ascii="Times New Roman" w:eastAsia="Times New Roman" w:hAnsi="Times New Roman" w:cs="Times New Roman"/>
                <w:color w:val="000000"/>
                <w:kern w:val="0"/>
                <w14:ligatures w14:val="none"/>
              </w:rPr>
              <w:t>Belgium</w:t>
            </w:r>
          </w:p>
        </w:tc>
      </w:tr>
      <w:tr w:rsidR="00347F47" w:rsidRPr="002857B0" w14:paraId="20B17D9F" w14:textId="77777777" w:rsidTr="002857B0">
        <w:trPr>
          <w:trHeight w:val="306"/>
        </w:trPr>
        <w:tc>
          <w:tcPr>
            <w:tcW w:w="8797" w:type="dxa"/>
            <w:tcBorders>
              <w:top w:val="nil"/>
              <w:left w:val="nil"/>
              <w:bottom w:val="nil"/>
              <w:right w:val="nil"/>
            </w:tcBorders>
            <w:shd w:val="clear" w:color="auto" w:fill="auto"/>
            <w:noWrap/>
            <w:vAlign w:val="bottom"/>
            <w:hideMark/>
          </w:tcPr>
          <w:p w14:paraId="0572D066" w14:textId="77777777" w:rsidR="00347F47" w:rsidRPr="002857B0" w:rsidRDefault="00347F47" w:rsidP="002857B0">
            <w:pPr>
              <w:spacing w:after="0" w:line="240" w:lineRule="auto"/>
              <w:rPr>
                <w:rFonts w:ascii="Times New Roman" w:eastAsia="Times New Roman" w:hAnsi="Times New Roman" w:cs="Times New Roman"/>
                <w:color w:val="000000"/>
                <w:kern w:val="0"/>
                <w14:ligatures w14:val="none"/>
              </w:rPr>
            </w:pPr>
            <w:r w:rsidRPr="002857B0">
              <w:rPr>
                <w:rFonts w:ascii="Times New Roman" w:eastAsia="Times New Roman" w:hAnsi="Times New Roman" w:cs="Times New Roman"/>
                <w:color w:val="000000"/>
                <w:kern w:val="0"/>
                <w14:ligatures w14:val="none"/>
              </w:rPr>
              <w:t>Bermuda</w:t>
            </w:r>
          </w:p>
        </w:tc>
      </w:tr>
      <w:tr w:rsidR="00347F47" w:rsidRPr="002857B0" w14:paraId="5EB7FB69" w14:textId="77777777" w:rsidTr="002857B0">
        <w:trPr>
          <w:trHeight w:val="306"/>
        </w:trPr>
        <w:tc>
          <w:tcPr>
            <w:tcW w:w="8797" w:type="dxa"/>
            <w:tcBorders>
              <w:top w:val="nil"/>
              <w:left w:val="nil"/>
              <w:bottom w:val="nil"/>
              <w:right w:val="nil"/>
            </w:tcBorders>
            <w:shd w:val="clear" w:color="auto" w:fill="auto"/>
            <w:noWrap/>
            <w:vAlign w:val="bottom"/>
            <w:hideMark/>
          </w:tcPr>
          <w:p w14:paraId="542D08D0" w14:textId="77777777" w:rsidR="00347F47" w:rsidRPr="002857B0" w:rsidRDefault="00347F47" w:rsidP="002857B0">
            <w:pPr>
              <w:spacing w:after="0" w:line="240" w:lineRule="auto"/>
              <w:rPr>
                <w:rFonts w:ascii="Times New Roman" w:eastAsia="Times New Roman" w:hAnsi="Times New Roman" w:cs="Times New Roman"/>
                <w:color w:val="000000"/>
                <w:kern w:val="0"/>
                <w14:ligatures w14:val="none"/>
              </w:rPr>
            </w:pPr>
            <w:r w:rsidRPr="002857B0">
              <w:rPr>
                <w:rFonts w:ascii="Times New Roman" w:eastAsia="Times New Roman" w:hAnsi="Times New Roman" w:cs="Times New Roman"/>
                <w:color w:val="000000"/>
                <w:kern w:val="0"/>
                <w14:ligatures w14:val="none"/>
              </w:rPr>
              <w:t>Brazil</w:t>
            </w:r>
          </w:p>
        </w:tc>
      </w:tr>
      <w:tr w:rsidR="00347F47" w:rsidRPr="002857B0" w14:paraId="2ECB574D" w14:textId="77777777" w:rsidTr="002857B0">
        <w:trPr>
          <w:trHeight w:val="306"/>
        </w:trPr>
        <w:tc>
          <w:tcPr>
            <w:tcW w:w="8797" w:type="dxa"/>
            <w:tcBorders>
              <w:top w:val="nil"/>
              <w:left w:val="nil"/>
              <w:bottom w:val="nil"/>
              <w:right w:val="nil"/>
            </w:tcBorders>
            <w:shd w:val="clear" w:color="auto" w:fill="auto"/>
            <w:noWrap/>
            <w:vAlign w:val="bottom"/>
            <w:hideMark/>
          </w:tcPr>
          <w:p w14:paraId="5334E1E8" w14:textId="77777777" w:rsidR="00347F47" w:rsidRPr="002857B0" w:rsidRDefault="00347F47" w:rsidP="002857B0">
            <w:pPr>
              <w:spacing w:after="0" w:line="240" w:lineRule="auto"/>
              <w:rPr>
                <w:rFonts w:ascii="Times New Roman" w:eastAsia="Times New Roman" w:hAnsi="Times New Roman" w:cs="Times New Roman"/>
                <w:color w:val="000000"/>
                <w:kern w:val="0"/>
                <w14:ligatures w14:val="none"/>
              </w:rPr>
            </w:pPr>
            <w:r w:rsidRPr="002857B0">
              <w:rPr>
                <w:rFonts w:ascii="Times New Roman" w:eastAsia="Times New Roman" w:hAnsi="Times New Roman" w:cs="Times New Roman"/>
                <w:color w:val="000000"/>
                <w:kern w:val="0"/>
                <w14:ligatures w14:val="none"/>
              </w:rPr>
              <w:t>Canada</w:t>
            </w:r>
          </w:p>
        </w:tc>
      </w:tr>
      <w:tr w:rsidR="00347F47" w:rsidRPr="002857B0" w14:paraId="54DEE2CA" w14:textId="77777777" w:rsidTr="002857B0">
        <w:trPr>
          <w:trHeight w:val="306"/>
        </w:trPr>
        <w:tc>
          <w:tcPr>
            <w:tcW w:w="8797" w:type="dxa"/>
            <w:tcBorders>
              <w:top w:val="nil"/>
              <w:left w:val="nil"/>
              <w:bottom w:val="nil"/>
              <w:right w:val="nil"/>
            </w:tcBorders>
            <w:shd w:val="clear" w:color="auto" w:fill="auto"/>
            <w:noWrap/>
            <w:vAlign w:val="bottom"/>
            <w:hideMark/>
          </w:tcPr>
          <w:p w14:paraId="49E0EC87" w14:textId="77777777" w:rsidR="00347F47" w:rsidRPr="002857B0" w:rsidRDefault="00347F47" w:rsidP="002857B0">
            <w:pPr>
              <w:spacing w:after="0" w:line="240" w:lineRule="auto"/>
              <w:rPr>
                <w:rFonts w:ascii="Times New Roman" w:eastAsia="Times New Roman" w:hAnsi="Times New Roman" w:cs="Times New Roman"/>
                <w:color w:val="000000"/>
                <w:kern w:val="0"/>
                <w14:ligatures w14:val="none"/>
              </w:rPr>
            </w:pPr>
            <w:r w:rsidRPr="002857B0">
              <w:rPr>
                <w:rFonts w:ascii="Times New Roman" w:eastAsia="Times New Roman" w:hAnsi="Times New Roman" w:cs="Times New Roman"/>
                <w:color w:val="000000"/>
                <w:kern w:val="0"/>
                <w14:ligatures w14:val="none"/>
              </w:rPr>
              <w:t>Chile</w:t>
            </w:r>
          </w:p>
        </w:tc>
      </w:tr>
      <w:tr w:rsidR="00347F47" w:rsidRPr="002857B0" w14:paraId="2F584430" w14:textId="77777777" w:rsidTr="002857B0">
        <w:trPr>
          <w:trHeight w:val="306"/>
        </w:trPr>
        <w:tc>
          <w:tcPr>
            <w:tcW w:w="8797" w:type="dxa"/>
            <w:tcBorders>
              <w:top w:val="nil"/>
              <w:left w:val="nil"/>
              <w:bottom w:val="nil"/>
              <w:right w:val="nil"/>
            </w:tcBorders>
            <w:shd w:val="clear" w:color="auto" w:fill="auto"/>
            <w:noWrap/>
            <w:vAlign w:val="bottom"/>
            <w:hideMark/>
          </w:tcPr>
          <w:p w14:paraId="05AF40DE" w14:textId="77777777" w:rsidR="00347F47" w:rsidRPr="002857B0" w:rsidRDefault="00347F47" w:rsidP="002857B0">
            <w:pPr>
              <w:spacing w:after="0" w:line="240" w:lineRule="auto"/>
              <w:rPr>
                <w:rFonts w:ascii="Times New Roman" w:eastAsia="Times New Roman" w:hAnsi="Times New Roman" w:cs="Times New Roman"/>
                <w:color w:val="000000"/>
                <w:kern w:val="0"/>
                <w14:ligatures w14:val="none"/>
              </w:rPr>
            </w:pPr>
            <w:r w:rsidRPr="002857B0">
              <w:rPr>
                <w:rFonts w:ascii="Times New Roman" w:eastAsia="Times New Roman" w:hAnsi="Times New Roman" w:cs="Times New Roman"/>
                <w:color w:val="000000"/>
                <w:kern w:val="0"/>
                <w14:ligatures w14:val="none"/>
              </w:rPr>
              <w:t>China</w:t>
            </w:r>
          </w:p>
        </w:tc>
      </w:tr>
      <w:tr w:rsidR="00347F47" w:rsidRPr="002857B0" w14:paraId="7DB0D664" w14:textId="77777777" w:rsidTr="002857B0">
        <w:trPr>
          <w:trHeight w:val="306"/>
        </w:trPr>
        <w:tc>
          <w:tcPr>
            <w:tcW w:w="8797" w:type="dxa"/>
            <w:tcBorders>
              <w:top w:val="nil"/>
              <w:left w:val="nil"/>
              <w:bottom w:val="nil"/>
              <w:right w:val="nil"/>
            </w:tcBorders>
            <w:shd w:val="clear" w:color="auto" w:fill="auto"/>
            <w:noWrap/>
            <w:vAlign w:val="bottom"/>
            <w:hideMark/>
          </w:tcPr>
          <w:p w14:paraId="683CC079" w14:textId="77777777" w:rsidR="00347F47" w:rsidRPr="002857B0" w:rsidRDefault="00347F47" w:rsidP="002857B0">
            <w:pPr>
              <w:spacing w:after="0" w:line="240" w:lineRule="auto"/>
              <w:rPr>
                <w:rFonts w:ascii="Times New Roman" w:eastAsia="Times New Roman" w:hAnsi="Times New Roman" w:cs="Times New Roman"/>
                <w:color w:val="000000"/>
                <w:kern w:val="0"/>
                <w14:ligatures w14:val="none"/>
              </w:rPr>
            </w:pPr>
            <w:r w:rsidRPr="002857B0">
              <w:rPr>
                <w:rFonts w:ascii="Times New Roman" w:eastAsia="Times New Roman" w:hAnsi="Times New Roman" w:cs="Times New Roman"/>
                <w:color w:val="000000"/>
                <w:kern w:val="0"/>
                <w14:ligatures w14:val="none"/>
              </w:rPr>
              <w:t>Colombia</w:t>
            </w:r>
          </w:p>
        </w:tc>
      </w:tr>
      <w:tr w:rsidR="00347F47" w:rsidRPr="002857B0" w14:paraId="0516734F" w14:textId="77777777" w:rsidTr="002857B0">
        <w:trPr>
          <w:trHeight w:val="306"/>
        </w:trPr>
        <w:tc>
          <w:tcPr>
            <w:tcW w:w="8797" w:type="dxa"/>
            <w:tcBorders>
              <w:top w:val="nil"/>
              <w:left w:val="nil"/>
              <w:bottom w:val="nil"/>
              <w:right w:val="nil"/>
            </w:tcBorders>
            <w:shd w:val="clear" w:color="auto" w:fill="auto"/>
            <w:noWrap/>
            <w:vAlign w:val="bottom"/>
            <w:hideMark/>
          </w:tcPr>
          <w:p w14:paraId="041DC4E0" w14:textId="77777777" w:rsidR="00347F47" w:rsidRPr="002857B0" w:rsidRDefault="00347F47" w:rsidP="002857B0">
            <w:pPr>
              <w:spacing w:after="0" w:line="240" w:lineRule="auto"/>
              <w:rPr>
                <w:rFonts w:ascii="Times New Roman" w:eastAsia="Times New Roman" w:hAnsi="Times New Roman" w:cs="Times New Roman"/>
                <w:color w:val="000000"/>
                <w:kern w:val="0"/>
                <w14:ligatures w14:val="none"/>
              </w:rPr>
            </w:pPr>
            <w:r w:rsidRPr="002857B0">
              <w:rPr>
                <w:rFonts w:ascii="Times New Roman" w:eastAsia="Times New Roman" w:hAnsi="Times New Roman" w:cs="Times New Roman"/>
                <w:color w:val="000000"/>
                <w:kern w:val="0"/>
                <w14:ligatures w14:val="none"/>
              </w:rPr>
              <w:t>Cyprus</w:t>
            </w:r>
          </w:p>
        </w:tc>
      </w:tr>
      <w:tr w:rsidR="00347F47" w:rsidRPr="002857B0" w14:paraId="77FDC620" w14:textId="77777777" w:rsidTr="002857B0">
        <w:trPr>
          <w:trHeight w:val="306"/>
        </w:trPr>
        <w:tc>
          <w:tcPr>
            <w:tcW w:w="8797" w:type="dxa"/>
            <w:tcBorders>
              <w:top w:val="nil"/>
              <w:left w:val="nil"/>
              <w:bottom w:val="nil"/>
              <w:right w:val="nil"/>
            </w:tcBorders>
            <w:shd w:val="clear" w:color="auto" w:fill="auto"/>
            <w:noWrap/>
            <w:vAlign w:val="bottom"/>
            <w:hideMark/>
          </w:tcPr>
          <w:p w14:paraId="49525E70" w14:textId="77777777" w:rsidR="00347F47" w:rsidRPr="002857B0" w:rsidRDefault="00347F47" w:rsidP="002857B0">
            <w:pPr>
              <w:spacing w:after="0" w:line="240" w:lineRule="auto"/>
              <w:rPr>
                <w:rFonts w:ascii="Times New Roman" w:eastAsia="Times New Roman" w:hAnsi="Times New Roman" w:cs="Times New Roman"/>
                <w:color w:val="000000"/>
                <w:kern w:val="0"/>
                <w14:ligatures w14:val="none"/>
              </w:rPr>
            </w:pPr>
            <w:r w:rsidRPr="002857B0">
              <w:rPr>
                <w:rFonts w:ascii="Times New Roman" w:eastAsia="Times New Roman" w:hAnsi="Times New Roman" w:cs="Times New Roman"/>
                <w:color w:val="000000"/>
                <w:kern w:val="0"/>
                <w14:ligatures w14:val="none"/>
              </w:rPr>
              <w:t>Denmark</w:t>
            </w:r>
          </w:p>
        </w:tc>
      </w:tr>
      <w:tr w:rsidR="00347F47" w:rsidRPr="002857B0" w14:paraId="600E6D84" w14:textId="77777777" w:rsidTr="002857B0">
        <w:trPr>
          <w:trHeight w:val="306"/>
        </w:trPr>
        <w:tc>
          <w:tcPr>
            <w:tcW w:w="8797" w:type="dxa"/>
            <w:tcBorders>
              <w:top w:val="nil"/>
              <w:left w:val="nil"/>
              <w:bottom w:val="nil"/>
              <w:right w:val="nil"/>
            </w:tcBorders>
            <w:shd w:val="clear" w:color="auto" w:fill="auto"/>
            <w:noWrap/>
            <w:vAlign w:val="bottom"/>
            <w:hideMark/>
          </w:tcPr>
          <w:p w14:paraId="5DA6B8DA" w14:textId="77777777" w:rsidR="00347F47" w:rsidRPr="002857B0" w:rsidRDefault="00347F47" w:rsidP="002857B0">
            <w:pPr>
              <w:spacing w:after="0" w:line="240" w:lineRule="auto"/>
              <w:rPr>
                <w:rFonts w:ascii="Times New Roman" w:eastAsia="Times New Roman" w:hAnsi="Times New Roman" w:cs="Times New Roman"/>
                <w:color w:val="000000"/>
                <w:kern w:val="0"/>
                <w14:ligatures w14:val="none"/>
              </w:rPr>
            </w:pPr>
            <w:r w:rsidRPr="002857B0">
              <w:rPr>
                <w:rFonts w:ascii="Times New Roman" w:eastAsia="Times New Roman" w:hAnsi="Times New Roman" w:cs="Times New Roman"/>
                <w:color w:val="000000"/>
                <w:kern w:val="0"/>
                <w14:ligatures w14:val="none"/>
              </w:rPr>
              <w:t>Finland</w:t>
            </w:r>
          </w:p>
        </w:tc>
      </w:tr>
      <w:tr w:rsidR="00347F47" w:rsidRPr="002857B0" w14:paraId="37053DE3" w14:textId="77777777" w:rsidTr="002857B0">
        <w:trPr>
          <w:trHeight w:val="306"/>
        </w:trPr>
        <w:tc>
          <w:tcPr>
            <w:tcW w:w="8797" w:type="dxa"/>
            <w:tcBorders>
              <w:top w:val="nil"/>
              <w:left w:val="nil"/>
              <w:bottom w:val="nil"/>
              <w:right w:val="nil"/>
            </w:tcBorders>
            <w:shd w:val="clear" w:color="auto" w:fill="auto"/>
            <w:noWrap/>
            <w:vAlign w:val="bottom"/>
            <w:hideMark/>
          </w:tcPr>
          <w:p w14:paraId="248C577E" w14:textId="77777777" w:rsidR="00347F47" w:rsidRPr="002857B0" w:rsidRDefault="00347F47" w:rsidP="002857B0">
            <w:pPr>
              <w:spacing w:after="0" w:line="240" w:lineRule="auto"/>
              <w:rPr>
                <w:rFonts w:ascii="Times New Roman" w:eastAsia="Times New Roman" w:hAnsi="Times New Roman" w:cs="Times New Roman"/>
                <w:color w:val="000000"/>
                <w:kern w:val="0"/>
                <w14:ligatures w14:val="none"/>
              </w:rPr>
            </w:pPr>
            <w:r w:rsidRPr="002857B0">
              <w:rPr>
                <w:rFonts w:ascii="Times New Roman" w:eastAsia="Times New Roman" w:hAnsi="Times New Roman" w:cs="Times New Roman"/>
                <w:color w:val="000000"/>
                <w:kern w:val="0"/>
                <w14:ligatures w14:val="none"/>
              </w:rPr>
              <w:t>France</w:t>
            </w:r>
          </w:p>
        </w:tc>
      </w:tr>
      <w:tr w:rsidR="00347F47" w:rsidRPr="002857B0" w14:paraId="0355F73B" w14:textId="77777777" w:rsidTr="002857B0">
        <w:trPr>
          <w:trHeight w:val="306"/>
        </w:trPr>
        <w:tc>
          <w:tcPr>
            <w:tcW w:w="8797" w:type="dxa"/>
            <w:tcBorders>
              <w:top w:val="nil"/>
              <w:left w:val="nil"/>
              <w:bottom w:val="nil"/>
              <w:right w:val="nil"/>
            </w:tcBorders>
            <w:shd w:val="clear" w:color="auto" w:fill="auto"/>
            <w:noWrap/>
            <w:vAlign w:val="bottom"/>
            <w:hideMark/>
          </w:tcPr>
          <w:p w14:paraId="5F240162" w14:textId="77777777" w:rsidR="00347F47" w:rsidRPr="002857B0" w:rsidRDefault="00347F47" w:rsidP="002857B0">
            <w:pPr>
              <w:spacing w:after="0" w:line="240" w:lineRule="auto"/>
              <w:rPr>
                <w:rFonts w:ascii="Times New Roman" w:eastAsia="Times New Roman" w:hAnsi="Times New Roman" w:cs="Times New Roman"/>
                <w:color w:val="000000"/>
                <w:kern w:val="0"/>
                <w14:ligatures w14:val="none"/>
              </w:rPr>
            </w:pPr>
            <w:r w:rsidRPr="002857B0">
              <w:rPr>
                <w:rFonts w:ascii="Times New Roman" w:eastAsia="Times New Roman" w:hAnsi="Times New Roman" w:cs="Times New Roman"/>
                <w:color w:val="000000"/>
                <w:kern w:val="0"/>
                <w14:ligatures w14:val="none"/>
              </w:rPr>
              <w:t>Germany</w:t>
            </w:r>
          </w:p>
        </w:tc>
      </w:tr>
      <w:tr w:rsidR="00347F47" w:rsidRPr="002857B0" w14:paraId="0053901C" w14:textId="77777777" w:rsidTr="002857B0">
        <w:trPr>
          <w:trHeight w:val="306"/>
        </w:trPr>
        <w:tc>
          <w:tcPr>
            <w:tcW w:w="8797" w:type="dxa"/>
            <w:tcBorders>
              <w:top w:val="nil"/>
              <w:left w:val="nil"/>
              <w:bottom w:val="nil"/>
              <w:right w:val="nil"/>
            </w:tcBorders>
            <w:shd w:val="clear" w:color="auto" w:fill="auto"/>
            <w:noWrap/>
            <w:vAlign w:val="bottom"/>
            <w:hideMark/>
          </w:tcPr>
          <w:p w14:paraId="13FA31C2" w14:textId="77777777" w:rsidR="00347F47" w:rsidRPr="002857B0" w:rsidRDefault="00347F47" w:rsidP="002857B0">
            <w:pPr>
              <w:spacing w:after="0" w:line="240" w:lineRule="auto"/>
              <w:rPr>
                <w:rFonts w:ascii="Times New Roman" w:eastAsia="Times New Roman" w:hAnsi="Times New Roman" w:cs="Times New Roman"/>
                <w:color w:val="000000"/>
                <w:kern w:val="0"/>
                <w14:ligatures w14:val="none"/>
              </w:rPr>
            </w:pPr>
            <w:r w:rsidRPr="002857B0">
              <w:rPr>
                <w:rFonts w:ascii="Times New Roman" w:eastAsia="Times New Roman" w:hAnsi="Times New Roman" w:cs="Times New Roman"/>
                <w:color w:val="000000"/>
                <w:kern w:val="0"/>
                <w14:ligatures w14:val="none"/>
              </w:rPr>
              <w:t>Greece</w:t>
            </w:r>
          </w:p>
        </w:tc>
      </w:tr>
      <w:tr w:rsidR="00347F47" w:rsidRPr="002857B0" w14:paraId="54895A9B" w14:textId="77777777" w:rsidTr="002857B0">
        <w:trPr>
          <w:trHeight w:val="306"/>
        </w:trPr>
        <w:tc>
          <w:tcPr>
            <w:tcW w:w="8797" w:type="dxa"/>
            <w:tcBorders>
              <w:top w:val="nil"/>
              <w:left w:val="nil"/>
              <w:bottom w:val="nil"/>
              <w:right w:val="nil"/>
            </w:tcBorders>
            <w:shd w:val="clear" w:color="auto" w:fill="auto"/>
            <w:noWrap/>
            <w:vAlign w:val="bottom"/>
            <w:hideMark/>
          </w:tcPr>
          <w:p w14:paraId="20CC313B" w14:textId="77777777" w:rsidR="00347F47" w:rsidRPr="002857B0" w:rsidRDefault="00347F47" w:rsidP="002857B0">
            <w:pPr>
              <w:spacing w:after="0" w:line="240" w:lineRule="auto"/>
              <w:rPr>
                <w:rFonts w:ascii="Times New Roman" w:eastAsia="Times New Roman" w:hAnsi="Times New Roman" w:cs="Times New Roman"/>
                <w:color w:val="000000"/>
                <w:kern w:val="0"/>
                <w14:ligatures w14:val="none"/>
              </w:rPr>
            </w:pPr>
            <w:r w:rsidRPr="002857B0">
              <w:rPr>
                <w:rFonts w:ascii="Times New Roman" w:eastAsia="Times New Roman" w:hAnsi="Times New Roman" w:cs="Times New Roman"/>
                <w:color w:val="000000"/>
                <w:kern w:val="0"/>
                <w14:ligatures w14:val="none"/>
              </w:rPr>
              <w:t>Hungary</w:t>
            </w:r>
          </w:p>
        </w:tc>
      </w:tr>
      <w:tr w:rsidR="00347F47" w:rsidRPr="002857B0" w14:paraId="4377630C" w14:textId="77777777" w:rsidTr="002857B0">
        <w:trPr>
          <w:trHeight w:val="306"/>
        </w:trPr>
        <w:tc>
          <w:tcPr>
            <w:tcW w:w="8797" w:type="dxa"/>
            <w:tcBorders>
              <w:top w:val="nil"/>
              <w:left w:val="nil"/>
              <w:bottom w:val="nil"/>
              <w:right w:val="nil"/>
            </w:tcBorders>
            <w:shd w:val="clear" w:color="auto" w:fill="auto"/>
            <w:noWrap/>
            <w:vAlign w:val="bottom"/>
            <w:hideMark/>
          </w:tcPr>
          <w:p w14:paraId="3465E10C" w14:textId="77777777" w:rsidR="00347F47" w:rsidRPr="002857B0" w:rsidRDefault="00347F47" w:rsidP="002857B0">
            <w:pPr>
              <w:spacing w:after="0" w:line="240" w:lineRule="auto"/>
              <w:rPr>
                <w:rFonts w:ascii="Times New Roman" w:eastAsia="Times New Roman" w:hAnsi="Times New Roman" w:cs="Times New Roman"/>
                <w:color w:val="000000"/>
                <w:kern w:val="0"/>
                <w14:ligatures w14:val="none"/>
              </w:rPr>
            </w:pPr>
            <w:r w:rsidRPr="002857B0">
              <w:rPr>
                <w:rFonts w:ascii="Times New Roman" w:eastAsia="Times New Roman" w:hAnsi="Times New Roman" w:cs="Times New Roman"/>
                <w:color w:val="000000"/>
                <w:kern w:val="0"/>
                <w14:ligatures w14:val="none"/>
              </w:rPr>
              <w:t>India</w:t>
            </w:r>
          </w:p>
        </w:tc>
      </w:tr>
      <w:tr w:rsidR="00347F47" w:rsidRPr="002857B0" w14:paraId="184E4323" w14:textId="77777777" w:rsidTr="002857B0">
        <w:trPr>
          <w:trHeight w:val="306"/>
        </w:trPr>
        <w:tc>
          <w:tcPr>
            <w:tcW w:w="8797" w:type="dxa"/>
            <w:tcBorders>
              <w:top w:val="nil"/>
              <w:left w:val="nil"/>
              <w:bottom w:val="nil"/>
              <w:right w:val="nil"/>
            </w:tcBorders>
            <w:shd w:val="clear" w:color="auto" w:fill="auto"/>
            <w:noWrap/>
            <w:vAlign w:val="bottom"/>
            <w:hideMark/>
          </w:tcPr>
          <w:p w14:paraId="561FAD75" w14:textId="77777777" w:rsidR="00347F47" w:rsidRPr="002857B0" w:rsidRDefault="00347F47" w:rsidP="002857B0">
            <w:pPr>
              <w:spacing w:after="0" w:line="240" w:lineRule="auto"/>
              <w:rPr>
                <w:rFonts w:ascii="Times New Roman" w:eastAsia="Times New Roman" w:hAnsi="Times New Roman" w:cs="Times New Roman"/>
                <w:color w:val="000000"/>
                <w:kern w:val="0"/>
                <w14:ligatures w14:val="none"/>
              </w:rPr>
            </w:pPr>
            <w:r w:rsidRPr="002857B0">
              <w:rPr>
                <w:rFonts w:ascii="Times New Roman" w:eastAsia="Times New Roman" w:hAnsi="Times New Roman" w:cs="Times New Roman"/>
                <w:color w:val="000000"/>
                <w:kern w:val="0"/>
                <w14:ligatures w14:val="none"/>
              </w:rPr>
              <w:t>Indonesia</w:t>
            </w:r>
          </w:p>
        </w:tc>
      </w:tr>
      <w:tr w:rsidR="00347F47" w:rsidRPr="002857B0" w14:paraId="78542198" w14:textId="77777777" w:rsidTr="002857B0">
        <w:trPr>
          <w:trHeight w:val="306"/>
        </w:trPr>
        <w:tc>
          <w:tcPr>
            <w:tcW w:w="8797" w:type="dxa"/>
            <w:tcBorders>
              <w:top w:val="nil"/>
              <w:left w:val="nil"/>
              <w:bottom w:val="nil"/>
              <w:right w:val="nil"/>
            </w:tcBorders>
            <w:shd w:val="clear" w:color="auto" w:fill="auto"/>
            <w:noWrap/>
            <w:vAlign w:val="bottom"/>
            <w:hideMark/>
          </w:tcPr>
          <w:p w14:paraId="0D726332" w14:textId="77777777" w:rsidR="00347F47" w:rsidRPr="002857B0" w:rsidRDefault="00347F47" w:rsidP="002857B0">
            <w:pPr>
              <w:spacing w:after="0" w:line="240" w:lineRule="auto"/>
              <w:rPr>
                <w:rFonts w:ascii="Times New Roman" w:eastAsia="Times New Roman" w:hAnsi="Times New Roman" w:cs="Times New Roman"/>
                <w:color w:val="000000"/>
                <w:kern w:val="0"/>
                <w14:ligatures w14:val="none"/>
              </w:rPr>
            </w:pPr>
            <w:r w:rsidRPr="002857B0">
              <w:rPr>
                <w:rFonts w:ascii="Times New Roman" w:eastAsia="Times New Roman" w:hAnsi="Times New Roman" w:cs="Times New Roman"/>
                <w:color w:val="000000"/>
                <w:kern w:val="0"/>
                <w14:ligatures w14:val="none"/>
              </w:rPr>
              <w:t>Ireland</w:t>
            </w:r>
          </w:p>
        </w:tc>
      </w:tr>
      <w:tr w:rsidR="00347F47" w:rsidRPr="002857B0" w14:paraId="7A6AA7EA" w14:textId="77777777" w:rsidTr="002857B0">
        <w:trPr>
          <w:trHeight w:val="306"/>
        </w:trPr>
        <w:tc>
          <w:tcPr>
            <w:tcW w:w="8797" w:type="dxa"/>
            <w:tcBorders>
              <w:top w:val="nil"/>
              <w:left w:val="nil"/>
              <w:bottom w:val="nil"/>
              <w:right w:val="nil"/>
            </w:tcBorders>
            <w:shd w:val="clear" w:color="auto" w:fill="auto"/>
            <w:noWrap/>
            <w:vAlign w:val="bottom"/>
            <w:hideMark/>
          </w:tcPr>
          <w:p w14:paraId="4E99B968" w14:textId="77777777" w:rsidR="00347F47" w:rsidRPr="002857B0" w:rsidRDefault="00347F47" w:rsidP="002857B0">
            <w:pPr>
              <w:spacing w:after="0" w:line="240" w:lineRule="auto"/>
              <w:rPr>
                <w:rFonts w:ascii="Times New Roman" w:eastAsia="Times New Roman" w:hAnsi="Times New Roman" w:cs="Times New Roman"/>
                <w:color w:val="000000"/>
                <w:kern w:val="0"/>
                <w14:ligatures w14:val="none"/>
              </w:rPr>
            </w:pPr>
            <w:r w:rsidRPr="002857B0">
              <w:rPr>
                <w:rFonts w:ascii="Times New Roman" w:eastAsia="Times New Roman" w:hAnsi="Times New Roman" w:cs="Times New Roman"/>
                <w:color w:val="000000"/>
                <w:kern w:val="0"/>
                <w14:ligatures w14:val="none"/>
              </w:rPr>
              <w:t>Israel</w:t>
            </w:r>
          </w:p>
        </w:tc>
      </w:tr>
      <w:tr w:rsidR="00347F47" w:rsidRPr="002857B0" w14:paraId="10D4640E" w14:textId="77777777" w:rsidTr="002857B0">
        <w:trPr>
          <w:trHeight w:val="306"/>
        </w:trPr>
        <w:tc>
          <w:tcPr>
            <w:tcW w:w="8797" w:type="dxa"/>
            <w:tcBorders>
              <w:top w:val="nil"/>
              <w:left w:val="nil"/>
              <w:bottom w:val="nil"/>
              <w:right w:val="nil"/>
            </w:tcBorders>
            <w:shd w:val="clear" w:color="auto" w:fill="auto"/>
            <w:noWrap/>
            <w:vAlign w:val="bottom"/>
            <w:hideMark/>
          </w:tcPr>
          <w:p w14:paraId="68B8B3BE" w14:textId="77777777" w:rsidR="00347F47" w:rsidRPr="002857B0" w:rsidRDefault="00347F47" w:rsidP="002857B0">
            <w:pPr>
              <w:spacing w:after="0" w:line="240" w:lineRule="auto"/>
              <w:rPr>
                <w:rFonts w:ascii="Times New Roman" w:eastAsia="Times New Roman" w:hAnsi="Times New Roman" w:cs="Times New Roman"/>
                <w:color w:val="000000"/>
                <w:kern w:val="0"/>
                <w14:ligatures w14:val="none"/>
              </w:rPr>
            </w:pPr>
            <w:r w:rsidRPr="002857B0">
              <w:rPr>
                <w:rFonts w:ascii="Times New Roman" w:eastAsia="Times New Roman" w:hAnsi="Times New Roman" w:cs="Times New Roman"/>
                <w:color w:val="000000"/>
                <w:kern w:val="0"/>
                <w14:ligatures w14:val="none"/>
              </w:rPr>
              <w:t>Italy</w:t>
            </w:r>
          </w:p>
        </w:tc>
      </w:tr>
      <w:tr w:rsidR="00347F47" w:rsidRPr="002857B0" w14:paraId="45328586" w14:textId="77777777" w:rsidTr="002857B0">
        <w:trPr>
          <w:trHeight w:val="306"/>
        </w:trPr>
        <w:tc>
          <w:tcPr>
            <w:tcW w:w="8797" w:type="dxa"/>
            <w:tcBorders>
              <w:top w:val="nil"/>
              <w:left w:val="nil"/>
              <w:bottom w:val="nil"/>
              <w:right w:val="nil"/>
            </w:tcBorders>
            <w:shd w:val="clear" w:color="auto" w:fill="auto"/>
            <w:noWrap/>
            <w:vAlign w:val="bottom"/>
            <w:hideMark/>
          </w:tcPr>
          <w:p w14:paraId="3F0F335E" w14:textId="77777777" w:rsidR="00347F47" w:rsidRPr="002857B0" w:rsidRDefault="00347F47" w:rsidP="002857B0">
            <w:pPr>
              <w:spacing w:after="0" w:line="240" w:lineRule="auto"/>
              <w:rPr>
                <w:rFonts w:ascii="Times New Roman" w:eastAsia="Times New Roman" w:hAnsi="Times New Roman" w:cs="Times New Roman"/>
                <w:color w:val="000000"/>
                <w:kern w:val="0"/>
                <w14:ligatures w14:val="none"/>
              </w:rPr>
            </w:pPr>
            <w:r w:rsidRPr="002857B0">
              <w:rPr>
                <w:rFonts w:ascii="Times New Roman" w:eastAsia="Times New Roman" w:hAnsi="Times New Roman" w:cs="Times New Roman"/>
                <w:color w:val="000000"/>
                <w:kern w:val="0"/>
                <w14:ligatures w14:val="none"/>
              </w:rPr>
              <w:t>Japan</w:t>
            </w:r>
          </w:p>
        </w:tc>
      </w:tr>
      <w:tr w:rsidR="00347F47" w:rsidRPr="002857B0" w14:paraId="356C014F" w14:textId="77777777" w:rsidTr="002857B0">
        <w:trPr>
          <w:trHeight w:val="306"/>
        </w:trPr>
        <w:tc>
          <w:tcPr>
            <w:tcW w:w="8797" w:type="dxa"/>
            <w:tcBorders>
              <w:top w:val="nil"/>
              <w:left w:val="nil"/>
              <w:bottom w:val="nil"/>
              <w:right w:val="nil"/>
            </w:tcBorders>
            <w:shd w:val="clear" w:color="auto" w:fill="auto"/>
            <w:noWrap/>
            <w:vAlign w:val="bottom"/>
            <w:hideMark/>
          </w:tcPr>
          <w:p w14:paraId="3E39407E" w14:textId="77777777" w:rsidR="00347F47" w:rsidRPr="002857B0" w:rsidRDefault="00347F47" w:rsidP="002857B0">
            <w:pPr>
              <w:spacing w:after="0" w:line="240" w:lineRule="auto"/>
              <w:rPr>
                <w:rFonts w:ascii="Times New Roman" w:eastAsia="Times New Roman" w:hAnsi="Times New Roman" w:cs="Times New Roman"/>
                <w:color w:val="000000"/>
                <w:kern w:val="0"/>
                <w14:ligatures w14:val="none"/>
              </w:rPr>
            </w:pPr>
            <w:r w:rsidRPr="002857B0">
              <w:rPr>
                <w:rFonts w:ascii="Times New Roman" w:eastAsia="Times New Roman" w:hAnsi="Times New Roman" w:cs="Times New Roman"/>
                <w:color w:val="000000"/>
                <w:kern w:val="0"/>
                <w14:ligatures w14:val="none"/>
              </w:rPr>
              <w:t>Kazakhstan</w:t>
            </w:r>
          </w:p>
        </w:tc>
      </w:tr>
      <w:tr w:rsidR="00347F47" w:rsidRPr="002857B0" w14:paraId="086A73D6" w14:textId="77777777" w:rsidTr="002857B0">
        <w:trPr>
          <w:trHeight w:val="306"/>
        </w:trPr>
        <w:tc>
          <w:tcPr>
            <w:tcW w:w="8797" w:type="dxa"/>
            <w:tcBorders>
              <w:top w:val="nil"/>
              <w:left w:val="nil"/>
              <w:bottom w:val="nil"/>
              <w:right w:val="nil"/>
            </w:tcBorders>
            <w:shd w:val="clear" w:color="auto" w:fill="auto"/>
            <w:noWrap/>
            <w:vAlign w:val="bottom"/>
            <w:hideMark/>
          </w:tcPr>
          <w:p w14:paraId="0B7AFDE2" w14:textId="77777777" w:rsidR="00347F47" w:rsidRPr="002857B0" w:rsidRDefault="00347F47" w:rsidP="002857B0">
            <w:pPr>
              <w:spacing w:after="0" w:line="240" w:lineRule="auto"/>
              <w:rPr>
                <w:rFonts w:ascii="Times New Roman" w:eastAsia="Times New Roman" w:hAnsi="Times New Roman" w:cs="Times New Roman"/>
                <w:color w:val="000000"/>
                <w:kern w:val="0"/>
                <w14:ligatures w14:val="none"/>
              </w:rPr>
            </w:pPr>
            <w:r w:rsidRPr="002857B0">
              <w:rPr>
                <w:rFonts w:ascii="Times New Roman" w:eastAsia="Times New Roman" w:hAnsi="Times New Roman" w:cs="Times New Roman"/>
                <w:color w:val="000000"/>
                <w:kern w:val="0"/>
                <w14:ligatures w14:val="none"/>
              </w:rPr>
              <w:t>Kuwait</w:t>
            </w:r>
          </w:p>
        </w:tc>
      </w:tr>
      <w:tr w:rsidR="00347F47" w:rsidRPr="002857B0" w14:paraId="2198D4EB" w14:textId="77777777" w:rsidTr="002857B0">
        <w:trPr>
          <w:trHeight w:val="306"/>
        </w:trPr>
        <w:tc>
          <w:tcPr>
            <w:tcW w:w="8797" w:type="dxa"/>
            <w:tcBorders>
              <w:top w:val="nil"/>
              <w:left w:val="nil"/>
              <w:bottom w:val="nil"/>
              <w:right w:val="nil"/>
            </w:tcBorders>
            <w:shd w:val="clear" w:color="auto" w:fill="auto"/>
            <w:noWrap/>
            <w:vAlign w:val="bottom"/>
            <w:hideMark/>
          </w:tcPr>
          <w:p w14:paraId="76EA9D13" w14:textId="77777777" w:rsidR="00347F47" w:rsidRPr="002857B0" w:rsidRDefault="00347F47" w:rsidP="002857B0">
            <w:pPr>
              <w:spacing w:after="0" w:line="240" w:lineRule="auto"/>
              <w:rPr>
                <w:rFonts w:ascii="Times New Roman" w:eastAsia="Times New Roman" w:hAnsi="Times New Roman" w:cs="Times New Roman"/>
                <w:color w:val="000000"/>
                <w:kern w:val="0"/>
                <w14:ligatures w14:val="none"/>
              </w:rPr>
            </w:pPr>
            <w:r w:rsidRPr="002857B0">
              <w:rPr>
                <w:rFonts w:ascii="Times New Roman" w:eastAsia="Times New Roman" w:hAnsi="Times New Roman" w:cs="Times New Roman"/>
                <w:color w:val="000000"/>
                <w:kern w:val="0"/>
                <w14:ligatures w14:val="none"/>
              </w:rPr>
              <w:t>Luxembourg</w:t>
            </w:r>
          </w:p>
        </w:tc>
      </w:tr>
      <w:tr w:rsidR="00347F47" w:rsidRPr="002857B0" w14:paraId="7E8B162F" w14:textId="77777777" w:rsidTr="002857B0">
        <w:trPr>
          <w:trHeight w:val="306"/>
        </w:trPr>
        <w:tc>
          <w:tcPr>
            <w:tcW w:w="8797" w:type="dxa"/>
            <w:tcBorders>
              <w:top w:val="nil"/>
              <w:left w:val="nil"/>
              <w:bottom w:val="nil"/>
              <w:right w:val="nil"/>
            </w:tcBorders>
            <w:shd w:val="clear" w:color="auto" w:fill="auto"/>
            <w:noWrap/>
            <w:vAlign w:val="bottom"/>
            <w:hideMark/>
          </w:tcPr>
          <w:p w14:paraId="7F2D0E50" w14:textId="77777777" w:rsidR="00347F47" w:rsidRPr="002857B0" w:rsidRDefault="00347F47" w:rsidP="002857B0">
            <w:pPr>
              <w:spacing w:after="0" w:line="240" w:lineRule="auto"/>
              <w:rPr>
                <w:rFonts w:ascii="Times New Roman" w:eastAsia="Times New Roman" w:hAnsi="Times New Roman" w:cs="Times New Roman"/>
                <w:color w:val="000000"/>
                <w:kern w:val="0"/>
                <w14:ligatures w14:val="none"/>
              </w:rPr>
            </w:pPr>
            <w:r w:rsidRPr="002857B0">
              <w:rPr>
                <w:rFonts w:ascii="Times New Roman" w:eastAsia="Times New Roman" w:hAnsi="Times New Roman" w:cs="Times New Roman"/>
                <w:color w:val="000000"/>
                <w:kern w:val="0"/>
                <w14:ligatures w14:val="none"/>
              </w:rPr>
              <w:t>Malaysia</w:t>
            </w:r>
          </w:p>
        </w:tc>
      </w:tr>
      <w:tr w:rsidR="00347F47" w:rsidRPr="002857B0" w14:paraId="5EBBC2D1" w14:textId="77777777" w:rsidTr="002857B0">
        <w:trPr>
          <w:trHeight w:val="306"/>
        </w:trPr>
        <w:tc>
          <w:tcPr>
            <w:tcW w:w="8797" w:type="dxa"/>
            <w:tcBorders>
              <w:top w:val="nil"/>
              <w:left w:val="nil"/>
              <w:bottom w:val="nil"/>
              <w:right w:val="nil"/>
            </w:tcBorders>
            <w:shd w:val="clear" w:color="auto" w:fill="auto"/>
            <w:noWrap/>
            <w:vAlign w:val="bottom"/>
            <w:hideMark/>
          </w:tcPr>
          <w:p w14:paraId="38DF047B" w14:textId="77777777" w:rsidR="00347F47" w:rsidRPr="002857B0" w:rsidRDefault="00347F47" w:rsidP="002857B0">
            <w:pPr>
              <w:spacing w:after="0" w:line="240" w:lineRule="auto"/>
              <w:rPr>
                <w:rFonts w:ascii="Times New Roman" w:eastAsia="Times New Roman" w:hAnsi="Times New Roman" w:cs="Times New Roman"/>
                <w:color w:val="000000"/>
                <w:kern w:val="0"/>
                <w14:ligatures w14:val="none"/>
              </w:rPr>
            </w:pPr>
            <w:r w:rsidRPr="002857B0">
              <w:rPr>
                <w:rFonts w:ascii="Times New Roman" w:eastAsia="Times New Roman" w:hAnsi="Times New Roman" w:cs="Times New Roman"/>
                <w:color w:val="000000"/>
                <w:kern w:val="0"/>
                <w14:ligatures w14:val="none"/>
              </w:rPr>
              <w:t>Mexico</w:t>
            </w:r>
          </w:p>
        </w:tc>
      </w:tr>
      <w:tr w:rsidR="00347F47" w:rsidRPr="002857B0" w14:paraId="467F3EE7" w14:textId="77777777" w:rsidTr="002857B0">
        <w:trPr>
          <w:trHeight w:val="306"/>
        </w:trPr>
        <w:tc>
          <w:tcPr>
            <w:tcW w:w="8797" w:type="dxa"/>
            <w:tcBorders>
              <w:top w:val="nil"/>
              <w:left w:val="nil"/>
              <w:bottom w:val="nil"/>
              <w:right w:val="nil"/>
            </w:tcBorders>
            <w:shd w:val="clear" w:color="auto" w:fill="auto"/>
            <w:noWrap/>
            <w:vAlign w:val="bottom"/>
            <w:hideMark/>
          </w:tcPr>
          <w:p w14:paraId="642DA77C" w14:textId="77777777" w:rsidR="00347F47" w:rsidRPr="002857B0" w:rsidRDefault="00347F47" w:rsidP="002857B0">
            <w:pPr>
              <w:spacing w:after="0" w:line="240" w:lineRule="auto"/>
              <w:rPr>
                <w:rFonts w:ascii="Times New Roman" w:eastAsia="Times New Roman" w:hAnsi="Times New Roman" w:cs="Times New Roman"/>
                <w:color w:val="000000"/>
                <w:kern w:val="0"/>
                <w14:ligatures w14:val="none"/>
              </w:rPr>
            </w:pPr>
            <w:r w:rsidRPr="002857B0">
              <w:rPr>
                <w:rFonts w:ascii="Times New Roman" w:eastAsia="Times New Roman" w:hAnsi="Times New Roman" w:cs="Times New Roman"/>
                <w:color w:val="000000"/>
                <w:kern w:val="0"/>
                <w14:ligatures w14:val="none"/>
              </w:rPr>
              <w:t>Morocco</w:t>
            </w:r>
          </w:p>
        </w:tc>
      </w:tr>
      <w:tr w:rsidR="00347F47" w:rsidRPr="002857B0" w14:paraId="10F9CD18" w14:textId="77777777" w:rsidTr="002857B0">
        <w:trPr>
          <w:trHeight w:val="306"/>
        </w:trPr>
        <w:tc>
          <w:tcPr>
            <w:tcW w:w="8797" w:type="dxa"/>
            <w:tcBorders>
              <w:top w:val="nil"/>
              <w:left w:val="nil"/>
              <w:bottom w:val="nil"/>
              <w:right w:val="nil"/>
            </w:tcBorders>
            <w:shd w:val="clear" w:color="auto" w:fill="auto"/>
            <w:noWrap/>
            <w:vAlign w:val="bottom"/>
            <w:hideMark/>
          </w:tcPr>
          <w:p w14:paraId="1A9CEB41" w14:textId="77777777" w:rsidR="00347F47" w:rsidRPr="002857B0" w:rsidRDefault="00347F47" w:rsidP="002857B0">
            <w:pPr>
              <w:spacing w:after="0" w:line="240" w:lineRule="auto"/>
              <w:rPr>
                <w:rFonts w:ascii="Times New Roman" w:eastAsia="Times New Roman" w:hAnsi="Times New Roman" w:cs="Times New Roman"/>
                <w:color w:val="000000"/>
                <w:kern w:val="0"/>
                <w14:ligatures w14:val="none"/>
              </w:rPr>
            </w:pPr>
            <w:r w:rsidRPr="002857B0">
              <w:rPr>
                <w:rFonts w:ascii="Times New Roman" w:eastAsia="Times New Roman" w:hAnsi="Times New Roman" w:cs="Times New Roman"/>
                <w:color w:val="000000"/>
                <w:kern w:val="0"/>
                <w14:ligatures w14:val="none"/>
              </w:rPr>
              <w:t>Netherlands</w:t>
            </w:r>
          </w:p>
        </w:tc>
      </w:tr>
      <w:tr w:rsidR="00347F47" w:rsidRPr="002857B0" w14:paraId="11C25E4F" w14:textId="77777777" w:rsidTr="002857B0">
        <w:trPr>
          <w:trHeight w:val="306"/>
        </w:trPr>
        <w:tc>
          <w:tcPr>
            <w:tcW w:w="8797" w:type="dxa"/>
            <w:tcBorders>
              <w:top w:val="nil"/>
              <w:left w:val="nil"/>
              <w:bottom w:val="nil"/>
              <w:right w:val="nil"/>
            </w:tcBorders>
            <w:shd w:val="clear" w:color="auto" w:fill="auto"/>
            <w:noWrap/>
            <w:vAlign w:val="bottom"/>
            <w:hideMark/>
          </w:tcPr>
          <w:p w14:paraId="5A3DD933" w14:textId="77777777" w:rsidR="00347F47" w:rsidRPr="002857B0" w:rsidRDefault="00347F47" w:rsidP="002857B0">
            <w:pPr>
              <w:spacing w:after="0" w:line="240" w:lineRule="auto"/>
              <w:rPr>
                <w:rFonts w:ascii="Times New Roman" w:eastAsia="Times New Roman" w:hAnsi="Times New Roman" w:cs="Times New Roman"/>
                <w:color w:val="000000"/>
                <w:kern w:val="0"/>
                <w14:ligatures w14:val="none"/>
              </w:rPr>
            </w:pPr>
            <w:r w:rsidRPr="002857B0">
              <w:rPr>
                <w:rFonts w:ascii="Times New Roman" w:eastAsia="Times New Roman" w:hAnsi="Times New Roman" w:cs="Times New Roman"/>
                <w:color w:val="000000"/>
                <w:kern w:val="0"/>
                <w14:ligatures w14:val="none"/>
              </w:rPr>
              <w:t>New Zealand</w:t>
            </w:r>
          </w:p>
        </w:tc>
      </w:tr>
      <w:tr w:rsidR="00347F47" w:rsidRPr="002857B0" w14:paraId="2C3ECBB8" w14:textId="77777777" w:rsidTr="002857B0">
        <w:trPr>
          <w:trHeight w:val="306"/>
        </w:trPr>
        <w:tc>
          <w:tcPr>
            <w:tcW w:w="8797" w:type="dxa"/>
            <w:tcBorders>
              <w:top w:val="nil"/>
              <w:left w:val="nil"/>
              <w:bottom w:val="nil"/>
              <w:right w:val="nil"/>
            </w:tcBorders>
            <w:shd w:val="clear" w:color="auto" w:fill="auto"/>
            <w:noWrap/>
            <w:vAlign w:val="bottom"/>
            <w:hideMark/>
          </w:tcPr>
          <w:p w14:paraId="68A8BBF0" w14:textId="77777777" w:rsidR="00347F47" w:rsidRPr="002857B0" w:rsidRDefault="00347F47" w:rsidP="002857B0">
            <w:pPr>
              <w:spacing w:after="0" w:line="240" w:lineRule="auto"/>
              <w:rPr>
                <w:rFonts w:ascii="Times New Roman" w:eastAsia="Times New Roman" w:hAnsi="Times New Roman" w:cs="Times New Roman"/>
                <w:color w:val="000000"/>
                <w:kern w:val="0"/>
                <w14:ligatures w14:val="none"/>
              </w:rPr>
            </w:pPr>
            <w:r w:rsidRPr="002857B0">
              <w:rPr>
                <w:rFonts w:ascii="Times New Roman" w:eastAsia="Times New Roman" w:hAnsi="Times New Roman" w:cs="Times New Roman"/>
                <w:color w:val="000000"/>
                <w:kern w:val="0"/>
                <w14:ligatures w14:val="none"/>
              </w:rPr>
              <w:t>Nigeria</w:t>
            </w:r>
          </w:p>
        </w:tc>
      </w:tr>
      <w:tr w:rsidR="00347F47" w:rsidRPr="002857B0" w14:paraId="02000451" w14:textId="77777777" w:rsidTr="002857B0">
        <w:trPr>
          <w:trHeight w:val="306"/>
        </w:trPr>
        <w:tc>
          <w:tcPr>
            <w:tcW w:w="8797" w:type="dxa"/>
            <w:tcBorders>
              <w:top w:val="nil"/>
              <w:left w:val="nil"/>
              <w:bottom w:val="nil"/>
              <w:right w:val="nil"/>
            </w:tcBorders>
            <w:shd w:val="clear" w:color="auto" w:fill="auto"/>
            <w:noWrap/>
            <w:vAlign w:val="bottom"/>
            <w:hideMark/>
          </w:tcPr>
          <w:p w14:paraId="001A0A0B" w14:textId="77777777" w:rsidR="00347F47" w:rsidRPr="002857B0" w:rsidRDefault="00347F47" w:rsidP="002857B0">
            <w:pPr>
              <w:spacing w:after="0" w:line="240" w:lineRule="auto"/>
              <w:rPr>
                <w:rFonts w:ascii="Times New Roman" w:eastAsia="Times New Roman" w:hAnsi="Times New Roman" w:cs="Times New Roman"/>
                <w:color w:val="000000"/>
                <w:kern w:val="0"/>
                <w14:ligatures w14:val="none"/>
              </w:rPr>
            </w:pPr>
            <w:r w:rsidRPr="002857B0">
              <w:rPr>
                <w:rFonts w:ascii="Times New Roman" w:eastAsia="Times New Roman" w:hAnsi="Times New Roman" w:cs="Times New Roman"/>
                <w:color w:val="000000"/>
                <w:kern w:val="0"/>
                <w14:ligatures w14:val="none"/>
              </w:rPr>
              <w:t>Norway</w:t>
            </w:r>
          </w:p>
        </w:tc>
      </w:tr>
      <w:tr w:rsidR="00347F47" w:rsidRPr="002857B0" w14:paraId="3535315A" w14:textId="77777777" w:rsidTr="002857B0">
        <w:trPr>
          <w:trHeight w:val="306"/>
        </w:trPr>
        <w:tc>
          <w:tcPr>
            <w:tcW w:w="8797" w:type="dxa"/>
            <w:tcBorders>
              <w:top w:val="nil"/>
              <w:left w:val="nil"/>
              <w:bottom w:val="nil"/>
              <w:right w:val="nil"/>
            </w:tcBorders>
            <w:shd w:val="clear" w:color="auto" w:fill="auto"/>
            <w:noWrap/>
            <w:vAlign w:val="bottom"/>
            <w:hideMark/>
          </w:tcPr>
          <w:p w14:paraId="55B2535E" w14:textId="77777777" w:rsidR="00347F47" w:rsidRPr="002857B0" w:rsidRDefault="00347F47" w:rsidP="002857B0">
            <w:pPr>
              <w:spacing w:after="0" w:line="240" w:lineRule="auto"/>
              <w:rPr>
                <w:rFonts w:ascii="Times New Roman" w:eastAsia="Times New Roman" w:hAnsi="Times New Roman" w:cs="Times New Roman"/>
                <w:color w:val="000000"/>
                <w:kern w:val="0"/>
                <w14:ligatures w14:val="none"/>
              </w:rPr>
            </w:pPr>
            <w:r w:rsidRPr="002857B0">
              <w:rPr>
                <w:rFonts w:ascii="Times New Roman" w:eastAsia="Times New Roman" w:hAnsi="Times New Roman" w:cs="Times New Roman"/>
                <w:color w:val="000000"/>
                <w:kern w:val="0"/>
                <w14:ligatures w14:val="none"/>
              </w:rPr>
              <w:t>Pakistan</w:t>
            </w:r>
          </w:p>
        </w:tc>
      </w:tr>
      <w:tr w:rsidR="00347F47" w:rsidRPr="002857B0" w14:paraId="75D4A28B" w14:textId="77777777" w:rsidTr="002857B0">
        <w:trPr>
          <w:trHeight w:val="306"/>
        </w:trPr>
        <w:tc>
          <w:tcPr>
            <w:tcW w:w="8797" w:type="dxa"/>
            <w:tcBorders>
              <w:top w:val="nil"/>
              <w:left w:val="nil"/>
              <w:bottom w:val="nil"/>
              <w:right w:val="nil"/>
            </w:tcBorders>
            <w:shd w:val="clear" w:color="auto" w:fill="auto"/>
            <w:noWrap/>
            <w:vAlign w:val="bottom"/>
            <w:hideMark/>
          </w:tcPr>
          <w:p w14:paraId="54B3190B" w14:textId="77777777" w:rsidR="00347F47" w:rsidRPr="002857B0" w:rsidRDefault="00347F47" w:rsidP="002857B0">
            <w:pPr>
              <w:spacing w:after="0" w:line="240" w:lineRule="auto"/>
              <w:rPr>
                <w:rFonts w:ascii="Times New Roman" w:eastAsia="Times New Roman" w:hAnsi="Times New Roman" w:cs="Times New Roman"/>
                <w:color w:val="000000"/>
                <w:kern w:val="0"/>
                <w14:ligatures w14:val="none"/>
              </w:rPr>
            </w:pPr>
            <w:r w:rsidRPr="002857B0">
              <w:rPr>
                <w:rFonts w:ascii="Times New Roman" w:eastAsia="Times New Roman" w:hAnsi="Times New Roman" w:cs="Times New Roman"/>
                <w:color w:val="000000"/>
                <w:kern w:val="0"/>
                <w14:ligatures w14:val="none"/>
              </w:rPr>
              <w:t>Philippines</w:t>
            </w:r>
          </w:p>
        </w:tc>
      </w:tr>
      <w:tr w:rsidR="00347F47" w:rsidRPr="002857B0" w14:paraId="599F18F6" w14:textId="77777777" w:rsidTr="002857B0">
        <w:trPr>
          <w:trHeight w:val="306"/>
        </w:trPr>
        <w:tc>
          <w:tcPr>
            <w:tcW w:w="8797" w:type="dxa"/>
            <w:tcBorders>
              <w:top w:val="nil"/>
              <w:left w:val="nil"/>
              <w:bottom w:val="nil"/>
              <w:right w:val="nil"/>
            </w:tcBorders>
            <w:shd w:val="clear" w:color="auto" w:fill="auto"/>
            <w:noWrap/>
            <w:vAlign w:val="bottom"/>
            <w:hideMark/>
          </w:tcPr>
          <w:p w14:paraId="796CAFBF" w14:textId="77777777" w:rsidR="00347F47" w:rsidRPr="002857B0" w:rsidRDefault="00347F47" w:rsidP="002857B0">
            <w:pPr>
              <w:spacing w:after="0" w:line="240" w:lineRule="auto"/>
              <w:rPr>
                <w:rFonts w:ascii="Times New Roman" w:eastAsia="Times New Roman" w:hAnsi="Times New Roman" w:cs="Times New Roman"/>
                <w:color w:val="000000"/>
                <w:kern w:val="0"/>
                <w14:ligatures w14:val="none"/>
              </w:rPr>
            </w:pPr>
            <w:r w:rsidRPr="002857B0">
              <w:rPr>
                <w:rFonts w:ascii="Times New Roman" w:eastAsia="Times New Roman" w:hAnsi="Times New Roman" w:cs="Times New Roman"/>
                <w:color w:val="000000"/>
                <w:kern w:val="0"/>
                <w14:ligatures w14:val="none"/>
              </w:rPr>
              <w:t>Poland</w:t>
            </w:r>
          </w:p>
        </w:tc>
      </w:tr>
      <w:tr w:rsidR="00347F47" w:rsidRPr="002857B0" w14:paraId="1BC729B3" w14:textId="77777777" w:rsidTr="002857B0">
        <w:trPr>
          <w:trHeight w:val="306"/>
        </w:trPr>
        <w:tc>
          <w:tcPr>
            <w:tcW w:w="8797" w:type="dxa"/>
            <w:tcBorders>
              <w:top w:val="nil"/>
              <w:left w:val="nil"/>
              <w:bottom w:val="nil"/>
              <w:right w:val="nil"/>
            </w:tcBorders>
            <w:shd w:val="clear" w:color="auto" w:fill="auto"/>
            <w:noWrap/>
            <w:vAlign w:val="bottom"/>
            <w:hideMark/>
          </w:tcPr>
          <w:p w14:paraId="478D88D5" w14:textId="77777777" w:rsidR="00347F47" w:rsidRPr="002857B0" w:rsidRDefault="00347F47" w:rsidP="002857B0">
            <w:pPr>
              <w:spacing w:after="0" w:line="240" w:lineRule="auto"/>
              <w:rPr>
                <w:rFonts w:ascii="Times New Roman" w:eastAsia="Times New Roman" w:hAnsi="Times New Roman" w:cs="Times New Roman"/>
                <w:color w:val="000000"/>
                <w:kern w:val="0"/>
                <w14:ligatures w14:val="none"/>
              </w:rPr>
            </w:pPr>
            <w:r w:rsidRPr="002857B0">
              <w:rPr>
                <w:rFonts w:ascii="Times New Roman" w:eastAsia="Times New Roman" w:hAnsi="Times New Roman" w:cs="Times New Roman"/>
                <w:color w:val="000000"/>
                <w:kern w:val="0"/>
                <w14:ligatures w14:val="none"/>
              </w:rPr>
              <w:t>Portugal</w:t>
            </w:r>
          </w:p>
        </w:tc>
      </w:tr>
      <w:tr w:rsidR="00347F47" w:rsidRPr="002857B0" w14:paraId="4773F4FB" w14:textId="77777777" w:rsidTr="002857B0">
        <w:trPr>
          <w:trHeight w:val="306"/>
        </w:trPr>
        <w:tc>
          <w:tcPr>
            <w:tcW w:w="8797" w:type="dxa"/>
            <w:tcBorders>
              <w:top w:val="nil"/>
              <w:left w:val="nil"/>
              <w:bottom w:val="nil"/>
              <w:right w:val="nil"/>
            </w:tcBorders>
            <w:shd w:val="clear" w:color="auto" w:fill="auto"/>
            <w:noWrap/>
            <w:vAlign w:val="bottom"/>
            <w:hideMark/>
          </w:tcPr>
          <w:p w14:paraId="42977518" w14:textId="77777777" w:rsidR="00347F47" w:rsidRPr="002857B0" w:rsidRDefault="00347F47" w:rsidP="002857B0">
            <w:pPr>
              <w:spacing w:after="0" w:line="240" w:lineRule="auto"/>
              <w:rPr>
                <w:rFonts w:ascii="Times New Roman" w:eastAsia="Times New Roman" w:hAnsi="Times New Roman" w:cs="Times New Roman"/>
                <w:color w:val="000000"/>
                <w:kern w:val="0"/>
                <w14:ligatures w14:val="none"/>
              </w:rPr>
            </w:pPr>
            <w:r w:rsidRPr="002857B0">
              <w:rPr>
                <w:rFonts w:ascii="Times New Roman" w:eastAsia="Times New Roman" w:hAnsi="Times New Roman" w:cs="Times New Roman"/>
                <w:color w:val="000000"/>
                <w:kern w:val="0"/>
                <w14:ligatures w14:val="none"/>
              </w:rPr>
              <w:t>Qatar</w:t>
            </w:r>
          </w:p>
        </w:tc>
      </w:tr>
      <w:tr w:rsidR="00347F47" w:rsidRPr="002857B0" w14:paraId="3C9A3713" w14:textId="77777777" w:rsidTr="002857B0">
        <w:trPr>
          <w:trHeight w:val="306"/>
        </w:trPr>
        <w:tc>
          <w:tcPr>
            <w:tcW w:w="8797" w:type="dxa"/>
            <w:tcBorders>
              <w:top w:val="nil"/>
              <w:left w:val="nil"/>
              <w:bottom w:val="nil"/>
              <w:right w:val="nil"/>
            </w:tcBorders>
            <w:shd w:val="clear" w:color="auto" w:fill="auto"/>
            <w:noWrap/>
            <w:vAlign w:val="bottom"/>
            <w:hideMark/>
          </w:tcPr>
          <w:p w14:paraId="468A242A" w14:textId="77777777" w:rsidR="00347F47" w:rsidRPr="002857B0" w:rsidRDefault="00347F47" w:rsidP="002857B0">
            <w:pPr>
              <w:spacing w:after="0" w:line="240" w:lineRule="auto"/>
              <w:rPr>
                <w:rFonts w:ascii="Times New Roman" w:eastAsia="Times New Roman" w:hAnsi="Times New Roman" w:cs="Times New Roman"/>
                <w:color w:val="000000"/>
                <w:kern w:val="0"/>
                <w14:ligatures w14:val="none"/>
              </w:rPr>
            </w:pPr>
            <w:r w:rsidRPr="002857B0">
              <w:rPr>
                <w:rFonts w:ascii="Times New Roman" w:eastAsia="Times New Roman" w:hAnsi="Times New Roman" w:cs="Times New Roman"/>
                <w:color w:val="000000"/>
                <w:kern w:val="0"/>
                <w14:ligatures w14:val="none"/>
              </w:rPr>
              <w:t>Romania</w:t>
            </w:r>
          </w:p>
        </w:tc>
      </w:tr>
      <w:tr w:rsidR="00347F47" w:rsidRPr="002857B0" w14:paraId="3C4CAB75" w14:textId="77777777" w:rsidTr="002857B0">
        <w:trPr>
          <w:trHeight w:val="306"/>
        </w:trPr>
        <w:tc>
          <w:tcPr>
            <w:tcW w:w="8797" w:type="dxa"/>
            <w:tcBorders>
              <w:top w:val="nil"/>
              <w:left w:val="nil"/>
              <w:bottom w:val="nil"/>
              <w:right w:val="nil"/>
            </w:tcBorders>
            <w:shd w:val="clear" w:color="auto" w:fill="auto"/>
            <w:noWrap/>
            <w:vAlign w:val="bottom"/>
            <w:hideMark/>
          </w:tcPr>
          <w:p w14:paraId="033FA940" w14:textId="77777777" w:rsidR="00347F47" w:rsidRPr="002857B0" w:rsidRDefault="00347F47" w:rsidP="002857B0">
            <w:pPr>
              <w:spacing w:after="0" w:line="240" w:lineRule="auto"/>
              <w:rPr>
                <w:rFonts w:ascii="Times New Roman" w:eastAsia="Times New Roman" w:hAnsi="Times New Roman" w:cs="Times New Roman"/>
                <w:color w:val="000000"/>
                <w:kern w:val="0"/>
                <w14:ligatures w14:val="none"/>
              </w:rPr>
            </w:pPr>
            <w:r w:rsidRPr="002857B0">
              <w:rPr>
                <w:rFonts w:ascii="Times New Roman" w:eastAsia="Times New Roman" w:hAnsi="Times New Roman" w:cs="Times New Roman"/>
                <w:color w:val="000000"/>
                <w:kern w:val="0"/>
                <w14:ligatures w14:val="none"/>
              </w:rPr>
              <w:t>Russia</w:t>
            </w:r>
          </w:p>
        </w:tc>
      </w:tr>
      <w:tr w:rsidR="00347F47" w:rsidRPr="002857B0" w14:paraId="7BDF5B25" w14:textId="77777777" w:rsidTr="002857B0">
        <w:trPr>
          <w:trHeight w:val="306"/>
        </w:trPr>
        <w:tc>
          <w:tcPr>
            <w:tcW w:w="8797" w:type="dxa"/>
            <w:tcBorders>
              <w:top w:val="nil"/>
              <w:left w:val="nil"/>
              <w:bottom w:val="nil"/>
              <w:right w:val="nil"/>
            </w:tcBorders>
            <w:shd w:val="clear" w:color="auto" w:fill="auto"/>
            <w:noWrap/>
            <w:vAlign w:val="bottom"/>
            <w:hideMark/>
          </w:tcPr>
          <w:p w14:paraId="645A6B9D" w14:textId="77777777" w:rsidR="00347F47" w:rsidRPr="002857B0" w:rsidRDefault="00347F47" w:rsidP="002857B0">
            <w:pPr>
              <w:spacing w:after="0" w:line="240" w:lineRule="auto"/>
              <w:rPr>
                <w:rFonts w:ascii="Times New Roman" w:eastAsia="Times New Roman" w:hAnsi="Times New Roman" w:cs="Times New Roman"/>
                <w:color w:val="000000"/>
                <w:kern w:val="0"/>
                <w14:ligatures w14:val="none"/>
              </w:rPr>
            </w:pPr>
            <w:r w:rsidRPr="002857B0">
              <w:rPr>
                <w:rFonts w:ascii="Times New Roman" w:eastAsia="Times New Roman" w:hAnsi="Times New Roman" w:cs="Times New Roman"/>
                <w:color w:val="000000"/>
                <w:kern w:val="0"/>
                <w14:ligatures w14:val="none"/>
              </w:rPr>
              <w:t>Saudi Arabia</w:t>
            </w:r>
          </w:p>
        </w:tc>
      </w:tr>
      <w:tr w:rsidR="00347F47" w:rsidRPr="002857B0" w14:paraId="3E84A41A" w14:textId="77777777" w:rsidTr="002857B0">
        <w:trPr>
          <w:trHeight w:val="306"/>
        </w:trPr>
        <w:tc>
          <w:tcPr>
            <w:tcW w:w="8797" w:type="dxa"/>
            <w:tcBorders>
              <w:top w:val="nil"/>
              <w:left w:val="nil"/>
              <w:bottom w:val="nil"/>
              <w:right w:val="nil"/>
            </w:tcBorders>
            <w:shd w:val="clear" w:color="auto" w:fill="auto"/>
            <w:noWrap/>
            <w:vAlign w:val="bottom"/>
            <w:hideMark/>
          </w:tcPr>
          <w:p w14:paraId="42B896F9" w14:textId="77777777" w:rsidR="00347F47" w:rsidRPr="002857B0" w:rsidRDefault="00347F47" w:rsidP="002857B0">
            <w:pPr>
              <w:spacing w:after="0" w:line="240" w:lineRule="auto"/>
              <w:rPr>
                <w:rFonts w:ascii="Times New Roman" w:eastAsia="Times New Roman" w:hAnsi="Times New Roman" w:cs="Times New Roman"/>
                <w:color w:val="000000"/>
                <w:kern w:val="0"/>
                <w14:ligatures w14:val="none"/>
              </w:rPr>
            </w:pPr>
            <w:r w:rsidRPr="002857B0">
              <w:rPr>
                <w:rFonts w:ascii="Times New Roman" w:eastAsia="Times New Roman" w:hAnsi="Times New Roman" w:cs="Times New Roman"/>
                <w:color w:val="000000"/>
                <w:kern w:val="0"/>
                <w14:ligatures w14:val="none"/>
              </w:rPr>
              <w:t>Singapore</w:t>
            </w:r>
          </w:p>
        </w:tc>
      </w:tr>
      <w:tr w:rsidR="00347F47" w:rsidRPr="002857B0" w14:paraId="4989A2AB" w14:textId="77777777" w:rsidTr="002857B0">
        <w:trPr>
          <w:trHeight w:val="306"/>
        </w:trPr>
        <w:tc>
          <w:tcPr>
            <w:tcW w:w="8797" w:type="dxa"/>
            <w:tcBorders>
              <w:top w:val="nil"/>
              <w:left w:val="nil"/>
              <w:bottom w:val="nil"/>
              <w:right w:val="nil"/>
            </w:tcBorders>
            <w:shd w:val="clear" w:color="auto" w:fill="auto"/>
            <w:noWrap/>
            <w:vAlign w:val="bottom"/>
            <w:hideMark/>
          </w:tcPr>
          <w:p w14:paraId="01984487" w14:textId="77777777" w:rsidR="00347F47" w:rsidRPr="002857B0" w:rsidRDefault="00347F47" w:rsidP="002857B0">
            <w:pPr>
              <w:spacing w:after="0" w:line="240" w:lineRule="auto"/>
              <w:rPr>
                <w:rFonts w:ascii="Times New Roman" w:eastAsia="Times New Roman" w:hAnsi="Times New Roman" w:cs="Times New Roman"/>
                <w:color w:val="000000"/>
                <w:kern w:val="0"/>
                <w14:ligatures w14:val="none"/>
              </w:rPr>
            </w:pPr>
            <w:r w:rsidRPr="002857B0">
              <w:rPr>
                <w:rFonts w:ascii="Times New Roman" w:eastAsia="Times New Roman" w:hAnsi="Times New Roman" w:cs="Times New Roman"/>
                <w:color w:val="000000"/>
                <w:kern w:val="0"/>
                <w14:ligatures w14:val="none"/>
              </w:rPr>
              <w:t>South Africa</w:t>
            </w:r>
          </w:p>
        </w:tc>
      </w:tr>
      <w:tr w:rsidR="00347F47" w:rsidRPr="002857B0" w14:paraId="66A9378B" w14:textId="77777777" w:rsidTr="002857B0">
        <w:trPr>
          <w:trHeight w:val="306"/>
        </w:trPr>
        <w:tc>
          <w:tcPr>
            <w:tcW w:w="8797" w:type="dxa"/>
            <w:tcBorders>
              <w:top w:val="nil"/>
              <w:left w:val="nil"/>
              <w:bottom w:val="nil"/>
              <w:right w:val="nil"/>
            </w:tcBorders>
            <w:shd w:val="clear" w:color="auto" w:fill="auto"/>
            <w:noWrap/>
            <w:vAlign w:val="bottom"/>
            <w:hideMark/>
          </w:tcPr>
          <w:p w14:paraId="403259BB" w14:textId="77777777" w:rsidR="00347F47" w:rsidRPr="002857B0" w:rsidRDefault="00347F47" w:rsidP="002857B0">
            <w:pPr>
              <w:spacing w:after="0" w:line="240" w:lineRule="auto"/>
              <w:rPr>
                <w:rFonts w:ascii="Times New Roman" w:eastAsia="Times New Roman" w:hAnsi="Times New Roman" w:cs="Times New Roman"/>
                <w:color w:val="000000"/>
                <w:kern w:val="0"/>
                <w14:ligatures w14:val="none"/>
              </w:rPr>
            </w:pPr>
            <w:r w:rsidRPr="002857B0">
              <w:rPr>
                <w:rFonts w:ascii="Times New Roman" w:eastAsia="Times New Roman" w:hAnsi="Times New Roman" w:cs="Times New Roman"/>
                <w:color w:val="000000"/>
                <w:kern w:val="0"/>
                <w14:ligatures w14:val="none"/>
              </w:rPr>
              <w:t>South Korea</w:t>
            </w:r>
          </w:p>
        </w:tc>
      </w:tr>
      <w:tr w:rsidR="00347F47" w:rsidRPr="002857B0" w14:paraId="0A8C784B" w14:textId="77777777" w:rsidTr="002857B0">
        <w:trPr>
          <w:trHeight w:val="306"/>
        </w:trPr>
        <w:tc>
          <w:tcPr>
            <w:tcW w:w="8797" w:type="dxa"/>
            <w:tcBorders>
              <w:top w:val="nil"/>
              <w:left w:val="nil"/>
              <w:bottom w:val="nil"/>
              <w:right w:val="nil"/>
            </w:tcBorders>
            <w:shd w:val="clear" w:color="auto" w:fill="auto"/>
            <w:noWrap/>
            <w:vAlign w:val="bottom"/>
            <w:hideMark/>
          </w:tcPr>
          <w:p w14:paraId="04C4BCD2" w14:textId="77777777" w:rsidR="00347F47" w:rsidRPr="002857B0" w:rsidRDefault="00347F47" w:rsidP="002857B0">
            <w:pPr>
              <w:spacing w:after="0" w:line="240" w:lineRule="auto"/>
              <w:rPr>
                <w:rFonts w:ascii="Times New Roman" w:eastAsia="Times New Roman" w:hAnsi="Times New Roman" w:cs="Times New Roman"/>
                <w:color w:val="000000"/>
                <w:kern w:val="0"/>
                <w14:ligatures w14:val="none"/>
              </w:rPr>
            </w:pPr>
            <w:r w:rsidRPr="002857B0">
              <w:rPr>
                <w:rFonts w:ascii="Times New Roman" w:eastAsia="Times New Roman" w:hAnsi="Times New Roman" w:cs="Times New Roman"/>
                <w:color w:val="000000"/>
                <w:kern w:val="0"/>
                <w14:ligatures w14:val="none"/>
              </w:rPr>
              <w:lastRenderedPageBreak/>
              <w:t>Spain</w:t>
            </w:r>
          </w:p>
        </w:tc>
      </w:tr>
      <w:tr w:rsidR="00347F47" w:rsidRPr="002857B0" w14:paraId="05B32F01" w14:textId="77777777" w:rsidTr="002857B0">
        <w:trPr>
          <w:trHeight w:val="306"/>
        </w:trPr>
        <w:tc>
          <w:tcPr>
            <w:tcW w:w="8797" w:type="dxa"/>
            <w:tcBorders>
              <w:top w:val="nil"/>
              <w:left w:val="nil"/>
              <w:bottom w:val="nil"/>
              <w:right w:val="nil"/>
            </w:tcBorders>
            <w:shd w:val="clear" w:color="auto" w:fill="auto"/>
            <w:noWrap/>
            <w:vAlign w:val="bottom"/>
            <w:hideMark/>
          </w:tcPr>
          <w:p w14:paraId="49EF8AF8" w14:textId="77777777" w:rsidR="00347F47" w:rsidRPr="002857B0" w:rsidRDefault="00347F47" w:rsidP="002857B0">
            <w:pPr>
              <w:spacing w:after="0" w:line="240" w:lineRule="auto"/>
              <w:rPr>
                <w:rFonts w:ascii="Times New Roman" w:eastAsia="Times New Roman" w:hAnsi="Times New Roman" w:cs="Times New Roman"/>
                <w:color w:val="000000"/>
                <w:kern w:val="0"/>
                <w14:ligatures w14:val="none"/>
              </w:rPr>
            </w:pPr>
            <w:r w:rsidRPr="002857B0">
              <w:rPr>
                <w:rFonts w:ascii="Times New Roman" w:eastAsia="Times New Roman" w:hAnsi="Times New Roman" w:cs="Times New Roman"/>
                <w:color w:val="000000"/>
                <w:kern w:val="0"/>
                <w14:ligatures w14:val="none"/>
              </w:rPr>
              <w:t>Sweden</w:t>
            </w:r>
          </w:p>
        </w:tc>
      </w:tr>
      <w:tr w:rsidR="00347F47" w:rsidRPr="002857B0" w14:paraId="2A17D54C" w14:textId="77777777" w:rsidTr="002857B0">
        <w:trPr>
          <w:trHeight w:val="306"/>
        </w:trPr>
        <w:tc>
          <w:tcPr>
            <w:tcW w:w="8797" w:type="dxa"/>
            <w:tcBorders>
              <w:top w:val="nil"/>
              <w:left w:val="nil"/>
              <w:bottom w:val="nil"/>
              <w:right w:val="nil"/>
            </w:tcBorders>
            <w:shd w:val="clear" w:color="auto" w:fill="auto"/>
            <w:noWrap/>
            <w:vAlign w:val="bottom"/>
            <w:hideMark/>
          </w:tcPr>
          <w:p w14:paraId="461EE3D9" w14:textId="77777777" w:rsidR="00347F47" w:rsidRPr="002857B0" w:rsidRDefault="00347F47" w:rsidP="002857B0">
            <w:pPr>
              <w:spacing w:after="0" w:line="240" w:lineRule="auto"/>
              <w:rPr>
                <w:rFonts w:ascii="Times New Roman" w:eastAsia="Times New Roman" w:hAnsi="Times New Roman" w:cs="Times New Roman"/>
                <w:color w:val="000000"/>
                <w:kern w:val="0"/>
                <w14:ligatures w14:val="none"/>
              </w:rPr>
            </w:pPr>
            <w:r w:rsidRPr="002857B0">
              <w:rPr>
                <w:rFonts w:ascii="Times New Roman" w:eastAsia="Times New Roman" w:hAnsi="Times New Roman" w:cs="Times New Roman"/>
                <w:color w:val="000000"/>
                <w:kern w:val="0"/>
                <w14:ligatures w14:val="none"/>
              </w:rPr>
              <w:t>Switzerland</w:t>
            </w:r>
          </w:p>
        </w:tc>
      </w:tr>
      <w:tr w:rsidR="00347F47" w:rsidRPr="002857B0" w14:paraId="1B3F3B78" w14:textId="77777777" w:rsidTr="002857B0">
        <w:trPr>
          <w:trHeight w:val="306"/>
        </w:trPr>
        <w:tc>
          <w:tcPr>
            <w:tcW w:w="8797" w:type="dxa"/>
            <w:tcBorders>
              <w:top w:val="nil"/>
              <w:left w:val="nil"/>
              <w:bottom w:val="nil"/>
              <w:right w:val="nil"/>
            </w:tcBorders>
            <w:shd w:val="clear" w:color="auto" w:fill="auto"/>
            <w:noWrap/>
            <w:vAlign w:val="bottom"/>
            <w:hideMark/>
          </w:tcPr>
          <w:p w14:paraId="6F5E99CD" w14:textId="77777777" w:rsidR="00347F47" w:rsidRPr="002857B0" w:rsidRDefault="00347F47" w:rsidP="002857B0">
            <w:pPr>
              <w:spacing w:after="0" w:line="240" w:lineRule="auto"/>
              <w:rPr>
                <w:rFonts w:ascii="Times New Roman" w:eastAsia="Times New Roman" w:hAnsi="Times New Roman" w:cs="Times New Roman"/>
                <w:color w:val="000000"/>
                <w:kern w:val="0"/>
                <w14:ligatures w14:val="none"/>
              </w:rPr>
            </w:pPr>
            <w:r w:rsidRPr="002857B0">
              <w:rPr>
                <w:rFonts w:ascii="Times New Roman" w:eastAsia="Times New Roman" w:hAnsi="Times New Roman" w:cs="Times New Roman"/>
                <w:color w:val="000000"/>
                <w:kern w:val="0"/>
                <w14:ligatures w14:val="none"/>
              </w:rPr>
              <w:t>Thailand</w:t>
            </w:r>
          </w:p>
        </w:tc>
      </w:tr>
      <w:tr w:rsidR="00347F47" w:rsidRPr="002857B0" w14:paraId="1F1DBF47" w14:textId="77777777" w:rsidTr="002857B0">
        <w:trPr>
          <w:trHeight w:val="306"/>
        </w:trPr>
        <w:tc>
          <w:tcPr>
            <w:tcW w:w="8797" w:type="dxa"/>
            <w:tcBorders>
              <w:top w:val="nil"/>
              <w:left w:val="nil"/>
              <w:bottom w:val="nil"/>
              <w:right w:val="nil"/>
            </w:tcBorders>
            <w:shd w:val="clear" w:color="auto" w:fill="auto"/>
            <w:noWrap/>
            <w:vAlign w:val="bottom"/>
            <w:hideMark/>
          </w:tcPr>
          <w:p w14:paraId="63D936F2" w14:textId="77777777" w:rsidR="00347F47" w:rsidRPr="002857B0" w:rsidRDefault="00347F47" w:rsidP="002857B0">
            <w:pPr>
              <w:spacing w:after="0" w:line="240" w:lineRule="auto"/>
              <w:rPr>
                <w:rFonts w:ascii="Times New Roman" w:eastAsia="Times New Roman" w:hAnsi="Times New Roman" w:cs="Times New Roman"/>
                <w:color w:val="000000"/>
                <w:kern w:val="0"/>
                <w14:ligatures w14:val="none"/>
              </w:rPr>
            </w:pPr>
            <w:r w:rsidRPr="002857B0">
              <w:rPr>
                <w:rFonts w:ascii="Times New Roman" w:eastAsia="Times New Roman" w:hAnsi="Times New Roman" w:cs="Times New Roman"/>
                <w:color w:val="000000"/>
                <w:kern w:val="0"/>
                <w14:ligatures w14:val="none"/>
              </w:rPr>
              <w:t>Turkey</w:t>
            </w:r>
          </w:p>
        </w:tc>
      </w:tr>
      <w:tr w:rsidR="00347F47" w:rsidRPr="002857B0" w14:paraId="50B6E545" w14:textId="77777777" w:rsidTr="002857B0">
        <w:trPr>
          <w:trHeight w:val="306"/>
        </w:trPr>
        <w:tc>
          <w:tcPr>
            <w:tcW w:w="8797" w:type="dxa"/>
            <w:tcBorders>
              <w:top w:val="nil"/>
              <w:left w:val="nil"/>
              <w:bottom w:val="nil"/>
              <w:right w:val="nil"/>
            </w:tcBorders>
            <w:shd w:val="clear" w:color="auto" w:fill="auto"/>
            <w:noWrap/>
            <w:vAlign w:val="bottom"/>
            <w:hideMark/>
          </w:tcPr>
          <w:p w14:paraId="533FC6B5" w14:textId="77777777" w:rsidR="00347F47" w:rsidRPr="002857B0" w:rsidRDefault="00347F47" w:rsidP="002857B0">
            <w:pPr>
              <w:spacing w:after="0" w:line="240" w:lineRule="auto"/>
              <w:rPr>
                <w:rFonts w:ascii="Times New Roman" w:eastAsia="Times New Roman" w:hAnsi="Times New Roman" w:cs="Times New Roman"/>
                <w:color w:val="000000"/>
                <w:kern w:val="0"/>
                <w14:ligatures w14:val="none"/>
              </w:rPr>
            </w:pPr>
            <w:r w:rsidRPr="002857B0">
              <w:rPr>
                <w:rFonts w:ascii="Times New Roman" w:eastAsia="Times New Roman" w:hAnsi="Times New Roman" w:cs="Times New Roman"/>
                <w:color w:val="000000"/>
                <w:kern w:val="0"/>
                <w14:ligatures w14:val="none"/>
              </w:rPr>
              <w:t>United Kingdom</w:t>
            </w:r>
          </w:p>
        </w:tc>
      </w:tr>
      <w:tr w:rsidR="00347F47" w:rsidRPr="002857B0" w14:paraId="264CC89C" w14:textId="77777777" w:rsidTr="002857B0">
        <w:trPr>
          <w:trHeight w:val="306"/>
        </w:trPr>
        <w:tc>
          <w:tcPr>
            <w:tcW w:w="8797" w:type="dxa"/>
            <w:tcBorders>
              <w:top w:val="nil"/>
              <w:left w:val="nil"/>
              <w:bottom w:val="single" w:sz="4" w:space="0" w:color="auto"/>
              <w:right w:val="nil"/>
            </w:tcBorders>
            <w:shd w:val="clear" w:color="auto" w:fill="auto"/>
            <w:noWrap/>
            <w:vAlign w:val="bottom"/>
            <w:hideMark/>
          </w:tcPr>
          <w:p w14:paraId="138667E7" w14:textId="77777777" w:rsidR="00347F47" w:rsidRPr="002857B0" w:rsidRDefault="00347F47" w:rsidP="002857B0">
            <w:pPr>
              <w:spacing w:after="0" w:line="240" w:lineRule="auto"/>
              <w:rPr>
                <w:rFonts w:ascii="Times New Roman" w:eastAsia="Times New Roman" w:hAnsi="Times New Roman" w:cs="Times New Roman"/>
                <w:color w:val="000000"/>
                <w:kern w:val="0"/>
                <w14:ligatures w14:val="none"/>
              </w:rPr>
            </w:pPr>
            <w:r w:rsidRPr="002857B0">
              <w:rPr>
                <w:rFonts w:ascii="Times New Roman" w:eastAsia="Times New Roman" w:hAnsi="Times New Roman" w:cs="Times New Roman"/>
                <w:color w:val="000000"/>
                <w:kern w:val="0"/>
                <w14:ligatures w14:val="none"/>
              </w:rPr>
              <w:t>United States</w:t>
            </w:r>
          </w:p>
        </w:tc>
      </w:tr>
    </w:tbl>
    <w:p w14:paraId="3AD457C2" w14:textId="77777777" w:rsidR="00347F47" w:rsidRPr="00F93A04" w:rsidRDefault="00347F47" w:rsidP="000367C5">
      <w:pPr>
        <w:spacing w:line="480" w:lineRule="auto"/>
        <w:jc w:val="both"/>
        <w:rPr>
          <w:rFonts w:ascii="Times New Roman" w:hAnsi="Times New Roman" w:cs="Times New Roman"/>
          <w:sz w:val="24"/>
          <w:szCs w:val="24"/>
        </w:rPr>
      </w:pPr>
    </w:p>
    <w:sectPr w:rsidR="00347F47" w:rsidRPr="00F93A0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226AA" w14:textId="77777777" w:rsidR="00C437AD" w:rsidRDefault="00C437AD" w:rsidP="000605CC">
      <w:pPr>
        <w:spacing w:after="0" w:line="240" w:lineRule="auto"/>
      </w:pPr>
      <w:r>
        <w:separator/>
      </w:r>
    </w:p>
  </w:endnote>
  <w:endnote w:type="continuationSeparator" w:id="0">
    <w:p w14:paraId="4A2903C1" w14:textId="77777777" w:rsidR="00C437AD" w:rsidRDefault="00C437AD" w:rsidP="00060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3154036"/>
      <w:docPartObj>
        <w:docPartGallery w:val="Page Numbers (Bottom of Page)"/>
        <w:docPartUnique/>
      </w:docPartObj>
    </w:sdtPr>
    <w:sdtEndPr>
      <w:rPr>
        <w:noProof/>
      </w:rPr>
    </w:sdtEndPr>
    <w:sdtContent>
      <w:p w14:paraId="053ED594" w14:textId="12398521" w:rsidR="000605CC" w:rsidRDefault="000605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65072B" w14:textId="77777777" w:rsidR="000605CC" w:rsidRDefault="000605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0CFEB" w14:textId="77777777" w:rsidR="00C437AD" w:rsidRDefault="00C437AD" w:rsidP="000605CC">
      <w:pPr>
        <w:spacing w:after="0" w:line="240" w:lineRule="auto"/>
      </w:pPr>
      <w:r>
        <w:separator/>
      </w:r>
    </w:p>
  </w:footnote>
  <w:footnote w:type="continuationSeparator" w:id="0">
    <w:p w14:paraId="5D408246" w14:textId="77777777" w:rsidR="00C437AD" w:rsidRDefault="00C437AD" w:rsidP="000605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C935D4"/>
    <w:multiLevelType w:val="hybridMultilevel"/>
    <w:tmpl w:val="B172E48E"/>
    <w:lvl w:ilvl="0" w:tplc="9D3C971C">
      <w:start w:val="1"/>
      <w:numFmt w:val="decimal"/>
      <w:pStyle w:val="johnSub"/>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6816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147"/>
    <w:rsid w:val="00002484"/>
    <w:rsid w:val="00004391"/>
    <w:rsid w:val="00005CEB"/>
    <w:rsid w:val="000107A9"/>
    <w:rsid w:val="00026868"/>
    <w:rsid w:val="000317A5"/>
    <w:rsid w:val="00031921"/>
    <w:rsid w:val="000332E4"/>
    <w:rsid w:val="000345BC"/>
    <w:rsid w:val="000367C5"/>
    <w:rsid w:val="00041F13"/>
    <w:rsid w:val="00047194"/>
    <w:rsid w:val="000605CC"/>
    <w:rsid w:val="000755FC"/>
    <w:rsid w:val="000907EA"/>
    <w:rsid w:val="000A7130"/>
    <w:rsid w:val="000B057A"/>
    <w:rsid w:val="000B2B85"/>
    <w:rsid w:val="000B7C6C"/>
    <w:rsid w:val="000E11C2"/>
    <w:rsid w:val="000E4448"/>
    <w:rsid w:val="001011BB"/>
    <w:rsid w:val="00110244"/>
    <w:rsid w:val="00110971"/>
    <w:rsid w:val="00120E1E"/>
    <w:rsid w:val="00123456"/>
    <w:rsid w:val="0012659D"/>
    <w:rsid w:val="001469FF"/>
    <w:rsid w:val="00171B17"/>
    <w:rsid w:val="00177C21"/>
    <w:rsid w:val="001912F0"/>
    <w:rsid w:val="00191D56"/>
    <w:rsid w:val="001A2805"/>
    <w:rsid w:val="001A2B54"/>
    <w:rsid w:val="001A5125"/>
    <w:rsid w:val="001C02A3"/>
    <w:rsid w:val="001C6DD5"/>
    <w:rsid w:val="001D459F"/>
    <w:rsid w:val="001F3822"/>
    <w:rsid w:val="00212489"/>
    <w:rsid w:val="00213B9F"/>
    <w:rsid w:val="002257F0"/>
    <w:rsid w:val="00253D36"/>
    <w:rsid w:val="0025481F"/>
    <w:rsid w:val="0026419F"/>
    <w:rsid w:val="0027516F"/>
    <w:rsid w:val="00275240"/>
    <w:rsid w:val="00275554"/>
    <w:rsid w:val="0028551A"/>
    <w:rsid w:val="002857B0"/>
    <w:rsid w:val="00287A47"/>
    <w:rsid w:val="00290A62"/>
    <w:rsid w:val="00291FE7"/>
    <w:rsid w:val="002A6D77"/>
    <w:rsid w:val="002C3DC3"/>
    <w:rsid w:val="002C6D68"/>
    <w:rsid w:val="002D5713"/>
    <w:rsid w:val="002D6FFF"/>
    <w:rsid w:val="002F3FA8"/>
    <w:rsid w:val="00337511"/>
    <w:rsid w:val="003428A4"/>
    <w:rsid w:val="00344DDC"/>
    <w:rsid w:val="00347F47"/>
    <w:rsid w:val="00354252"/>
    <w:rsid w:val="0036788D"/>
    <w:rsid w:val="00376896"/>
    <w:rsid w:val="00376DDF"/>
    <w:rsid w:val="00383E19"/>
    <w:rsid w:val="00392223"/>
    <w:rsid w:val="003944A4"/>
    <w:rsid w:val="003A4108"/>
    <w:rsid w:val="003B0936"/>
    <w:rsid w:val="003C2563"/>
    <w:rsid w:val="003D7EB3"/>
    <w:rsid w:val="003F3253"/>
    <w:rsid w:val="004201D8"/>
    <w:rsid w:val="00426FCD"/>
    <w:rsid w:val="00427C7A"/>
    <w:rsid w:val="00432E0F"/>
    <w:rsid w:val="00435C64"/>
    <w:rsid w:val="004371B5"/>
    <w:rsid w:val="00437F24"/>
    <w:rsid w:val="004540EE"/>
    <w:rsid w:val="0045501B"/>
    <w:rsid w:val="0046370C"/>
    <w:rsid w:val="0048495A"/>
    <w:rsid w:val="004856B5"/>
    <w:rsid w:val="004951C3"/>
    <w:rsid w:val="004B5CFC"/>
    <w:rsid w:val="004D1977"/>
    <w:rsid w:val="004F6D04"/>
    <w:rsid w:val="00501B35"/>
    <w:rsid w:val="00504156"/>
    <w:rsid w:val="00505F13"/>
    <w:rsid w:val="00511C89"/>
    <w:rsid w:val="00514308"/>
    <w:rsid w:val="00523907"/>
    <w:rsid w:val="005342FB"/>
    <w:rsid w:val="00536F81"/>
    <w:rsid w:val="0053732A"/>
    <w:rsid w:val="00544CAB"/>
    <w:rsid w:val="00545246"/>
    <w:rsid w:val="0056213D"/>
    <w:rsid w:val="00562605"/>
    <w:rsid w:val="00570E72"/>
    <w:rsid w:val="005721BE"/>
    <w:rsid w:val="005800D4"/>
    <w:rsid w:val="00582168"/>
    <w:rsid w:val="00582F5C"/>
    <w:rsid w:val="0058755E"/>
    <w:rsid w:val="005A012D"/>
    <w:rsid w:val="005B4E6D"/>
    <w:rsid w:val="005B56CB"/>
    <w:rsid w:val="005C7AE9"/>
    <w:rsid w:val="005D2119"/>
    <w:rsid w:val="005D2806"/>
    <w:rsid w:val="005D37B5"/>
    <w:rsid w:val="005D7085"/>
    <w:rsid w:val="005E22C1"/>
    <w:rsid w:val="005F153B"/>
    <w:rsid w:val="00601D33"/>
    <w:rsid w:val="00605674"/>
    <w:rsid w:val="00611DB7"/>
    <w:rsid w:val="00624E34"/>
    <w:rsid w:val="00645A2A"/>
    <w:rsid w:val="006509AB"/>
    <w:rsid w:val="00651D36"/>
    <w:rsid w:val="00651FC1"/>
    <w:rsid w:val="00667364"/>
    <w:rsid w:val="00672437"/>
    <w:rsid w:val="0068057F"/>
    <w:rsid w:val="00686430"/>
    <w:rsid w:val="0068712D"/>
    <w:rsid w:val="00695DAA"/>
    <w:rsid w:val="006A184B"/>
    <w:rsid w:val="006A75F9"/>
    <w:rsid w:val="006C1B42"/>
    <w:rsid w:val="006D1564"/>
    <w:rsid w:val="006D64E8"/>
    <w:rsid w:val="006F1799"/>
    <w:rsid w:val="00706875"/>
    <w:rsid w:val="00717ADD"/>
    <w:rsid w:val="007237FE"/>
    <w:rsid w:val="00734A6C"/>
    <w:rsid w:val="0073781A"/>
    <w:rsid w:val="00750A01"/>
    <w:rsid w:val="00750A50"/>
    <w:rsid w:val="00751BC1"/>
    <w:rsid w:val="00752194"/>
    <w:rsid w:val="00760BAA"/>
    <w:rsid w:val="007659F7"/>
    <w:rsid w:val="007712F3"/>
    <w:rsid w:val="0077677F"/>
    <w:rsid w:val="00785A24"/>
    <w:rsid w:val="00792137"/>
    <w:rsid w:val="0079263F"/>
    <w:rsid w:val="007A7C1A"/>
    <w:rsid w:val="007B05A7"/>
    <w:rsid w:val="007B3628"/>
    <w:rsid w:val="007B4C9B"/>
    <w:rsid w:val="007B6062"/>
    <w:rsid w:val="007D673D"/>
    <w:rsid w:val="007E15B4"/>
    <w:rsid w:val="007F76F9"/>
    <w:rsid w:val="0081006A"/>
    <w:rsid w:val="00811417"/>
    <w:rsid w:val="00811B1D"/>
    <w:rsid w:val="00815843"/>
    <w:rsid w:val="00815CDA"/>
    <w:rsid w:val="00817681"/>
    <w:rsid w:val="00820C3D"/>
    <w:rsid w:val="00820EEF"/>
    <w:rsid w:val="008361B8"/>
    <w:rsid w:val="00846FE8"/>
    <w:rsid w:val="00850D86"/>
    <w:rsid w:val="00862414"/>
    <w:rsid w:val="0086501A"/>
    <w:rsid w:val="0087112D"/>
    <w:rsid w:val="00871D07"/>
    <w:rsid w:val="00872DBC"/>
    <w:rsid w:val="00874982"/>
    <w:rsid w:val="008811FD"/>
    <w:rsid w:val="00894FE6"/>
    <w:rsid w:val="008A423D"/>
    <w:rsid w:val="008B7DCB"/>
    <w:rsid w:val="008D1DAC"/>
    <w:rsid w:val="008D37FD"/>
    <w:rsid w:val="008D776E"/>
    <w:rsid w:val="008D7B64"/>
    <w:rsid w:val="008E4242"/>
    <w:rsid w:val="00907414"/>
    <w:rsid w:val="00914D2B"/>
    <w:rsid w:val="009345F4"/>
    <w:rsid w:val="0093468F"/>
    <w:rsid w:val="009444B6"/>
    <w:rsid w:val="00961D6C"/>
    <w:rsid w:val="009657C6"/>
    <w:rsid w:val="00980A12"/>
    <w:rsid w:val="009827BD"/>
    <w:rsid w:val="00983D3D"/>
    <w:rsid w:val="00987644"/>
    <w:rsid w:val="00992061"/>
    <w:rsid w:val="00993E53"/>
    <w:rsid w:val="0099573C"/>
    <w:rsid w:val="00995F45"/>
    <w:rsid w:val="009B28D0"/>
    <w:rsid w:val="009C0FF6"/>
    <w:rsid w:val="009C1804"/>
    <w:rsid w:val="009D0EBD"/>
    <w:rsid w:val="009D3BE5"/>
    <w:rsid w:val="00A001C8"/>
    <w:rsid w:val="00A1057C"/>
    <w:rsid w:val="00A14605"/>
    <w:rsid w:val="00A1693A"/>
    <w:rsid w:val="00A34E4A"/>
    <w:rsid w:val="00A408F1"/>
    <w:rsid w:val="00A44C7E"/>
    <w:rsid w:val="00A4689D"/>
    <w:rsid w:val="00A54DA5"/>
    <w:rsid w:val="00A5597F"/>
    <w:rsid w:val="00A57273"/>
    <w:rsid w:val="00A820F2"/>
    <w:rsid w:val="00A90535"/>
    <w:rsid w:val="00A91602"/>
    <w:rsid w:val="00AA07EE"/>
    <w:rsid w:val="00AA5E3B"/>
    <w:rsid w:val="00AA6FBF"/>
    <w:rsid w:val="00AB647A"/>
    <w:rsid w:val="00AC2328"/>
    <w:rsid w:val="00AE263D"/>
    <w:rsid w:val="00AE2D86"/>
    <w:rsid w:val="00AE7C01"/>
    <w:rsid w:val="00AF2969"/>
    <w:rsid w:val="00B05275"/>
    <w:rsid w:val="00B14121"/>
    <w:rsid w:val="00B3109D"/>
    <w:rsid w:val="00B36B0B"/>
    <w:rsid w:val="00B37885"/>
    <w:rsid w:val="00B41964"/>
    <w:rsid w:val="00B4352A"/>
    <w:rsid w:val="00B6677C"/>
    <w:rsid w:val="00B67DD5"/>
    <w:rsid w:val="00B67E14"/>
    <w:rsid w:val="00B70A7B"/>
    <w:rsid w:val="00B76B50"/>
    <w:rsid w:val="00B77E42"/>
    <w:rsid w:val="00B845AF"/>
    <w:rsid w:val="00B84E65"/>
    <w:rsid w:val="00B85328"/>
    <w:rsid w:val="00BA5445"/>
    <w:rsid w:val="00BA7C4F"/>
    <w:rsid w:val="00BB4590"/>
    <w:rsid w:val="00BB6172"/>
    <w:rsid w:val="00BC6CB7"/>
    <w:rsid w:val="00BD0110"/>
    <w:rsid w:val="00BD05F3"/>
    <w:rsid w:val="00BD4CE2"/>
    <w:rsid w:val="00BE1AC0"/>
    <w:rsid w:val="00BE76CD"/>
    <w:rsid w:val="00C03271"/>
    <w:rsid w:val="00C07236"/>
    <w:rsid w:val="00C0785E"/>
    <w:rsid w:val="00C14144"/>
    <w:rsid w:val="00C31866"/>
    <w:rsid w:val="00C351C4"/>
    <w:rsid w:val="00C437AD"/>
    <w:rsid w:val="00C46D04"/>
    <w:rsid w:val="00C57764"/>
    <w:rsid w:val="00C637FB"/>
    <w:rsid w:val="00C714E0"/>
    <w:rsid w:val="00C76E85"/>
    <w:rsid w:val="00C90D22"/>
    <w:rsid w:val="00C910F2"/>
    <w:rsid w:val="00CA3DD8"/>
    <w:rsid w:val="00CB6AAB"/>
    <w:rsid w:val="00CC3799"/>
    <w:rsid w:val="00CC7E93"/>
    <w:rsid w:val="00CD2BF2"/>
    <w:rsid w:val="00CD42BF"/>
    <w:rsid w:val="00CE0C85"/>
    <w:rsid w:val="00CE3DCE"/>
    <w:rsid w:val="00CE55C3"/>
    <w:rsid w:val="00D01AC7"/>
    <w:rsid w:val="00D07B4F"/>
    <w:rsid w:val="00D42AD5"/>
    <w:rsid w:val="00D437A7"/>
    <w:rsid w:val="00D52C15"/>
    <w:rsid w:val="00D54DCA"/>
    <w:rsid w:val="00D55259"/>
    <w:rsid w:val="00D56A24"/>
    <w:rsid w:val="00D5767F"/>
    <w:rsid w:val="00D66F6A"/>
    <w:rsid w:val="00D71D9D"/>
    <w:rsid w:val="00D87D65"/>
    <w:rsid w:val="00D96C54"/>
    <w:rsid w:val="00D9772C"/>
    <w:rsid w:val="00DA37B1"/>
    <w:rsid w:val="00DB1547"/>
    <w:rsid w:val="00DC3ED9"/>
    <w:rsid w:val="00DD156A"/>
    <w:rsid w:val="00DD2D5D"/>
    <w:rsid w:val="00DE48C3"/>
    <w:rsid w:val="00DE7B2A"/>
    <w:rsid w:val="00DF14B2"/>
    <w:rsid w:val="00DF5908"/>
    <w:rsid w:val="00DF5931"/>
    <w:rsid w:val="00E065AD"/>
    <w:rsid w:val="00E12DD0"/>
    <w:rsid w:val="00E177DE"/>
    <w:rsid w:val="00E22DE1"/>
    <w:rsid w:val="00E32657"/>
    <w:rsid w:val="00E35BD9"/>
    <w:rsid w:val="00E423DC"/>
    <w:rsid w:val="00E43323"/>
    <w:rsid w:val="00E43955"/>
    <w:rsid w:val="00E43CDC"/>
    <w:rsid w:val="00E444CE"/>
    <w:rsid w:val="00E563D3"/>
    <w:rsid w:val="00E6278B"/>
    <w:rsid w:val="00E64EA9"/>
    <w:rsid w:val="00E74E3B"/>
    <w:rsid w:val="00E85431"/>
    <w:rsid w:val="00E86BAA"/>
    <w:rsid w:val="00E948FB"/>
    <w:rsid w:val="00EC66BC"/>
    <w:rsid w:val="00ED5056"/>
    <w:rsid w:val="00EF6316"/>
    <w:rsid w:val="00EF733D"/>
    <w:rsid w:val="00F07925"/>
    <w:rsid w:val="00F1764F"/>
    <w:rsid w:val="00F312CE"/>
    <w:rsid w:val="00F43922"/>
    <w:rsid w:val="00F44482"/>
    <w:rsid w:val="00F537D0"/>
    <w:rsid w:val="00F5710A"/>
    <w:rsid w:val="00F60B62"/>
    <w:rsid w:val="00F73ADE"/>
    <w:rsid w:val="00F82C6C"/>
    <w:rsid w:val="00F83525"/>
    <w:rsid w:val="00F86F7C"/>
    <w:rsid w:val="00F93A04"/>
    <w:rsid w:val="00FA2AFF"/>
    <w:rsid w:val="00FA2F1D"/>
    <w:rsid w:val="00FC0147"/>
    <w:rsid w:val="00FD00ED"/>
    <w:rsid w:val="00FD64FE"/>
    <w:rsid w:val="00FE156F"/>
    <w:rsid w:val="00FE2DC2"/>
    <w:rsid w:val="00FE4366"/>
    <w:rsid w:val="00FE6146"/>
    <w:rsid w:val="00FF3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B77DF8"/>
  <w15:chartTrackingRefBased/>
  <w15:docId w15:val="{D0340C2C-00A8-43AF-BF14-14D07E0AF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01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C01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C014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C014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C014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C01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01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01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01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14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C014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C014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C014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C014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C01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01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01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0147"/>
    <w:rPr>
      <w:rFonts w:eastAsiaTheme="majorEastAsia" w:cstheme="majorBidi"/>
      <w:color w:val="272727" w:themeColor="text1" w:themeTint="D8"/>
    </w:rPr>
  </w:style>
  <w:style w:type="paragraph" w:styleId="Title">
    <w:name w:val="Title"/>
    <w:basedOn w:val="Normal"/>
    <w:next w:val="Normal"/>
    <w:link w:val="TitleChar"/>
    <w:uiPriority w:val="10"/>
    <w:qFormat/>
    <w:rsid w:val="00FC01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01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01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01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0147"/>
    <w:pPr>
      <w:spacing w:before="160"/>
      <w:jc w:val="center"/>
    </w:pPr>
    <w:rPr>
      <w:i/>
      <w:iCs/>
      <w:color w:val="404040" w:themeColor="text1" w:themeTint="BF"/>
    </w:rPr>
  </w:style>
  <w:style w:type="character" w:customStyle="1" w:styleId="QuoteChar">
    <w:name w:val="Quote Char"/>
    <w:basedOn w:val="DefaultParagraphFont"/>
    <w:link w:val="Quote"/>
    <w:uiPriority w:val="29"/>
    <w:rsid w:val="00FC0147"/>
    <w:rPr>
      <w:i/>
      <w:iCs/>
      <w:color w:val="404040" w:themeColor="text1" w:themeTint="BF"/>
    </w:rPr>
  </w:style>
  <w:style w:type="paragraph" w:styleId="ListParagraph">
    <w:name w:val="List Paragraph"/>
    <w:basedOn w:val="Normal"/>
    <w:uiPriority w:val="34"/>
    <w:qFormat/>
    <w:rsid w:val="00FC0147"/>
    <w:pPr>
      <w:ind w:left="720"/>
      <w:contextualSpacing/>
    </w:pPr>
  </w:style>
  <w:style w:type="character" w:styleId="IntenseEmphasis">
    <w:name w:val="Intense Emphasis"/>
    <w:basedOn w:val="DefaultParagraphFont"/>
    <w:uiPriority w:val="21"/>
    <w:qFormat/>
    <w:rsid w:val="00FC0147"/>
    <w:rPr>
      <w:i/>
      <w:iCs/>
      <w:color w:val="2F5496" w:themeColor="accent1" w:themeShade="BF"/>
    </w:rPr>
  </w:style>
  <w:style w:type="paragraph" w:styleId="IntenseQuote">
    <w:name w:val="Intense Quote"/>
    <w:basedOn w:val="Normal"/>
    <w:next w:val="Normal"/>
    <w:link w:val="IntenseQuoteChar"/>
    <w:uiPriority w:val="30"/>
    <w:qFormat/>
    <w:rsid w:val="00FC01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C0147"/>
    <w:rPr>
      <w:i/>
      <w:iCs/>
      <w:color w:val="2F5496" w:themeColor="accent1" w:themeShade="BF"/>
    </w:rPr>
  </w:style>
  <w:style w:type="character" w:styleId="IntenseReference">
    <w:name w:val="Intense Reference"/>
    <w:basedOn w:val="DefaultParagraphFont"/>
    <w:uiPriority w:val="32"/>
    <w:qFormat/>
    <w:rsid w:val="00FC0147"/>
    <w:rPr>
      <w:b/>
      <w:bCs/>
      <w:smallCaps/>
      <w:color w:val="2F5496" w:themeColor="accent1" w:themeShade="BF"/>
      <w:spacing w:val="5"/>
    </w:rPr>
  </w:style>
  <w:style w:type="character" w:styleId="Hyperlink">
    <w:name w:val="Hyperlink"/>
    <w:basedOn w:val="DefaultParagraphFont"/>
    <w:uiPriority w:val="99"/>
    <w:unhideWhenUsed/>
    <w:rsid w:val="00C31866"/>
    <w:rPr>
      <w:color w:val="0563C1" w:themeColor="hyperlink"/>
      <w:u w:val="single"/>
    </w:rPr>
  </w:style>
  <w:style w:type="character" w:styleId="UnresolvedMention">
    <w:name w:val="Unresolved Mention"/>
    <w:basedOn w:val="DefaultParagraphFont"/>
    <w:uiPriority w:val="99"/>
    <w:semiHidden/>
    <w:unhideWhenUsed/>
    <w:rsid w:val="00C31866"/>
    <w:rPr>
      <w:color w:val="605E5C"/>
      <w:shd w:val="clear" w:color="auto" w:fill="E1DFDD"/>
    </w:rPr>
  </w:style>
  <w:style w:type="paragraph" w:styleId="Header">
    <w:name w:val="header"/>
    <w:basedOn w:val="Normal"/>
    <w:link w:val="HeaderChar"/>
    <w:uiPriority w:val="99"/>
    <w:unhideWhenUsed/>
    <w:rsid w:val="000605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05CC"/>
  </w:style>
  <w:style w:type="paragraph" w:styleId="Footer">
    <w:name w:val="footer"/>
    <w:basedOn w:val="Normal"/>
    <w:link w:val="FooterChar"/>
    <w:uiPriority w:val="99"/>
    <w:unhideWhenUsed/>
    <w:rsid w:val="000605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05CC"/>
  </w:style>
  <w:style w:type="paragraph" w:customStyle="1" w:styleId="johnBody">
    <w:name w:val="johnBody"/>
    <w:basedOn w:val="Normal"/>
    <w:link w:val="johnBodyChar"/>
    <w:qFormat/>
    <w:rsid w:val="00752194"/>
    <w:pPr>
      <w:adjustRightInd w:val="0"/>
      <w:snapToGrid w:val="0"/>
      <w:spacing w:after="0" w:line="360" w:lineRule="auto"/>
      <w:ind w:firstLine="720"/>
      <w:jc w:val="both"/>
    </w:pPr>
    <w:rPr>
      <w:rFonts w:ascii="Times New Roman" w:eastAsia="Microsoft YaHei" w:hAnsi="Times New Roman" w:cs="Times New Roman"/>
      <w:kern w:val="0"/>
      <w:lang w:eastAsia="zh-CN"/>
      <w14:ligatures w14:val="none"/>
    </w:rPr>
  </w:style>
  <w:style w:type="character" w:customStyle="1" w:styleId="johnBodyChar">
    <w:name w:val="johnBody Char"/>
    <w:basedOn w:val="DefaultParagraphFont"/>
    <w:link w:val="johnBody"/>
    <w:rsid w:val="00752194"/>
    <w:rPr>
      <w:rFonts w:ascii="Times New Roman" w:eastAsia="Microsoft YaHei" w:hAnsi="Times New Roman" w:cs="Times New Roman"/>
      <w:kern w:val="0"/>
      <w:lang w:eastAsia="zh-CN"/>
      <w14:ligatures w14:val="none"/>
    </w:rPr>
  </w:style>
  <w:style w:type="paragraph" w:customStyle="1" w:styleId="johnSub">
    <w:name w:val="johnSub"/>
    <w:basedOn w:val="Normal"/>
    <w:qFormat/>
    <w:rsid w:val="00B6677C"/>
    <w:pPr>
      <w:numPr>
        <w:numId w:val="1"/>
      </w:numPr>
      <w:spacing w:before="120" w:after="240" w:line="240" w:lineRule="auto"/>
      <w:ind w:left="540" w:hanging="540"/>
    </w:pPr>
    <w:rPr>
      <w:rFonts w:ascii="Times New Roman" w:eastAsia="SimSun" w:hAnsi="Times New Roman" w:cs="Times New Roman"/>
      <w:b/>
      <w:kern w:val="0"/>
      <w:szCs w:val="24"/>
      <w14:ligatures w14:val="none"/>
    </w:rPr>
  </w:style>
  <w:style w:type="paragraph" w:customStyle="1" w:styleId="johnEndNote">
    <w:name w:val="johnEndNote"/>
    <w:basedOn w:val="Normal"/>
    <w:qFormat/>
    <w:rsid w:val="00DF5931"/>
    <w:pPr>
      <w:spacing w:beforeLines="40" w:afterLines="40" w:after="0" w:line="240" w:lineRule="auto"/>
      <w:ind w:left="720" w:hanging="720"/>
      <w:jc w:val="both"/>
    </w:pPr>
    <w:rPr>
      <w:rFonts w:ascii="Times New Roman" w:eastAsia="Times New Roman" w:hAnsi="Times New Roman" w:cs="Times New Roman"/>
      <w:noProof/>
      <w:kern w:val="0"/>
      <w14:ligatures w14:val="none"/>
    </w:rPr>
  </w:style>
  <w:style w:type="character" w:customStyle="1" w:styleId="johnTableinsertChar">
    <w:name w:val="johnTableinsert Char"/>
    <w:basedOn w:val="DefaultParagraphFont"/>
    <w:link w:val="johnTableinsert"/>
    <w:locked/>
    <w:rsid w:val="00D9772C"/>
    <w:rPr>
      <w:rFonts w:ascii="Times New Roman" w:hAnsi="Times New Roman" w:cs="Times New Roman"/>
      <w:szCs w:val="20"/>
    </w:rPr>
  </w:style>
  <w:style w:type="paragraph" w:customStyle="1" w:styleId="johnTableinsert">
    <w:name w:val="johnTableinsert"/>
    <w:basedOn w:val="Normal"/>
    <w:link w:val="johnTableinsertChar"/>
    <w:qFormat/>
    <w:rsid w:val="00D9772C"/>
    <w:pPr>
      <w:tabs>
        <w:tab w:val="left" w:pos="7150"/>
      </w:tabs>
      <w:spacing w:before="240" w:after="480" w:line="240" w:lineRule="auto"/>
      <w:jc w:val="center"/>
    </w:pPr>
    <w:rPr>
      <w:rFonts w:ascii="Times New Roman" w:hAnsi="Times New Roman" w:cs="Times New Roman"/>
      <w:szCs w:val="20"/>
    </w:rPr>
  </w:style>
  <w:style w:type="paragraph" w:customStyle="1" w:styleId="johnsub2">
    <w:name w:val="johnsub2"/>
    <w:basedOn w:val="Normal"/>
    <w:link w:val="johnsub2Char"/>
    <w:qFormat/>
    <w:rsid w:val="00F537D0"/>
    <w:pPr>
      <w:keepNext/>
      <w:tabs>
        <w:tab w:val="left" w:pos="7150"/>
      </w:tabs>
      <w:spacing w:before="240" w:after="240" w:line="240" w:lineRule="auto"/>
      <w:ind w:firstLine="403"/>
      <w:jc w:val="both"/>
    </w:pPr>
    <w:rPr>
      <w:rFonts w:ascii="Times New Roman" w:eastAsia="Times New Roman" w:hAnsi="Times New Roman" w:cs="Arial"/>
      <w:i/>
      <w:kern w:val="0"/>
      <w:szCs w:val="20"/>
      <w14:ligatures w14:val="none"/>
    </w:rPr>
  </w:style>
  <w:style w:type="character" w:customStyle="1" w:styleId="johnsub2Char">
    <w:name w:val="johnsub2 Char"/>
    <w:basedOn w:val="DefaultParagraphFont"/>
    <w:link w:val="johnsub2"/>
    <w:rsid w:val="00F537D0"/>
    <w:rPr>
      <w:rFonts w:ascii="Times New Roman" w:eastAsia="Times New Roman" w:hAnsi="Times New Roman" w:cs="Arial"/>
      <w:i/>
      <w:kern w:val="0"/>
      <w:szCs w:val="20"/>
      <w14:ligatures w14:val="none"/>
    </w:rPr>
  </w:style>
  <w:style w:type="paragraph" w:customStyle="1" w:styleId="johnSub3">
    <w:name w:val="johnSub3"/>
    <w:basedOn w:val="Normal"/>
    <w:link w:val="johnSub3Char"/>
    <w:qFormat/>
    <w:rsid w:val="00C90D22"/>
    <w:pPr>
      <w:spacing w:line="480" w:lineRule="auto"/>
      <w:ind w:firstLine="403"/>
      <w:jc w:val="both"/>
    </w:pPr>
    <w:rPr>
      <w:rFonts w:ascii="Times New Roman" w:hAnsi="Times New Roman" w:cs="Times New Roman"/>
      <w:b/>
      <w:bCs/>
    </w:rPr>
  </w:style>
  <w:style w:type="character" w:customStyle="1" w:styleId="johnSub3Char">
    <w:name w:val="johnSub3 Char"/>
    <w:basedOn w:val="DefaultParagraphFont"/>
    <w:link w:val="johnSub3"/>
    <w:rsid w:val="00C90D22"/>
    <w:rPr>
      <w:rFonts w:ascii="Times New Roman" w:hAnsi="Times New Roman" w:cs="Times New Roman"/>
      <w:b/>
      <w:bCs/>
    </w:rPr>
  </w:style>
  <w:style w:type="paragraph" w:styleId="FootnoteText">
    <w:name w:val="footnote text"/>
    <w:basedOn w:val="Normal"/>
    <w:link w:val="FootnoteTextChar"/>
    <w:uiPriority w:val="99"/>
    <w:semiHidden/>
    <w:unhideWhenUsed/>
    <w:rsid w:val="000332E4"/>
    <w:pPr>
      <w:widowControl w:val="0"/>
      <w:snapToGrid w:val="0"/>
      <w:spacing w:after="0" w:line="240" w:lineRule="auto"/>
    </w:pPr>
    <w:rPr>
      <w:sz w:val="18"/>
      <w:szCs w:val="18"/>
      <w:lang w:eastAsia="zh-CN"/>
      <w14:ligatures w14:val="none"/>
    </w:rPr>
  </w:style>
  <w:style w:type="character" w:customStyle="1" w:styleId="FootnoteTextChar">
    <w:name w:val="Footnote Text Char"/>
    <w:basedOn w:val="DefaultParagraphFont"/>
    <w:link w:val="FootnoteText"/>
    <w:uiPriority w:val="99"/>
    <w:semiHidden/>
    <w:rsid w:val="000332E4"/>
    <w:rPr>
      <w:sz w:val="18"/>
      <w:szCs w:val="18"/>
      <w:lang w:eastAsia="zh-CN"/>
      <w14:ligatures w14:val="none"/>
    </w:rPr>
  </w:style>
  <w:style w:type="character" w:styleId="FootnoteReference">
    <w:name w:val="footnote reference"/>
    <w:basedOn w:val="DefaultParagraphFont"/>
    <w:uiPriority w:val="99"/>
    <w:semiHidden/>
    <w:unhideWhenUsed/>
    <w:rsid w:val="000332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312711">
      <w:bodyDiv w:val="1"/>
      <w:marLeft w:val="0"/>
      <w:marRight w:val="0"/>
      <w:marTop w:val="0"/>
      <w:marBottom w:val="0"/>
      <w:divBdr>
        <w:top w:val="none" w:sz="0" w:space="0" w:color="auto"/>
        <w:left w:val="none" w:sz="0" w:space="0" w:color="auto"/>
        <w:bottom w:val="none" w:sz="0" w:space="0" w:color="auto"/>
        <w:right w:val="none" w:sz="0" w:space="0" w:color="auto"/>
      </w:divBdr>
    </w:div>
    <w:div w:id="446389975">
      <w:bodyDiv w:val="1"/>
      <w:marLeft w:val="0"/>
      <w:marRight w:val="0"/>
      <w:marTop w:val="0"/>
      <w:marBottom w:val="0"/>
      <w:divBdr>
        <w:top w:val="none" w:sz="0" w:space="0" w:color="auto"/>
        <w:left w:val="none" w:sz="0" w:space="0" w:color="auto"/>
        <w:bottom w:val="none" w:sz="0" w:space="0" w:color="auto"/>
        <w:right w:val="none" w:sz="0" w:space="0" w:color="auto"/>
      </w:divBdr>
    </w:div>
    <w:div w:id="594217845">
      <w:bodyDiv w:val="1"/>
      <w:marLeft w:val="0"/>
      <w:marRight w:val="0"/>
      <w:marTop w:val="0"/>
      <w:marBottom w:val="0"/>
      <w:divBdr>
        <w:top w:val="none" w:sz="0" w:space="0" w:color="auto"/>
        <w:left w:val="none" w:sz="0" w:space="0" w:color="auto"/>
        <w:bottom w:val="none" w:sz="0" w:space="0" w:color="auto"/>
        <w:right w:val="none" w:sz="0" w:space="0" w:color="auto"/>
      </w:divBdr>
    </w:div>
    <w:div w:id="1299606845">
      <w:bodyDiv w:val="1"/>
      <w:marLeft w:val="0"/>
      <w:marRight w:val="0"/>
      <w:marTop w:val="0"/>
      <w:marBottom w:val="0"/>
      <w:divBdr>
        <w:top w:val="none" w:sz="0" w:space="0" w:color="auto"/>
        <w:left w:val="none" w:sz="0" w:space="0" w:color="auto"/>
        <w:bottom w:val="none" w:sz="0" w:space="0" w:color="auto"/>
        <w:right w:val="none" w:sz="0" w:space="0" w:color="auto"/>
      </w:divBdr>
    </w:div>
    <w:div w:id="1440489942">
      <w:bodyDiv w:val="1"/>
      <w:marLeft w:val="0"/>
      <w:marRight w:val="0"/>
      <w:marTop w:val="0"/>
      <w:marBottom w:val="0"/>
      <w:divBdr>
        <w:top w:val="none" w:sz="0" w:space="0" w:color="auto"/>
        <w:left w:val="none" w:sz="0" w:space="0" w:color="auto"/>
        <w:bottom w:val="none" w:sz="0" w:space="0" w:color="auto"/>
        <w:right w:val="none" w:sz="0" w:space="0" w:color="auto"/>
      </w:divBdr>
    </w:div>
    <w:div w:id="147672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19</Pages>
  <Words>5168</Words>
  <Characters>30389</Characters>
  <Application>Microsoft Office Word</Application>
  <DocSecurity>0</DocSecurity>
  <Lines>1215</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Kaleemullah Abbasi</dc:creator>
  <cp:keywords/>
  <dc:description/>
  <cp:lastModifiedBy>Ashraful Alam</cp:lastModifiedBy>
  <cp:revision>4</cp:revision>
  <dcterms:created xsi:type="dcterms:W3CDTF">2025-05-06T11:15:00Z</dcterms:created>
  <dcterms:modified xsi:type="dcterms:W3CDTF">2025-05-31T21:07:00Z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f0ca1ff4ebe7c2387f18f1e238922ae7490279df7e3dc3b4191a055d59bb03c0</vt:lpwstr>
  </property>
</Properties>
</file>